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1ACDF">
      <w:pPr>
        <w:spacing w:before="156" w:beforeLines="50" w:line="360" w:lineRule="auto"/>
        <w:jc w:val="center"/>
        <w:rPr>
          <w:rFonts w:ascii="宋体" w:hAnsi="宋体"/>
          <w:b/>
          <w:bCs/>
          <w:color w:val="auto"/>
          <w:sz w:val="52"/>
          <w:szCs w:val="52"/>
          <w:highlight w:val="none"/>
        </w:rPr>
      </w:pPr>
    </w:p>
    <w:p w14:paraId="02E67A6A">
      <w:pPr>
        <w:spacing w:before="156" w:beforeLines="50" w:line="360" w:lineRule="auto"/>
        <w:jc w:val="center"/>
        <w:rPr>
          <w:rFonts w:ascii="宋体" w:hAnsi="宋体"/>
          <w:b/>
          <w:bCs/>
          <w:color w:val="auto"/>
          <w:sz w:val="52"/>
          <w:szCs w:val="52"/>
          <w:highlight w:val="none"/>
        </w:rPr>
      </w:pPr>
      <w:r>
        <w:rPr>
          <w:rFonts w:hint="eastAsia" w:ascii="宋体" w:hAnsi="宋体"/>
          <w:b/>
          <w:bCs/>
          <w:color w:val="auto"/>
          <w:sz w:val="52"/>
          <w:szCs w:val="52"/>
          <w:highlight w:val="none"/>
        </w:rPr>
        <w:t>竞争性谈判文件(货物类)</w:t>
      </w:r>
    </w:p>
    <w:p w14:paraId="70401B44">
      <w:pPr>
        <w:snapToGrid w:val="0"/>
        <w:spacing w:before="156" w:beforeLines="50" w:line="360" w:lineRule="auto"/>
        <w:jc w:val="center"/>
        <w:rPr>
          <w:rFonts w:ascii="宋体" w:hAnsi="宋体"/>
          <w:color w:val="auto"/>
          <w:sz w:val="36"/>
          <w:szCs w:val="36"/>
          <w:highlight w:val="none"/>
        </w:rPr>
      </w:pPr>
    </w:p>
    <w:p w14:paraId="211911CB">
      <w:pPr>
        <w:pStyle w:val="31"/>
        <w:rPr>
          <w:color w:val="auto"/>
          <w:highlight w:val="none"/>
        </w:rPr>
      </w:pPr>
    </w:p>
    <w:p w14:paraId="0B9DF407">
      <w:pPr>
        <w:snapToGrid w:val="0"/>
        <w:spacing w:before="156" w:beforeLines="50" w:line="360" w:lineRule="auto"/>
        <w:jc w:val="center"/>
        <w:rPr>
          <w:rFonts w:ascii="方正小标宋简体" w:hAnsi="方正小标宋简体" w:eastAsia="方正小标宋简体" w:cs="方正小标宋简体"/>
          <w:color w:val="auto"/>
          <w:sz w:val="44"/>
          <w:szCs w:val="44"/>
          <w:highlight w:val="none"/>
        </w:rPr>
      </w:pPr>
      <w:r>
        <w:rPr>
          <w:rFonts w:hint="eastAsia" w:ascii="华文新魏" w:hAnsi="宋体" w:eastAsia="华文新魏"/>
          <w:color w:val="auto"/>
          <w:sz w:val="72"/>
          <w:szCs w:val="72"/>
          <w:highlight w:val="none"/>
        </w:rPr>
        <w:t>竞争性谈判文件</w:t>
      </w:r>
    </w:p>
    <w:p w14:paraId="3BE70EF8">
      <w:pPr>
        <w:spacing w:before="312" w:beforeLines="100" w:after="156" w:afterLines="50" w:line="360" w:lineRule="auto"/>
        <w:jc w:val="center"/>
        <w:rPr>
          <w:rFonts w:ascii="宋体" w:hAnsi="宋体"/>
          <w:color w:val="auto"/>
          <w:szCs w:val="21"/>
          <w:highlight w:val="none"/>
        </w:rPr>
      </w:pPr>
      <w:r>
        <w:rPr>
          <w:rFonts w:hint="eastAsia" w:ascii="宋体" w:hAnsi="宋体"/>
          <w:color w:val="auto"/>
          <w:szCs w:val="21"/>
          <w:highlight w:val="none"/>
        </w:rPr>
        <w:t>（全流程电子化评标）</w:t>
      </w:r>
    </w:p>
    <w:p w14:paraId="2885C887">
      <w:pPr>
        <w:spacing w:line="700" w:lineRule="exact"/>
        <w:jc w:val="center"/>
        <w:rPr>
          <w:rFonts w:ascii="宋体" w:hAnsi="宋体"/>
          <w:b/>
          <w:color w:val="auto"/>
          <w:sz w:val="32"/>
          <w:szCs w:val="32"/>
          <w:highlight w:val="none"/>
        </w:rPr>
      </w:pPr>
    </w:p>
    <w:p w14:paraId="1B513D46">
      <w:pPr>
        <w:keepNext w:val="0"/>
        <w:keepLines w:val="0"/>
        <w:pageBreakBefore w:val="0"/>
        <w:kinsoku/>
        <w:wordWrap/>
        <w:overflowPunct/>
        <w:topLinePunct w:val="0"/>
        <w:autoSpaceDE/>
        <w:autoSpaceDN/>
        <w:bidi w:val="0"/>
        <w:adjustRightInd/>
        <w:snapToGrid w:val="0"/>
        <w:spacing w:before="50" w:after="120" w:line="700" w:lineRule="exact"/>
        <w:ind w:left="2564" w:leftChars="456" w:hanging="1606" w:hangingChars="500"/>
        <w:textAlignment w:val="auto"/>
        <w:rPr>
          <w:rFonts w:ascii="宋体" w:hAnsi="宋体" w:eastAsia="宋体" w:cs="宋体"/>
          <w:b/>
          <w:bCs/>
          <w:color w:val="auto"/>
          <w:sz w:val="32"/>
          <w:szCs w:val="32"/>
          <w:highlight w:val="none"/>
          <w:u w:val="none"/>
        </w:rPr>
      </w:pPr>
      <w:r>
        <w:rPr>
          <w:rFonts w:hint="eastAsia" w:ascii="宋体" w:hAnsi="宋体" w:eastAsia="宋体" w:cs="宋体"/>
          <w:b/>
          <w:bCs/>
          <w:color w:val="auto"/>
          <w:sz w:val="32"/>
          <w:szCs w:val="32"/>
          <w:highlight w:val="none"/>
        </w:rPr>
        <w:t>项目</w:t>
      </w:r>
      <w:r>
        <w:rPr>
          <w:rFonts w:hint="eastAsia" w:ascii="宋体" w:hAnsi="宋体" w:eastAsia="宋体" w:cs="宋体"/>
          <w:b/>
          <w:bCs/>
          <w:color w:val="auto"/>
          <w:w w:val="95"/>
          <w:sz w:val="32"/>
          <w:szCs w:val="32"/>
          <w:highlight w:val="none"/>
        </w:rPr>
        <w:t>名称</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u w:val="none"/>
        </w:rPr>
        <w:t>乡村小规模学校和乡镇寄宿制学校教室宿舍设施设备更新改造项目设备采购</w:t>
      </w:r>
    </w:p>
    <w:p w14:paraId="56265690">
      <w:pPr>
        <w:keepNext w:val="0"/>
        <w:keepLines w:val="0"/>
        <w:pageBreakBefore w:val="0"/>
        <w:kinsoku/>
        <w:wordWrap/>
        <w:overflowPunct/>
        <w:topLinePunct w:val="0"/>
        <w:autoSpaceDE/>
        <w:autoSpaceDN/>
        <w:bidi w:val="0"/>
        <w:adjustRightInd/>
        <w:snapToGrid w:val="0"/>
        <w:spacing w:beforeLines="50" w:line="700" w:lineRule="exact"/>
        <w:ind w:firstLine="916" w:firstLineChars="300"/>
        <w:textAlignment w:val="auto"/>
        <w:rPr>
          <w:rFonts w:hint="eastAsia" w:ascii="宋体" w:hAnsi="宋体" w:eastAsia="宋体" w:cs="宋体"/>
          <w:b/>
          <w:bCs/>
          <w:color w:val="auto"/>
          <w:w w:val="95"/>
          <w:sz w:val="32"/>
          <w:szCs w:val="32"/>
          <w:highlight w:val="none"/>
          <w:lang w:val="en-US" w:eastAsia="zh-CN"/>
        </w:rPr>
      </w:pPr>
      <w:r>
        <w:rPr>
          <w:rFonts w:hint="eastAsia" w:ascii="宋体" w:hAnsi="宋体" w:eastAsia="宋体" w:cs="宋体"/>
          <w:b/>
          <w:bCs/>
          <w:color w:val="auto"/>
          <w:w w:val="95"/>
          <w:sz w:val="32"/>
          <w:szCs w:val="32"/>
          <w:highlight w:val="none"/>
        </w:rPr>
        <w:t>项目</w:t>
      </w:r>
      <w:r>
        <w:rPr>
          <w:rFonts w:hint="eastAsia" w:ascii="宋体" w:hAnsi="宋体" w:eastAsia="宋体" w:cs="宋体"/>
          <w:b/>
          <w:bCs/>
          <w:color w:val="auto"/>
          <w:sz w:val="32"/>
          <w:szCs w:val="32"/>
          <w:highlight w:val="none"/>
        </w:rPr>
        <w:t>编号</w:t>
      </w:r>
      <w:r>
        <w:rPr>
          <w:rFonts w:hint="eastAsia" w:ascii="宋体" w:hAnsi="宋体" w:eastAsia="宋体" w:cs="宋体"/>
          <w:b/>
          <w:bCs/>
          <w:color w:val="auto"/>
          <w:w w:val="95"/>
          <w:sz w:val="32"/>
          <w:szCs w:val="32"/>
          <w:highlight w:val="none"/>
        </w:rPr>
        <w:t>：</w:t>
      </w:r>
      <w:r>
        <w:rPr>
          <w:rFonts w:hint="eastAsia" w:ascii="宋体" w:hAnsi="宋体" w:cs="宋体"/>
          <w:b/>
          <w:bCs/>
          <w:color w:val="auto"/>
          <w:w w:val="95"/>
          <w:sz w:val="32"/>
          <w:szCs w:val="32"/>
          <w:highlight w:val="none"/>
          <w:lang w:val="en-US" w:eastAsia="zh-CN"/>
        </w:rPr>
        <w:t xml:space="preserve"> NNZC2026-J1-090049-GXHH</w:t>
      </w:r>
    </w:p>
    <w:p w14:paraId="486AE371">
      <w:pPr>
        <w:keepNext w:val="0"/>
        <w:keepLines w:val="0"/>
        <w:pageBreakBefore w:val="0"/>
        <w:widowControl w:val="0"/>
        <w:kinsoku/>
        <w:wordWrap w:val="0"/>
        <w:overflowPunct/>
        <w:topLinePunct w:val="0"/>
        <w:autoSpaceDE/>
        <w:autoSpaceDN/>
        <w:bidi w:val="0"/>
        <w:adjustRightInd/>
        <w:snapToGrid/>
        <w:textAlignment w:val="auto"/>
        <w:rPr>
          <w:rFonts w:hint="eastAsia" w:ascii="宋体" w:hAnsi="宋体" w:cs="宋体"/>
          <w:b/>
          <w:bCs/>
          <w:color w:val="auto"/>
          <w:w w:val="95"/>
          <w:sz w:val="32"/>
          <w:szCs w:val="32"/>
          <w:highlight w:val="none"/>
          <w:lang w:val="en-US" w:eastAsia="zh-CN"/>
        </w:rPr>
      </w:pPr>
      <w:r>
        <w:rPr>
          <w:rFonts w:hint="eastAsia" w:ascii="宋体" w:hAnsi="宋体" w:cs="宋体"/>
          <w:b/>
          <w:bCs/>
          <w:color w:val="auto"/>
          <w:w w:val="95"/>
          <w:sz w:val="32"/>
          <w:szCs w:val="32"/>
          <w:highlight w:val="none"/>
          <w:lang w:val="en-US" w:eastAsia="zh-CN"/>
        </w:rPr>
        <w:t xml:space="preserve">      采购计划文号：YNZC2026-J1-00658-001、</w:t>
      </w:r>
    </w:p>
    <w:p w14:paraId="53015155">
      <w:pPr>
        <w:keepNext w:val="0"/>
        <w:keepLines w:val="0"/>
        <w:pageBreakBefore w:val="0"/>
        <w:widowControl w:val="0"/>
        <w:kinsoku/>
        <w:wordWrap w:val="0"/>
        <w:overflowPunct/>
        <w:topLinePunct w:val="0"/>
        <w:autoSpaceDE/>
        <w:autoSpaceDN/>
        <w:bidi w:val="0"/>
        <w:adjustRightInd/>
        <w:snapToGrid/>
        <w:ind w:firstLine="3053" w:firstLineChars="1000"/>
        <w:textAlignment w:val="auto"/>
        <w:rPr>
          <w:rFonts w:hint="default"/>
          <w:color w:val="auto"/>
          <w:highlight w:val="none"/>
          <w:lang w:val="en-US" w:eastAsia="zh-CN"/>
        </w:rPr>
      </w:pPr>
      <w:r>
        <w:rPr>
          <w:rFonts w:hint="eastAsia" w:ascii="宋体" w:hAnsi="宋体" w:cs="宋体"/>
          <w:b/>
          <w:bCs/>
          <w:color w:val="auto"/>
          <w:w w:val="95"/>
          <w:sz w:val="32"/>
          <w:szCs w:val="32"/>
          <w:highlight w:val="none"/>
          <w:lang w:val="en-US" w:eastAsia="zh-CN"/>
        </w:rPr>
        <w:t xml:space="preserve">YNZC2026-J1-00658-002 </w:t>
      </w:r>
    </w:p>
    <w:p w14:paraId="3233A06A">
      <w:pPr>
        <w:keepNext w:val="0"/>
        <w:keepLines w:val="0"/>
        <w:pageBreakBefore w:val="0"/>
        <w:kinsoku/>
        <w:wordWrap/>
        <w:overflowPunct/>
        <w:topLinePunct w:val="0"/>
        <w:autoSpaceDE/>
        <w:autoSpaceDN/>
        <w:bidi w:val="0"/>
        <w:adjustRightInd/>
        <w:snapToGrid w:val="0"/>
        <w:spacing w:beforeLines="50" w:line="700" w:lineRule="exact"/>
        <w:ind w:firstLine="916" w:firstLineChars="300"/>
        <w:textAlignment w:val="auto"/>
        <w:rPr>
          <w:rFonts w:ascii="宋体" w:hAnsi="宋体" w:eastAsia="宋体" w:cs="宋体"/>
          <w:b/>
          <w:bCs/>
          <w:color w:val="auto"/>
          <w:w w:val="95"/>
          <w:sz w:val="32"/>
          <w:szCs w:val="32"/>
          <w:highlight w:val="none"/>
        </w:rPr>
      </w:pPr>
      <w:r>
        <w:rPr>
          <w:rFonts w:hint="eastAsia" w:ascii="宋体" w:hAnsi="宋体" w:eastAsia="宋体" w:cs="宋体"/>
          <w:b/>
          <w:bCs/>
          <w:color w:val="auto"/>
          <w:w w:val="95"/>
          <w:sz w:val="32"/>
          <w:szCs w:val="32"/>
          <w:highlight w:val="none"/>
        </w:rPr>
        <w:t>项目所属区划：</w:t>
      </w:r>
      <w:r>
        <w:rPr>
          <w:rFonts w:hint="eastAsia" w:ascii="宋体" w:hAnsi="宋体" w:cs="宋体"/>
          <w:b/>
          <w:bCs/>
          <w:color w:val="auto"/>
          <w:w w:val="95"/>
          <w:sz w:val="32"/>
          <w:szCs w:val="32"/>
          <w:highlight w:val="none"/>
          <w:u w:val="single"/>
          <w:lang w:val="en-US" w:eastAsia="zh-CN"/>
        </w:rPr>
        <w:t>南宁</w:t>
      </w:r>
      <w:r>
        <w:rPr>
          <w:rFonts w:hint="eastAsia" w:ascii="宋体" w:hAnsi="宋体" w:eastAsia="宋体" w:cs="宋体"/>
          <w:b/>
          <w:bCs/>
          <w:color w:val="auto"/>
          <w:w w:val="95"/>
          <w:sz w:val="32"/>
          <w:szCs w:val="32"/>
          <w:highlight w:val="none"/>
          <w:u w:val="single"/>
        </w:rPr>
        <w:t>市</w:t>
      </w:r>
      <w:r>
        <w:rPr>
          <w:rFonts w:hint="eastAsia" w:ascii="宋体" w:hAnsi="宋体" w:cs="宋体"/>
          <w:b/>
          <w:bCs/>
          <w:color w:val="auto"/>
          <w:w w:val="95"/>
          <w:sz w:val="32"/>
          <w:szCs w:val="32"/>
          <w:highlight w:val="none"/>
          <w:u w:val="single"/>
          <w:lang w:val="en-US" w:eastAsia="zh-CN"/>
        </w:rPr>
        <w:t>邕宁区</w:t>
      </w:r>
      <w:r>
        <w:rPr>
          <w:rFonts w:hint="eastAsia" w:ascii="宋体" w:hAnsi="宋体" w:eastAsia="宋体" w:cs="宋体"/>
          <w:b/>
          <w:bCs/>
          <w:color w:val="auto"/>
          <w:w w:val="95"/>
          <w:sz w:val="32"/>
          <w:szCs w:val="32"/>
          <w:highlight w:val="none"/>
          <w:u w:val="single"/>
        </w:rPr>
        <w:t xml:space="preserve">  </w:t>
      </w:r>
    </w:p>
    <w:p w14:paraId="76084C97">
      <w:pPr>
        <w:keepNext w:val="0"/>
        <w:keepLines w:val="0"/>
        <w:pageBreakBefore w:val="0"/>
        <w:widowControl/>
        <w:kinsoku/>
        <w:wordWrap/>
        <w:overflowPunct/>
        <w:topLinePunct w:val="0"/>
        <w:autoSpaceDE/>
        <w:autoSpaceDN/>
        <w:bidi w:val="0"/>
        <w:adjustRightInd/>
        <w:spacing w:line="700" w:lineRule="exact"/>
        <w:ind w:firstLine="916" w:firstLineChars="300"/>
        <w:jc w:val="left"/>
        <w:textAlignment w:val="auto"/>
        <w:rPr>
          <w:rFonts w:hint="default" w:ascii="宋体" w:hAnsi="宋体" w:eastAsia="宋体" w:cs="宋体"/>
          <w:b/>
          <w:bCs/>
          <w:color w:val="auto"/>
          <w:w w:val="95"/>
          <w:sz w:val="32"/>
          <w:szCs w:val="32"/>
          <w:highlight w:val="none"/>
          <w:lang w:val="en-US" w:eastAsia="zh-CN"/>
        </w:rPr>
      </w:pPr>
      <w:r>
        <w:rPr>
          <w:rFonts w:hint="eastAsia" w:ascii="宋体" w:hAnsi="宋体" w:eastAsia="宋体" w:cs="宋体"/>
          <w:b/>
          <w:bCs/>
          <w:color w:val="auto"/>
          <w:w w:val="95"/>
          <w:sz w:val="32"/>
          <w:szCs w:val="32"/>
          <w:highlight w:val="none"/>
        </w:rPr>
        <w:t>采 购 人：</w:t>
      </w:r>
      <w:r>
        <w:rPr>
          <w:rFonts w:hint="eastAsia" w:ascii="宋体" w:hAnsi="宋体" w:eastAsia="宋体" w:cs="宋体"/>
          <w:b/>
          <w:bCs/>
          <w:color w:val="auto"/>
          <w:w w:val="95"/>
          <w:sz w:val="32"/>
          <w:szCs w:val="32"/>
          <w:highlight w:val="none"/>
          <w:u w:val="single"/>
          <w:lang w:val="en-US" w:eastAsia="zh-CN"/>
        </w:rPr>
        <w:t xml:space="preserve"> 南宁市邕宁区教育局 </w:t>
      </w:r>
    </w:p>
    <w:p w14:paraId="533253DF">
      <w:pPr>
        <w:spacing w:line="700" w:lineRule="exact"/>
        <w:ind w:firstLine="916" w:firstLineChars="300"/>
        <w:jc w:val="both"/>
        <w:rPr>
          <w:rFonts w:hint="eastAsia" w:ascii="宋体" w:hAnsi="宋体" w:cs="宋体"/>
          <w:b/>
          <w:bCs/>
          <w:color w:val="auto"/>
          <w:w w:val="95"/>
          <w:sz w:val="32"/>
          <w:szCs w:val="32"/>
          <w:highlight w:val="none"/>
          <w:u w:val="single"/>
          <w:lang w:eastAsia="zh-CN"/>
        </w:rPr>
      </w:pPr>
      <w:r>
        <w:rPr>
          <w:rFonts w:hint="eastAsia" w:ascii="宋体" w:hAnsi="宋体" w:eastAsia="宋体" w:cs="宋体"/>
          <w:b/>
          <w:bCs/>
          <w:color w:val="auto"/>
          <w:w w:val="95"/>
          <w:sz w:val="32"/>
          <w:szCs w:val="32"/>
          <w:highlight w:val="none"/>
        </w:rPr>
        <w:t>采购代理机构：</w:t>
      </w:r>
      <w:r>
        <w:rPr>
          <w:rFonts w:hint="eastAsia" w:ascii="宋体" w:hAnsi="宋体" w:cs="宋体"/>
          <w:b/>
          <w:bCs/>
          <w:color w:val="auto"/>
          <w:w w:val="95"/>
          <w:sz w:val="32"/>
          <w:szCs w:val="32"/>
          <w:highlight w:val="none"/>
          <w:u w:val="single"/>
          <w:lang w:eastAsia="zh-CN"/>
        </w:rPr>
        <w:t xml:space="preserve">广西海恒项目管理有限公司 </w:t>
      </w:r>
    </w:p>
    <w:p w14:paraId="03AAB7EE">
      <w:pPr>
        <w:spacing w:line="7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20</w:t>
      </w:r>
      <w:r>
        <w:rPr>
          <w:rFonts w:hint="eastAsia" w:ascii="宋体" w:hAnsi="宋体" w:cs="宋体"/>
          <w:b/>
          <w:color w:val="auto"/>
          <w:sz w:val="32"/>
          <w:szCs w:val="32"/>
          <w:highlight w:val="none"/>
          <w:lang w:val="en-US" w:eastAsia="zh-CN"/>
        </w:rPr>
        <w:t>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月</w:t>
      </w:r>
    </w:p>
    <w:p w14:paraId="3B888EDD">
      <w:pPr>
        <w:spacing w:line="360" w:lineRule="auto"/>
        <w:jc w:val="center"/>
        <w:rPr>
          <w:rFonts w:ascii="仿宋_GB2312" w:hAnsi="宋体" w:eastAsia="仿宋_GB2312"/>
          <w:b/>
          <w:color w:val="auto"/>
          <w:sz w:val="32"/>
          <w:szCs w:val="32"/>
          <w:highlight w:val="none"/>
        </w:rPr>
        <w:sectPr>
          <w:pgSz w:w="11906" w:h="16838"/>
          <w:pgMar w:top="1440" w:right="1440" w:bottom="1440" w:left="1474" w:header="851" w:footer="992" w:gutter="0"/>
          <w:pgNumType w:start="0"/>
          <w:cols w:space="720" w:num="1"/>
          <w:docGrid w:type="lines" w:linePitch="312" w:charSpace="0"/>
        </w:sectPr>
      </w:pPr>
    </w:p>
    <w:p w14:paraId="668CB134">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2E658528">
      <w:pPr>
        <w:pStyle w:val="23"/>
        <w:tabs>
          <w:tab w:val="right" w:leader="dot" w:pos="8879"/>
        </w:tabs>
        <w:spacing w:line="440" w:lineRule="exact"/>
        <w:ind w:right="168" w:rightChars="80" w:firstLine="422"/>
        <w:rPr>
          <w:rFonts w:hAnsi="宋体" w:cs="宋体"/>
          <w:b w:val="0"/>
          <w:bCs/>
          <w:color w:val="auto"/>
          <w:sz w:val="24"/>
          <w:szCs w:val="24"/>
          <w:highlight w:val="none"/>
        </w:rPr>
      </w:pPr>
      <w:r>
        <w:rPr>
          <w:rStyle w:val="38"/>
          <w:rFonts w:hint="eastAsia" w:ascii="Times New Roman" w:hAnsi="Times New Roman"/>
          <w:color w:val="auto"/>
          <w:highlight w:val="none"/>
        </w:rPr>
        <w:fldChar w:fldCharType="begin"/>
      </w:r>
      <w:r>
        <w:rPr>
          <w:rStyle w:val="38"/>
          <w:rFonts w:hint="eastAsia" w:ascii="Times New Roman" w:hAnsi="Times New Roman"/>
          <w:color w:val="auto"/>
          <w:highlight w:val="none"/>
        </w:rPr>
        <w:instrText xml:space="preserve"> TOC \o "1-3" \h \z \u </w:instrText>
      </w:r>
      <w:r>
        <w:rPr>
          <w:rStyle w:val="38"/>
          <w:rFonts w:hint="eastAsia" w:ascii="Times New Roman" w:hAnsi="Times New Roman"/>
          <w:color w:val="auto"/>
          <w:highlight w:val="none"/>
        </w:rPr>
        <w:fldChar w:fldCharType="separate"/>
      </w:r>
      <w:r>
        <w:rPr>
          <w:color w:val="auto"/>
          <w:highlight w:val="none"/>
        </w:rPr>
        <w:fldChar w:fldCharType="begin"/>
      </w:r>
      <w:r>
        <w:rPr>
          <w:color w:val="auto"/>
          <w:highlight w:val="none"/>
        </w:rPr>
        <w:instrText xml:space="preserve"> HYPERLINK \l "_Toc29198" </w:instrText>
      </w:r>
      <w:r>
        <w:rPr>
          <w:color w:val="auto"/>
          <w:highlight w:val="none"/>
        </w:rPr>
        <w:fldChar w:fldCharType="separate"/>
      </w:r>
      <w:r>
        <w:rPr>
          <w:rFonts w:hint="eastAsia" w:hAnsi="宋体" w:cs="宋体"/>
          <w:b w:val="0"/>
          <w:bCs/>
          <w:color w:val="auto"/>
          <w:sz w:val="24"/>
          <w:szCs w:val="24"/>
          <w:highlight w:val="none"/>
        </w:rPr>
        <w:t>第一章 竞争性谈判公告</w:t>
      </w:r>
      <w:r>
        <w:rPr>
          <w:rFonts w:hint="eastAsia" w:hAnsi="宋体" w:cs="宋体"/>
          <w:b w:val="0"/>
          <w:bCs/>
          <w:color w:val="auto"/>
          <w:sz w:val="24"/>
          <w:szCs w:val="24"/>
          <w:highlight w:val="none"/>
        </w:rPr>
        <w:tab/>
      </w:r>
      <w:r>
        <w:rPr>
          <w:rFonts w:hint="eastAsia" w:hAnsi="宋体" w:cs="宋体"/>
          <w:b w:val="0"/>
          <w:bCs/>
          <w:color w:val="auto"/>
          <w:sz w:val="24"/>
          <w:szCs w:val="24"/>
          <w:highlight w:val="none"/>
        </w:rPr>
        <w:fldChar w:fldCharType="begin"/>
      </w:r>
      <w:r>
        <w:rPr>
          <w:rFonts w:hint="eastAsia" w:hAnsi="宋体" w:cs="宋体"/>
          <w:b w:val="0"/>
          <w:bCs/>
          <w:color w:val="auto"/>
          <w:sz w:val="24"/>
          <w:szCs w:val="24"/>
          <w:highlight w:val="none"/>
        </w:rPr>
        <w:instrText xml:space="preserve"> PAGEREF _Toc29198 \h </w:instrText>
      </w:r>
      <w:r>
        <w:rPr>
          <w:rFonts w:hint="eastAsia" w:hAnsi="宋体" w:cs="宋体"/>
          <w:b w:val="0"/>
          <w:bCs/>
          <w:color w:val="auto"/>
          <w:sz w:val="24"/>
          <w:szCs w:val="24"/>
          <w:highlight w:val="none"/>
        </w:rPr>
        <w:fldChar w:fldCharType="separate"/>
      </w:r>
      <w:r>
        <w:rPr>
          <w:rFonts w:hint="eastAsia" w:hAnsi="宋体" w:cs="宋体"/>
          <w:b w:val="0"/>
          <w:bCs/>
          <w:color w:val="auto"/>
          <w:sz w:val="24"/>
          <w:szCs w:val="24"/>
          <w:highlight w:val="none"/>
        </w:rPr>
        <w:t>1</w:t>
      </w:r>
      <w:r>
        <w:rPr>
          <w:rFonts w:hint="eastAsia" w:hAnsi="宋体" w:cs="宋体"/>
          <w:b w:val="0"/>
          <w:bCs/>
          <w:color w:val="auto"/>
          <w:sz w:val="24"/>
          <w:szCs w:val="24"/>
          <w:highlight w:val="none"/>
        </w:rPr>
        <w:fldChar w:fldCharType="end"/>
      </w:r>
      <w:r>
        <w:rPr>
          <w:rFonts w:hint="eastAsia" w:hAnsi="宋体" w:cs="宋体"/>
          <w:b w:val="0"/>
          <w:bCs/>
          <w:color w:val="auto"/>
          <w:sz w:val="24"/>
          <w:szCs w:val="24"/>
          <w:highlight w:val="none"/>
        </w:rPr>
        <w:fldChar w:fldCharType="end"/>
      </w:r>
    </w:p>
    <w:p w14:paraId="25681A16">
      <w:pPr>
        <w:pStyle w:val="23"/>
        <w:tabs>
          <w:tab w:val="right" w:leader="dot" w:pos="8879"/>
        </w:tabs>
        <w:spacing w:line="440" w:lineRule="exact"/>
        <w:ind w:firstLine="422"/>
        <w:jc w:val="left"/>
        <w:rPr>
          <w:rFonts w:hAnsi="宋体" w:cs="宋体"/>
          <w:b w:val="0"/>
          <w:bCs/>
          <w:color w:val="auto"/>
          <w:sz w:val="24"/>
          <w:szCs w:val="24"/>
          <w:highlight w:val="none"/>
        </w:rPr>
      </w:pPr>
      <w:r>
        <w:rPr>
          <w:color w:val="auto"/>
          <w:highlight w:val="none"/>
        </w:rPr>
        <w:fldChar w:fldCharType="begin"/>
      </w:r>
      <w:r>
        <w:rPr>
          <w:color w:val="auto"/>
          <w:highlight w:val="none"/>
        </w:rPr>
        <w:instrText xml:space="preserve"> HYPERLINK \l "_Toc25489" </w:instrText>
      </w:r>
      <w:r>
        <w:rPr>
          <w:color w:val="auto"/>
          <w:highlight w:val="none"/>
        </w:rPr>
        <w:fldChar w:fldCharType="separate"/>
      </w:r>
      <w:r>
        <w:rPr>
          <w:rFonts w:hint="eastAsia" w:hAnsi="宋体" w:cs="宋体"/>
          <w:b w:val="0"/>
          <w:bCs/>
          <w:color w:val="auto"/>
          <w:sz w:val="24"/>
          <w:szCs w:val="24"/>
          <w:highlight w:val="none"/>
        </w:rPr>
        <w:t>第二章 采购需求.</w:t>
      </w:r>
      <w:r>
        <w:rPr>
          <w:rFonts w:hint="eastAsia" w:hAnsi="宋体" w:cs="宋体"/>
          <w:b w:val="0"/>
          <w:bCs/>
          <w:color w:val="auto"/>
          <w:sz w:val="24"/>
          <w:szCs w:val="24"/>
          <w:highlight w:val="none"/>
        </w:rPr>
        <w:tab/>
      </w:r>
      <w:r>
        <w:rPr>
          <w:rFonts w:hint="eastAsia" w:hAnsi="宋体" w:cs="宋体"/>
          <w:b w:val="0"/>
          <w:bCs/>
          <w:color w:val="auto"/>
          <w:sz w:val="24"/>
          <w:szCs w:val="24"/>
          <w:highlight w:val="none"/>
        </w:rPr>
        <w:fldChar w:fldCharType="begin"/>
      </w:r>
      <w:r>
        <w:rPr>
          <w:rFonts w:hint="eastAsia" w:hAnsi="宋体" w:cs="宋体"/>
          <w:b w:val="0"/>
          <w:bCs/>
          <w:color w:val="auto"/>
          <w:sz w:val="24"/>
          <w:szCs w:val="24"/>
          <w:highlight w:val="none"/>
        </w:rPr>
        <w:instrText xml:space="preserve"> PAGEREF _Toc25489 \h </w:instrText>
      </w:r>
      <w:r>
        <w:rPr>
          <w:rFonts w:hint="eastAsia" w:hAnsi="宋体" w:cs="宋体"/>
          <w:b w:val="0"/>
          <w:bCs/>
          <w:color w:val="auto"/>
          <w:sz w:val="24"/>
          <w:szCs w:val="24"/>
          <w:highlight w:val="none"/>
        </w:rPr>
        <w:fldChar w:fldCharType="separate"/>
      </w:r>
      <w:r>
        <w:rPr>
          <w:rFonts w:hint="eastAsia" w:hAnsi="宋体" w:cs="宋体"/>
          <w:b w:val="0"/>
          <w:bCs/>
          <w:color w:val="auto"/>
          <w:sz w:val="24"/>
          <w:szCs w:val="24"/>
          <w:highlight w:val="none"/>
        </w:rPr>
        <w:t>5</w:t>
      </w:r>
      <w:r>
        <w:rPr>
          <w:rFonts w:hint="eastAsia" w:hAnsi="宋体" w:cs="宋体"/>
          <w:b w:val="0"/>
          <w:bCs/>
          <w:color w:val="auto"/>
          <w:sz w:val="24"/>
          <w:szCs w:val="24"/>
          <w:highlight w:val="none"/>
        </w:rPr>
        <w:fldChar w:fldCharType="end"/>
      </w:r>
      <w:r>
        <w:rPr>
          <w:rFonts w:hint="eastAsia" w:hAnsi="宋体" w:cs="宋体"/>
          <w:b w:val="0"/>
          <w:bCs/>
          <w:color w:val="auto"/>
          <w:sz w:val="24"/>
          <w:szCs w:val="24"/>
          <w:highlight w:val="none"/>
        </w:rPr>
        <w:fldChar w:fldCharType="end"/>
      </w:r>
    </w:p>
    <w:p w14:paraId="61AB9FF9">
      <w:pPr>
        <w:pStyle w:val="23"/>
        <w:tabs>
          <w:tab w:val="right" w:leader="dot" w:pos="8879"/>
        </w:tabs>
        <w:spacing w:line="440" w:lineRule="exact"/>
        <w:ind w:firstLine="422"/>
        <w:rPr>
          <w:rFonts w:hAnsi="宋体" w:cs="宋体"/>
          <w:b w:val="0"/>
          <w:bCs/>
          <w:color w:val="auto"/>
          <w:sz w:val="24"/>
          <w:szCs w:val="24"/>
          <w:highlight w:val="none"/>
        </w:rPr>
      </w:pPr>
      <w:r>
        <w:rPr>
          <w:color w:val="auto"/>
          <w:highlight w:val="none"/>
        </w:rPr>
        <w:fldChar w:fldCharType="begin"/>
      </w:r>
      <w:r>
        <w:rPr>
          <w:color w:val="auto"/>
          <w:highlight w:val="none"/>
        </w:rPr>
        <w:instrText xml:space="preserve"> HYPERLINK \l "_Toc26050" </w:instrText>
      </w:r>
      <w:r>
        <w:rPr>
          <w:color w:val="auto"/>
          <w:highlight w:val="none"/>
        </w:rPr>
        <w:fldChar w:fldCharType="separate"/>
      </w:r>
      <w:r>
        <w:rPr>
          <w:rFonts w:hint="eastAsia" w:hAnsi="宋体" w:cs="宋体"/>
          <w:b w:val="0"/>
          <w:bCs/>
          <w:color w:val="auto"/>
          <w:sz w:val="24"/>
          <w:szCs w:val="24"/>
          <w:highlight w:val="none"/>
        </w:rPr>
        <w:t>第三章 供应商须知</w:t>
      </w:r>
      <w:r>
        <w:rPr>
          <w:rFonts w:hint="eastAsia" w:hAnsi="宋体" w:cs="宋体"/>
          <w:b w:val="0"/>
          <w:bCs/>
          <w:color w:val="auto"/>
          <w:sz w:val="24"/>
          <w:szCs w:val="24"/>
          <w:highlight w:val="none"/>
        </w:rPr>
        <w:tab/>
      </w:r>
      <w:r>
        <w:rPr>
          <w:rFonts w:hint="eastAsia" w:hAnsi="宋体" w:cs="宋体"/>
          <w:b w:val="0"/>
          <w:bCs/>
          <w:color w:val="auto"/>
          <w:sz w:val="24"/>
          <w:szCs w:val="24"/>
          <w:highlight w:val="none"/>
        </w:rPr>
        <w:fldChar w:fldCharType="begin"/>
      </w:r>
      <w:r>
        <w:rPr>
          <w:rFonts w:hint="eastAsia" w:hAnsi="宋体" w:cs="宋体"/>
          <w:b w:val="0"/>
          <w:bCs/>
          <w:color w:val="auto"/>
          <w:sz w:val="24"/>
          <w:szCs w:val="24"/>
          <w:highlight w:val="none"/>
        </w:rPr>
        <w:instrText xml:space="preserve"> PAGEREF _Toc26050 \h </w:instrText>
      </w:r>
      <w:r>
        <w:rPr>
          <w:rFonts w:hint="eastAsia" w:hAnsi="宋体" w:cs="宋体"/>
          <w:b w:val="0"/>
          <w:bCs/>
          <w:color w:val="auto"/>
          <w:sz w:val="24"/>
          <w:szCs w:val="24"/>
          <w:highlight w:val="none"/>
        </w:rPr>
        <w:fldChar w:fldCharType="separate"/>
      </w:r>
      <w:r>
        <w:rPr>
          <w:rFonts w:hint="eastAsia" w:hAnsi="宋体" w:cs="宋体"/>
          <w:b w:val="0"/>
          <w:bCs/>
          <w:color w:val="auto"/>
          <w:sz w:val="24"/>
          <w:szCs w:val="24"/>
          <w:highlight w:val="none"/>
        </w:rPr>
        <w:t>30</w:t>
      </w:r>
      <w:r>
        <w:rPr>
          <w:rFonts w:hint="eastAsia" w:hAnsi="宋体" w:cs="宋体"/>
          <w:b w:val="0"/>
          <w:bCs/>
          <w:color w:val="auto"/>
          <w:sz w:val="24"/>
          <w:szCs w:val="24"/>
          <w:highlight w:val="none"/>
        </w:rPr>
        <w:fldChar w:fldCharType="end"/>
      </w:r>
      <w:r>
        <w:rPr>
          <w:rFonts w:hint="eastAsia" w:hAnsi="宋体" w:cs="宋体"/>
          <w:b w:val="0"/>
          <w:bCs/>
          <w:color w:val="auto"/>
          <w:sz w:val="24"/>
          <w:szCs w:val="24"/>
          <w:highlight w:val="none"/>
        </w:rPr>
        <w:fldChar w:fldCharType="end"/>
      </w:r>
    </w:p>
    <w:p w14:paraId="7A83A60A">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"_Toc19124" </w:instrText>
      </w:r>
      <w:r>
        <w:rPr>
          <w:color w:val="auto"/>
          <w:highlight w:val="none"/>
        </w:rPr>
        <w:fldChar w:fldCharType="separate"/>
      </w:r>
      <w:r>
        <w:rPr>
          <w:rFonts w:hint="eastAsia" w:ascii="宋体" w:hAnsi="宋体" w:cs="宋体"/>
          <w:bCs/>
          <w:color w:val="auto"/>
          <w:sz w:val="24"/>
          <w:highlight w:val="none"/>
        </w:rPr>
        <w:t>第一节 供应商须知前附表</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_Toc19124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30</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5790F554">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"_Toc19000" </w:instrText>
      </w:r>
      <w:r>
        <w:rPr>
          <w:color w:val="auto"/>
          <w:highlight w:val="none"/>
        </w:rPr>
        <w:fldChar w:fldCharType="separate"/>
      </w:r>
      <w:r>
        <w:rPr>
          <w:rFonts w:hint="eastAsia" w:ascii="宋体" w:hAnsi="宋体" w:cs="宋体"/>
          <w:bCs/>
          <w:color w:val="auto"/>
          <w:sz w:val="24"/>
          <w:highlight w:val="none"/>
        </w:rPr>
        <w:t>第二节 供应商须知正文</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end"/>
      </w:r>
      <w:r>
        <w:rPr>
          <w:rFonts w:hint="eastAsia" w:ascii="宋体" w:hAnsi="宋体" w:cs="宋体"/>
          <w:bCs/>
          <w:color w:val="auto"/>
          <w:sz w:val="24"/>
          <w:highlight w:val="none"/>
        </w:rPr>
        <w:t>27</w:t>
      </w:r>
    </w:p>
    <w:p w14:paraId="241CC125">
      <w:pPr>
        <w:pStyle w:val="17"/>
        <w:tabs>
          <w:tab w:val="right" w:leader="dot" w:pos="8879"/>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"_Toc11727" </w:instrText>
      </w:r>
      <w:r>
        <w:rPr>
          <w:color w:val="auto"/>
          <w:highlight w:val="none"/>
        </w:rPr>
        <w:fldChar w:fldCharType="separate"/>
      </w:r>
      <w:r>
        <w:rPr>
          <w:rFonts w:hint="eastAsia" w:ascii="宋体" w:hAnsi="宋体" w:cs="宋体"/>
          <w:bCs/>
          <w:color w:val="auto"/>
          <w:sz w:val="24"/>
          <w:highlight w:val="none"/>
        </w:rPr>
        <w:t>一、总则</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_Toc11727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36</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5F465342">
      <w:pPr>
        <w:pStyle w:val="17"/>
        <w:tabs>
          <w:tab w:val="right" w:leader="dot" w:pos="8879"/>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"_Toc21776" </w:instrText>
      </w:r>
      <w:r>
        <w:rPr>
          <w:color w:val="auto"/>
          <w:highlight w:val="none"/>
        </w:rPr>
        <w:fldChar w:fldCharType="separate"/>
      </w:r>
      <w:r>
        <w:rPr>
          <w:rFonts w:hint="eastAsia" w:ascii="宋体" w:hAnsi="宋体" w:cs="宋体"/>
          <w:bCs/>
          <w:color w:val="auto"/>
          <w:sz w:val="24"/>
          <w:highlight w:val="none"/>
        </w:rPr>
        <w:t>二、谈判文件</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_Toc21776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39</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189EDBD5">
      <w:pPr>
        <w:pStyle w:val="17"/>
        <w:tabs>
          <w:tab w:val="right" w:leader="dot" w:pos="8879"/>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"_Toc16364" </w:instrText>
      </w:r>
      <w:r>
        <w:rPr>
          <w:color w:val="auto"/>
          <w:highlight w:val="none"/>
        </w:rPr>
        <w:fldChar w:fldCharType="separate"/>
      </w:r>
      <w:r>
        <w:rPr>
          <w:rFonts w:hint="eastAsia" w:ascii="宋体" w:hAnsi="宋体" w:cs="宋体"/>
          <w:bCs/>
          <w:color w:val="auto"/>
          <w:sz w:val="24"/>
          <w:highlight w:val="none"/>
        </w:rPr>
        <w:t>三、响应文件的编制</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_Toc16364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40</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66E12EDB">
      <w:pPr>
        <w:pStyle w:val="17"/>
        <w:tabs>
          <w:tab w:val="right" w:leader="dot" w:pos="8879"/>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"_Toc6509" </w:instrText>
      </w:r>
      <w:r>
        <w:rPr>
          <w:color w:val="auto"/>
          <w:highlight w:val="none"/>
        </w:rPr>
        <w:fldChar w:fldCharType="separate"/>
      </w:r>
      <w:r>
        <w:rPr>
          <w:rFonts w:hint="eastAsia" w:ascii="宋体" w:hAnsi="宋体" w:cs="宋体"/>
          <w:bCs/>
          <w:color w:val="auto"/>
          <w:sz w:val="24"/>
          <w:highlight w:val="none"/>
        </w:rPr>
        <w:t>四、评审及谈判</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_Toc6509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42</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47EA81AD">
      <w:pPr>
        <w:pStyle w:val="17"/>
        <w:tabs>
          <w:tab w:val="right" w:leader="dot" w:pos="8879"/>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"_Toc19162" </w:instrText>
      </w:r>
      <w:r>
        <w:rPr>
          <w:color w:val="auto"/>
          <w:highlight w:val="none"/>
        </w:rPr>
        <w:fldChar w:fldCharType="separate"/>
      </w:r>
      <w:r>
        <w:rPr>
          <w:rFonts w:hint="eastAsia" w:ascii="宋体" w:hAnsi="宋体" w:cs="宋体"/>
          <w:bCs/>
          <w:color w:val="auto"/>
          <w:sz w:val="24"/>
          <w:highlight w:val="none"/>
        </w:rPr>
        <w:t>五、成交及合同</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_Toc19162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43</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07F9B26F">
      <w:pPr>
        <w:pStyle w:val="17"/>
        <w:tabs>
          <w:tab w:val="right" w:leader="dot" w:pos="8879"/>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"_Toc6196" </w:instrText>
      </w:r>
      <w:r>
        <w:rPr>
          <w:color w:val="auto"/>
          <w:highlight w:val="none"/>
        </w:rPr>
        <w:fldChar w:fldCharType="separate"/>
      </w:r>
      <w:r>
        <w:rPr>
          <w:rFonts w:hint="eastAsia" w:ascii="宋体" w:hAnsi="宋体" w:cs="宋体"/>
          <w:bCs/>
          <w:color w:val="auto"/>
          <w:sz w:val="24"/>
          <w:highlight w:val="none"/>
        </w:rPr>
        <w:t>六、验收</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_Toc6196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46</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08C2B566">
      <w:pPr>
        <w:pStyle w:val="17"/>
        <w:tabs>
          <w:tab w:val="right" w:leader="dot" w:pos="8879"/>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"_Toc30968" </w:instrText>
      </w:r>
      <w:r>
        <w:rPr>
          <w:color w:val="auto"/>
          <w:highlight w:val="none"/>
        </w:rPr>
        <w:fldChar w:fldCharType="separate"/>
      </w:r>
      <w:r>
        <w:rPr>
          <w:rFonts w:hint="eastAsia" w:ascii="宋体" w:hAnsi="宋体" w:cs="宋体"/>
          <w:bCs/>
          <w:color w:val="auto"/>
          <w:sz w:val="24"/>
          <w:highlight w:val="none"/>
        </w:rPr>
        <w:t>七、其他事项</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_Toc30968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46</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6DC06CB8">
      <w:pPr>
        <w:pStyle w:val="23"/>
        <w:tabs>
          <w:tab w:val="right" w:leader="dot" w:pos="8879"/>
        </w:tabs>
        <w:spacing w:line="440" w:lineRule="exact"/>
        <w:ind w:firstLine="422"/>
        <w:rPr>
          <w:rFonts w:hAnsi="宋体" w:cs="宋体"/>
          <w:b w:val="0"/>
          <w:bCs/>
          <w:color w:val="auto"/>
          <w:sz w:val="24"/>
          <w:szCs w:val="24"/>
          <w:highlight w:val="none"/>
        </w:rPr>
      </w:pPr>
      <w:r>
        <w:rPr>
          <w:color w:val="auto"/>
          <w:highlight w:val="none"/>
        </w:rPr>
        <w:fldChar w:fldCharType="begin"/>
      </w:r>
      <w:r>
        <w:rPr>
          <w:color w:val="auto"/>
          <w:highlight w:val="none"/>
        </w:rPr>
        <w:instrText xml:space="preserve"> HYPERLINK \l "_Toc29481" </w:instrText>
      </w:r>
      <w:r>
        <w:rPr>
          <w:color w:val="auto"/>
          <w:highlight w:val="none"/>
        </w:rPr>
        <w:fldChar w:fldCharType="separate"/>
      </w:r>
      <w:r>
        <w:rPr>
          <w:rFonts w:hint="eastAsia" w:hAnsi="宋体" w:cs="宋体"/>
          <w:b w:val="0"/>
          <w:bCs/>
          <w:color w:val="auto"/>
          <w:sz w:val="24"/>
          <w:szCs w:val="24"/>
          <w:highlight w:val="none"/>
        </w:rPr>
        <w:t>第四章  评审程序、评审方法和成交标准</w:t>
      </w:r>
      <w:r>
        <w:rPr>
          <w:rFonts w:hint="eastAsia" w:hAnsi="宋体" w:cs="宋体"/>
          <w:b w:val="0"/>
          <w:bCs/>
          <w:color w:val="auto"/>
          <w:sz w:val="24"/>
          <w:szCs w:val="24"/>
          <w:highlight w:val="none"/>
        </w:rPr>
        <w:tab/>
      </w:r>
      <w:r>
        <w:rPr>
          <w:rFonts w:hint="eastAsia" w:hAnsi="宋体" w:cs="宋体"/>
          <w:b w:val="0"/>
          <w:bCs/>
          <w:color w:val="auto"/>
          <w:sz w:val="24"/>
          <w:szCs w:val="24"/>
          <w:highlight w:val="none"/>
        </w:rPr>
        <w:fldChar w:fldCharType="begin"/>
      </w:r>
      <w:r>
        <w:rPr>
          <w:rFonts w:hint="eastAsia" w:hAnsi="宋体" w:cs="宋体"/>
          <w:b w:val="0"/>
          <w:bCs/>
          <w:color w:val="auto"/>
          <w:sz w:val="24"/>
          <w:szCs w:val="24"/>
          <w:highlight w:val="none"/>
        </w:rPr>
        <w:instrText xml:space="preserve"> PAGEREF _Toc29481 \h </w:instrText>
      </w:r>
      <w:r>
        <w:rPr>
          <w:rFonts w:hint="eastAsia" w:hAnsi="宋体" w:cs="宋体"/>
          <w:b w:val="0"/>
          <w:bCs/>
          <w:color w:val="auto"/>
          <w:sz w:val="24"/>
          <w:szCs w:val="24"/>
          <w:highlight w:val="none"/>
        </w:rPr>
        <w:fldChar w:fldCharType="separate"/>
      </w:r>
      <w:r>
        <w:rPr>
          <w:rFonts w:hint="eastAsia" w:hAnsi="宋体" w:cs="宋体"/>
          <w:b w:val="0"/>
          <w:bCs/>
          <w:color w:val="auto"/>
          <w:sz w:val="24"/>
          <w:szCs w:val="24"/>
          <w:highlight w:val="none"/>
        </w:rPr>
        <w:t>48</w:t>
      </w:r>
      <w:r>
        <w:rPr>
          <w:rFonts w:hint="eastAsia" w:hAnsi="宋体" w:cs="宋体"/>
          <w:b w:val="0"/>
          <w:bCs/>
          <w:color w:val="auto"/>
          <w:sz w:val="24"/>
          <w:szCs w:val="24"/>
          <w:highlight w:val="none"/>
        </w:rPr>
        <w:fldChar w:fldCharType="end"/>
      </w:r>
      <w:r>
        <w:rPr>
          <w:rFonts w:hint="eastAsia" w:hAnsi="宋体" w:cs="宋体"/>
          <w:b w:val="0"/>
          <w:bCs/>
          <w:color w:val="auto"/>
          <w:sz w:val="24"/>
          <w:szCs w:val="24"/>
          <w:highlight w:val="none"/>
        </w:rPr>
        <w:fldChar w:fldCharType="end"/>
      </w:r>
    </w:p>
    <w:p w14:paraId="52C41223">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"_Toc2639" </w:instrText>
      </w:r>
      <w:r>
        <w:rPr>
          <w:color w:val="auto"/>
          <w:highlight w:val="none"/>
        </w:rPr>
        <w:fldChar w:fldCharType="separate"/>
      </w:r>
      <w:r>
        <w:rPr>
          <w:rFonts w:hint="eastAsia" w:ascii="宋体" w:hAnsi="宋体" w:cs="宋体"/>
          <w:bCs/>
          <w:color w:val="auto"/>
          <w:sz w:val="24"/>
          <w:highlight w:val="none"/>
        </w:rPr>
        <w:t>第一节 评审程序和评审方法</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_Toc2639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48</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75BF2643">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"_Toc25122" </w:instrText>
      </w:r>
      <w:r>
        <w:rPr>
          <w:color w:val="auto"/>
          <w:highlight w:val="none"/>
        </w:rPr>
        <w:fldChar w:fldCharType="separate"/>
      </w:r>
      <w:r>
        <w:rPr>
          <w:rFonts w:hint="eastAsia" w:ascii="宋体" w:hAnsi="宋体" w:cs="宋体"/>
          <w:bCs/>
          <w:color w:val="auto"/>
          <w:sz w:val="24"/>
          <w:highlight w:val="none"/>
        </w:rPr>
        <w:t>第二节 评审原则</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_Toc25122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54</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0BAE89BE">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"_Toc14215" </w:instrText>
      </w:r>
      <w:r>
        <w:rPr>
          <w:color w:val="auto"/>
          <w:highlight w:val="none"/>
        </w:rPr>
        <w:fldChar w:fldCharType="separate"/>
      </w:r>
      <w:r>
        <w:rPr>
          <w:rFonts w:hint="eastAsia" w:ascii="宋体" w:hAnsi="宋体" w:cs="宋体"/>
          <w:bCs/>
          <w:color w:val="auto"/>
          <w:sz w:val="24"/>
          <w:highlight w:val="none"/>
        </w:rPr>
        <w:t>第三节 评标报告</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_Toc14215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54</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21047136">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"_Toc17067" </w:instrText>
      </w:r>
      <w:r>
        <w:rPr>
          <w:color w:val="auto"/>
          <w:highlight w:val="none"/>
        </w:rPr>
        <w:fldChar w:fldCharType="separate"/>
      </w:r>
      <w:r>
        <w:rPr>
          <w:rFonts w:hint="eastAsia" w:ascii="宋体" w:hAnsi="宋体" w:cs="宋体"/>
          <w:bCs/>
          <w:color w:val="auto"/>
          <w:sz w:val="24"/>
          <w:highlight w:val="none"/>
        </w:rPr>
        <w:t>第四节 评审过程的保密与录像</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_Toc17067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55</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2D1B2171">
      <w:pPr>
        <w:pStyle w:val="23"/>
        <w:tabs>
          <w:tab w:val="right" w:leader="dot" w:pos="8879"/>
        </w:tabs>
        <w:spacing w:line="440" w:lineRule="exact"/>
        <w:ind w:firstLine="422"/>
        <w:rPr>
          <w:rFonts w:hAnsi="宋体" w:cs="宋体"/>
          <w:b w:val="0"/>
          <w:bCs/>
          <w:color w:val="auto"/>
          <w:sz w:val="24"/>
          <w:szCs w:val="24"/>
          <w:highlight w:val="none"/>
        </w:rPr>
      </w:pPr>
      <w:r>
        <w:rPr>
          <w:color w:val="auto"/>
          <w:highlight w:val="none"/>
        </w:rPr>
        <w:fldChar w:fldCharType="begin"/>
      </w:r>
      <w:r>
        <w:rPr>
          <w:color w:val="auto"/>
          <w:highlight w:val="none"/>
        </w:rPr>
        <w:instrText xml:space="preserve"> HYPERLINK \l "_Toc22907" </w:instrText>
      </w:r>
      <w:r>
        <w:rPr>
          <w:color w:val="auto"/>
          <w:highlight w:val="none"/>
        </w:rPr>
        <w:fldChar w:fldCharType="separate"/>
      </w:r>
      <w:r>
        <w:rPr>
          <w:rFonts w:hint="eastAsia" w:hAnsi="宋体" w:cs="宋体"/>
          <w:b w:val="0"/>
          <w:bCs/>
          <w:color w:val="auto"/>
          <w:sz w:val="24"/>
          <w:szCs w:val="24"/>
          <w:highlight w:val="none"/>
        </w:rPr>
        <w:t>第五章 响应文件格式</w:t>
      </w:r>
      <w:r>
        <w:rPr>
          <w:rFonts w:hint="eastAsia" w:hAnsi="宋体" w:cs="宋体"/>
          <w:b w:val="0"/>
          <w:bCs/>
          <w:color w:val="auto"/>
          <w:sz w:val="24"/>
          <w:szCs w:val="24"/>
          <w:highlight w:val="none"/>
        </w:rPr>
        <w:tab/>
      </w:r>
      <w:r>
        <w:rPr>
          <w:rFonts w:hint="eastAsia" w:hAnsi="宋体" w:cs="宋体"/>
          <w:b w:val="0"/>
          <w:bCs/>
          <w:color w:val="auto"/>
          <w:sz w:val="24"/>
          <w:szCs w:val="24"/>
          <w:highlight w:val="none"/>
        </w:rPr>
        <w:fldChar w:fldCharType="begin"/>
      </w:r>
      <w:r>
        <w:rPr>
          <w:rFonts w:hint="eastAsia" w:hAnsi="宋体" w:cs="宋体"/>
          <w:b w:val="0"/>
          <w:bCs/>
          <w:color w:val="auto"/>
          <w:sz w:val="24"/>
          <w:szCs w:val="24"/>
          <w:highlight w:val="none"/>
        </w:rPr>
        <w:instrText xml:space="preserve"> PAGEREF _Toc22907 \h </w:instrText>
      </w:r>
      <w:r>
        <w:rPr>
          <w:rFonts w:hint="eastAsia" w:hAnsi="宋体" w:cs="宋体"/>
          <w:b w:val="0"/>
          <w:bCs/>
          <w:color w:val="auto"/>
          <w:sz w:val="24"/>
          <w:szCs w:val="24"/>
          <w:highlight w:val="none"/>
        </w:rPr>
        <w:fldChar w:fldCharType="separate"/>
      </w:r>
      <w:r>
        <w:rPr>
          <w:rFonts w:hint="eastAsia" w:hAnsi="宋体" w:cs="宋体"/>
          <w:b w:val="0"/>
          <w:bCs/>
          <w:color w:val="auto"/>
          <w:sz w:val="24"/>
          <w:szCs w:val="24"/>
          <w:highlight w:val="none"/>
        </w:rPr>
        <w:t>56</w:t>
      </w:r>
      <w:r>
        <w:rPr>
          <w:rFonts w:hint="eastAsia" w:hAnsi="宋体" w:cs="宋体"/>
          <w:b w:val="0"/>
          <w:bCs/>
          <w:color w:val="auto"/>
          <w:sz w:val="24"/>
          <w:szCs w:val="24"/>
          <w:highlight w:val="none"/>
        </w:rPr>
        <w:fldChar w:fldCharType="end"/>
      </w:r>
      <w:r>
        <w:rPr>
          <w:rFonts w:hint="eastAsia" w:hAnsi="宋体" w:cs="宋体"/>
          <w:b w:val="0"/>
          <w:bCs/>
          <w:color w:val="auto"/>
          <w:sz w:val="24"/>
          <w:szCs w:val="24"/>
          <w:highlight w:val="none"/>
        </w:rPr>
        <w:fldChar w:fldCharType="end"/>
      </w:r>
    </w:p>
    <w:p w14:paraId="4A2B7AC8">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"_Toc7617" </w:instrText>
      </w:r>
      <w:r>
        <w:rPr>
          <w:color w:val="auto"/>
          <w:highlight w:val="none"/>
        </w:rPr>
        <w:fldChar w:fldCharType="separate"/>
      </w:r>
      <w:r>
        <w:rPr>
          <w:rFonts w:hint="eastAsia" w:ascii="宋体" w:hAnsi="宋体" w:cs="宋体"/>
          <w:bCs/>
          <w:color w:val="auto"/>
          <w:sz w:val="24"/>
          <w:highlight w:val="none"/>
        </w:rPr>
        <w:t>第一节 封面格式</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_Toc7617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57</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6CBA6AE4">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"_Toc25211" </w:instrText>
      </w:r>
      <w:r>
        <w:rPr>
          <w:color w:val="auto"/>
          <w:highlight w:val="none"/>
        </w:rPr>
        <w:fldChar w:fldCharType="separate"/>
      </w:r>
      <w:r>
        <w:rPr>
          <w:rFonts w:hint="eastAsia" w:ascii="宋体" w:hAnsi="宋体" w:cs="宋体"/>
          <w:bCs/>
          <w:color w:val="auto"/>
          <w:sz w:val="24"/>
          <w:highlight w:val="none"/>
        </w:rPr>
        <w:t>第二节 资格证明文件格式</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_Toc25211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58</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462B7002">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"_Toc7326" </w:instrText>
      </w:r>
      <w:r>
        <w:rPr>
          <w:color w:val="auto"/>
          <w:highlight w:val="none"/>
        </w:rPr>
        <w:fldChar w:fldCharType="separate"/>
      </w:r>
      <w:r>
        <w:rPr>
          <w:rFonts w:hint="eastAsia" w:ascii="宋体" w:hAnsi="宋体" w:cs="宋体"/>
          <w:bCs/>
          <w:color w:val="auto"/>
          <w:sz w:val="24"/>
          <w:highlight w:val="none"/>
        </w:rPr>
        <w:t>第三节 商务技术文件格式</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_Toc7326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67</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15433C49">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"_Toc24179" </w:instrText>
      </w:r>
      <w:r>
        <w:rPr>
          <w:color w:val="auto"/>
          <w:highlight w:val="none"/>
        </w:rPr>
        <w:fldChar w:fldCharType="separate"/>
      </w:r>
      <w:r>
        <w:rPr>
          <w:rFonts w:hint="eastAsia" w:ascii="宋体" w:hAnsi="宋体" w:cs="宋体"/>
          <w:bCs/>
          <w:color w:val="auto"/>
          <w:sz w:val="24"/>
          <w:highlight w:val="none"/>
        </w:rPr>
        <w:t>第四节 报价文件格式</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_Toc24179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80</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14A40C86">
      <w:pPr>
        <w:pStyle w:val="26"/>
        <w:tabs>
          <w:tab w:val="right" w:leader="dot" w:pos="8879"/>
          <w:tab w:val="clear" w:pos="8296"/>
        </w:tabs>
        <w:spacing w:line="440" w:lineRule="exact"/>
        <w:ind w:firstLine="420" w:firstLineChars="200"/>
        <w:rPr>
          <w:rFonts w:ascii="宋体" w:hAnsi="宋体" w:cs="宋体"/>
          <w:bCs/>
          <w:color w:val="auto"/>
          <w:sz w:val="24"/>
          <w:highlight w:val="none"/>
        </w:rPr>
      </w:pPr>
      <w:r>
        <w:rPr>
          <w:color w:val="auto"/>
          <w:highlight w:val="none"/>
        </w:rPr>
        <w:fldChar w:fldCharType="begin"/>
      </w:r>
      <w:r>
        <w:rPr>
          <w:color w:val="auto"/>
          <w:highlight w:val="none"/>
        </w:rPr>
        <w:instrText xml:space="preserve"> HYPERLINK \l "_Toc27815" </w:instrText>
      </w:r>
      <w:r>
        <w:rPr>
          <w:color w:val="auto"/>
          <w:highlight w:val="none"/>
        </w:rPr>
        <w:fldChar w:fldCharType="separate"/>
      </w:r>
      <w:r>
        <w:rPr>
          <w:rFonts w:hint="eastAsia" w:ascii="宋体" w:hAnsi="宋体" w:cs="宋体"/>
          <w:bCs/>
          <w:color w:val="auto"/>
          <w:sz w:val="24"/>
          <w:highlight w:val="none"/>
        </w:rPr>
        <w:t>第五节 其他文书、文件格式</w:t>
      </w:r>
      <w:r>
        <w:rPr>
          <w:rFonts w:hint="eastAsia" w:ascii="宋体" w:hAnsi="宋体" w:cs="宋体"/>
          <w:bCs/>
          <w:color w:val="auto"/>
          <w:sz w:val="24"/>
          <w:highlight w:val="none"/>
        </w:rPr>
        <w:tab/>
      </w:r>
      <w:r>
        <w:rPr>
          <w:rFonts w:hint="eastAsia" w:ascii="宋体" w:hAnsi="宋体" w:cs="宋体"/>
          <w:bCs/>
          <w:color w:val="auto"/>
          <w:sz w:val="24"/>
          <w:highlight w:val="none"/>
        </w:rPr>
        <w:fldChar w:fldCharType="begin"/>
      </w:r>
      <w:r>
        <w:rPr>
          <w:rFonts w:hint="eastAsia" w:ascii="宋体" w:hAnsi="宋体" w:cs="宋体"/>
          <w:bCs/>
          <w:color w:val="auto"/>
          <w:sz w:val="24"/>
          <w:highlight w:val="none"/>
        </w:rPr>
        <w:instrText xml:space="preserve"> PAGEREF _Toc27815 \h </w:instrText>
      </w:r>
      <w:r>
        <w:rPr>
          <w:rFonts w:hint="eastAsia" w:ascii="宋体" w:hAnsi="宋体" w:cs="宋体"/>
          <w:bCs/>
          <w:color w:val="auto"/>
          <w:sz w:val="24"/>
          <w:highlight w:val="none"/>
        </w:rPr>
        <w:fldChar w:fldCharType="separate"/>
      </w:r>
      <w:r>
        <w:rPr>
          <w:rFonts w:hint="eastAsia" w:ascii="宋体" w:hAnsi="宋体" w:cs="宋体"/>
          <w:bCs/>
          <w:color w:val="auto"/>
          <w:sz w:val="24"/>
          <w:highlight w:val="none"/>
        </w:rPr>
        <w:t>86</w:t>
      </w:r>
      <w:r>
        <w:rPr>
          <w:rFonts w:hint="eastAsia" w:ascii="宋体" w:hAnsi="宋体" w:cs="宋体"/>
          <w:bCs/>
          <w:color w:val="auto"/>
          <w:sz w:val="24"/>
          <w:highlight w:val="none"/>
        </w:rPr>
        <w:fldChar w:fldCharType="end"/>
      </w:r>
      <w:r>
        <w:rPr>
          <w:rFonts w:hint="eastAsia" w:ascii="宋体" w:hAnsi="宋体" w:cs="宋体"/>
          <w:bCs/>
          <w:color w:val="auto"/>
          <w:sz w:val="24"/>
          <w:highlight w:val="none"/>
        </w:rPr>
        <w:fldChar w:fldCharType="end"/>
      </w:r>
    </w:p>
    <w:p w14:paraId="4CF310CF">
      <w:pPr>
        <w:pStyle w:val="23"/>
        <w:tabs>
          <w:tab w:val="right" w:leader="dot" w:pos="8879"/>
        </w:tabs>
        <w:spacing w:line="440" w:lineRule="exact"/>
        <w:ind w:firstLine="422"/>
        <w:rPr>
          <w:rFonts w:hAnsi="宋体" w:cs="宋体"/>
          <w:b w:val="0"/>
          <w:bCs/>
          <w:color w:val="auto"/>
          <w:sz w:val="24"/>
          <w:szCs w:val="24"/>
          <w:highlight w:val="none"/>
        </w:rPr>
      </w:pPr>
      <w:r>
        <w:rPr>
          <w:color w:val="auto"/>
          <w:highlight w:val="none"/>
        </w:rPr>
        <w:fldChar w:fldCharType="begin"/>
      </w:r>
      <w:r>
        <w:rPr>
          <w:color w:val="auto"/>
          <w:highlight w:val="none"/>
        </w:rPr>
        <w:instrText xml:space="preserve"> HYPERLINK \l "_Toc6557" </w:instrText>
      </w:r>
      <w:r>
        <w:rPr>
          <w:color w:val="auto"/>
          <w:highlight w:val="none"/>
        </w:rPr>
        <w:fldChar w:fldCharType="separate"/>
      </w:r>
      <w:r>
        <w:rPr>
          <w:rFonts w:hint="eastAsia" w:hAnsi="宋体" w:cs="宋体"/>
          <w:b w:val="0"/>
          <w:bCs/>
          <w:color w:val="auto"/>
          <w:sz w:val="24"/>
          <w:szCs w:val="24"/>
          <w:highlight w:val="none"/>
        </w:rPr>
        <w:t>第六章  合同文本</w:t>
      </w:r>
      <w:r>
        <w:rPr>
          <w:rFonts w:hint="eastAsia" w:hAnsi="宋体" w:cs="宋体"/>
          <w:b w:val="0"/>
          <w:bCs/>
          <w:color w:val="auto"/>
          <w:sz w:val="24"/>
          <w:szCs w:val="24"/>
          <w:highlight w:val="none"/>
        </w:rPr>
        <w:tab/>
      </w:r>
      <w:r>
        <w:rPr>
          <w:rFonts w:hint="eastAsia" w:hAnsi="宋体" w:cs="宋体"/>
          <w:b w:val="0"/>
          <w:bCs/>
          <w:color w:val="auto"/>
          <w:sz w:val="24"/>
          <w:szCs w:val="24"/>
          <w:highlight w:val="none"/>
        </w:rPr>
        <w:fldChar w:fldCharType="end"/>
      </w:r>
      <w:r>
        <w:rPr>
          <w:rFonts w:hint="eastAsia" w:hAnsi="宋体" w:cs="宋体"/>
          <w:b w:val="0"/>
          <w:bCs/>
          <w:color w:val="auto"/>
          <w:sz w:val="24"/>
          <w:szCs w:val="24"/>
          <w:highlight w:val="none"/>
        </w:rPr>
        <w:t>78</w:t>
      </w:r>
    </w:p>
    <w:p w14:paraId="18C530D1">
      <w:pPr>
        <w:pStyle w:val="23"/>
        <w:tabs>
          <w:tab w:val="right" w:leader="dot" w:pos="8879"/>
        </w:tabs>
        <w:spacing w:line="440" w:lineRule="exact"/>
        <w:ind w:firstLine="422"/>
        <w:rPr>
          <w:color w:val="auto"/>
          <w:sz w:val="24"/>
          <w:szCs w:val="24"/>
          <w:highlight w:val="none"/>
        </w:rPr>
      </w:pPr>
      <w:r>
        <w:rPr>
          <w:color w:val="auto"/>
          <w:highlight w:val="none"/>
        </w:rPr>
        <w:fldChar w:fldCharType="begin"/>
      </w:r>
      <w:r>
        <w:rPr>
          <w:color w:val="auto"/>
          <w:highlight w:val="none"/>
        </w:rPr>
        <w:instrText xml:space="preserve"> HYPERLINK \l "_Toc12687" </w:instrText>
      </w:r>
      <w:r>
        <w:rPr>
          <w:color w:val="auto"/>
          <w:highlight w:val="none"/>
        </w:rPr>
        <w:fldChar w:fldCharType="separate"/>
      </w:r>
      <w:r>
        <w:rPr>
          <w:rFonts w:hint="eastAsia" w:hAnsi="宋体" w:cs="宋体"/>
          <w:b w:val="0"/>
          <w:bCs/>
          <w:color w:val="auto"/>
          <w:sz w:val="24"/>
          <w:szCs w:val="24"/>
          <w:highlight w:val="none"/>
        </w:rPr>
        <w:t>第七章 质疑、投诉材料格式</w:t>
      </w:r>
      <w:r>
        <w:rPr>
          <w:rFonts w:hint="eastAsia" w:hAnsi="宋体" w:cs="宋体"/>
          <w:b w:val="0"/>
          <w:bCs/>
          <w:color w:val="auto"/>
          <w:sz w:val="24"/>
          <w:szCs w:val="24"/>
          <w:highlight w:val="none"/>
        </w:rPr>
        <w:tab/>
      </w:r>
      <w:r>
        <w:rPr>
          <w:rFonts w:hint="eastAsia" w:hAnsi="宋体" w:cs="宋体"/>
          <w:b w:val="0"/>
          <w:bCs/>
          <w:color w:val="auto"/>
          <w:sz w:val="24"/>
          <w:szCs w:val="24"/>
          <w:highlight w:val="none"/>
        </w:rPr>
        <w:fldChar w:fldCharType="begin"/>
      </w:r>
      <w:r>
        <w:rPr>
          <w:rFonts w:hint="eastAsia" w:hAnsi="宋体" w:cs="宋体"/>
          <w:b w:val="0"/>
          <w:bCs/>
          <w:color w:val="auto"/>
          <w:sz w:val="24"/>
          <w:szCs w:val="24"/>
          <w:highlight w:val="none"/>
        </w:rPr>
        <w:instrText xml:space="preserve"> PAGEREF _Toc12687 \h </w:instrText>
      </w:r>
      <w:r>
        <w:rPr>
          <w:rFonts w:hint="eastAsia" w:hAnsi="宋体" w:cs="宋体"/>
          <w:b w:val="0"/>
          <w:bCs/>
          <w:color w:val="auto"/>
          <w:sz w:val="24"/>
          <w:szCs w:val="24"/>
          <w:highlight w:val="none"/>
        </w:rPr>
        <w:fldChar w:fldCharType="separate"/>
      </w:r>
      <w:r>
        <w:rPr>
          <w:rFonts w:hint="eastAsia" w:hAnsi="宋体" w:cs="宋体"/>
          <w:b w:val="0"/>
          <w:bCs/>
          <w:color w:val="auto"/>
          <w:sz w:val="24"/>
          <w:szCs w:val="24"/>
          <w:highlight w:val="none"/>
        </w:rPr>
        <w:t>102</w:t>
      </w:r>
      <w:r>
        <w:rPr>
          <w:rFonts w:hint="eastAsia" w:hAnsi="宋体" w:cs="宋体"/>
          <w:b w:val="0"/>
          <w:bCs/>
          <w:color w:val="auto"/>
          <w:sz w:val="24"/>
          <w:szCs w:val="24"/>
          <w:highlight w:val="none"/>
        </w:rPr>
        <w:fldChar w:fldCharType="end"/>
      </w:r>
      <w:r>
        <w:rPr>
          <w:rFonts w:hint="eastAsia" w:hAnsi="宋体" w:cs="宋体"/>
          <w:b w:val="0"/>
          <w:bCs/>
          <w:color w:val="auto"/>
          <w:sz w:val="24"/>
          <w:szCs w:val="24"/>
          <w:highlight w:val="none"/>
        </w:rPr>
        <w:fldChar w:fldCharType="end"/>
      </w:r>
    </w:p>
    <w:p w14:paraId="7EF0D799">
      <w:pPr>
        <w:pStyle w:val="27"/>
        <w:tabs>
          <w:tab w:val="right" w:leader="dot" w:pos="8869"/>
        </w:tabs>
        <w:rPr>
          <w:rStyle w:val="38"/>
          <w:rFonts w:ascii="Times New Roman" w:hAnsi="Times New Roman"/>
          <w:color w:val="auto"/>
          <w:highlight w:val="none"/>
        </w:rPr>
      </w:pPr>
      <w:r>
        <w:rPr>
          <w:rStyle w:val="38"/>
          <w:rFonts w:hint="eastAsia" w:ascii="Times New Roman" w:hAnsi="Times New Roman"/>
          <w:color w:val="auto"/>
          <w:highlight w:val="none"/>
        </w:rPr>
        <w:fldChar w:fldCharType="end"/>
      </w:r>
    </w:p>
    <w:p w14:paraId="3032607C">
      <w:pPr>
        <w:spacing w:line="400" w:lineRule="exact"/>
        <w:jc w:val="left"/>
        <w:rPr>
          <w:rFonts w:ascii="宋体" w:hAnsi="宋体"/>
          <w:b/>
          <w:color w:val="auto"/>
          <w:sz w:val="32"/>
          <w:szCs w:val="32"/>
          <w:highlight w:val="none"/>
        </w:rPr>
      </w:pPr>
    </w:p>
    <w:p w14:paraId="5AFE25DF">
      <w:pPr>
        <w:spacing w:line="400" w:lineRule="exact"/>
        <w:jc w:val="center"/>
        <w:rPr>
          <w:rFonts w:ascii="宋体" w:hAnsi="宋体"/>
          <w:b/>
          <w:color w:val="auto"/>
          <w:sz w:val="32"/>
          <w:szCs w:val="32"/>
          <w:highlight w:val="none"/>
        </w:rPr>
      </w:pPr>
    </w:p>
    <w:p w14:paraId="7297962C">
      <w:pPr>
        <w:spacing w:line="400" w:lineRule="exact"/>
        <w:jc w:val="center"/>
        <w:rPr>
          <w:rFonts w:ascii="宋体" w:hAnsi="宋体"/>
          <w:b/>
          <w:color w:val="auto"/>
          <w:sz w:val="32"/>
          <w:szCs w:val="32"/>
          <w:highlight w:val="none"/>
        </w:rPr>
      </w:pPr>
    </w:p>
    <w:p w14:paraId="4C195C05">
      <w:pPr>
        <w:spacing w:line="400" w:lineRule="exact"/>
        <w:rPr>
          <w:rFonts w:ascii="宋体" w:hAnsi="宋体"/>
          <w:b/>
          <w:color w:val="auto"/>
          <w:sz w:val="32"/>
          <w:szCs w:val="32"/>
          <w:highlight w:val="none"/>
        </w:rPr>
      </w:pPr>
    </w:p>
    <w:p w14:paraId="73888009">
      <w:pPr>
        <w:widowControl/>
        <w:jc w:val="left"/>
        <w:rPr>
          <w:rFonts w:ascii="宋体" w:hAnsi="宋体"/>
          <w:b/>
          <w:color w:val="auto"/>
          <w:sz w:val="32"/>
          <w:szCs w:val="32"/>
          <w:highlight w:val="none"/>
        </w:rPr>
        <w:sectPr>
          <w:footerReference r:id="rId3" w:type="default"/>
          <w:pgSz w:w="11906" w:h="16838"/>
          <w:pgMar w:top="1440" w:right="1440" w:bottom="1440" w:left="1587" w:header="851" w:footer="992" w:gutter="0"/>
          <w:pgNumType w:start="1"/>
          <w:cols w:space="720" w:num="1"/>
          <w:docGrid w:type="lines" w:linePitch="312" w:charSpace="0"/>
        </w:sectPr>
      </w:pPr>
    </w:p>
    <w:p w14:paraId="1C7868FE">
      <w:pPr>
        <w:pStyle w:val="3"/>
        <w:spacing w:before="0" w:after="0" w:line="360" w:lineRule="auto"/>
        <w:jc w:val="center"/>
        <w:rPr>
          <w:bCs w:val="0"/>
          <w:color w:val="auto"/>
          <w:kern w:val="2"/>
          <w:sz w:val="36"/>
          <w:szCs w:val="20"/>
          <w:highlight w:val="none"/>
        </w:rPr>
      </w:pPr>
      <w:bookmarkStart w:id="0" w:name="_Toc29198"/>
      <w:bookmarkStart w:id="1" w:name="_Toc31808"/>
      <w:bookmarkStart w:id="2" w:name="_Toc13348"/>
      <w:bookmarkStart w:id="3" w:name="_Toc19856"/>
      <w:r>
        <w:rPr>
          <w:bCs w:val="0"/>
          <w:color w:val="auto"/>
          <w:kern w:val="2"/>
          <w:sz w:val="36"/>
          <w:szCs w:val="20"/>
          <w:highlight w:val="none"/>
        </w:rPr>
        <mc:AlternateContent>
          <mc:Choice Requires="wps">
            <w:drawing>
              <wp:anchor distT="0" distB="0" distL="114300" distR="114300" simplePos="0" relativeHeight="251661312" behindDoc="0" locked="0" layoutInCell="1" allowOverlap="1">
                <wp:simplePos x="0" y="0"/>
                <wp:positionH relativeFrom="column">
                  <wp:posOffset>-161290</wp:posOffset>
                </wp:positionH>
                <wp:positionV relativeFrom="paragraph">
                  <wp:posOffset>421005</wp:posOffset>
                </wp:positionV>
                <wp:extent cx="6325235" cy="1307465"/>
                <wp:effectExtent l="635" t="1905" r="0" b="0"/>
                <wp:wrapNone/>
                <wp:docPr id="5" name="文本框 101"/>
                <wp:cNvGraphicFramePr/>
                <a:graphic xmlns:a="http://schemas.openxmlformats.org/drawingml/2006/main">
                  <a:graphicData uri="http://schemas.microsoft.com/office/word/2010/wordprocessingShape">
                    <wps:wsp>
                      <wps:cNvSpPr txBox="1">
                        <a:spLocks noChangeArrowheads="1"/>
                      </wps:cNvSpPr>
                      <wps:spPr bwMode="auto">
                        <a:xfrm>
                          <a:off x="0" y="0"/>
                          <a:ext cx="6325235" cy="1307465"/>
                        </a:xfrm>
                        <a:prstGeom prst="rect">
                          <a:avLst/>
                        </a:prstGeom>
                        <a:solidFill>
                          <a:srgbClr val="FFFFFF"/>
                        </a:solidFill>
                        <a:ln>
                          <a:noFill/>
                        </a:ln>
                      </wps:spPr>
                      <wps:txbx>
                        <w:txbxContent>
                          <w:p w14:paraId="6F42AFBB">
                            <w:pPr>
                              <w:pBdr>
                                <w:top w:val="single" w:color="auto" w:sz="4" w:space="1"/>
                                <w:left w:val="single" w:color="auto" w:sz="4" w:space="4"/>
                                <w:bottom w:val="single" w:color="auto" w:sz="4" w:space="1"/>
                                <w:right w:val="single" w:color="auto" w:sz="4" w:space="4"/>
                              </w:pBdr>
                              <w:wordWrap w:val="0"/>
                              <w:spacing w:line="400" w:lineRule="exact"/>
                              <w:rPr>
                                <w:rFonts w:ascii="宋体" w:hAnsi="宋体" w:cs="宋体"/>
                                <w:color w:val="auto"/>
                                <w:sz w:val="24"/>
                                <w:u w:val="none"/>
                              </w:rPr>
                            </w:pPr>
                            <w:r>
                              <w:rPr>
                                <w:rFonts w:hint="eastAsia" w:ascii="宋体" w:hAnsi="宋体" w:cs="宋体"/>
                                <w:color w:val="auto"/>
                                <w:sz w:val="24"/>
                              </w:rPr>
                              <w:t>项目</w:t>
                            </w:r>
                            <w:r>
                              <w:rPr>
                                <w:rFonts w:hint="eastAsia" w:ascii="宋体" w:hAnsi="宋体" w:cs="宋体"/>
                                <w:color w:val="auto"/>
                                <w:sz w:val="24"/>
                                <w:u w:val="none"/>
                              </w:rPr>
                              <w:t>概况</w:t>
                            </w:r>
                          </w:p>
                          <w:p w14:paraId="1C0C001C">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auto"/>
                                <w:sz w:val="28"/>
                                <w:szCs w:val="28"/>
                                <w:u w:val="none"/>
                              </w:rPr>
                            </w:pPr>
                            <w:r>
                              <w:rPr>
                                <w:rFonts w:hint="eastAsia" w:ascii="宋体" w:hAnsi="宋体" w:eastAsia="宋体" w:cs="宋体"/>
                                <w:b/>
                                <w:bCs/>
                                <w:color w:val="auto"/>
                                <w:kern w:val="2"/>
                                <w:sz w:val="24"/>
                                <w:szCs w:val="24"/>
                                <w:u w:val="single"/>
                                <w:lang w:val="en-US" w:eastAsia="zh-CN" w:bidi="ar-SA"/>
                              </w:rPr>
                              <w:t>乡村小规模学校和乡镇寄宿制学校教室宿舍设施设备更新改造项目设备采购</w:t>
                            </w:r>
                            <w:r>
                              <w:rPr>
                                <w:rFonts w:hint="eastAsia" w:ascii="宋体" w:hAnsi="宋体" w:eastAsia="宋体" w:cs="宋体"/>
                                <w:bCs/>
                                <w:color w:val="auto"/>
                                <w:sz w:val="24"/>
                                <w:u w:val="none"/>
                              </w:rPr>
                              <w:t>的潜在</w:t>
                            </w:r>
                            <w:r>
                              <w:rPr>
                                <w:rFonts w:hint="eastAsia" w:ascii="宋体" w:hAnsi="宋体" w:cs="宋体"/>
                                <w:bCs/>
                                <w:color w:val="auto"/>
                                <w:sz w:val="24"/>
                                <w:u w:val="none"/>
                                <w:lang w:val="en-US" w:eastAsia="zh-CN"/>
                              </w:rPr>
                              <w:t>竞</w:t>
                            </w:r>
                            <w:r>
                              <w:rPr>
                                <w:rFonts w:hint="eastAsia" w:ascii="宋体" w:hAnsi="宋体" w:eastAsia="宋体" w:cs="宋体"/>
                                <w:bCs/>
                                <w:color w:val="auto"/>
                                <w:sz w:val="24"/>
                                <w:u w:val="none"/>
                              </w:rPr>
                              <w:t>标人应在</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广西政府采购云平台</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w:t>
                            </w:r>
                            <w:r>
                              <w:rPr>
                                <w:rFonts w:hint="eastAsia" w:ascii="宋体" w:hAnsi="宋体" w:cs="宋体"/>
                                <w:bCs/>
                                <w:color w:val="auto"/>
                                <w:sz w:val="24"/>
                                <w:u w:val="none"/>
                                <w:lang w:eastAsia="zh-CN"/>
                              </w:rPr>
                              <w:t>https://www.gcy.zfcg.gxzf.gov.cn</w:t>
                            </w:r>
                            <w:r>
                              <w:rPr>
                                <w:rFonts w:hint="eastAsia" w:ascii="宋体" w:hAnsi="宋体" w:eastAsia="宋体" w:cs="宋体"/>
                                <w:bCs/>
                                <w:color w:val="auto"/>
                                <w:sz w:val="24"/>
                                <w:u w:val="none"/>
                              </w:rPr>
                              <w:t>/）获取（下载）</w:t>
                            </w:r>
                            <w:r>
                              <w:rPr>
                                <w:rFonts w:hint="eastAsia" w:ascii="宋体" w:hAnsi="宋体" w:cs="宋体"/>
                                <w:bCs/>
                                <w:color w:val="auto"/>
                                <w:sz w:val="24"/>
                                <w:u w:val="none"/>
                                <w:lang w:val="en-US" w:eastAsia="zh-CN"/>
                              </w:rPr>
                              <w:t>采购</w:t>
                            </w:r>
                            <w:r>
                              <w:rPr>
                                <w:rFonts w:hint="eastAsia" w:ascii="宋体" w:hAnsi="宋体" w:eastAsia="宋体" w:cs="宋体"/>
                                <w:bCs/>
                                <w:color w:val="auto"/>
                                <w:sz w:val="24"/>
                                <w:u w:val="none"/>
                              </w:rPr>
                              <w:t>文件，并于</w:t>
                            </w:r>
                            <w:r>
                              <w:rPr>
                                <w:rFonts w:hint="eastAsia" w:ascii="宋体" w:hAnsi="宋体" w:eastAsia="宋体" w:cs="宋体"/>
                                <w:b/>
                                <w:bCs w:val="0"/>
                                <w:color w:val="auto"/>
                                <w:sz w:val="24"/>
                                <w:u w:val="none"/>
                              </w:rPr>
                              <w:t>202</w:t>
                            </w:r>
                            <w:r>
                              <w:rPr>
                                <w:rFonts w:hint="eastAsia" w:ascii="宋体" w:hAnsi="宋体" w:cs="宋体"/>
                                <w:b/>
                                <w:bCs w:val="0"/>
                                <w:color w:val="auto"/>
                                <w:sz w:val="24"/>
                                <w:u w:val="none"/>
                                <w:lang w:val="en-US" w:eastAsia="zh-CN"/>
                              </w:rPr>
                              <w:t>6</w:t>
                            </w:r>
                            <w:r>
                              <w:rPr>
                                <w:rFonts w:hint="eastAsia" w:ascii="宋体" w:hAnsi="宋体" w:eastAsia="宋体" w:cs="宋体"/>
                                <w:b/>
                                <w:bCs w:val="0"/>
                                <w:color w:val="auto"/>
                                <w:sz w:val="24"/>
                                <w:u w:val="none"/>
                              </w:rPr>
                              <w:t>年</w:t>
                            </w:r>
                            <w:r>
                              <w:rPr>
                                <w:rFonts w:hint="eastAsia" w:ascii="宋体" w:hAnsi="宋体" w:cs="宋体"/>
                                <w:b/>
                                <w:bCs w:val="0"/>
                                <w:color w:val="auto"/>
                                <w:sz w:val="24"/>
                                <w:u w:val="none"/>
                                <w:lang w:val="en-US" w:eastAsia="zh-CN"/>
                              </w:rPr>
                              <w:t>7</w:t>
                            </w:r>
                            <w:r>
                              <w:rPr>
                                <w:rFonts w:hint="eastAsia" w:ascii="宋体" w:hAnsi="宋体" w:eastAsia="宋体" w:cs="宋体"/>
                                <w:b/>
                                <w:bCs w:val="0"/>
                                <w:color w:val="auto"/>
                                <w:sz w:val="24"/>
                                <w:u w:val="none"/>
                              </w:rPr>
                              <w:t>月</w:t>
                            </w:r>
                            <w:r>
                              <w:rPr>
                                <w:rFonts w:hint="eastAsia" w:ascii="宋体" w:hAnsi="宋体" w:cs="宋体"/>
                                <w:b/>
                                <w:bCs w:val="0"/>
                                <w:color w:val="auto"/>
                                <w:sz w:val="24"/>
                                <w:u w:val="none"/>
                                <w:lang w:val="en-US" w:eastAsia="zh-CN"/>
                              </w:rPr>
                              <w:t>24</w:t>
                            </w:r>
                            <w:r>
                              <w:rPr>
                                <w:rFonts w:hint="eastAsia" w:ascii="宋体" w:hAnsi="宋体" w:eastAsia="宋体" w:cs="宋体"/>
                                <w:b/>
                                <w:bCs w:val="0"/>
                                <w:color w:val="auto"/>
                                <w:sz w:val="24"/>
                                <w:u w:val="none"/>
                              </w:rPr>
                              <w:t>日</w:t>
                            </w:r>
                            <w:r>
                              <w:rPr>
                                <w:rFonts w:hint="eastAsia" w:ascii="宋体" w:hAnsi="宋体" w:cs="宋体"/>
                                <w:b/>
                                <w:bCs w:val="0"/>
                                <w:color w:val="auto"/>
                                <w:sz w:val="24"/>
                                <w:u w:val="none"/>
                                <w:lang w:val="en-US" w:eastAsia="zh-CN"/>
                              </w:rPr>
                              <w:t>9</w:t>
                            </w:r>
                            <w:r>
                              <w:rPr>
                                <w:rFonts w:hint="eastAsia" w:ascii="宋体" w:hAnsi="宋体" w:eastAsia="宋体" w:cs="宋体"/>
                                <w:b/>
                                <w:bCs w:val="0"/>
                                <w:color w:val="auto"/>
                                <w:sz w:val="24"/>
                                <w:u w:val="none"/>
                                <w:lang w:eastAsia="zh-CN"/>
                              </w:rPr>
                              <w:t>时</w:t>
                            </w:r>
                            <w:r>
                              <w:rPr>
                                <w:rFonts w:hint="eastAsia" w:ascii="宋体" w:hAnsi="宋体" w:cs="宋体"/>
                                <w:b/>
                                <w:bCs w:val="0"/>
                                <w:color w:val="auto"/>
                                <w:sz w:val="24"/>
                                <w:u w:val="none"/>
                                <w:lang w:val="en-US" w:eastAsia="zh-CN"/>
                              </w:rPr>
                              <w:t>30</w:t>
                            </w:r>
                            <w:r>
                              <w:rPr>
                                <w:rFonts w:hint="eastAsia" w:ascii="宋体" w:hAnsi="宋体" w:eastAsia="宋体" w:cs="宋体"/>
                                <w:b/>
                                <w:bCs w:val="0"/>
                                <w:color w:val="auto"/>
                                <w:sz w:val="24"/>
                                <w:u w:val="none"/>
                              </w:rPr>
                              <w:t>分</w:t>
                            </w:r>
                            <w:r>
                              <w:rPr>
                                <w:rFonts w:hint="eastAsia" w:ascii="宋体" w:hAnsi="宋体" w:eastAsia="宋体" w:cs="宋体"/>
                                <w:bCs/>
                                <w:color w:val="auto"/>
                                <w:sz w:val="24"/>
                                <w:u w:val="none"/>
                              </w:rPr>
                              <w:t>（北京时间）前递交（上传）</w:t>
                            </w:r>
                            <w:r>
                              <w:rPr>
                                <w:rFonts w:hint="eastAsia" w:ascii="宋体" w:hAnsi="宋体" w:cs="宋体"/>
                                <w:bCs/>
                                <w:color w:val="auto"/>
                                <w:sz w:val="24"/>
                                <w:u w:val="none"/>
                                <w:lang w:val="en-US" w:eastAsia="zh-CN"/>
                              </w:rPr>
                              <w:t>响应</w:t>
                            </w:r>
                            <w:r>
                              <w:rPr>
                                <w:rFonts w:hint="eastAsia" w:ascii="宋体" w:hAnsi="宋体" w:eastAsia="宋体" w:cs="宋体"/>
                                <w:bCs/>
                                <w:color w:val="auto"/>
                                <w:sz w:val="24"/>
                                <w:u w:val="none"/>
                              </w:rPr>
                              <w:t>文件。</w:t>
                            </w:r>
                          </w:p>
                          <w:p w14:paraId="6F99267C">
                            <w:pPr>
                              <w:wordWrap w:val="0"/>
                              <w:spacing w:line="400" w:lineRule="exact"/>
                              <w:rPr>
                                <w:color w:val="auto"/>
                                <w:sz w:val="24"/>
                                <w:u w:val="none"/>
                              </w:rPr>
                            </w:pPr>
                          </w:p>
                        </w:txbxContent>
                      </wps:txbx>
                      <wps:bodyPr rot="0" vert="horz" wrap="square" lIns="91440" tIns="45720" rIns="91440" bIns="45720" anchor="t" anchorCtr="0" upright="1">
                        <a:noAutofit/>
                      </wps:bodyPr>
                    </wps:wsp>
                  </a:graphicData>
                </a:graphic>
              </wp:anchor>
            </w:drawing>
          </mc:Choice>
          <mc:Fallback>
            <w:pict>
              <v:shape id="文本框 101" o:spid="_x0000_s1026" o:spt="202" type="#_x0000_t202" style="position:absolute;left:0pt;margin-left:-12.7pt;margin-top:33.15pt;height:102.95pt;width:498.05pt;z-index:251661312;mso-width-relative:page;mso-height-relative:page;" fillcolor="#FFFFFF" filled="t" stroked="f" coordsize="21600,21600" o:gfxdata="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PEX+afZAAAACgEAAA8AAAAAAAAAAQAgAAAAIgAAAGRycy9kb3ducmV2LnhtbFBLAQIU&#10;ABQAAAAIAIdO4kCCFy5LKwIAAEEEAAAOAAAAAAAAAAEAIAAAACgBAABkcnMvZTJvRG9jLnhtbFBL&#10;BQYAAAAABgAGAFkBAADFBQAAAAA=&#10;">
                <v:fill on="t" focussize="0,0"/>
                <v:stroke on="f"/>
                <v:imagedata o:title=""/>
                <o:lock v:ext="edit" aspectratio="f"/>
                <v:textbox>
                  <w:txbxContent>
                    <w:p w14:paraId="6F42AFBB">
                      <w:pPr>
                        <w:pBdr>
                          <w:top w:val="single" w:color="auto" w:sz="4" w:space="1"/>
                          <w:left w:val="single" w:color="auto" w:sz="4" w:space="4"/>
                          <w:bottom w:val="single" w:color="auto" w:sz="4" w:space="1"/>
                          <w:right w:val="single" w:color="auto" w:sz="4" w:space="4"/>
                        </w:pBdr>
                        <w:wordWrap w:val="0"/>
                        <w:spacing w:line="400" w:lineRule="exact"/>
                        <w:rPr>
                          <w:rFonts w:ascii="宋体" w:hAnsi="宋体" w:cs="宋体"/>
                          <w:color w:val="auto"/>
                          <w:sz w:val="24"/>
                          <w:u w:val="none"/>
                        </w:rPr>
                      </w:pPr>
                      <w:r>
                        <w:rPr>
                          <w:rFonts w:hint="eastAsia" w:ascii="宋体" w:hAnsi="宋体" w:cs="宋体"/>
                          <w:color w:val="auto"/>
                          <w:sz w:val="24"/>
                        </w:rPr>
                        <w:t>项目</w:t>
                      </w:r>
                      <w:r>
                        <w:rPr>
                          <w:rFonts w:hint="eastAsia" w:ascii="宋体" w:hAnsi="宋体" w:cs="宋体"/>
                          <w:color w:val="auto"/>
                          <w:sz w:val="24"/>
                          <w:u w:val="none"/>
                        </w:rPr>
                        <w:t>概况</w:t>
                      </w:r>
                    </w:p>
                    <w:p w14:paraId="1C0C001C">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color w:val="auto"/>
                          <w:sz w:val="28"/>
                          <w:szCs w:val="28"/>
                          <w:u w:val="none"/>
                        </w:rPr>
                      </w:pPr>
                      <w:r>
                        <w:rPr>
                          <w:rFonts w:hint="eastAsia" w:ascii="宋体" w:hAnsi="宋体" w:eastAsia="宋体" w:cs="宋体"/>
                          <w:b/>
                          <w:bCs/>
                          <w:color w:val="auto"/>
                          <w:kern w:val="2"/>
                          <w:sz w:val="24"/>
                          <w:szCs w:val="24"/>
                          <w:u w:val="single"/>
                          <w:lang w:val="en-US" w:eastAsia="zh-CN" w:bidi="ar-SA"/>
                        </w:rPr>
                        <w:t>乡村小规模学校和乡镇寄宿制学校教室宿舍设施设备更新改造项目设备采购</w:t>
                      </w:r>
                      <w:r>
                        <w:rPr>
                          <w:rFonts w:hint="eastAsia" w:ascii="宋体" w:hAnsi="宋体" w:eastAsia="宋体" w:cs="宋体"/>
                          <w:bCs/>
                          <w:color w:val="auto"/>
                          <w:sz w:val="24"/>
                          <w:u w:val="none"/>
                        </w:rPr>
                        <w:t>的潜在</w:t>
                      </w:r>
                      <w:r>
                        <w:rPr>
                          <w:rFonts w:hint="eastAsia" w:ascii="宋体" w:hAnsi="宋体" w:cs="宋体"/>
                          <w:bCs/>
                          <w:color w:val="auto"/>
                          <w:sz w:val="24"/>
                          <w:u w:val="none"/>
                          <w:lang w:val="en-US" w:eastAsia="zh-CN"/>
                        </w:rPr>
                        <w:t>竞</w:t>
                      </w:r>
                      <w:r>
                        <w:rPr>
                          <w:rFonts w:hint="eastAsia" w:ascii="宋体" w:hAnsi="宋体" w:eastAsia="宋体" w:cs="宋体"/>
                          <w:bCs/>
                          <w:color w:val="auto"/>
                          <w:sz w:val="24"/>
                          <w:u w:val="none"/>
                        </w:rPr>
                        <w:t>标人应在</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广西政府采购云平台</w:t>
                      </w:r>
                      <w:r>
                        <w:rPr>
                          <w:rFonts w:hint="eastAsia" w:ascii="宋体" w:hAnsi="宋体" w:eastAsia="宋体" w:cs="宋体"/>
                          <w:bCs/>
                          <w:color w:val="auto"/>
                          <w:sz w:val="24"/>
                          <w:u w:val="none"/>
                          <w:lang w:eastAsia="zh-CN"/>
                        </w:rPr>
                        <w:t>”</w:t>
                      </w:r>
                      <w:r>
                        <w:rPr>
                          <w:rFonts w:hint="eastAsia" w:ascii="宋体" w:hAnsi="宋体" w:eastAsia="宋体" w:cs="宋体"/>
                          <w:bCs/>
                          <w:color w:val="auto"/>
                          <w:sz w:val="24"/>
                          <w:u w:val="none"/>
                        </w:rPr>
                        <w:t>（</w:t>
                      </w:r>
                      <w:r>
                        <w:rPr>
                          <w:rFonts w:hint="eastAsia" w:ascii="宋体" w:hAnsi="宋体" w:cs="宋体"/>
                          <w:bCs/>
                          <w:color w:val="auto"/>
                          <w:sz w:val="24"/>
                          <w:u w:val="none"/>
                          <w:lang w:eastAsia="zh-CN"/>
                        </w:rPr>
                        <w:t>https://www.gcy.zfcg.gxzf.gov.cn</w:t>
                      </w:r>
                      <w:r>
                        <w:rPr>
                          <w:rFonts w:hint="eastAsia" w:ascii="宋体" w:hAnsi="宋体" w:eastAsia="宋体" w:cs="宋体"/>
                          <w:bCs/>
                          <w:color w:val="auto"/>
                          <w:sz w:val="24"/>
                          <w:u w:val="none"/>
                        </w:rPr>
                        <w:t>/）获取（下载）</w:t>
                      </w:r>
                      <w:r>
                        <w:rPr>
                          <w:rFonts w:hint="eastAsia" w:ascii="宋体" w:hAnsi="宋体" w:cs="宋体"/>
                          <w:bCs/>
                          <w:color w:val="auto"/>
                          <w:sz w:val="24"/>
                          <w:u w:val="none"/>
                          <w:lang w:val="en-US" w:eastAsia="zh-CN"/>
                        </w:rPr>
                        <w:t>采购</w:t>
                      </w:r>
                      <w:r>
                        <w:rPr>
                          <w:rFonts w:hint="eastAsia" w:ascii="宋体" w:hAnsi="宋体" w:eastAsia="宋体" w:cs="宋体"/>
                          <w:bCs/>
                          <w:color w:val="auto"/>
                          <w:sz w:val="24"/>
                          <w:u w:val="none"/>
                        </w:rPr>
                        <w:t>文件，并于</w:t>
                      </w:r>
                      <w:r>
                        <w:rPr>
                          <w:rFonts w:hint="eastAsia" w:ascii="宋体" w:hAnsi="宋体" w:eastAsia="宋体" w:cs="宋体"/>
                          <w:b/>
                          <w:bCs w:val="0"/>
                          <w:color w:val="auto"/>
                          <w:sz w:val="24"/>
                          <w:u w:val="none"/>
                        </w:rPr>
                        <w:t>202</w:t>
                      </w:r>
                      <w:r>
                        <w:rPr>
                          <w:rFonts w:hint="eastAsia" w:ascii="宋体" w:hAnsi="宋体" w:cs="宋体"/>
                          <w:b/>
                          <w:bCs w:val="0"/>
                          <w:color w:val="auto"/>
                          <w:sz w:val="24"/>
                          <w:u w:val="none"/>
                          <w:lang w:val="en-US" w:eastAsia="zh-CN"/>
                        </w:rPr>
                        <w:t>6</w:t>
                      </w:r>
                      <w:r>
                        <w:rPr>
                          <w:rFonts w:hint="eastAsia" w:ascii="宋体" w:hAnsi="宋体" w:eastAsia="宋体" w:cs="宋体"/>
                          <w:b/>
                          <w:bCs w:val="0"/>
                          <w:color w:val="auto"/>
                          <w:sz w:val="24"/>
                          <w:u w:val="none"/>
                        </w:rPr>
                        <w:t>年</w:t>
                      </w:r>
                      <w:r>
                        <w:rPr>
                          <w:rFonts w:hint="eastAsia" w:ascii="宋体" w:hAnsi="宋体" w:cs="宋体"/>
                          <w:b/>
                          <w:bCs w:val="0"/>
                          <w:color w:val="auto"/>
                          <w:sz w:val="24"/>
                          <w:u w:val="none"/>
                          <w:lang w:val="en-US" w:eastAsia="zh-CN"/>
                        </w:rPr>
                        <w:t>7</w:t>
                      </w:r>
                      <w:r>
                        <w:rPr>
                          <w:rFonts w:hint="eastAsia" w:ascii="宋体" w:hAnsi="宋体" w:eastAsia="宋体" w:cs="宋体"/>
                          <w:b/>
                          <w:bCs w:val="0"/>
                          <w:color w:val="auto"/>
                          <w:sz w:val="24"/>
                          <w:u w:val="none"/>
                        </w:rPr>
                        <w:t>月</w:t>
                      </w:r>
                      <w:r>
                        <w:rPr>
                          <w:rFonts w:hint="eastAsia" w:ascii="宋体" w:hAnsi="宋体" w:cs="宋体"/>
                          <w:b/>
                          <w:bCs w:val="0"/>
                          <w:color w:val="auto"/>
                          <w:sz w:val="24"/>
                          <w:u w:val="none"/>
                          <w:lang w:val="en-US" w:eastAsia="zh-CN"/>
                        </w:rPr>
                        <w:t>24</w:t>
                      </w:r>
                      <w:r>
                        <w:rPr>
                          <w:rFonts w:hint="eastAsia" w:ascii="宋体" w:hAnsi="宋体" w:eastAsia="宋体" w:cs="宋体"/>
                          <w:b/>
                          <w:bCs w:val="0"/>
                          <w:color w:val="auto"/>
                          <w:sz w:val="24"/>
                          <w:u w:val="none"/>
                        </w:rPr>
                        <w:t>日</w:t>
                      </w:r>
                      <w:r>
                        <w:rPr>
                          <w:rFonts w:hint="eastAsia" w:ascii="宋体" w:hAnsi="宋体" w:cs="宋体"/>
                          <w:b/>
                          <w:bCs w:val="0"/>
                          <w:color w:val="auto"/>
                          <w:sz w:val="24"/>
                          <w:u w:val="none"/>
                          <w:lang w:val="en-US" w:eastAsia="zh-CN"/>
                        </w:rPr>
                        <w:t>9</w:t>
                      </w:r>
                      <w:r>
                        <w:rPr>
                          <w:rFonts w:hint="eastAsia" w:ascii="宋体" w:hAnsi="宋体" w:eastAsia="宋体" w:cs="宋体"/>
                          <w:b/>
                          <w:bCs w:val="0"/>
                          <w:color w:val="auto"/>
                          <w:sz w:val="24"/>
                          <w:u w:val="none"/>
                          <w:lang w:eastAsia="zh-CN"/>
                        </w:rPr>
                        <w:t>时</w:t>
                      </w:r>
                      <w:r>
                        <w:rPr>
                          <w:rFonts w:hint="eastAsia" w:ascii="宋体" w:hAnsi="宋体" w:cs="宋体"/>
                          <w:b/>
                          <w:bCs w:val="0"/>
                          <w:color w:val="auto"/>
                          <w:sz w:val="24"/>
                          <w:u w:val="none"/>
                          <w:lang w:val="en-US" w:eastAsia="zh-CN"/>
                        </w:rPr>
                        <w:t>30</w:t>
                      </w:r>
                      <w:r>
                        <w:rPr>
                          <w:rFonts w:hint="eastAsia" w:ascii="宋体" w:hAnsi="宋体" w:eastAsia="宋体" w:cs="宋体"/>
                          <w:b/>
                          <w:bCs w:val="0"/>
                          <w:color w:val="auto"/>
                          <w:sz w:val="24"/>
                          <w:u w:val="none"/>
                        </w:rPr>
                        <w:t>分</w:t>
                      </w:r>
                      <w:r>
                        <w:rPr>
                          <w:rFonts w:hint="eastAsia" w:ascii="宋体" w:hAnsi="宋体" w:eastAsia="宋体" w:cs="宋体"/>
                          <w:bCs/>
                          <w:color w:val="auto"/>
                          <w:sz w:val="24"/>
                          <w:u w:val="none"/>
                        </w:rPr>
                        <w:t>（北京时间）前递交（上传）</w:t>
                      </w:r>
                      <w:r>
                        <w:rPr>
                          <w:rFonts w:hint="eastAsia" w:ascii="宋体" w:hAnsi="宋体" w:cs="宋体"/>
                          <w:bCs/>
                          <w:color w:val="auto"/>
                          <w:sz w:val="24"/>
                          <w:u w:val="none"/>
                          <w:lang w:val="en-US" w:eastAsia="zh-CN"/>
                        </w:rPr>
                        <w:t>响应</w:t>
                      </w:r>
                      <w:r>
                        <w:rPr>
                          <w:rFonts w:hint="eastAsia" w:ascii="宋体" w:hAnsi="宋体" w:eastAsia="宋体" w:cs="宋体"/>
                          <w:bCs/>
                          <w:color w:val="auto"/>
                          <w:sz w:val="24"/>
                          <w:u w:val="none"/>
                        </w:rPr>
                        <w:t>文件。</w:t>
                      </w:r>
                    </w:p>
                    <w:p w14:paraId="6F99267C">
                      <w:pPr>
                        <w:wordWrap w:val="0"/>
                        <w:spacing w:line="400" w:lineRule="exact"/>
                        <w:rPr>
                          <w:color w:val="auto"/>
                          <w:sz w:val="24"/>
                          <w:u w:val="none"/>
                        </w:rPr>
                      </w:pPr>
                    </w:p>
                  </w:txbxContent>
                </v:textbox>
              </v:shape>
            </w:pict>
          </mc:Fallback>
        </mc:AlternateContent>
      </w:r>
      <w:bookmarkStart w:id="4" w:name="_Toc80205920"/>
      <w:r>
        <w:rPr>
          <w:rFonts w:hint="eastAsia"/>
          <w:bCs w:val="0"/>
          <w:color w:val="auto"/>
          <w:kern w:val="2"/>
          <w:sz w:val="36"/>
          <w:szCs w:val="20"/>
          <w:highlight w:val="none"/>
        </w:rPr>
        <w:t>第一章 竞争性谈判公告</w:t>
      </w:r>
      <w:bookmarkEnd w:id="0"/>
      <w:bookmarkEnd w:id="1"/>
      <w:bookmarkEnd w:id="2"/>
      <w:bookmarkEnd w:id="3"/>
      <w:bookmarkEnd w:id="4"/>
      <w:bookmarkStart w:id="5" w:name="_Toc35393629"/>
      <w:bookmarkStart w:id="6" w:name="_Toc28359089"/>
      <w:bookmarkStart w:id="7" w:name="_Toc35393798"/>
      <w:bookmarkStart w:id="8" w:name="_Toc44229878"/>
      <w:bookmarkStart w:id="9" w:name="_Toc28359012"/>
      <w:bookmarkStart w:id="10" w:name="_Toc35393623"/>
      <w:bookmarkStart w:id="11" w:name="_Toc28359004"/>
      <w:bookmarkStart w:id="12" w:name="_Toc28359081"/>
      <w:bookmarkStart w:id="13" w:name="_Toc35393792"/>
    </w:p>
    <w:p w14:paraId="03371F40">
      <w:pPr>
        <w:rPr>
          <w:color w:val="auto"/>
          <w:highlight w:val="none"/>
        </w:rPr>
      </w:pPr>
    </w:p>
    <w:p w14:paraId="37FD7947">
      <w:pPr>
        <w:rPr>
          <w:color w:val="auto"/>
          <w:highlight w:val="none"/>
        </w:rPr>
      </w:pPr>
    </w:p>
    <w:p w14:paraId="15660587">
      <w:pPr>
        <w:rPr>
          <w:color w:val="auto"/>
          <w:highlight w:val="none"/>
        </w:rPr>
      </w:pPr>
    </w:p>
    <w:p w14:paraId="4B9DA860">
      <w:pPr>
        <w:rPr>
          <w:color w:val="auto"/>
          <w:highlight w:val="none"/>
        </w:rPr>
      </w:pPr>
    </w:p>
    <w:p w14:paraId="1C85D0B9">
      <w:pPr>
        <w:rPr>
          <w:color w:val="auto"/>
          <w:highlight w:val="none"/>
        </w:rPr>
      </w:pPr>
    </w:p>
    <w:p w14:paraId="345F92A9">
      <w:pPr>
        <w:rPr>
          <w:color w:val="auto"/>
          <w:highlight w:val="none"/>
        </w:rPr>
      </w:pPr>
    </w:p>
    <w:p w14:paraId="030AA24C">
      <w:pPr>
        <w:wordWrap w:val="0"/>
        <w:spacing w:line="360" w:lineRule="auto"/>
        <w:rPr>
          <w:rFonts w:ascii="黑体" w:hAnsi="黑体" w:eastAsia="黑体" w:cs="宋体"/>
          <w:bCs/>
          <w:color w:val="auto"/>
          <w:sz w:val="24"/>
          <w:highlight w:val="none"/>
        </w:rPr>
      </w:pPr>
    </w:p>
    <w:p w14:paraId="4BA136C3">
      <w:pPr>
        <w:wordWrap w:val="0"/>
        <w:spacing w:line="400" w:lineRule="exact"/>
        <w:rPr>
          <w:rFonts w:ascii="宋体" w:hAnsi="宋体" w:cs="宋体"/>
          <w:color w:val="auto"/>
          <w:sz w:val="24"/>
          <w:highlight w:val="none"/>
        </w:rPr>
      </w:pPr>
      <w:r>
        <w:rPr>
          <w:rFonts w:hint="eastAsia" w:ascii="宋体" w:hAnsi="宋体" w:cs="宋体"/>
          <w:bCs/>
          <w:color w:val="auto"/>
          <w:sz w:val="24"/>
          <w:highlight w:val="none"/>
        </w:rPr>
        <w:t>一、项目基本情况</w:t>
      </w:r>
      <w:bookmarkEnd w:id="5"/>
      <w:bookmarkEnd w:id="6"/>
      <w:bookmarkEnd w:id="7"/>
      <w:bookmarkEnd w:id="8"/>
      <w:bookmarkEnd w:id="9"/>
    </w:p>
    <w:p w14:paraId="6B5D2E5F">
      <w:pPr>
        <w:wordWrap w:val="0"/>
        <w:spacing w:line="400" w:lineRule="exact"/>
        <w:ind w:firstLine="480" w:firstLineChars="200"/>
        <w:rPr>
          <w:rFonts w:hint="eastAsia" w:ascii="宋体" w:hAnsi="宋体" w:cs="宋体"/>
          <w:bCs/>
          <w:color w:val="auto"/>
          <w:sz w:val="24"/>
          <w:highlight w:val="none"/>
          <w:lang w:val="en-US" w:eastAsia="zh-CN"/>
        </w:rPr>
      </w:pPr>
      <w:r>
        <w:rPr>
          <w:rFonts w:hint="eastAsia" w:ascii="宋体" w:hAnsi="宋体" w:cs="宋体"/>
          <w:bCs/>
          <w:color w:val="auto"/>
          <w:sz w:val="24"/>
          <w:highlight w:val="none"/>
        </w:rPr>
        <w:t>项目编号：NNZC2026-J1-090049-GXHH</w:t>
      </w:r>
      <w:r>
        <w:rPr>
          <w:rFonts w:hint="eastAsia" w:ascii="宋体" w:hAnsi="宋体" w:cs="宋体"/>
          <w:bCs/>
          <w:color w:val="auto"/>
          <w:sz w:val="24"/>
          <w:highlight w:val="none"/>
          <w:lang w:val="en-US" w:eastAsia="zh-CN"/>
        </w:rPr>
        <w:t xml:space="preserve"> </w:t>
      </w:r>
    </w:p>
    <w:p w14:paraId="11B0D6E8">
      <w:pPr>
        <w:keepNext w:val="0"/>
        <w:keepLines w:val="0"/>
        <w:pageBreakBefore w:val="0"/>
        <w:widowControl w:val="0"/>
        <w:kinsoku/>
        <w:wordWrap w:val="0"/>
        <w:overflowPunct/>
        <w:topLinePunct w:val="0"/>
        <w:autoSpaceDE/>
        <w:autoSpaceDN/>
        <w:bidi w:val="0"/>
        <w:adjustRightInd/>
        <w:snapToGrid/>
        <w:ind w:firstLine="480" w:firstLineChars="200"/>
        <w:textAlignment w:val="auto"/>
        <w:rPr>
          <w:rFonts w:hint="eastAsia" w:ascii="宋体" w:hAnsi="宋体" w:cs="宋体"/>
          <w:bCs/>
          <w:color w:val="auto"/>
          <w:sz w:val="24"/>
          <w:highlight w:val="none"/>
          <w:lang w:val="en-US" w:eastAsia="zh-CN"/>
        </w:rPr>
      </w:pPr>
      <w:r>
        <w:rPr>
          <w:rFonts w:hint="eastAsia" w:ascii="宋体" w:hAnsi="宋体" w:cs="宋体"/>
          <w:bCs/>
          <w:color w:val="auto"/>
          <w:sz w:val="24"/>
          <w:highlight w:val="none"/>
        </w:rPr>
        <w:t>采购计划编号：</w:t>
      </w:r>
      <w:r>
        <w:rPr>
          <w:rFonts w:hint="eastAsia" w:ascii="宋体" w:hAnsi="宋体" w:cs="宋体"/>
          <w:bCs/>
          <w:color w:val="auto"/>
          <w:sz w:val="24"/>
          <w:highlight w:val="none"/>
          <w:lang w:val="en-US" w:eastAsia="zh-CN"/>
        </w:rPr>
        <w:t xml:space="preserve">YNZC2026-J1-00658-001、YNZC2026-J1-00658-002 </w:t>
      </w:r>
    </w:p>
    <w:p w14:paraId="429D9BAA">
      <w:pPr>
        <w:wordWrap w:val="0"/>
        <w:spacing w:line="400" w:lineRule="exact"/>
        <w:ind w:firstLine="480" w:firstLineChars="200"/>
        <w:rPr>
          <w:rFonts w:hint="eastAsia" w:ascii="宋体" w:hAnsi="宋体" w:cs="宋体"/>
          <w:b/>
          <w:bCs/>
          <w:color w:val="auto"/>
          <w:kern w:val="2"/>
          <w:sz w:val="24"/>
          <w:szCs w:val="24"/>
          <w:highlight w:val="none"/>
          <w:u w:val="none"/>
          <w:lang w:val="en-US" w:eastAsia="zh-CN" w:bidi="ar-SA"/>
        </w:rPr>
      </w:pPr>
      <w:r>
        <w:rPr>
          <w:rFonts w:hint="eastAsia" w:ascii="宋体" w:hAnsi="宋体" w:cs="宋体"/>
          <w:color w:val="auto"/>
          <w:sz w:val="24"/>
          <w:highlight w:val="none"/>
        </w:rPr>
        <w:t>项目名称：</w:t>
      </w:r>
      <w:r>
        <w:rPr>
          <w:rFonts w:hint="eastAsia" w:ascii="宋体" w:hAnsi="宋体" w:cs="宋体"/>
          <w:b/>
          <w:bCs/>
          <w:color w:val="auto"/>
          <w:kern w:val="2"/>
          <w:sz w:val="24"/>
          <w:szCs w:val="24"/>
          <w:highlight w:val="none"/>
          <w:u w:val="none"/>
          <w:lang w:val="en-US" w:eastAsia="zh-CN" w:bidi="ar-SA"/>
        </w:rPr>
        <w:t>乡村小规模学校和乡镇寄宿制学校教室宿舍设施设备更新改造项目设备采购</w:t>
      </w:r>
    </w:p>
    <w:p w14:paraId="0F8925DA">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预算金额：</w:t>
      </w:r>
      <w:r>
        <w:rPr>
          <w:rFonts w:hint="eastAsia" w:ascii="宋体" w:hAnsi="宋体" w:cs="宋体"/>
          <w:b/>
          <w:bCs/>
          <w:color w:val="auto"/>
          <w:sz w:val="24"/>
          <w:highlight w:val="none"/>
          <w:u w:val="none"/>
        </w:rPr>
        <w:t>1581405.00元</w:t>
      </w:r>
    </w:p>
    <w:p w14:paraId="7202E3DB">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最高限价：</w:t>
      </w:r>
      <w:r>
        <w:rPr>
          <w:rFonts w:hint="eastAsia" w:ascii="宋体" w:hAnsi="宋体" w:cs="宋体"/>
          <w:b/>
          <w:bCs/>
          <w:color w:val="auto"/>
          <w:sz w:val="24"/>
          <w:highlight w:val="none"/>
          <w:u w:val="none"/>
        </w:rPr>
        <w:t>1581405.00元</w:t>
      </w:r>
    </w:p>
    <w:p w14:paraId="53644BF7">
      <w:pPr>
        <w:spacing w:line="360" w:lineRule="auto"/>
        <w:ind w:firstLine="480" w:firstLineChars="200"/>
        <w:rPr>
          <w:rFonts w:hint="eastAsia" w:ascii="宋体" w:hAnsi="宋体"/>
          <w:color w:val="auto"/>
          <w:szCs w:val="21"/>
          <w:highlight w:val="none"/>
        </w:rPr>
      </w:pPr>
      <w:r>
        <w:rPr>
          <w:rFonts w:hint="eastAsia" w:ascii="宋体" w:hAnsi="宋体" w:cs="宋体"/>
          <w:color w:val="auto"/>
          <w:sz w:val="24"/>
          <w:highlight w:val="none"/>
        </w:rPr>
        <w:t>采购需求：</w:t>
      </w:r>
    </w:p>
    <w:tbl>
      <w:tblPr>
        <w:tblStyle w:val="32"/>
        <w:tblW w:w="93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20"/>
        <w:gridCol w:w="720"/>
        <w:gridCol w:w="675"/>
        <w:gridCol w:w="3189"/>
        <w:gridCol w:w="1897"/>
      </w:tblGrid>
      <w:tr w14:paraId="2971B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040819BA">
            <w:pPr>
              <w:snapToGrid w:val="0"/>
              <w:spacing w:line="360" w:lineRule="auto"/>
              <w:jc w:val="left"/>
              <w:rPr>
                <w:rFonts w:ascii="宋体" w:hAnsi="宋体"/>
                <w:color w:val="auto"/>
                <w:sz w:val="24"/>
                <w:szCs w:val="24"/>
                <w:highlight w:val="none"/>
              </w:rPr>
            </w:pPr>
            <w:r>
              <w:rPr>
                <w:rFonts w:hint="eastAsia" w:ascii="宋体" w:hAnsi="宋体"/>
                <w:color w:val="auto"/>
                <w:sz w:val="24"/>
                <w:szCs w:val="24"/>
                <w:highlight w:val="none"/>
              </w:rPr>
              <w:t>序号</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7BDA85D5">
            <w:pPr>
              <w:snapToGrid w:val="0"/>
              <w:spacing w:line="360" w:lineRule="auto"/>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货物名称</w:t>
            </w:r>
          </w:p>
          <w:p w14:paraId="08E20786">
            <w:pPr>
              <w:snapToGrid w:val="0"/>
              <w:spacing w:line="360" w:lineRule="auto"/>
              <w:jc w:val="center"/>
              <w:rPr>
                <w:rFonts w:hint="default" w:ascii="宋体" w:hAnsi="宋体"/>
                <w:color w:val="auto"/>
                <w:sz w:val="24"/>
                <w:szCs w:val="24"/>
                <w:highlight w:val="none"/>
                <w:lang w:val="en-US" w:eastAsia="zh-CN"/>
              </w:rPr>
            </w:pPr>
            <w:r>
              <w:rPr>
                <w:rFonts w:hint="eastAsia" w:cs="宋体" w:asciiTheme="minorEastAsia" w:hAnsiTheme="minorEastAsia"/>
                <w:bCs/>
                <w:color w:val="auto"/>
                <w:szCs w:val="21"/>
                <w:highlight w:val="none"/>
                <w:lang w:val="en-US" w:eastAsia="zh-CN"/>
              </w:rPr>
              <w:t>(标的名称)</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8D5C4CE">
            <w:pPr>
              <w:snapToGrid w:val="0"/>
              <w:spacing w:line="360" w:lineRule="auto"/>
              <w:ind w:left="-2" w:leftChars="-1" w:firstLine="36" w:firstLineChars="15"/>
              <w:jc w:val="center"/>
              <w:rPr>
                <w:rFonts w:ascii="宋体" w:hAnsi="宋体"/>
                <w:color w:val="auto"/>
                <w:sz w:val="24"/>
                <w:szCs w:val="24"/>
                <w:highlight w:val="none"/>
              </w:rPr>
            </w:pPr>
            <w:r>
              <w:rPr>
                <w:rFonts w:hint="eastAsia" w:ascii="宋体" w:hAnsi="宋体"/>
                <w:color w:val="auto"/>
                <w:sz w:val="24"/>
                <w:szCs w:val="24"/>
                <w:highlight w:val="none"/>
              </w:rPr>
              <w:t>数量</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B7A2F41">
            <w:pPr>
              <w:snapToGrid w:val="0"/>
              <w:spacing w:line="360" w:lineRule="auto"/>
              <w:jc w:val="center"/>
              <w:rPr>
                <w:rFonts w:ascii="宋体" w:hAnsi="宋体"/>
                <w:color w:val="auto"/>
                <w:sz w:val="24"/>
                <w:szCs w:val="24"/>
                <w:highlight w:val="none"/>
              </w:rPr>
            </w:pPr>
            <w:r>
              <w:rPr>
                <w:rFonts w:hint="eastAsia" w:ascii="宋体" w:hAnsi="宋体"/>
                <w:color w:val="auto"/>
                <w:sz w:val="24"/>
                <w:szCs w:val="24"/>
                <w:highlight w:val="none"/>
              </w:rPr>
              <w:t>单位</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5AD9F7E2">
            <w:pPr>
              <w:snapToGrid w:val="0"/>
              <w:spacing w:line="360" w:lineRule="auto"/>
              <w:jc w:val="left"/>
              <w:rPr>
                <w:rFonts w:ascii="宋体" w:hAnsi="宋体"/>
                <w:color w:val="auto"/>
                <w:sz w:val="24"/>
                <w:szCs w:val="24"/>
                <w:highlight w:val="none"/>
              </w:rPr>
            </w:pPr>
            <w:r>
              <w:rPr>
                <w:rFonts w:hint="eastAsia" w:ascii="宋体" w:hAnsi="宋体"/>
                <w:color w:val="auto"/>
                <w:sz w:val="24"/>
                <w:szCs w:val="24"/>
                <w:highlight w:val="none"/>
              </w:rPr>
              <w:t>简要技术需求或者服务要求</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45AB02DE">
            <w:pPr>
              <w:snapToGrid w:val="0"/>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rPr>
              <w:t>分项采购预算（元）</w:t>
            </w:r>
          </w:p>
        </w:tc>
      </w:tr>
      <w:tr w14:paraId="6729F4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3586EA2">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1</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574F101F">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小学教室门</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726CA24">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2772F33C">
            <w:pPr>
              <w:widowControl/>
              <w:jc w:val="center"/>
              <w:textAlignment w:val="center"/>
              <w:rPr>
                <w:rFonts w:hint="eastAsia" w:ascii="宋体" w:hAnsi="宋体" w:eastAsia="宋体"/>
                <w:color w:val="auto"/>
                <w:sz w:val="24"/>
                <w:szCs w:val="24"/>
                <w:highlight w:val="none"/>
                <w:lang w:eastAsia="zh-CN"/>
              </w:rPr>
            </w:pPr>
            <w:r>
              <w:rPr>
                <w:rFonts w:hint="eastAsia" w:cs="宋体" w:asciiTheme="minorEastAsia" w:hAnsiTheme="minorEastAsia"/>
                <w:color w:val="auto"/>
                <w:kern w:val="0"/>
                <w:szCs w:val="21"/>
                <w:highlight w:val="none"/>
                <w:lang w:val="en-US" w:eastAsia="zh-CN"/>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169DD177">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详见第二章货物需求一览表</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7E81DE12">
            <w:pPr>
              <w:widowControl/>
              <w:jc w:val="center"/>
              <w:textAlignment w:val="center"/>
              <w:rPr>
                <w:rFonts w:hint="default" w:ascii="宋体" w:hAnsi="宋体" w:eastAsia="宋体" w:cs="宋体"/>
                <w:color w:val="auto"/>
                <w:sz w:val="24"/>
                <w:szCs w:val="24"/>
                <w:highlight w:val="none"/>
                <w:lang w:val="en-US" w:eastAsia="zh-CN"/>
              </w:rPr>
            </w:pPr>
            <w:r>
              <w:rPr>
                <w:rFonts w:hint="eastAsia" w:cs="宋体" w:asciiTheme="minorEastAsia" w:hAnsiTheme="minorEastAsia"/>
                <w:color w:val="auto"/>
                <w:kern w:val="0"/>
                <w:szCs w:val="21"/>
                <w:highlight w:val="none"/>
              </w:rPr>
              <w:t>240000</w:t>
            </w:r>
            <w:r>
              <w:rPr>
                <w:rFonts w:hint="eastAsia" w:cs="宋体" w:asciiTheme="minorEastAsia" w:hAnsiTheme="minorEastAsia"/>
                <w:color w:val="auto"/>
                <w:kern w:val="0"/>
                <w:szCs w:val="21"/>
                <w:highlight w:val="none"/>
                <w:lang w:val="en-US" w:eastAsia="zh-CN"/>
              </w:rPr>
              <w:t>.00</w:t>
            </w:r>
          </w:p>
        </w:tc>
      </w:tr>
      <w:tr w14:paraId="61CFA7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1DC07ADA">
            <w:pPr>
              <w:widowControl/>
              <w:jc w:val="center"/>
              <w:textAlignment w:val="center"/>
              <w:rPr>
                <w:rFonts w:hint="default"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2</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1154D2CD">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初中教室门</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609EA80">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bCs/>
                <w:color w:val="auto"/>
                <w:szCs w:val="21"/>
                <w:highlight w:val="none"/>
              </w:rPr>
              <w:t>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541828BF">
            <w:pPr>
              <w:widowControl/>
              <w:jc w:val="center"/>
              <w:textAlignment w:val="center"/>
              <w:rPr>
                <w:rFonts w:hint="eastAsia" w:ascii="宋体" w:hAnsi="宋体" w:eastAsia="宋体"/>
                <w:color w:val="auto"/>
                <w:sz w:val="24"/>
                <w:szCs w:val="24"/>
                <w:highlight w:val="none"/>
                <w:lang w:val="en-US" w:eastAsia="zh-CN"/>
              </w:rPr>
            </w:pPr>
            <w:r>
              <w:rPr>
                <w:rFonts w:hint="eastAsia" w:cs="宋体" w:asciiTheme="minorEastAsia" w:hAnsiTheme="minorEastAsia"/>
                <w:bCs/>
                <w:color w:val="auto"/>
                <w:szCs w:val="21"/>
                <w:highlight w:val="none"/>
                <w:lang w:val="en-US" w:eastAsia="zh-CN"/>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3A5A99E4">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详见第二章货物需求一览表</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56869B56">
            <w:pPr>
              <w:widowControl/>
              <w:jc w:val="center"/>
              <w:textAlignment w:val="center"/>
              <w:rPr>
                <w:rFonts w:hint="default" w:ascii="宋体" w:hAnsi="宋体" w:eastAsia="宋体" w:cs="宋体"/>
                <w:color w:val="auto"/>
                <w:sz w:val="24"/>
                <w:szCs w:val="24"/>
                <w:highlight w:val="none"/>
                <w:lang w:val="en-US" w:eastAsia="zh-CN"/>
              </w:rPr>
            </w:pPr>
            <w:r>
              <w:rPr>
                <w:rFonts w:hint="eastAsia" w:cs="宋体" w:asciiTheme="minorEastAsia" w:hAnsiTheme="minorEastAsia"/>
                <w:color w:val="auto"/>
                <w:kern w:val="0"/>
                <w:szCs w:val="21"/>
                <w:highlight w:val="none"/>
              </w:rPr>
              <w:t>70000</w:t>
            </w:r>
            <w:r>
              <w:rPr>
                <w:rFonts w:hint="eastAsia" w:cs="宋体" w:asciiTheme="minorEastAsia" w:hAnsiTheme="minorEastAsia"/>
                <w:color w:val="auto"/>
                <w:kern w:val="0"/>
                <w:szCs w:val="21"/>
                <w:highlight w:val="none"/>
                <w:lang w:val="en-US" w:eastAsia="zh-CN"/>
              </w:rPr>
              <w:t>.00</w:t>
            </w:r>
          </w:p>
        </w:tc>
      </w:tr>
      <w:tr w14:paraId="264E8B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43A9FDC2">
            <w:pPr>
              <w:jc w:val="center"/>
              <w:rPr>
                <w:rFonts w:hint="default"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bCs/>
                <w:color w:val="auto"/>
                <w:szCs w:val="21"/>
                <w:highlight w:val="none"/>
                <w:lang w:val="en-US" w:eastAsia="zh-CN"/>
              </w:rPr>
              <w:t>3</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3522D205">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小学学生宿舍门</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0748F06">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10952043">
            <w:pPr>
              <w:widowControl/>
              <w:jc w:val="center"/>
              <w:textAlignment w:val="center"/>
              <w:rPr>
                <w:rFonts w:hint="eastAsia" w:ascii="宋体" w:hAnsi="宋体" w:eastAsia="宋体"/>
                <w:color w:val="auto"/>
                <w:sz w:val="24"/>
                <w:szCs w:val="24"/>
                <w:highlight w:val="none"/>
                <w:lang w:val="en-US" w:eastAsia="zh-CN"/>
              </w:rPr>
            </w:pPr>
            <w:r>
              <w:rPr>
                <w:rFonts w:hint="eastAsia" w:cs="宋体" w:asciiTheme="minorEastAsia" w:hAnsiTheme="minorEastAsia"/>
                <w:color w:val="auto"/>
                <w:kern w:val="0"/>
                <w:szCs w:val="21"/>
                <w:highlight w:val="none"/>
                <w:lang w:val="en-US" w:eastAsia="zh-CN"/>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30A05F1F">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详见第二章货物需求一览表</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0DC39FD0">
            <w:pPr>
              <w:widowControl/>
              <w:jc w:val="center"/>
              <w:textAlignment w:val="center"/>
              <w:rPr>
                <w:rFonts w:hint="default" w:ascii="宋体" w:hAnsi="宋体" w:eastAsia="宋体" w:cs="宋体"/>
                <w:color w:val="auto"/>
                <w:sz w:val="24"/>
                <w:szCs w:val="24"/>
                <w:highlight w:val="none"/>
                <w:lang w:val="en-US" w:eastAsia="zh-CN"/>
              </w:rPr>
            </w:pPr>
            <w:r>
              <w:rPr>
                <w:rFonts w:hint="eastAsia" w:cs="宋体" w:asciiTheme="minorEastAsia" w:hAnsiTheme="minorEastAsia"/>
                <w:color w:val="auto"/>
                <w:kern w:val="0"/>
                <w:szCs w:val="21"/>
                <w:highlight w:val="none"/>
              </w:rPr>
              <w:t>230000</w:t>
            </w:r>
            <w:r>
              <w:rPr>
                <w:rFonts w:hint="eastAsia" w:cs="宋体" w:asciiTheme="minorEastAsia" w:hAnsiTheme="minorEastAsia"/>
                <w:color w:val="auto"/>
                <w:kern w:val="0"/>
                <w:szCs w:val="21"/>
                <w:highlight w:val="none"/>
                <w:lang w:val="en-US" w:eastAsia="zh-CN"/>
              </w:rPr>
              <w:t>.00</w:t>
            </w:r>
          </w:p>
        </w:tc>
      </w:tr>
      <w:tr w14:paraId="4A19D5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2A1B4B3">
            <w:pPr>
              <w:jc w:val="center"/>
              <w:rPr>
                <w:rFonts w:hint="default"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bCs/>
                <w:color w:val="auto"/>
                <w:szCs w:val="21"/>
                <w:highlight w:val="none"/>
                <w:lang w:val="en-US" w:eastAsia="zh-CN"/>
              </w:rPr>
              <w:t>4</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172EC638">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初中学生宿舍门</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44E763C8">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bCs/>
                <w:color w:val="auto"/>
                <w:szCs w:val="21"/>
                <w:highlight w:val="none"/>
              </w:rPr>
              <w:t>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4B428ECE">
            <w:pPr>
              <w:widowControl/>
              <w:jc w:val="center"/>
              <w:textAlignment w:val="center"/>
              <w:rPr>
                <w:rFonts w:hint="eastAsia" w:ascii="宋体" w:hAnsi="宋体" w:eastAsia="宋体"/>
                <w:color w:val="auto"/>
                <w:sz w:val="24"/>
                <w:szCs w:val="24"/>
                <w:highlight w:val="none"/>
                <w:lang w:val="en-US" w:eastAsia="zh-CN"/>
              </w:rPr>
            </w:pPr>
            <w:r>
              <w:rPr>
                <w:rFonts w:hint="eastAsia" w:cs="宋体" w:asciiTheme="minorEastAsia" w:hAnsiTheme="minorEastAsia"/>
                <w:bCs/>
                <w:color w:val="auto"/>
                <w:szCs w:val="21"/>
                <w:highlight w:val="none"/>
                <w:lang w:val="en-US" w:eastAsia="zh-CN"/>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4CBFDDB6">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详见第二章货物需求一览表</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17F7C011">
            <w:pPr>
              <w:widowControl/>
              <w:jc w:val="center"/>
              <w:textAlignment w:val="center"/>
              <w:rPr>
                <w:rFonts w:hint="default" w:ascii="宋体" w:hAnsi="宋体" w:eastAsia="宋体" w:cs="宋体"/>
                <w:color w:val="auto"/>
                <w:sz w:val="24"/>
                <w:szCs w:val="24"/>
                <w:highlight w:val="none"/>
                <w:lang w:val="en-US" w:eastAsia="zh-CN"/>
              </w:rPr>
            </w:pPr>
            <w:r>
              <w:rPr>
                <w:rFonts w:hint="eastAsia" w:cs="宋体" w:asciiTheme="minorEastAsia" w:hAnsiTheme="minorEastAsia"/>
                <w:color w:val="auto"/>
                <w:kern w:val="0"/>
                <w:szCs w:val="21"/>
                <w:highlight w:val="none"/>
              </w:rPr>
              <w:t>256405</w:t>
            </w:r>
            <w:r>
              <w:rPr>
                <w:rFonts w:hint="eastAsia" w:cs="宋体" w:asciiTheme="minorEastAsia" w:hAnsiTheme="minorEastAsia"/>
                <w:color w:val="auto"/>
                <w:kern w:val="0"/>
                <w:szCs w:val="21"/>
                <w:highlight w:val="none"/>
                <w:lang w:val="en-US" w:eastAsia="zh-CN"/>
              </w:rPr>
              <w:t>.00</w:t>
            </w:r>
          </w:p>
        </w:tc>
      </w:tr>
      <w:tr w14:paraId="5AE3B9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E4752E3">
            <w:pPr>
              <w:jc w:val="center"/>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09286C95">
            <w:pPr>
              <w:widowControl/>
              <w:jc w:val="center"/>
              <w:textAlignment w:val="center"/>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学生宿舍卫生间门</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37E27A66">
            <w:pPr>
              <w:widowControl/>
              <w:jc w:val="center"/>
              <w:textAlignment w:val="center"/>
              <w:rPr>
                <w:rFonts w:hint="eastAsia"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C381A91">
            <w:pPr>
              <w:widowControl/>
              <w:jc w:val="center"/>
              <w:textAlignment w:val="center"/>
              <w:rPr>
                <w:rFonts w:hint="eastAsia" w:eastAsia="宋体" w:cs="宋体" w:asciiTheme="minorEastAsia" w:hAnsiTheme="minorEastAsia"/>
                <w:color w:val="auto"/>
                <w:kern w:val="0"/>
                <w:szCs w:val="21"/>
                <w:highlight w:val="none"/>
                <w:lang w:eastAsia="zh-CN"/>
              </w:rPr>
            </w:pPr>
            <w:r>
              <w:rPr>
                <w:rFonts w:hint="eastAsia" w:cs="宋体" w:asciiTheme="minorEastAsia" w:hAnsiTheme="minorEastAsia"/>
                <w:color w:val="auto"/>
                <w:kern w:val="0"/>
                <w:szCs w:val="21"/>
                <w:highlight w:val="none"/>
                <w:lang w:val="en-US" w:eastAsia="zh-CN"/>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495639CA">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详见第二章货物需求一览表</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31AAA191">
            <w:pPr>
              <w:widowControl/>
              <w:jc w:val="center"/>
              <w:textAlignment w:val="center"/>
              <w:rPr>
                <w:rFonts w:hint="default" w:ascii="宋体" w:hAnsi="宋体" w:eastAsia="宋体" w:cs="宋体"/>
                <w:color w:val="auto"/>
                <w:sz w:val="24"/>
                <w:szCs w:val="24"/>
                <w:highlight w:val="none"/>
                <w:lang w:val="en-US" w:eastAsia="zh-CN"/>
              </w:rPr>
            </w:pPr>
            <w:r>
              <w:rPr>
                <w:rFonts w:hint="eastAsia" w:cs="宋体" w:asciiTheme="minorEastAsia" w:hAnsiTheme="minorEastAsia"/>
                <w:color w:val="auto"/>
                <w:kern w:val="0"/>
                <w:szCs w:val="21"/>
                <w:highlight w:val="none"/>
              </w:rPr>
              <w:t>220000</w:t>
            </w:r>
            <w:r>
              <w:rPr>
                <w:rFonts w:hint="eastAsia" w:cs="宋体" w:asciiTheme="minorEastAsia" w:hAnsiTheme="minorEastAsia"/>
                <w:color w:val="auto"/>
                <w:kern w:val="0"/>
                <w:szCs w:val="21"/>
                <w:highlight w:val="none"/>
                <w:lang w:val="en-US" w:eastAsia="zh-CN"/>
              </w:rPr>
              <w:t>.00</w:t>
            </w:r>
          </w:p>
        </w:tc>
      </w:tr>
      <w:tr w14:paraId="53AAD0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079378D7">
            <w:pPr>
              <w:widowControl/>
              <w:jc w:val="center"/>
              <w:textAlignment w:val="center"/>
              <w:rPr>
                <w:rFonts w:hint="eastAsia" w:cs="宋体" w:asciiTheme="minorEastAsia" w:hAnsiTheme="minorEastAsia"/>
                <w:bCs/>
                <w:color w:val="auto"/>
                <w:szCs w:val="21"/>
                <w:highlight w:val="none"/>
                <w:lang w:val="en-US" w:eastAsia="zh-CN"/>
              </w:rPr>
            </w:pPr>
            <w:r>
              <w:rPr>
                <w:rFonts w:hint="eastAsia" w:cs="宋体" w:asciiTheme="minorEastAsia" w:hAnsiTheme="minorEastAsia"/>
                <w:color w:val="auto"/>
                <w:kern w:val="0"/>
                <w:szCs w:val="21"/>
                <w:highlight w:val="none"/>
                <w:lang w:val="en-US" w:eastAsia="zh-CN"/>
              </w:rPr>
              <w:t>6</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02A942FF">
            <w:pPr>
              <w:widowControl/>
              <w:jc w:val="center"/>
              <w:textAlignment w:val="center"/>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教室窗</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1B0B5319">
            <w:pPr>
              <w:widowControl/>
              <w:jc w:val="center"/>
              <w:textAlignment w:val="center"/>
              <w:rPr>
                <w:rFonts w:hint="eastAsia"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53BD1BD1">
            <w:pPr>
              <w:widowControl/>
              <w:jc w:val="center"/>
              <w:textAlignment w:val="center"/>
              <w:rPr>
                <w:rFonts w:hint="eastAsia" w:eastAsia="宋体" w:cs="宋体" w:asciiTheme="minorEastAsia" w:hAnsiTheme="minorEastAsia"/>
                <w:color w:val="auto"/>
                <w:kern w:val="0"/>
                <w:szCs w:val="21"/>
                <w:highlight w:val="none"/>
                <w:lang w:eastAsia="zh-CN"/>
              </w:rPr>
            </w:pPr>
            <w:r>
              <w:rPr>
                <w:rFonts w:hint="eastAsia" w:cs="宋体" w:asciiTheme="minorEastAsia" w:hAnsiTheme="minorEastAsia"/>
                <w:color w:val="auto"/>
                <w:kern w:val="0"/>
                <w:szCs w:val="21"/>
                <w:highlight w:val="none"/>
                <w:lang w:val="en-US" w:eastAsia="zh-CN"/>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64BCCD2D">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详见第二章货物需求一览表</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02F1F8C8">
            <w:pPr>
              <w:widowControl/>
              <w:jc w:val="center"/>
              <w:textAlignment w:val="center"/>
              <w:rPr>
                <w:rFonts w:hint="default" w:ascii="宋体" w:hAnsi="宋体" w:eastAsia="宋体" w:cs="宋体"/>
                <w:color w:val="auto"/>
                <w:sz w:val="24"/>
                <w:szCs w:val="24"/>
                <w:highlight w:val="none"/>
                <w:lang w:val="en-US" w:eastAsia="zh-CN"/>
              </w:rPr>
            </w:pPr>
            <w:r>
              <w:rPr>
                <w:rFonts w:hint="eastAsia" w:cs="宋体" w:asciiTheme="minorEastAsia" w:hAnsiTheme="minorEastAsia"/>
                <w:color w:val="auto"/>
                <w:kern w:val="0"/>
                <w:szCs w:val="21"/>
                <w:highlight w:val="none"/>
              </w:rPr>
              <w:t>430000</w:t>
            </w:r>
            <w:r>
              <w:rPr>
                <w:rFonts w:hint="eastAsia" w:cs="宋体" w:asciiTheme="minorEastAsia" w:hAnsiTheme="minorEastAsia"/>
                <w:color w:val="auto"/>
                <w:kern w:val="0"/>
                <w:szCs w:val="21"/>
                <w:highlight w:val="none"/>
                <w:lang w:val="en-US" w:eastAsia="zh-CN"/>
              </w:rPr>
              <w:t>.00</w:t>
            </w:r>
          </w:p>
        </w:tc>
      </w:tr>
      <w:tr w14:paraId="5DDD6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23B46A6D">
            <w:pPr>
              <w:jc w:val="center"/>
              <w:rPr>
                <w:rFonts w:hint="default"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bCs/>
                <w:color w:val="auto"/>
                <w:szCs w:val="21"/>
                <w:highlight w:val="none"/>
              </w:rPr>
              <w:t>7</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09C9DF74">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color w:val="auto"/>
                <w:kern w:val="0"/>
                <w:szCs w:val="21"/>
                <w:highlight w:val="none"/>
              </w:rPr>
              <w:t>学生宿舍窗</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0C64C505">
            <w:pPr>
              <w:widowControl/>
              <w:jc w:val="center"/>
              <w:textAlignment w:val="center"/>
              <w:rPr>
                <w:rFonts w:hint="eastAsia" w:asciiTheme="minorEastAsia" w:hAnsiTheme="minorEastAsia" w:eastAsiaTheme="minorEastAsia" w:cstheme="minorEastAsia"/>
                <w:bCs/>
                <w:color w:val="auto"/>
                <w:sz w:val="24"/>
                <w:szCs w:val="24"/>
                <w:highlight w:val="none"/>
                <w:lang w:val="en-US" w:eastAsia="zh-CN"/>
              </w:rPr>
            </w:pPr>
            <w:r>
              <w:rPr>
                <w:rFonts w:hint="eastAsia" w:cs="宋体" w:asciiTheme="minorEastAsia" w:hAnsiTheme="minorEastAsia"/>
                <w:bCs/>
                <w:color w:val="auto"/>
                <w:szCs w:val="21"/>
                <w:highlight w:val="none"/>
              </w:rPr>
              <w:t>批</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0D6F085A">
            <w:pPr>
              <w:widowControl/>
              <w:jc w:val="center"/>
              <w:textAlignment w:val="center"/>
              <w:rPr>
                <w:rFonts w:hint="eastAsia" w:ascii="宋体" w:hAnsi="宋体" w:eastAsia="宋体"/>
                <w:color w:val="auto"/>
                <w:sz w:val="24"/>
                <w:szCs w:val="24"/>
                <w:highlight w:val="none"/>
                <w:lang w:val="en-US" w:eastAsia="zh-CN"/>
              </w:rPr>
            </w:pPr>
            <w:r>
              <w:rPr>
                <w:rFonts w:hint="eastAsia" w:cs="宋体" w:asciiTheme="minorEastAsia" w:hAnsiTheme="minorEastAsia"/>
                <w:bCs/>
                <w:color w:val="auto"/>
                <w:szCs w:val="21"/>
                <w:highlight w:val="none"/>
                <w:lang w:val="en-US" w:eastAsia="zh-CN"/>
              </w:rPr>
              <w:t>1</w:t>
            </w:r>
          </w:p>
        </w:tc>
        <w:tc>
          <w:tcPr>
            <w:tcW w:w="3189" w:type="dxa"/>
            <w:tcBorders>
              <w:top w:val="single" w:color="auto" w:sz="4" w:space="0"/>
              <w:left w:val="single" w:color="auto" w:sz="4" w:space="0"/>
              <w:bottom w:val="single" w:color="auto" w:sz="4" w:space="0"/>
              <w:right w:val="single" w:color="auto" w:sz="4" w:space="0"/>
            </w:tcBorders>
            <w:noWrap w:val="0"/>
            <w:vAlign w:val="center"/>
          </w:tcPr>
          <w:p w14:paraId="79810AD5">
            <w:pPr>
              <w:widowControl/>
              <w:jc w:val="center"/>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详见第二章货物需求一览表</w:t>
            </w:r>
          </w:p>
        </w:tc>
        <w:tc>
          <w:tcPr>
            <w:tcW w:w="1897" w:type="dxa"/>
            <w:tcBorders>
              <w:top w:val="single" w:color="auto" w:sz="4" w:space="0"/>
              <w:left w:val="single" w:color="auto" w:sz="4" w:space="0"/>
              <w:bottom w:val="single" w:color="auto" w:sz="4" w:space="0"/>
              <w:right w:val="single" w:color="auto" w:sz="4" w:space="0"/>
            </w:tcBorders>
            <w:noWrap w:val="0"/>
            <w:vAlign w:val="center"/>
          </w:tcPr>
          <w:p w14:paraId="687A9CE0">
            <w:pPr>
              <w:widowControl/>
              <w:jc w:val="center"/>
              <w:textAlignment w:val="center"/>
              <w:rPr>
                <w:rFonts w:hint="default" w:ascii="宋体" w:hAnsi="宋体" w:eastAsia="宋体" w:cs="宋体"/>
                <w:color w:val="auto"/>
                <w:sz w:val="24"/>
                <w:szCs w:val="24"/>
                <w:highlight w:val="none"/>
                <w:lang w:val="en-US" w:eastAsia="zh-CN"/>
              </w:rPr>
            </w:pPr>
            <w:r>
              <w:rPr>
                <w:rFonts w:hint="eastAsia" w:cs="宋体" w:asciiTheme="minorEastAsia" w:hAnsiTheme="minorEastAsia"/>
                <w:color w:val="auto"/>
                <w:kern w:val="0"/>
                <w:szCs w:val="21"/>
                <w:highlight w:val="none"/>
              </w:rPr>
              <w:t>135000</w:t>
            </w:r>
            <w:r>
              <w:rPr>
                <w:rFonts w:hint="eastAsia" w:cs="宋体" w:asciiTheme="minorEastAsia" w:hAnsiTheme="minorEastAsia"/>
                <w:color w:val="auto"/>
                <w:kern w:val="0"/>
                <w:szCs w:val="21"/>
                <w:highlight w:val="none"/>
                <w:lang w:val="en-US" w:eastAsia="zh-CN"/>
              </w:rPr>
              <w:t>.00</w:t>
            </w:r>
          </w:p>
        </w:tc>
      </w:tr>
    </w:tbl>
    <w:p w14:paraId="248BCB16">
      <w:pPr>
        <w:keepNext w:val="0"/>
        <w:keepLines w:val="0"/>
        <w:pageBreakBefore w:val="0"/>
        <w:widowControl w:val="0"/>
        <w:kinsoku/>
        <w:overflowPunct/>
        <w:topLinePunct w:val="0"/>
        <w:autoSpaceDE/>
        <w:autoSpaceDN/>
        <w:bidi w:val="0"/>
        <w:adjustRightInd/>
        <w:spacing w:line="480" w:lineRule="exact"/>
        <w:ind w:firstLine="480" w:firstLineChars="200"/>
        <w:textAlignment w:val="auto"/>
        <w:rPr>
          <w:rFonts w:ascii="宋体" w:hAnsi="宋体" w:cs="宋体"/>
          <w:color w:val="auto"/>
          <w:sz w:val="24"/>
          <w:szCs w:val="24"/>
          <w:highlight w:val="none"/>
          <w:u w:val="none"/>
        </w:rPr>
      </w:pPr>
      <w:r>
        <w:rPr>
          <w:rFonts w:hint="eastAsia" w:ascii="宋体" w:hAnsi="宋体" w:eastAsia="宋体" w:cs="宋体"/>
          <w:color w:val="auto"/>
          <w:sz w:val="24"/>
          <w:szCs w:val="24"/>
          <w:highlight w:val="none"/>
        </w:rPr>
        <w:t>合同履行期限</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交货期</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cs="宋体" w:asciiTheme="minorEastAsia" w:hAnsiTheme="minorEastAsia"/>
          <w:color w:val="auto"/>
          <w:kern w:val="0"/>
          <w:szCs w:val="21"/>
          <w:highlight w:val="none"/>
        </w:rPr>
        <w:t>自合同签订之日起</w:t>
      </w:r>
      <w:r>
        <w:rPr>
          <w:rFonts w:hint="eastAsia" w:cs="宋体" w:asciiTheme="minorEastAsia" w:hAnsiTheme="minorEastAsia"/>
          <w:color w:val="auto"/>
          <w:kern w:val="0"/>
          <w:szCs w:val="21"/>
          <w:highlight w:val="none"/>
          <w:lang w:val="en-US" w:eastAsia="zh-CN"/>
        </w:rPr>
        <w:t>25</w:t>
      </w:r>
      <w:r>
        <w:rPr>
          <w:rFonts w:hint="eastAsia" w:cs="宋体" w:asciiTheme="minorEastAsia" w:hAnsiTheme="minorEastAsia"/>
          <w:color w:val="auto"/>
          <w:kern w:val="0"/>
          <w:szCs w:val="21"/>
          <w:highlight w:val="none"/>
        </w:rPr>
        <w:t>日（日历天）内交货并安装调式完毕交付使用</w:t>
      </w:r>
    </w:p>
    <w:p w14:paraId="566753DE">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本项目是否接受联合体响应：□是/</w:t>
      </w:r>
      <w:r>
        <w:rPr>
          <w:rFonts w:hint="eastAsia" w:ascii="宋体" w:hAnsi="宋体" w:cs="宋体"/>
          <w:color w:val="auto"/>
          <w:sz w:val="24"/>
          <w:highlight w:val="none"/>
          <w:lang w:eastAsia="zh-CN"/>
        </w:rPr>
        <w:t>☑</w:t>
      </w:r>
      <w:r>
        <w:rPr>
          <w:rFonts w:hint="eastAsia" w:ascii="宋体" w:hAnsi="宋体" w:cs="宋体"/>
          <w:color w:val="auto"/>
          <w:sz w:val="24"/>
          <w:highlight w:val="none"/>
        </w:rPr>
        <w:t>否。</w:t>
      </w:r>
    </w:p>
    <w:p w14:paraId="4D2CC433">
      <w:pPr>
        <w:wordWrap w:val="0"/>
        <w:spacing w:line="400" w:lineRule="exact"/>
        <w:ind w:firstLine="482" w:firstLineChars="200"/>
        <w:rPr>
          <w:rFonts w:ascii="宋体" w:hAnsi="宋体" w:cs="宋体"/>
          <w:bCs/>
          <w:color w:val="auto"/>
          <w:sz w:val="24"/>
          <w:highlight w:val="none"/>
        </w:rPr>
      </w:pPr>
      <w:bookmarkStart w:id="14" w:name="_Toc28359013"/>
      <w:bookmarkStart w:id="15" w:name="_Toc44229879"/>
      <w:bookmarkStart w:id="16" w:name="_Toc28359090"/>
      <w:bookmarkStart w:id="17" w:name="_Toc35393630"/>
      <w:bookmarkStart w:id="18" w:name="_Toc35393799"/>
      <w:r>
        <w:rPr>
          <w:rFonts w:hint="eastAsia" w:ascii="宋体" w:hAnsi="宋体" w:cs="宋体"/>
          <w:b/>
          <w:color w:val="auto"/>
          <w:kern w:val="44"/>
          <w:sz w:val="24"/>
          <w:highlight w:val="none"/>
        </w:rPr>
        <w:t>二、供应商的资格条件</w:t>
      </w:r>
      <w:bookmarkEnd w:id="14"/>
      <w:bookmarkEnd w:id="15"/>
      <w:bookmarkEnd w:id="16"/>
      <w:bookmarkEnd w:id="17"/>
      <w:bookmarkEnd w:id="18"/>
    </w:p>
    <w:p w14:paraId="29664C56">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569CFDD3">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p>
    <w:p w14:paraId="17B01441">
      <w:pPr>
        <w:spacing w:line="400" w:lineRule="exact"/>
        <w:ind w:firstLine="482" w:firstLineChars="200"/>
        <w:rPr>
          <w:rFonts w:ascii="宋体" w:hAnsi="宋体" w:cs="宋体"/>
          <w:b/>
          <w:bCs/>
          <w:color w:val="auto"/>
          <w:sz w:val="24"/>
          <w:highlight w:val="none"/>
        </w:rPr>
      </w:pPr>
      <w:bookmarkStart w:id="19" w:name="PO_3000001871_PM005"/>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专门面向</w:t>
      </w:r>
      <w:r>
        <w:rPr>
          <w:rFonts w:hint="eastAsia" w:ascii="宋体" w:hAnsi="宋体" w:cs="宋体"/>
          <w:b/>
          <w:bCs/>
          <w:color w:val="auto"/>
          <w:sz w:val="24"/>
          <w:highlight w:val="none"/>
          <w:lang w:val="en-US" w:eastAsia="zh-CN"/>
        </w:rPr>
        <w:t>小微</w:t>
      </w:r>
      <w:r>
        <w:rPr>
          <w:rFonts w:hint="eastAsia" w:ascii="宋体" w:hAnsi="宋体" w:cs="宋体"/>
          <w:b/>
          <w:bCs/>
          <w:color w:val="auto"/>
          <w:sz w:val="24"/>
          <w:highlight w:val="none"/>
        </w:rPr>
        <w:t>企业采购的项目（供应商应为小微企业、监狱企业、残疾人福利性单位）</w:t>
      </w:r>
    </w:p>
    <w:p w14:paraId="5BD28884">
      <w:pPr>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lang w:eastAsia="zh-CN"/>
        </w:rPr>
        <w:t>□</w:t>
      </w:r>
      <w:r>
        <w:rPr>
          <w:rFonts w:hint="eastAsia" w:ascii="宋体" w:hAnsi="宋体" w:cs="宋体"/>
          <w:b/>
          <w:bCs/>
          <w:color w:val="auto"/>
          <w:sz w:val="24"/>
          <w:highlight w:val="none"/>
        </w:rPr>
        <w:t>非专门面向中小企业采购的项目</w:t>
      </w:r>
    </w:p>
    <w:bookmarkEnd w:id="19"/>
    <w:p w14:paraId="70921982">
      <w:pPr>
        <w:wordWrap w:val="0"/>
        <w:spacing w:line="40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rPr>
        <w:t>3.本项目的特定资格要求：</w:t>
      </w:r>
      <w:r>
        <w:rPr>
          <w:rFonts w:hint="eastAsia" w:ascii="宋体" w:hAnsi="宋体" w:cs="宋体"/>
          <w:b/>
          <w:bCs/>
          <w:color w:val="auto"/>
          <w:sz w:val="24"/>
          <w:highlight w:val="none"/>
          <w:lang w:val="en-US" w:eastAsia="zh-CN"/>
        </w:rPr>
        <w:t>无</w:t>
      </w:r>
      <w:r>
        <w:rPr>
          <w:rFonts w:hint="eastAsia" w:ascii="宋体" w:hAnsi="宋体" w:cs="宋体"/>
          <w:b/>
          <w:bCs/>
          <w:color w:val="auto"/>
          <w:sz w:val="24"/>
          <w:highlight w:val="none"/>
        </w:rPr>
        <w:t>。</w:t>
      </w:r>
    </w:p>
    <w:p w14:paraId="7CA7A2CB">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4.本项目的特定条件：无。</w:t>
      </w:r>
    </w:p>
    <w:p w14:paraId="6A7FBB91">
      <w:pPr>
        <w:wordWrap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5.单位负责人为同一人或者存在直接控股、管理关系的不同供应商，不得参加同一合同项下的政府采购活动。</w:t>
      </w:r>
    </w:p>
    <w:p w14:paraId="5024E244">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6.对在“信用中国”网站(www.creditchina.gov.cn) 、中国政府采购网(www.ccgp.gov.cn）被列入失信被执行人、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、政府采购严重违法失信行为记录名单及其他不符合《中华人民共和国政府采购法》第二十二条规定条件的供应商，不得参与政府采购活动。</w:t>
      </w:r>
    </w:p>
    <w:p w14:paraId="6C7EEC38">
      <w:pPr>
        <w:wordWrap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三、获取竞争性谈判文件</w:t>
      </w:r>
      <w:bookmarkEnd w:id="10"/>
      <w:bookmarkEnd w:id="11"/>
      <w:bookmarkEnd w:id="12"/>
      <w:bookmarkEnd w:id="13"/>
    </w:p>
    <w:p w14:paraId="416355CA">
      <w:pPr>
        <w:wordWrap w:val="0"/>
        <w:snapToGrid w:val="0"/>
        <w:spacing w:line="400" w:lineRule="exact"/>
        <w:ind w:firstLine="480" w:firstLineChars="200"/>
        <w:rPr>
          <w:rFonts w:ascii="宋体" w:hAnsi="宋体" w:cs="宋体"/>
          <w:color w:val="auto"/>
          <w:sz w:val="24"/>
          <w:highlight w:val="none"/>
        </w:rPr>
      </w:pPr>
      <w:bookmarkStart w:id="20" w:name="_Toc35393793"/>
      <w:bookmarkStart w:id="21" w:name="_Toc28359005"/>
      <w:bookmarkStart w:id="22" w:name="_Toc28359082"/>
      <w:bookmarkStart w:id="23" w:name="_Toc35393624"/>
      <w:r>
        <w:rPr>
          <w:rFonts w:hint="eastAsia" w:ascii="宋体" w:hAnsi="宋体" w:cs="宋体"/>
          <w:color w:val="auto"/>
          <w:sz w:val="24"/>
          <w:highlight w:val="none"/>
        </w:rPr>
        <w:t>时间：自公告发布之日起至</w:t>
      </w:r>
      <w:r>
        <w:rPr>
          <w:rFonts w:hint="eastAsia" w:ascii="宋体" w:hAnsi="宋体" w:cs="宋体"/>
          <w:b/>
          <w:bCs/>
          <w:color w:val="auto"/>
          <w:sz w:val="24"/>
          <w:highlight w:val="none"/>
        </w:rPr>
        <w:t>202</w:t>
      </w: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rPr>
        <w:t>年</w:t>
      </w:r>
      <w:r>
        <w:rPr>
          <w:rFonts w:hint="eastAsia" w:ascii="宋体" w:hAnsi="宋体" w:cs="宋体"/>
          <w:b/>
          <w:bCs/>
          <w:color w:val="auto"/>
          <w:sz w:val="24"/>
          <w:highlight w:val="none"/>
          <w:lang w:val="en-US" w:eastAsia="zh-CN"/>
        </w:rPr>
        <w:t>7</w:t>
      </w:r>
      <w:r>
        <w:rPr>
          <w:rFonts w:hint="eastAsia" w:ascii="宋体" w:hAnsi="宋体" w:cs="宋体"/>
          <w:b/>
          <w:bCs/>
          <w:color w:val="auto"/>
          <w:sz w:val="24"/>
          <w:highlight w:val="none"/>
        </w:rPr>
        <w:t>月</w:t>
      </w:r>
      <w:r>
        <w:rPr>
          <w:rFonts w:hint="eastAsia" w:ascii="宋体" w:hAnsi="宋体" w:cs="宋体"/>
          <w:b/>
          <w:bCs/>
          <w:color w:val="auto"/>
          <w:sz w:val="24"/>
          <w:highlight w:val="none"/>
          <w:lang w:val="en-US" w:eastAsia="zh-CN"/>
        </w:rPr>
        <w:t>24</w:t>
      </w:r>
      <w:bookmarkStart w:id="332" w:name="_GoBack"/>
      <w:bookmarkEnd w:id="332"/>
      <w:r>
        <w:rPr>
          <w:rFonts w:hint="eastAsia" w:ascii="宋体" w:hAnsi="宋体" w:cs="宋体"/>
          <w:b/>
          <w:bCs/>
          <w:color w:val="auto"/>
          <w:sz w:val="24"/>
          <w:highlight w:val="none"/>
        </w:rPr>
        <w:t>日</w:t>
      </w:r>
      <w:r>
        <w:rPr>
          <w:rFonts w:hint="eastAsia" w:ascii="宋体" w:hAnsi="宋体" w:cs="宋体"/>
          <w:b/>
          <w:bCs/>
          <w:color w:val="auto"/>
          <w:sz w:val="24"/>
          <w:highlight w:val="none"/>
          <w:lang w:val="en-US" w:eastAsia="zh-CN"/>
        </w:rPr>
        <w:t>9</w:t>
      </w:r>
      <w:r>
        <w:rPr>
          <w:rFonts w:hint="eastAsia" w:ascii="宋体" w:hAnsi="宋体" w:cs="宋体"/>
          <w:b/>
          <w:bCs/>
          <w:color w:val="auto"/>
          <w:sz w:val="24"/>
          <w:highlight w:val="none"/>
        </w:rPr>
        <w:t>时</w:t>
      </w:r>
      <w:r>
        <w:rPr>
          <w:rFonts w:hint="eastAsia" w:ascii="宋体" w:hAnsi="宋体" w:cs="宋体"/>
          <w:b/>
          <w:bCs/>
          <w:color w:val="auto"/>
          <w:sz w:val="24"/>
          <w:highlight w:val="none"/>
          <w:lang w:val="en-US" w:eastAsia="zh-CN"/>
        </w:rPr>
        <w:t>30</w:t>
      </w:r>
      <w:r>
        <w:rPr>
          <w:rFonts w:hint="eastAsia" w:ascii="宋体" w:hAnsi="宋体" w:cs="宋体"/>
          <w:b/>
          <w:bCs/>
          <w:color w:val="auto"/>
          <w:sz w:val="24"/>
          <w:highlight w:val="none"/>
        </w:rPr>
        <w:t>分止。</w:t>
      </w:r>
    </w:p>
    <w:p w14:paraId="3743AAC2">
      <w:pPr>
        <w:wordWrap w:val="0"/>
        <w:snapToGrid w:val="0"/>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获取方式：网上下载。本项目不发放纸质采购文件，供应商可自行在“广西政府采购云平台”（</w:t>
      </w:r>
      <w:r>
        <w:rPr>
          <w:rFonts w:hint="eastAsia" w:ascii="宋体" w:hAnsi="宋体" w:cs="宋体"/>
          <w:color w:val="auto"/>
          <w:sz w:val="24"/>
          <w:highlight w:val="none"/>
          <w:lang w:eastAsia="zh-CN"/>
        </w:rPr>
        <w:t>https://www.gcy.zfcg.gxzf.gov.cn</w:t>
      </w:r>
      <w:r>
        <w:rPr>
          <w:rFonts w:hint="eastAsia" w:ascii="宋体" w:hAnsi="宋体" w:eastAsia="宋体" w:cs="宋体"/>
          <w:color w:val="auto"/>
          <w:sz w:val="24"/>
          <w:highlight w:val="none"/>
        </w:rPr>
        <w:t>/）下载采购文件（操作路径：登录“广西政府采购云平台”-项目采购-获取采购文件-找到本项目-点击“申请获取采购文件”），电子响应文件制作需要基于“广西政府采购云平台”（</w:t>
      </w:r>
      <w:r>
        <w:rPr>
          <w:rFonts w:hint="eastAsia" w:ascii="宋体" w:hAnsi="宋体" w:cs="宋体"/>
          <w:color w:val="auto"/>
          <w:sz w:val="24"/>
          <w:highlight w:val="none"/>
          <w:lang w:eastAsia="zh-CN"/>
        </w:rPr>
        <w:t>https://www.gcy.zfcg.gxzf.gov.cn</w:t>
      </w:r>
      <w:r>
        <w:rPr>
          <w:rFonts w:hint="eastAsia" w:ascii="宋体" w:hAnsi="宋体" w:eastAsia="宋体" w:cs="宋体"/>
          <w:color w:val="auto"/>
          <w:sz w:val="24"/>
          <w:highlight w:val="none"/>
        </w:rPr>
        <w:t>/）获取的采购文件编制。</w:t>
      </w:r>
    </w:p>
    <w:p w14:paraId="7F280143">
      <w:pPr>
        <w:wordWrap w:val="0"/>
        <w:snapToGrid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售价：0元。</w:t>
      </w:r>
    </w:p>
    <w:p w14:paraId="67947B2A">
      <w:pPr>
        <w:wordWrap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四、</w:t>
      </w:r>
      <w:bookmarkEnd w:id="20"/>
      <w:bookmarkEnd w:id="21"/>
      <w:bookmarkEnd w:id="22"/>
      <w:bookmarkEnd w:id="23"/>
      <w:r>
        <w:rPr>
          <w:rFonts w:hint="eastAsia" w:ascii="宋体" w:hAnsi="宋体" w:cs="宋体"/>
          <w:b/>
          <w:bCs/>
          <w:color w:val="auto"/>
          <w:sz w:val="24"/>
          <w:highlight w:val="none"/>
        </w:rPr>
        <w:t>响应文件提交</w:t>
      </w:r>
    </w:p>
    <w:p w14:paraId="1F147492">
      <w:pPr>
        <w:wordWrap w:val="0"/>
        <w:spacing w:line="400" w:lineRule="exact"/>
        <w:ind w:firstLine="480" w:firstLineChars="200"/>
        <w:rPr>
          <w:rFonts w:ascii="宋体" w:hAnsi="宋体" w:cs="宋体"/>
          <w:color w:val="auto"/>
          <w:sz w:val="24"/>
          <w:highlight w:val="none"/>
          <w:u w:val="none"/>
        </w:rPr>
      </w:pPr>
      <w:r>
        <w:rPr>
          <w:rFonts w:hint="eastAsia" w:ascii="宋体" w:hAnsi="宋体" w:cs="宋体"/>
          <w:color w:val="auto"/>
          <w:sz w:val="24"/>
          <w:highlight w:val="none"/>
        </w:rPr>
        <w:t>1、首次响应文件提交截止时间</w:t>
      </w:r>
      <w:r>
        <w:rPr>
          <w:rFonts w:hint="eastAsia" w:ascii="宋体" w:hAnsi="宋体" w:cs="宋体"/>
          <w:bCs/>
          <w:color w:val="auto"/>
          <w:sz w:val="24"/>
          <w:highlight w:val="none"/>
        </w:rPr>
        <w:t>（北京时间）：</w:t>
      </w:r>
      <w:r>
        <w:rPr>
          <w:rFonts w:hint="eastAsia" w:ascii="宋体" w:hAnsi="宋体" w:cs="宋体"/>
          <w:b/>
          <w:bCs/>
          <w:color w:val="auto"/>
          <w:sz w:val="24"/>
          <w:highlight w:val="none"/>
          <w:u w:val="none"/>
        </w:rPr>
        <w:t>20</w:t>
      </w:r>
      <w:r>
        <w:rPr>
          <w:rFonts w:hint="eastAsia" w:ascii="宋体" w:hAnsi="宋体" w:cs="宋体"/>
          <w:b/>
          <w:bCs/>
          <w:color w:val="auto"/>
          <w:sz w:val="24"/>
          <w:highlight w:val="none"/>
          <w:u w:val="none"/>
          <w:lang w:val="en-US" w:eastAsia="zh-CN"/>
        </w:rPr>
        <w:t>26</w:t>
      </w:r>
      <w:r>
        <w:rPr>
          <w:rFonts w:hint="eastAsia" w:ascii="宋体" w:hAnsi="宋体" w:cs="宋体"/>
          <w:b/>
          <w:bCs/>
          <w:color w:val="auto"/>
          <w:sz w:val="24"/>
          <w:highlight w:val="none"/>
          <w:u w:val="none"/>
        </w:rPr>
        <w:t>年</w:t>
      </w:r>
      <w:r>
        <w:rPr>
          <w:rFonts w:hint="eastAsia" w:ascii="宋体" w:hAnsi="宋体" w:cs="宋体"/>
          <w:b/>
          <w:bCs/>
          <w:color w:val="auto"/>
          <w:sz w:val="24"/>
          <w:highlight w:val="none"/>
          <w:u w:val="none"/>
          <w:lang w:val="en-US" w:eastAsia="zh-CN"/>
        </w:rPr>
        <w:t xml:space="preserve"> 7 </w:t>
      </w:r>
      <w:r>
        <w:rPr>
          <w:rFonts w:hint="eastAsia" w:ascii="宋体" w:hAnsi="宋体" w:cs="宋体"/>
          <w:b/>
          <w:bCs/>
          <w:color w:val="auto"/>
          <w:sz w:val="24"/>
          <w:highlight w:val="none"/>
          <w:u w:val="none"/>
        </w:rPr>
        <w:t>月</w:t>
      </w:r>
      <w:r>
        <w:rPr>
          <w:rFonts w:hint="eastAsia" w:ascii="宋体" w:hAnsi="宋体" w:cs="宋体"/>
          <w:b/>
          <w:bCs/>
          <w:color w:val="auto"/>
          <w:sz w:val="24"/>
          <w:highlight w:val="none"/>
          <w:u w:val="none"/>
          <w:lang w:val="en-US" w:eastAsia="zh-CN"/>
        </w:rPr>
        <w:t xml:space="preserve"> 24</w:t>
      </w:r>
      <w:r>
        <w:rPr>
          <w:rFonts w:hint="eastAsia" w:ascii="宋体" w:hAnsi="宋体" w:cs="宋体"/>
          <w:b/>
          <w:bCs/>
          <w:color w:val="auto"/>
          <w:sz w:val="24"/>
          <w:highlight w:val="none"/>
          <w:u w:val="none"/>
        </w:rPr>
        <w:t>日</w:t>
      </w:r>
      <w:r>
        <w:rPr>
          <w:rFonts w:hint="eastAsia" w:ascii="宋体" w:hAnsi="宋体" w:cs="宋体"/>
          <w:b/>
          <w:bCs/>
          <w:color w:val="auto"/>
          <w:sz w:val="24"/>
          <w:highlight w:val="none"/>
          <w:u w:val="none"/>
          <w:lang w:val="en-US" w:eastAsia="zh-CN"/>
        </w:rPr>
        <w:t>9</w:t>
      </w:r>
      <w:r>
        <w:rPr>
          <w:rFonts w:hint="eastAsia" w:ascii="宋体" w:hAnsi="宋体" w:cs="宋体"/>
          <w:b/>
          <w:bCs/>
          <w:color w:val="auto"/>
          <w:sz w:val="24"/>
          <w:highlight w:val="none"/>
          <w:u w:val="none"/>
        </w:rPr>
        <w:t>点</w:t>
      </w:r>
      <w:r>
        <w:rPr>
          <w:rFonts w:hint="eastAsia" w:ascii="宋体" w:hAnsi="宋体" w:cs="宋体"/>
          <w:b/>
          <w:bCs/>
          <w:color w:val="auto"/>
          <w:sz w:val="24"/>
          <w:highlight w:val="none"/>
          <w:u w:val="none"/>
          <w:lang w:val="en-US" w:eastAsia="zh-CN"/>
        </w:rPr>
        <w:t>3</w:t>
      </w:r>
      <w:r>
        <w:rPr>
          <w:rFonts w:hint="eastAsia" w:ascii="宋体" w:hAnsi="宋体" w:cs="宋体"/>
          <w:b/>
          <w:bCs/>
          <w:color w:val="auto"/>
          <w:sz w:val="24"/>
          <w:highlight w:val="none"/>
          <w:u w:val="none"/>
        </w:rPr>
        <w:t>0分</w:t>
      </w:r>
      <w:r>
        <w:rPr>
          <w:rFonts w:hint="eastAsia" w:ascii="宋体" w:hAnsi="宋体" w:cs="宋体"/>
          <w:color w:val="auto"/>
          <w:sz w:val="24"/>
          <w:highlight w:val="none"/>
          <w:u w:val="none"/>
        </w:rPr>
        <w:t>（从谈判文件开始发出之日起至供应商提交首次响应文件截止之日止不得少于3个工作日）</w:t>
      </w:r>
    </w:p>
    <w:p w14:paraId="164432D1">
      <w:pPr>
        <w:wordWrap w:val="0"/>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2、首次响应文件提交地点：</w:t>
      </w:r>
    </w:p>
    <w:p w14:paraId="2E60BB3C">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（1）本项目为全流程电子化采购项目，通过</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https://www.gcy.zfcg.gxzf.gov.cn</w:t>
      </w:r>
      <w:r>
        <w:rPr>
          <w:rFonts w:hint="eastAsia" w:ascii="宋体" w:hAnsi="宋体" w:cs="宋体"/>
          <w:color w:val="auto"/>
          <w:kern w:val="0"/>
          <w:sz w:val="24"/>
          <w:highlight w:val="none"/>
        </w:rPr>
        <w:t>/）实行在线电子竞标，供应商应先安装“政采云电子交易客户端”（请自行前往</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进行下载），并按照本项目谈判文件和</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 xml:space="preserve">的要求编制、加密后在提交响应文件截止时间前通过网络上传至 </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（加密的电子响应文件是指后缀名为“jmbs”的文件），供应商在</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提交电子响应文件时，请填写参加远程采购活动经办人联系方式。供应商登录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，依次进入“服务中心-项目采购-操作流程-电子招投标-政府采购项目电子交易管理操作指南-供应商”查看电子竞标具体操作流程。</w:t>
      </w:r>
    </w:p>
    <w:p w14:paraId="0B77D181">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（2）未进行网上注册并办理数字证书（CA认证）的供应商将无法参与本项目政府采购活动，潜在供应商应当在投标截止时间前，完成电子交易平台上的CA数字证书办理及</w:t>
      </w:r>
      <w:r>
        <w:rPr>
          <w:rFonts w:hint="eastAsia" w:ascii="宋体" w:hAnsi="宋体" w:cs="宋体"/>
          <w:color w:val="auto"/>
          <w:kern w:val="0"/>
          <w:sz w:val="24"/>
          <w:highlight w:val="none"/>
          <w:lang w:eastAsia="zh-CN"/>
        </w:rPr>
        <w:t>竞标响应文件</w:t>
      </w:r>
      <w:r>
        <w:rPr>
          <w:rFonts w:hint="eastAsia" w:ascii="宋体" w:hAnsi="宋体" w:cs="宋体"/>
          <w:color w:val="auto"/>
          <w:kern w:val="0"/>
          <w:sz w:val="24"/>
          <w:highlight w:val="none"/>
        </w:rPr>
        <w:t>的提交。完成CA数字证书办理预计7日左右，投标人只需办理其中一家CA数字证书及签章，建议各投标人抓紧时间办理。</w:t>
      </w:r>
    </w:p>
    <w:p w14:paraId="38E25703">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（3）CA证书在线解密：首次响应文件开启时，须供应商携带制作响应文件时用来加密的有效数字证书（CA认证）登录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电子开标大厅现场按规定时间对加密的响应文件进行解密，未能按要求进行解密的，由此产生的后果供应商自行承担。</w:t>
      </w:r>
    </w:p>
    <w:p w14:paraId="512185B0">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将予以拒收。</w:t>
      </w:r>
    </w:p>
    <w:p w14:paraId="746EDA92">
      <w:pPr>
        <w:wordWrap w:val="0"/>
        <w:snapToGrid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（4）供应商需要在具备有摄像头及语音功能且互联网网络状况良好的电脑登录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远程开标大厅参与本次谈判，否则后果自负。</w:t>
      </w:r>
    </w:p>
    <w:p w14:paraId="5D73EDC8">
      <w:pPr>
        <w:wordWrap w:val="0"/>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五、开启（首次响应文件开启时间）</w:t>
      </w:r>
    </w:p>
    <w:p w14:paraId="00F9C0AD">
      <w:pPr>
        <w:wordWrap w:val="0"/>
        <w:spacing w:line="400" w:lineRule="exact"/>
        <w:ind w:firstLine="480" w:firstLineChars="200"/>
        <w:rPr>
          <w:rFonts w:ascii="宋体" w:hAnsi="宋体" w:cs="宋体"/>
          <w:bCs/>
          <w:color w:val="auto"/>
          <w:sz w:val="24"/>
          <w:highlight w:val="none"/>
          <w:u w:val="none"/>
        </w:rPr>
      </w:pPr>
      <w:r>
        <w:rPr>
          <w:rFonts w:hint="eastAsia" w:ascii="宋体" w:hAnsi="宋体" w:cs="宋体"/>
          <w:color w:val="auto"/>
          <w:sz w:val="24"/>
          <w:highlight w:val="none"/>
        </w:rPr>
        <w:t>1.时间</w:t>
      </w:r>
      <w:r>
        <w:rPr>
          <w:rFonts w:hint="eastAsia" w:ascii="宋体" w:hAnsi="宋体" w:cs="宋体"/>
          <w:bCs/>
          <w:color w:val="auto"/>
          <w:sz w:val="24"/>
          <w:highlight w:val="none"/>
        </w:rPr>
        <w:t>（北京时间）</w:t>
      </w:r>
      <w:r>
        <w:rPr>
          <w:rFonts w:hint="eastAsia" w:ascii="宋体" w:hAnsi="宋体" w:cs="宋体"/>
          <w:color w:val="auto"/>
          <w:sz w:val="24"/>
          <w:highlight w:val="none"/>
          <w:u w:val="none"/>
        </w:rPr>
        <w:t>：</w:t>
      </w:r>
      <w:r>
        <w:rPr>
          <w:rFonts w:hint="eastAsia" w:ascii="宋体" w:hAnsi="宋体" w:cs="宋体"/>
          <w:b/>
          <w:bCs/>
          <w:color w:val="auto"/>
          <w:sz w:val="24"/>
          <w:highlight w:val="none"/>
          <w:u w:val="none"/>
        </w:rPr>
        <w:t>202</w:t>
      </w:r>
      <w:r>
        <w:rPr>
          <w:rFonts w:hint="eastAsia" w:ascii="宋体" w:hAnsi="宋体" w:cs="宋体"/>
          <w:b/>
          <w:bCs/>
          <w:color w:val="auto"/>
          <w:sz w:val="24"/>
          <w:highlight w:val="none"/>
          <w:u w:val="none"/>
          <w:lang w:val="en-US" w:eastAsia="zh-CN"/>
        </w:rPr>
        <w:t>6</w:t>
      </w:r>
      <w:r>
        <w:rPr>
          <w:rFonts w:hint="eastAsia" w:ascii="宋体" w:hAnsi="宋体" w:cs="宋体"/>
          <w:b/>
          <w:bCs/>
          <w:color w:val="auto"/>
          <w:sz w:val="24"/>
          <w:highlight w:val="none"/>
          <w:u w:val="none"/>
        </w:rPr>
        <w:t>年</w:t>
      </w:r>
      <w:r>
        <w:rPr>
          <w:rFonts w:hint="eastAsia" w:ascii="宋体" w:hAnsi="宋体" w:cs="宋体"/>
          <w:b/>
          <w:bCs/>
          <w:color w:val="auto"/>
          <w:sz w:val="24"/>
          <w:highlight w:val="none"/>
          <w:u w:val="none"/>
          <w:lang w:val="en-US" w:eastAsia="zh-CN"/>
        </w:rPr>
        <w:t>7</w:t>
      </w:r>
      <w:r>
        <w:rPr>
          <w:rFonts w:hint="eastAsia" w:ascii="宋体" w:hAnsi="宋体" w:cs="宋体"/>
          <w:b/>
          <w:bCs/>
          <w:color w:val="auto"/>
          <w:sz w:val="24"/>
          <w:highlight w:val="none"/>
          <w:u w:val="none"/>
        </w:rPr>
        <w:t>月</w:t>
      </w:r>
      <w:r>
        <w:rPr>
          <w:rFonts w:hint="eastAsia" w:ascii="宋体" w:hAnsi="宋体" w:cs="宋体"/>
          <w:b/>
          <w:bCs/>
          <w:color w:val="auto"/>
          <w:sz w:val="24"/>
          <w:highlight w:val="none"/>
          <w:u w:val="none"/>
          <w:lang w:val="en-US" w:eastAsia="zh-CN"/>
        </w:rPr>
        <w:t>24</w:t>
      </w:r>
      <w:r>
        <w:rPr>
          <w:rFonts w:hint="eastAsia" w:ascii="宋体" w:hAnsi="宋体" w:cs="宋体"/>
          <w:b/>
          <w:bCs/>
          <w:color w:val="auto"/>
          <w:sz w:val="24"/>
          <w:highlight w:val="none"/>
          <w:u w:val="none"/>
        </w:rPr>
        <w:t>日</w:t>
      </w:r>
      <w:r>
        <w:rPr>
          <w:rFonts w:hint="eastAsia" w:ascii="宋体" w:hAnsi="宋体" w:cs="宋体"/>
          <w:b/>
          <w:bCs/>
          <w:color w:val="auto"/>
          <w:sz w:val="24"/>
          <w:highlight w:val="none"/>
          <w:u w:val="none"/>
          <w:lang w:val="en-US" w:eastAsia="zh-CN"/>
        </w:rPr>
        <w:t>9</w:t>
      </w:r>
      <w:r>
        <w:rPr>
          <w:rFonts w:hint="eastAsia" w:ascii="宋体" w:hAnsi="宋体" w:cs="宋体"/>
          <w:b/>
          <w:bCs/>
          <w:color w:val="auto"/>
          <w:sz w:val="24"/>
          <w:highlight w:val="none"/>
          <w:u w:val="none"/>
          <w:lang w:eastAsia="zh-CN"/>
        </w:rPr>
        <w:t>：</w:t>
      </w:r>
      <w:r>
        <w:rPr>
          <w:rFonts w:hint="eastAsia" w:ascii="宋体" w:hAnsi="宋体" w:cs="宋体"/>
          <w:b/>
          <w:bCs/>
          <w:color w:val="auto"/>
          <w:sz w:val="24"/>
          <w:highlight w:val="none"/>
          <w:u w:val="none"/>
          <w:lang w:val="en-US" w:eastAsia="zh-CN"/>
        </w:rPr>
        <w:t>30</w:t>
      </w:r>
      <w:r>
        <w:rPr>
          <w:rFonts w:hint="eastAsia" w:ascii="宋体" w:hAnsi="宋体" w:cs="宋体"/>
          <w:b/>
          <w:bCs/>
          <w:color w:val="auto"/>
          <w:sz w:val="24"/>
          <w:highlight w:val="none"/>
          <w:u w:val="none"/>
        </w:rPr>
        <w:t>后</w:t>
      </w:r>
      <w:r>
        <w:rPr>
          <w:rFonts w:hint="eastAsia" w:ascii="宋体" w:hAnsi="宋体" w:cs="宋体"/>
          <w:color w:val="auto"/>
          <w:sz w:val="24"/>
          <w:highlight w:val="none"/>
          <w:u w:val="none"/>
        </w:rPr>
        <w:t>。</w:t>
      </w:r>
    </w:p>
    <w:p w14:paraId="30A34C5D">
      <w:pPr>
        <w:wordWrap w:val="0"/>
        <w:spacing w:line="400" w:lineRule="exact"/>
        <w:ind w:firstLine="480" w:firstLineChars="200"/>
        <w:rPr>
          <w:rFonts w:ascii="宋体" w:hAnsi="宋体" w:cs="宋体"/>
          <w:bCs/>
          <w:color w:val="auto"/>
          <w:sz w:val="24"/>
          <w:highlight w:val="none"/>
          <w:u w:val="none"/>
        </w:rPr>
      </w:pPr>
      <w:r>
        <w:rPr>
          <w:rFonts w:hint="eastAsia" w:ascii="宋体" w:hAnsi="宋体" w:cs="宋体"/>
          <w:color w:val="auto"/>
          <w:sz w:val="24"/>
          <w:highlight w:val="none"/>
          <w:u w:val="none"/>
        </w:rPr>
        <w:t>2.地点：政府采购云平台开标大厅。</w:t>
      </w:r>
    </w:p>
    <w:p w14:paraId="19A2AEDE">
      <w:pPr>
        <w:wordWrap w:val="0"/>
        <w:spacing w:line="400" w:lineRule="exact"/>
        <w:ind w:firstLine="482" w:firstLineChars="200"/>
        <w:rPr>
          <w:rFonts w:ascii="宋体" w:hAnsi="宋体" w:cs="宋体"/>
          <w:b/>
          <w:bCs/>
          <w:color w:val="auto"/>
          <w:sz w:val="24"/>
          <w:highlight w:val="none"/>
          <w:u w:val="none"/>
        </w:rPr>
      </w:pPr>
      <w:bookmarkStart w:id="24" w:name="_Toc28359007"/>
      <w:bookmarkStart w:id="25" w:name="_Toc35393794"/>
      <w:bookmarkStart w:id="26" w:name="_Toc28359084"/>
      <w:bookmarkStart w:id="27" w:name="_Toc35393625"/>
      <w:r>
        <w:rPr>
          <w:rFonts w:hint="eastAsia" w:ascii="宋体" w:hAnsi="宋体" w:cs="宋体"/>
          <w:b/>
          <w:bCs/>
          <w:color w:val="auto"/>
          <w:sz w:val="24"/>
          <w:highlight w:val="none"/>
          <w:u w:val="none"/>
        </w:rPr>
        <w:t>六、公告期限</w:t>
      </w:r>
      <w:bookmarkEnd w:id="24"/>
      <w:bookmarkEnd w:id="25"/>
      <w:bookmarkEnd w:id="26"/>
      <w:bookmarkEnd w:id="27"/>
    </w:p>
    <w:p w14:paraId="6F108A2A">
      <w:pPr>
        <w:wordWrap w:val="0"/>
        <w:spacing w:line="400" w:lineRule="exact"/>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u w:val="none"/>
        </w:rPr>
        <w:t>自本公告发布之日起3个工作日。</w:t>
      </w:r>
    </w:p>
    <w:p w14:paraId="7141B792">
      <w:pPr>
        <w:wordWrap w:val="0"/>
        <w:spacing w:line="400" w:lineRule="exact"/>
        <w:ind w:firstLine="482" w:firstLineChars="200"/>
        <w:rPr>
          <w:rFonts w:ascii="宋体" w:hAnsi="宋体" w:cs="宋体"/>
          <w:b/>
          <w:bCs/>
          <w:color w:val="auto"/>
          <w:sz w:val="24"/>
          <w:highlight w:val="none"/>
          <w:u w:val="none"/>
        </w:rPr>
      </w:pPr>
      <w:bookmarkStart w:id="28" w:name="_Toc35393795"/>
      <w:bookmarkStart w:id="29" w:name="_Toc35393626"/>
      <w:r>
        <w:rPr>
          <w:rFonts w:hint="eastAsia" w:ascii="宋体" w:hAnsi="宋体" w:cs="宋体"/>
          <w:b/>
          <w:bCs/>
          <w:color w:val="auto"/>
          <w:sz w:val="24"/>
          <w:highlight w:val="none"/>
          <w:u w:val="none"/>
        </w:rPr>
        <w:t>七、其他补充事宜</w:t>
      </w:r>
      <w:bookmarkEnd w:id="28"/>
      <w:bookmarkEnd w:id="29"/>
    </w:p>
    <w:p w14:paraId="5814ED46">
      <w:pPr>
        <w:wordWrap w:val="0"/>
        <w:spacing w:line="400" w:lineRule="exact"/>
        <w:ind w:firstLine="480" w:firstLineChars="200"/>
        <w:rPr>
          <w:rFonts w:ascii="宋体" w:hAnsi="宋体" w:cs="宋体"/>
          <w:b/>
          <w:color w:val="auto"/>
          <w:kern w:val="0"/>
          <w:sz w:val="24"/>
          <w:highlight w:val="none"/>
          <w:u w:val="none"/>
        </w:rPr>
      </w:pPr>
      <w:r>
        <w:rPr>
          <w:rFonts w:hint="eastAsia" w:ascii="宋体" w:hAnsi="宋体" w:cs="宋体"/>
          <w:color w:val="auto"/>
          <w:kern w:val="0"/>
          <w:sz w:val="24"/>
          <w:highlight w:val="none"/>
          <w:u w:val="none"/>
        </w:rPr>
        <w:t>1.竞争性谈判保证金：</w:t>
      </w:r>
      <w:r>
        <w:rPr>
          <w:rFonts w:hint="eastAsia" w:ascii="宋体" w:hAnsi="宋体" w:cs="宋体"/>
          <w:b/>
          <w:bCs/>
          <w:color w:val="auto"/>
          <w:kern w:val="0"/>
          <w:sz w:val="24"/>
          <w:szCs w:val="24"/>
          <w:highlight w:val="none"/>
          <w:u w:val="none"/>
          <w:lang w:val="en-US" w:eastAsia="zh-CN"/>
        </w:rPr>
        <w:t>0元</w:t>
      </w:r>
      <w:r>
        <w:rPr>
          <w:rFonts w:hint="eastAsia" w:ascii="宋体" w:hAnsi="宋体" w:cs="宋体"/>
          <w:b/>
          <w:color w:val="auto"/>
          <w:kern w:val="0"/>
          <w:sz w:val="24"/>
          <w:highlight w:val="none"/>
          <w:u w:val="none"/>
        </w:rPr>
        <w:t>。</w:t>
      </w:r>
    </w:p>
    <w:p w14:paraId="2C15DAEC">
      <w:pPr>
        <w:wordWrap w:val="0"/>
        <w:spacing w:line="40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2.采购意向公开链接：</w:t>
      </w:r>
      <w:bookmarkStart w:id="30" w:name="_Hlk37429585"/>
      <w:r>
        <w:rPr>
          <w:rFonts w:hint="eastAsia" w:ascii="宋体" w:hAnsi="宋体" w:cs="宋体"/>
          <w:color w:val="auto"/>
          <w:kern w:val="0"/>
          <w:sz w:val="24"/>
          <w:highlight w:val="none"/>
        </w:rPr>
        <w:fldChar w:fldCharType="begin"/>
      </w:r>
      <w:r>
        <w:rPr>
          <w:rFonts w:hint="eastAsia" w:ascii="宋体" w:hAnsi="宋体" w:cs="宋体"/>
          <w:color w:val="auto"/>
          <w:kern w:val="0"/>
          <w:sz w:val="24"/>
          <w:highlight w:val="none"/>
        </w:rPr>
        <w:instrText xml:space="preserve"> HYPERLINK "http://www.ccgp-guangxi.gov.cn/site/detail?categoryCode=ZcyAnnouncement&amp;parentId=66485&amp;articleId=U2J8kiUKIURBDv3K1HKAAg==" </w:instrText>
      </w:r>
      <w:r>
        <w:rPr>
          <w:rFonts w:hint="eastAsia" w:ascii="宋体" w:hAnsi="宋体" w:cs="宋体"/>
          <w:color w:val="auto"/>
          <w:kern w:val="0"/>
          <w:sz w:val="24"/>
          <w:highlight w:val="none"/>
        </w:rPr>
        <w:fldChar w:fldCharType="separate"/>
      </w:r>
      <w:r>
        <w:rPr>
          <w:rStyle w:val="38"/>
          <w:rFonts w:hint="eastAsia" w:ascii="宋体" w:hAnsi="宋体" w:cs="宋体"/>
          <w:color w:val="auto"/>
          <w:kern w:val="0"/>
          <w:sz w:val="24"/>
          <w:highlight w:val="none"/>
        </w:rPr>
        <w:t>http://www.ccgp-guangxi.gov.cn/site/detail?categoryCode=ZcyAnnouncement&amp;parentId=66485&amp;articleId=U2J8kiUKIURBDv3K1HKAAg==</w:t>
      </w:r>
      <w:r>
        <w:rPr>
          <w:rFonts w:hint="eastAsia" w:ascii="宋体" w:hAnsi="宋体" w:cs="宋体"/>
          <w:color w:val="auto"/>
          <w:kern w:val="0"/>
          <w:sz w:val="24"/>
          <w:highlight w:val="none"/>
        </w:rPr>
        <w:fldChar w:fldCharType="end"/>
      </w:r>
    </w:p>
    <w:p w14:paraId="7B0B2E45">
      <w:pPr>
        <w:wordWrap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w:t>
      </w:r>
      <w:bookmarkStart w:id="31" w:name="_Hlk37429595"/>
      <w:r>
        <w:rPr>
          <w:rFonts w:hint="eastAsia" w:ascii="宋体" w:hAnsi="宋体" w:cs="宋体"/>
          <w:color w:val="auto"/>
          <w:kern w:val="0"/>
          <w:sz w:val="24"/>
          <w:highlight w:val="none"/>
        </w:rPr>
        <w:t>网上查询地址</w:t>
      </w:r>
    </w:p>
    <w:bookmarkEnd w:id="30"/>
    <w:bookmarkEnd w:id="31"/>
    <w:p w14:paraId="7ACE65A2">
      <w:pPr>
        <w:spacing w:line="360" w:lineRule="exact"/>
        <w:ind w:firstLine="480"/>
        <w:rPr>
          <w:rFonts w:hint="default" w:ascii="宋体" w:hAnsi="宋体" w:eastAsia="宋体" w:cs="宋体"/>
          <w:color w:val="auto"/>
          <w:kern w:val="0"/>
          <w:sz w:val="24"/>
          <w:szCs w:val="24"/>
          <w:highlight w:val="none"/>
          <w:lang w:val="en-US" w:eastAsia="zh-CN"/>
        </w:rPr>
      </w:pPr>
      <w:bookmarkStart w:id="32" w:name="_Hlk37429674"/>
      <w:r>
        <w:rPr>
          <w:rFonts w:hint="eastAsia" w:ascii="宋体" w:hAnsi="宋体" w:cs="宋体"/>
          <w:color w:val="auto"/>
          <w:kern w:val="0"/>
          <w:sz w:val="24"/>
          <w:szCs w:val="24"/>
          <w:highlight w:val="none"/>
        </w:rPr>
        <w:t>http://www.ccgp.gov.cn(中国政府采购网),https://www.gcy.zfcg.gxzf.gov.cn/(广西政府采购云平台) , http://ggzy.jgswj.gxzf.gov.cn/nnggzy/全国公共资源交易平台(广西·南宁）</w:t>
      </w:r>
      <w:r>
        <w:rPr>
          <w:rFonts w:hint="eastAsia" w:ascii="宋体" w:hAnsi="宋体" w:cs="宋体"/>
          <w:color w:val="auto"/>
          <w:kern w:val="0"/>
          <w:sz w:val="24"/>
          <w:szCs w:val="24"/>
          <w:highlight w:val="none"/>
          <w:lang w:eastAsia="zh-CN"/>
        </w:rPr>
        <w:t>、</w:t>
      </w:r>
      <w:r>
        <w:rPr>
          <w:rFonts w:hint="eastAsia" w:ascii="宋体" w:hAnsi="宋体" w:cs="宋体"/>
          <w:bCs/>
          <w:color w:val="auto"/>
          <w:sz w:val="24"/>
          <w:highlight w:val="none"/>
        </w:rPr>
        <w:t>https://www.gxhaiheng.com//login.php?s=Admin/login（广西海恒项目管理有限公司官网）</w:t>
      </w:r>
    </w:p>
    <w:p w14:paraId="7202F198">
      <w:pPr>
        <w:wordWrap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本项目需要落实的政府采购政策</w:t>
      </w:r>
    </w:p>
    <w:bookmarkEnd w:id="32"/>
    <w:p w14:paraId="1625EC42">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790D9615">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4CE702A3">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14:paraId="45AAA129">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14:paraId="6B42D41D">
      <w:pPr>
        <w:wordWrap w:val="0"/>
        <w:spacing w:line="400" w:lineRule="exact"/>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 xml:space="preserve">（5）政府采购支持监狱企业发展。 </w:t>
      </w:r>
    </w:p>
    <w:p w14:paraId="00B725BC">
      <w:pPr>
        <w:wordWrap w:val="0"/>
        <w:spacing w:line="400" w:lineRule="exact"/>
        <w:ind w:firstLine="360" w:firstLineChars="150"/>
        <w:rPr>
          <w:rFonts w:ascii="宋体" w:hAnsi="宋体" w:cs="宋体"/>
          <w:color w:val="auto"/>
          <w:sz w:val="24"/>
          <w:highlight w:val="none"/>
        </w:rPr>
      </w:pPr>
      <w:r>
        <w:rPr>
          <w:rFonts w:hint="eastAsia" w:ascii="宋体" w:hAnsi="宋体" w:cs="宋体"/>
          <w:color w:val="auto"/>
          <w:kern w:val="0"/>
          <w:sz w:val="24"/>
          <w:highlight w:val="none"/>
        </w:rPr>
        <w:t>（6）</w:t>
      </w:r>
      <w:r>
        <w:rPr>
          <w:rFonts w:hint="eastAsia" w:ascii="宋体" w:hAnsi="宋体" w:cs="宋体"/>
          <w:color w:val="auto"/>
          <w:sz w:val="24"/>
          <w:highlight w:val="none"/>
        </w:rPr>
        <w:t>扶持不发达地区和少数民族地区政策。</w:t>
      </w:r>
    </w:p>
    <w:p w14:paraId="4593D982">
      <w:pPr>
        <w:wordWrap w:val="0"/>
        <w:spacing w:line="40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0BAFD2D0">
      <w:pPr>
        <w:wordWrap w:val="0"/>
        <w:spacing w:line="40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6.若对项目采购电子交易系统操作有疑问，可登录“广西政府采购云平台”（</w:t>
      </w:r>
      <w:r>
        <w:rPr>
          <w:rFonts w:hint="eastAsia" w:ascii="宋体" w:hAnsi="宋体" w:cs="宋体"/>
          <w:color w:val="auto"/>
          <w:kern w:val="0"/>
          <w:sz w:val="24"/>
          <w:highlight w:val="none"/>
          <w:lang w:eastAsia="zh-CN"/>
        </w:rPr>
        <w:t>https://www.gcy.zfcg.gxzf.gov.cn</w:t>
      </w:r>
      <w:r>
        <w:rPr>
          <w:rFonts w:hint="eastAsia" w:ascii="宋体" w:hAnsi="宋体" w:eastAsia="宋体" w:cs="宋体"/>
          <w:color w:val="auto"/>
          <w:kern w:val="0"/>
          <w:sz w:val="24"/>
          <w:highlight w:val="none"/>
        </w:rPr>
        <w:t>/），点击右侧咨询小采，获取采小蜜智能服务管家帮助，或拨打</w:t>
      </w:r>
      <w:r>
        <w:rPr>
          <w:rFonts w:hint="eastAsia" w:ascii="宋体" w:hAnsi="宋体" w:eastAsia="宋体" w:cs="宋体"/>
          <w:color w:val="auto"/>
          <w:kern w:val="0"/>
          <w:sz w:val="24"/>
          <w:highlight w:val="none"/>
          <w:lang w:eastAsia="zh-CN"/>
        </w:rPr>
        <w:t>广西政府采购云平台</w:t>
      </w:r>
      <w:r>
        <w:rPr>
          <w:rFonts w:hint="eastAsia" w:ascii="宋体" w:hAnsi="宋体" w:eastAsia="宋体" w:cs="宋体"/>
          <w:color w:val="auto"/>
          <w:kern w:val="0"/>
          <w:sz w:val="24"/>
          <w:highlight w:val="none"/>
        </w:rPr>
        <w:t>服务热线</w:t>
      </w:r>
      <w:r>
        <w:rPr>
          <w:rFonts w:hint="eastAsia" w:ascii="宋体" w:hAnsi="宋体" w:eastAsia="宋体" w:cs="宋体"/>
          <w:color w:val="auto"/>
          <w:kern w:val="0"/>
          <w:sz w:val="24"/>
          <w:highlight w:val="none"/>
          <w:lang w:val="en-US" w:eastAsia="zh-CN"/>
        </w:rPr>
        <w:t>95763</w:t>
      </w:r>
      <w:r>
        <w:rPr>
          <w:rFonts w:hint="eastAsia" w:ascii="宋体" w:hAnsi="宋体" w:eastAsia="宋体" w:cs="宋体"/>
          <w:color w:val="auto"/>
          <w:kern w:val="0"/>
          <w:sz w:val="24"/>
          <w:highlight w:val="none"/>
        </w:rPr>
        <w:t>获取热线服务帮助。</w:t>
      </w:r>
    </w:p>
    <w:p w14:paraId="56DAC954">
      <w:pPr>
        <w:wordWrap w:val="0"/>
        <w:spacing w:line="400" w:lineRule="exact"/>
        <w:ind w:firstLine="482" w:firstLineChars="200"/>
        <w:rPr>
          <w:rFonts w:hint="eastAsia" w:ascii="宋体" w:hAnsi="宋体" w:cs="宋体"/>
          <w:b/>
          <w:color w:val="auto"/>
          <w:kern w:val="44"/>
          <w:sz w:val="24"/>
          <w:highlight w:val="none"/>
        </w:rPr>
      </w:pPr>
    </w:p>
    <w:p w14:paraId="3806D0FC">
      <w:pPr>
        <w:wordWrap w:val="0"/>
        <w:spacing w:line="400" w:lineRule="exact"/>
        <w:ind w:firstLine="482" w:firstLineChars="200"/>
        <w:rPr>
          <w:rFonts w:ascii="宋体" w:hAnsi="宋体" w:cs="宋体"/>
          <w:bCs/>
          <w:color w:val="auto"/>
          <w:sz w:val="24"/>
          <w:highlight w:val="none"/>
        </w:rPr>
      </w:pPr>
      <w:r>
        <w:rPr>
          <w:rFonts w:hint="eastAsia" w:ascii="宋体" w:hAnsi="宋体" w:cs="宋体"/>
          <w:b/>
          <w:color w:val="auto"/>
          <w:kern w:val="44"/>
          <w:sz w:val="24"/>
          <w:highlight w:val="none"/>
        </w:rPr>
        <w:t>八、凡对本次采购提出询问，请按以下方式联系</w:t>
      </w:r>
    </w:p>
    <w:p w14:paraId="41AA05A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431EE78F">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名称：南宁市邕宁区教育局</w:t>
      </w:r>
    </w:p>
    <w:p w14:paraId="17B630EE">
      <w:pPr>
        <w:spacing w:line="360" w:lineRule="auto"/>
        <w:ind w:firstLine="360" w:firstLineChars="1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lang w:val="en-US" w:eastAsia="zh-CN"/>
        </w:rPr>
        <w:t xml:space="preserve"> 南宁市邕宁区和美巷15号 </w:t>
      </w:r>
    </w:p>
    <w:p w14:paraId="54AC17EA">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bookmarkStart w:id="33" w:name="_Toc28359086"/>
      <w:bookmarkStart w:id="34" w:name="_Toc28359009"/>
      <w:r>
        <w:rPr>
          <w:rFonts w:hint="eastAsia" w:ascii="宋体" w:hAnsi="宋体" w:cs="宋体"/>
          <w:color w:val="auto"/>
          <w:sz w:val="24"/>
          <w:szCs w:val="24"/>
          <w:highlight w:val="none"/>
          <w:lang w:val="en-US" w:eastAsia="zh-CN"/>
        </w:rPr>
        <w:t>罗</w:t>
      </w:r>
      <w:r>
        <w:rPr>
          <w:rFonts w:hint="eastAsia" w:ascii="宋体" w:hAnsi="宋体" w:eastAsia="宋体" w:cs="宋体"/>
          <w:color w:val="auto"/>
          <w:sz w:val="24"/>
          <w:szCs w:val="24"/>
          <w:highlight w:val="none"/>
        </w:rPr>
        <w:t>老师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电话：0771-3488288 </w:t>
      </w:r>
    </w:p>
    <w:bookmarkEnd w:id="33"/>
    <w:bookmarkEnd w:id="34"/>
    <w:p w14:paraId="7298B7B7">
      <w:pPr>
        <w:numPr>
          <w:ilvl w:val="0"/>
          <w:numId w:val="0"/>
        </w:numPr>
        <w:spacing w:line="360" w:lineRule="auto"/>
        <w:ind w:firstLine="360" w:firstLineChars="150"/>
        <w:rPr>
          <w:rFonts w:hint="eastAsia" w:ascii="宋体" w:hAnsi="宋体" w:cs="宋体"/>
          <w:color w:val="auto"/>
          <w:sz w:val="24"/>
          <w:szCs w:val="24"/>
          <w:highlight w:val="none"/>
          <w:lang w:eastAsia="zh-CN"/>
        </w:rPr>
      </w:pPr>
      <w:r>
        <w:rPr>
          <w:rFonts w:hint="eastAsia"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rPr>
        <w:t>采购代理机构名称：</w:t>
      </w:r>
      <w:r>
        <w:rPr>
          <w:rFonts w:hint="eastAsia" w:ascii="宋体" w:hAnsi="宋体" w:cs="宋体"/>
          <w:color w:val="auto"/>
          <w:sz w:val="24"/>
          <w:szCs w:val="24"/>
          <w:highlight w:val="none"/>
          <w:lang w:eastAsia="zh-CN"/>
        </w:rPr>
        <w:t xml:space="preserve">广西海恒项目管理有限公司 </w:t>
      </w:r>
    </w:p>
    <w:p w14:paraId="5BEED452">
      <w:pPr>
        <w:numPr>
          <w:ilvl w:val="0"/>
          <w:numId w:val="0"/>
        </w:numPr>
        <w:spacing w:line="360" w:lineRule="auto"/>
        <w:ind w:firstLine="360" w:firstLineChars="15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地址：南宁市青秀区竹溪大道2号荣恒名都A座</w:t>
      </w:r>
      <w:r>
        <w:rPr>
          <w:rFonts w:hint="eastAsia" w:ascii="宋体" w:hAnsi="宋体" w:cs="宋体"/>
          <w:color w:val="auto"/>
          <w:sz w:val="24"/>
          <w:szCs w:val="24"/>
          <w:highlight w:val="none"/>
          <w:lang w:eastAsia="zh-CN"/>
        </w:rPr>
        <w:t>16层1612</w:t>
      </w:r>
      <w:r>
        <w:rPr>
          <w:rFonts w:hint="eastAsia" w:ascii="宋体" w:hAnsi="宋体" w:cs="宋体"/>
          <w:color w:val="auto"/>
          <w:sz w:val="24"/>
          <w:szCs w:val="24"/>
          <w:highlight w:val="none"/>
          <w:lang w:val="en-US" w:eastAsia="zh-CN"/>
        </w:rPr>
        <w:t>号</w:t>
      </w:r>
    </w:p>
    <w:p w14:paraId="470ED0D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项目负责人：张桂铭、黄明丽、张建华、陈志海</w:t>
      </w:r>
    </w:p>
    <w:p w14:paraId="4888E26C">
      <w:pPr>
        <w:spacing w:line="360" w:lineRule="auto"/>
        <w:ind w:firstLine="360" w:firstLineChars="150"/>
        <w:rPr>
          <w:rFonts w:hint="default" w:eastAsia="宋体"/>
          <w:color w:val="auto"/>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0771-2216828</w:t>
      </w:r>
    </w:p>
    <w:p w14:paraId="0CC4993D">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3.项目联系方式</w:t>
      </w:r>
    </w:p>
    <w:p w14:paraId="35B09AD4">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项目联系人：张桂铭、黄明丽、张建华、陈志海 </w:t>
      </w:r>
    </w:p>
    <w:p w14:paraId="5877344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话：0771-2216828</w:t>
      </w:r>
    </w:p>
    <w:p w14:paraId="69A1ADE9">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.监督部门</w:t>
      </w:r>
    </w:p>
    <w:p w14:paraId="028A3AF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南宁市邕宁区财政局   电话：0771-4790503</w:t>
      </w:r>
    </w:p>
    <w:p w14:paraId="57C4B14F">
      <w:pPr>
        <w:wordWrap w:val="0"/>
        <w:spacing w:line="400" w:lineRule="exact"/>
        <w:ind w:right="420"/>
        <w:jc w:val="right"/>
        <w:rPr>
          <w:rFonts w:hint="eastAsia" w:ascii="宋体" w:hAnsi="宋体" w:cs="宋体"/>
          <w:color w:val="auto"/>
          <w:sz w:val="24"/>
          <w:highlight w:val="none"/>
          <w:u w:val="none"/>
        </w:rPr>
      </w:pPr>
    </w:p>
    <w:p w14:paraId="1A1E7F80">
      <w:pPr>
        <w:wordWrap/>
        <w:spacing w:line="400" w:lineRule="exact"/>
        <w:ind w:right="420"/>
        <w:jc w:val="left"/>
        <w:rPr>
          <w:rFonts w:hint="eastAsia" w:ascii="宋体" w:hAnsi="宋体" w:cs="宋体"/>
          <w:color w:val="auto"/>
          <w:sz w:val="24"/>
          <w:highlight w:val="none"/>
          <w:u w:val="none"/>
        </w:rPr>
      </w:pPr>
      <w:r>
        <w:rPr>
          <w:rFonts w:hint="eastAsia" w:ascii="宋体" w:hAnsi="宋体" w:cs="宋体"/>
          <w:color w:val="auto"/>
          <w:sz w:val="24"/>
          <w:highlight w:val="none"/>
          <w:u w:val="none"/>
        </w:rPr>
        <w:t>附件：1.CA证书申请方式及操作指南下载地址（登陆http://nncz.nanning.gov.cn/南宁市财政局官网）-业务专题-政府采购监督管理-资料下载-“广西政采云西部CA办理方式”或“南宁市政采云CA证书办理操作指南”</w:t>
      </w:r>
    </w:p>
    <w:p w14:paraId="7A067426">
      <w:pPr>
        <w:wordWrap/>
        <w:spacing w:line="400" w:lineRule="exact"/>
        <w:ind w:right="420"/>
        <w:jc w:val="left"/>
        <w:rPr>
          <w:rFonts w:hint="eastAsia" w:ascii="宋体" w:hAnsi="宋体" w:cs="宋体"/>
          <w:color w:val="auto"/>
          <w:sz w:val="24"/>
          <w:highlight w:val="none"/>
          <w:u w:val="none"/>
        </w:rPr>
      </w:pPr>
      <w:r>
        <w:rPr>
          <w:rFonts w:hint="eastAsia" w:ascii="宋体" w:hAnsi="宋体" w:cs="宋体"/>
          <w:color w:val="auto"/>
          <w:sz w:val="24"/>
          <w:highlight w:val="none"/>
          <w:u w:val="none"/>
        </w:rPr>
        <w:t>2. 电子</w:t>
      </w:r>
      <w:r>
        <w:rPr>
          <w:rFonts w:hint="eastAsia" w:ascii="宋体" w:hAnsi="宋体" w:cs="宋体"/>
          <w:color w:val="auto"/>
          <w:sz w:val="24"/>
          <w:highlight w:val="none"/>
          <w:u w:val="none"/>
          <w:lang w:eastAsia="zh-CN"/>
        </w:rPr>
        <w:t>竞标响应文件</w:t>
      </w:r>
      <w:r>
        <w:rPr>
          <w:rFonts w:hint="eastAsia" w:ascii="宋体" w:hAnsi="宋体" w:cs="宋体"/>
          <w:color w:val="auto"/>
          <w:sz w:val="24"/>
          <w:highlight w:val="none"/>
          <w:u w:val="none"/>
        </w:rPr>
        <w:t>制作与投送教程（在此网址下载：http://nncz.nanning.gov.cn/南宁市财政局官网）-业务专题-政府采购监督管理-资料下载-南宁市政府采购项目全流程电子化交易操作指南</w:t>
      </w:r>
    </w:p>
    <w:p w14:paraId="3E079BC5">
      <w:pPr>
        <w:wordWrap w:val="0"/>
        <w:spacing w:line="400" w:lineRule="exact"/>
        <w:ind w:right="420"/>
        <w:jc w:val="right"/>
        <w:rPr>
          <w:rFonts w:hint="eastAsia" w:ascii="宋体" w:hAnsi="宋体" w:cs="宋体"/>
          <w:color w:val="auto"/>
          <w:sz w:val="24"/>
          <w:highlight w:val="none"/>
          <w:u w:val="none"/>
          <w:lang w:eastAsia="zh-CN"/>
        </w:rPr>
      </w:pPr>
    </w:p>
    <w:p w14:paraId="7E6186DF">
      <w:pPr>
        <w:wordWrap w:val="0"/>
        <w:spacing w:line="400" w:lineRule="exact"/>
        <w:ind w:right="420"/>
        <w:jc w:val="right"/>
        <w:rPr>
          <w:rFonts w:hint="eastAsia" w:ascii="宋体" w:hAnsi="宋体" w:cs="宋体"/>
          <w:color w:val="auto"/>
          <w:sz w:val="24"/>
          <w:highlight w:val="none"/>
          <w:u w:val="none"/>
          <w:lang w:eastAsia="zh-CN"/>
        </w:rPr>
      </w:pPr>
      <w:r>
        <w:rPr>
          <w:rFonts w:hint="eastAsia" w:ascii="宋体" w:hAnsi="宋体" w:cs="宋体"/>
          <w:color w:val="auto"/>
          <w:sz w:val="24"/>
          <w:highlight w:val="none"/>
          <w:u w:val="none"/>
          <w:lang w:eastAsia="zh-CN"/>
        </w:rPr>
        <w:t xml:space="preserve">广西海恒项目管理有限公司 </w:t>
      </w:r>
    </w:p>
    <w:p w14:paraId="6D5C9FFB">
      <w:pPr>
        <w:wordWrap w:val="0"/>
        <w:spacing w:line="400" w:lineRule="exact"/>
        <w:ind w:right="420"/>
        <w:jc w:val="right"/>
        <w:rPr>
          <w:rFonts w:ascii="宋体" w:hAnsi="宋体" w:cs="宋体"/>
          <w:color w:val="auto"/>
          <w:sz w:val="24"/>
          <w:highlight w:val="none"/>
        </w:rPr>
      </w:pPr>
      <w:r>
        <w:rPr>
          <w:rFonts w:hint="eastAsia" w:ascii="宋体" w:hAnsi="宋体" w:cs="宋体"/>
          <w:color w:val="auto"/>
          <w:sz w:val="24"/>
          <w:highlight w:val="none"/>
          <w:u w:val="none"/>
        </w:rPr>
        <w:t>20</w:t>
      </w:r>
      <w:r>
        <w:rPr>
          <w:rFonts w:hint="eastAsia" w:ascii="宋体" w:hAnsi="宋体" w:cs="宋体"/>
          <w:color w:val="auto"/>
          <w:sz w:val="24"/>
          <w:highlight w:val="none"/>
          <w:u w:val="none"/>
          <w:lang w:val="en-US" w:eastAsia="zh-CN"/>
        </w:rPr>
        <w:t>26</w:t>
      </w:r>
      <w:r>
        <w:rPr>
          <w:rFonts w:hint="eastAsia" w:ascii="宋体" w:hAnsi="宋体" w:cs="宋体"/>
          <w:color w:val="auto"/>
          <w:sz w:val="24"/>
          <w:highlight w:val="none"/>
          <w:u w:val="none"/>
        </w:rPr>
        <w:t>年</w:t>
      </w:r>
      <w:r>
        <w:rPr>
          <w:rFonts w:hint="eastAsia" w:ascii="宋体" w:hAnsi="宋体" w:cs="宋体"/>
          <w:color w:val="auto"/>
          <w:sz w:val="24"/>
          <w:highlight w:val="none"/>
          <w:u w:val="none"/>
          <w:lang w:val="en-US" w:eastAsia="zh-CN"/>
        </w:rPr>
        <w:t xml:space="preserve">7 </w:t>
      </w:r>
      <w:r>
        <w:rPr>
          <w:rFonts w:hint="eastAsia" w:ascii="宋体" w:hAnsi="宋体" w:cs="宋体"/>
          <w:color w:val="auto"/>
          <w:sz w:val="24"/>
          <w:highlight w:val="none"/>
          <w:u w:val="none"/>
        </w:rPr>
        <w:t>月</w:t>
      </w:r>
      <w:r>
        <w:rPr>
          <w:rFonts w:hint="eastAsia" w:ascii="宋体" w:hAnsi="宋体" w:cs="宋体"/>
          <w:color w:val="auto"/>
          <w:sz w:val="24"/>
          <w:highlight w:val="none"/>
          <w:u w:val="none"/>
          <w:lang w:val="en-US" w:eastAsia="zh-CN"/>
        </w:rPr>
        <w:t xml:space="preserve">20 </w:t>
      </w:r>
      <w:r>
        <w:rPr>
          <w:rFonts w:hint="eastAsia" w:ascii="宋体" w:hAnsi="宋体" w:cs="宋体"/>
          <w:color w:val="auto"/>
          <w:sz w:val="24"/>
          <w:highlight w:val="none"/>
          <w:u w:val="none"/>
        </w:rPr>
        <w:t>日</w:t>
      </w:r>
    </w:p>
    <w:p w14:paraId="6625AE08">
      <w:pPr>
        <w:widowControl/>
        <w:wordWrap w:val="0"/>
        <w:spacing w:line="400" w:lineRule="exact"/>
        <w:jc w:val="right"/>
        <w:rPr>
          <w:rFonts w:ascii="宋体" w:hAnsi="宋体" w:cs="宋体"/>
          <w:color w:val="auto"/>
          <w:sz w:val="24"/>
          <w:highlight w:val="none"/>
        </w:rPr>
        <w:sectPr>
          <w:footerReference r:id="rId4" w:type="default"/>
          <w:pgSz w:w="11910" w:h="16840"/>
          <w:pgMar w:top="1417" w:right="964" w:bottom="1191" w:left="1361" w:header="720" w:footer="720" w:gutter="0"/>
          <w:pgNumType w:start="1"/>
          <w:cols w:space="720" w:num="1"/>
        </w:sectPr>
      </w:pPr>
    </w:p>
    <w:p w14:paraId="5E82E7B6">
      <w:pPr>
        <w:pStyle w:val="18"/>
        <w:jc w:val="center"/>
        <w:outlineLvl w:val="0"/>
        <w:rPr>
          <w:rFonts w:ascii="Times New Roman" w:hAnsi="Times New Roman"/>
          <w:b/>
          <w:color w:val="auto"/>
          <w:kern w:val="2"/>
          <w:sz w:val="36"/>
          <w:szCs w:val="20"/>
          <w:highlight w:val="none"/>
        </w:rPr>
      </w:pPr>
      <w:bookmarkStart w:id="35" w:name="_Toc80205921"/>
      <w:bookmarkStart w:id="36" w:name="_Toc25489"/>
      <w:bookmarkStart w:id="37" w:name="_Toc21095"/>
      <w:bookmarkStart w:id="38" w:name="_Toc10612"/>
      <w:bookmarkStart w:id="39" w:name="_Toc20199"/>
      <w:r>
        <w:rPr>
          <w:rFonts w:hint="eastAsia" w:ascii="Times New Roman" w:hAnsi="Times New Roman"/>
          <w:b/>
          <w:color w:val="auto"/>
          <w:kern w:val="2"/>
          <w:sz w:val="36"/>
          <w:szCs w:val="20"/>
          <w:highlight w:val="none"/>
        </w:rPr>
        <w:t>第二章 采购需求</w:t>
      </w:r>
      <w:bookmarkEnd w:id="35"/>
      <w:bookmarkEnd w:id="36"/>
      <w:bookmarkEnd w:id="37"/>
      <w:bookmarkEnd w:id="38"/>
      <w:bookmarkEnd w:id="39"/>
    </w:p>
    <w:p w14:paraId="18FA5671">
      <w:pPr>
        <w:keepNext w:val="0"/>
        <w:keepLines w:val="0"/>
        <w:pageBreakBefore w:val="0"/>
        <w:kinsoku/>
        <w:wordWrap/>
        <w:overflowPunct/>
        <w:topLinePunct w:val="0"/>
        <w:autoSpaceDE/>
        <w:autoSpaceDN/>
        <w:bidi w:val="0"/>
        <w:spacing w:line="460" w:lineRule="exact"/>
        <w:ind w:firstLine="480" w:firstLineChars="200"/>
        <w:jc w:val="left"/>
        <w:rPr>
          <w:rFonts w:hint="eastAsia" w:ascii="宋体" w:hAnsi="宋体" w:cs="宋体"/>
          <w:color w:val="auto"/>
          <w:sz w:val="24"/>
          <w:szCs w:val="24"/>
          <w:highlight w:val="none"/>
        </w:rPr>
      </w:pPr>
      <w:r>
        <w:rPr>
          <w:rFonts w:hint="eastAsia"/>
          <w:color w:val="auto"/>
          <w:sz w:val="24"/>
          <w:szCs w:val="24"/>
          <w:highlight w:val="none"/>
        </w:rPr>
        <w:t>1. 为落实政府采购政策需满足的要求（根据项目实际情况填写内容）</w:t>
      </w:r>
    </w:p>
    <w:p w14:paraId="4B2A61A9">
      <w:pPr>
        <w:keepNext w:val="0"/>
        <w:keepLines w:val="0"/>
        <w:pageBreakBefore w:val="0"/>
        <w:kinsoku/>
        <w:wordWrap/>
        <w:overflowPunct/>
        <w:topLinePunct w:val="0"/>
        <w:autoSpaceDE/>
        <w:autoSpaceDN/>
        <w:bidi w:val="0"/>
        <w:spacing w:line="460" w:lineRule="exact"/>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（1）本</w:t>
      </w:r>
      <w:r>
        <w:rPr>
          <w:rFonts w:hint="eastAsia" w:ascii="宋体" w:hAnsi="宋体" w:cs="宋体"/>
          <w:color w:val="auto"/>
          <w:sz w:val="24"/>
          <w:szCs w:val="24"/>
          <w:highlight w:val="none"/>
          <w:lang w:eastAsia="zh-CN"/>
        </w:rPr>
        <w:t>采购文件</w:t>
      </w:r>
      <w:r>
        <w:rPr>
          <w:rFonts w:hint="eastAsia" w:ascii="宋体" w:hAnsi="宋体" w:cs="宋体"/>
          <w:color w:val="auto"/>
          <w:sz w:val="24"/>
          <w:szCs w:val="24"/>
          <w:highlight w:val="none"/>
        </w:rPr>
        <w:t>所称中小企业必须符合《政府采购促进中小企业发展管理办法》（财库〔2020〕46号）的规定。</w:t>
      </w:r>
    </w:p>
    <w:p w14:paraId="029AD829">
      <w:pPr>
        <w:keepNext w:val="0"/>
        <w:keepLines w:val="0"/>
        <w:pageBreakBefore w:val="0"/>
        <w:kinsoku/>
        <w:wordWrap/>
        <w:overflowPunct/>
        <w:topLinePunct w:val="0"/>
        <w:autoSpaceDE/>
        <w:autoSpaceDN/>
        <w:bidi w:val="0"/>
        <w:spacing w:line="460" w:lineRule="exact"/>
        <w:ind w:firstLine="484" w:firstLineChars="202"/>
        <w:jc w:val="left"/>
        <w:rPr>
          <w:rFonts w:ascii="宋体" w:hAnsi="宋体" w:cs="宋体"/>
          <w:color w:val="auto"/>
          <w:sz w:val="24"/>
          <w:szCs w:val="24"/>
          <w:highlight w:val="none"/>
        </w:rPr>
      </w:pPr>
      <w:r>
        <w:rPr>
          <w:rFonts w:hint="eastAsia" w:ascii="宋体" w:hAnsi="宋体" w:cs="宋体"/>
          <w:color w:val="auto"/>
          <w:sz w:val="24"/>
          <w:szCs w:val="24"/>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w:t>
      </w:r>
      <w:r>
        <w:rPr>
          <w:rFonts w:hint="eastAsia" w:ascii="宋体" w:hAnsi="宋体" w:cs="宋体"/>
          <w:color w:val="auto"/>
          <w:sz w:val="24"/>
          <w:szCs w:val="24"/>
          <w:highlight w:val="none"/>
          <w:lang w:eastAsia="zh-CN"/>
        </w:rPr>
        <w:t>竞标响应文件</w:t>
      </w:r>
      <w:r>
        <w:rPr>
          <w:rFonts w:hint="eastAsia" w:ascii="宋体" w:hAnsi="宋体" w:cs="宋体"/>
          <w:color w:val="auto"/>
          <w:sz w:val="24"/>
          <w:szCs w:val="24"/>
          <w:highlight w:val="none"/>
        </w:rPr>
        <w:t>中提供所投标产品的节能产品认证证书复印件（加盖投标人公章），</w:t>
      </w:r>
      <w:r>
        <w:rPr>
          <w:rFonts w:hint="eastAsia" w:ascii="宋体" w:hAnsi="宋体" w:cs="宋体"/>
          <w:b/>
          <w:bCs/>
          <w:color w:val="auto"/>
          <w:sz w:val="24"/>
          <w:szCs w:val="24"/>
          <w:highlight w:val="none"/>
        </w:rPr>
        <w:t>否则</w:t>
      </w:r>
      <w:r>
        <w:rPr>
          <w:rFonts w:hint="eastAsia" w:ascii="宋体" w:hAnsi="宋体" w:cs="宋体"/>
          <w:b/>
          <w:bCs/>
          <w:color w:val="auto"/>
          <w:sz w:val="24"/>
          <w:szCs w:val="24"/>
          <w:highlight w:val="none"/>
          <w:lang w:eastAsia="zh-CN"/>
        </w:rPr>
        <w:t>竞标响应文件</w:t>
      </w:r>
      <w:r>
        <w:rPr>
          <w:rFonts w:hint="eastAsia" w:ascii="宋体" w:hAnsi="宋体" w:cs="宋体"/>
          <w:b/>
          <w:bCs/>
          <w:color w:val="auto"/>
          <w:sz w:val="24"/>
          <w:szCs w:val="24"/>
          <w:highlight w:val="none"/>
        </w:rPr>
        <w:t>作无效处理</w:t>
      </w:r>
      <w:r>
        <w:rPr>
          <w:rFonts w:hint="eastAsia" w:ascii="宋体" w:hAnsi="宋体" w:cs="宋体"/>
          <w:color w:val="auto"/>
          <w:sz w:val="24"/>
          <w:szCs w:val="24"/>
          <w:highlight w:val="none"/>
        </w:rPr>
        <w:t>。如本项目包含的货物属于品目清单内非标注“★”的产品时，应优先采购，具体详见“第四章 评标方法及评标标准”。</w:t>
      </w:r>
    </w:p>
    <w:p w14:paraId="541DFF21">
      <w:pPr>
        <w:keepNext w:val="0"/>
        <w:keepLines w:val="0"/>
        <w:pageBreakBefore w:val="0"/>
        <w:kinsoku/>
        <w:wordWrap/>
        <w:overflowPunct/>
        <w:topLinePunct w:val="0"/>
        <w:autoSpaceDE/>
        <w:autoSpaceDN/>
        <w:bidi w:val="0"/>
        <w:spacing w:line="460" w:lineRule="exact"/>
        <w:ind w:firstLine="484" w:firstLineChars="202"/>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2.“实质性要求”是指</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文件中已经指明不满足则投标无效的条款，</w:t>
      </w:r>
      <w:r>
        <w:rPr>
          <w:rFonts w:hint="eastAsia" w:ascii="宋体" w:hAnsi="宋体" w:cs="宋体"/>
          <w:color w:val="auto"/>
          <w:sz w:val="24"/>
          <w:szCs w:val="24"/>
          <w:highlight w:val="none"/>
          <w:lang w:val="en-US" w:eastAsia="zh-CN"/>
        </w:rPr>
        <w:t>即：</w:t>
      </w:r>
      <w:r>
        <w:rPr>
          <w:rFonts w:hint="eastAsia" w:ascii="宋体" w:hAnsi="宋体" w:cs="宋体"/>
          <w:color w:val="auto"/>
          <w:sz w:val="24"/>
          <w:szCs w:val="24"/>
          <w:highlight w:val="none"/>
        </w:rPr>
        <w:t>不能负偏离的条款或者采购需求中带“▲”的条款。</w:t>
      </w:r>
    </w:p>
    <w:p w14:paraId="467718CE">
      <w:pPr>
        <w:keepNext w:val="0"/>
        <w:keepLines w:val="0"/>
        <w:pageBreakBefore w:val="0"/>
        <w:kinsoku/>
        <w:wordWrap/>
        <w:overflowPunct/>
        <w:topLinePunct w:val="0"/>
        <w:autoSpaceDE/>
        <w:autoSpaceDN/>
        <w:bidi w:val="0"/>
        <w:spacing w:line="460" w:lineRule="exact"/>
        <w:ind w:firstLine="484" w:firstLineChars="202"/>
        <w:jc w:val="left"/>
        <w:rPr>
          <w:rFonts w:hint="eastAsia"/>
          <w:color w:val="auto"/>
          <w:sz w:val="24"/>
          <w:szCs w:val="24"/>
          <w:highlight w:val="none"/>
        </w:rPr>
      </w:pPr>
      <w:r>
        <w:rPr>
          <w:rFonts w:hint="eastAsia" w:ascii="宋体" w:hAnsi="宋体" w:cs="宋体"/>
          <w:color w:val="auto"/>
          <w:sz w:val="24"/>
          <w:szCs w:val="24"/>
          <w:highlight w:val="none"/>
        </w:rPr>
        <w:t>3.</w:t>
      </w:r>
      <w:r>
        <w:rPr>
          <w:rFonts w:hint="eastAsia"/>
          <w:color w:val="auto"/>
          <w:sz w:val="24"/>
          <w:szCs w:val="24"/>
          <w:highlight w:val="none"/>
        </w:rPr>
        <w:t>如投标人投标</w:t>
      </w:r>
      <w:r>
        <w:rPr>
          <w:color w:val="auto"/>
          <w:sz w:val="24"/>
          <w:szCs w:val="24"/>
          <w:highlight w:val="none"/>
        </w:rPr>
        <w:t>产品</w:t>
      </w:r>
      <w:r>
        <w:rPr>
          <w:rFonts w:hint="eastAsia"/>
          <w:color w:val="auto"/>
          <w:sz w:val="24"/>
          <w:szCs w:val="24"/>
          <w:highlight w:val="none"/>
        </w:rPr>
        <w:t>存在</w:t>
      </w:r>
      <w:r>
        <w:rPr>
          <w:color w:val="auto"/>
          <w:sz w:val="24"/>
          <w:szCs w:val="24"/>
          <w:highlight w:val="none"/>
        </w:rPr>
        <w:t>侵犯</w:t>
      </w:r>
      <w:r>
        <w:rPr>
          <w:rFonts w:hint="eastAsia"/>
          <w:color w:val="auto"/>
          <w:sz w:val="24"/>
          <w:szCs w:val="24"/>
          <w:highlight w:val="none"/>
        </w:rPr>
        <w:t>他人的知识产权或者专利成果行为的，应</w:t>
      </w:r>
      <w:r>
        <w:rPr>
          <w:color w:val="auto"/>
          <w:sz w:val="24"/>
          <w:szCs w:val="24"/>
          <w:highlight w:val="none"/>
        </w:rPr>
        <w:t>承担相应法律责任</w:t>
      </w:r>
      <w:r>
        <w:rPr>
          <w:rFonts w:hint="eastAsia"/>
          <w:color w:val="auto"/>
          <w:sz w:val="24"/>
          <w:szCs w:val="24"/>
          <w:highlight w:val="none"/>
        </w:rPr>
        <w:t>。</w:t>
      </w:r>
    </w:p>
    <w:p w14:paraId="7B802A46">
      <w:pPr>
        <w:keepNext w:val="0"/>
        <w:keepLines w:val="0"/>
        <w:pageBreakBefore w:val="0"/>
        <w:kinsoku/>
        <w:wordWrap/>
        <w:overflowPunct/>
        <w:topLinePunct w:val="0"/>
        <w:autoSpaceDE/>
        <w:autoSpaceDN/>
        <w:bidi w:val="0"/>
        <w:spacing w:line="460" w:lineRule="exact"/>
        <w:ind w:firstLine="480" w:firstLineChars="200"/>
        <w:rPr>
          <w:rFonts w:hint="eastAsia" w:ascii="宋体" w:hAnsi="宋体"/>
          <w:b/>
          <w:bCs/>
          <w:color w:val="auto"/>
          <w:sz w:val="24"/>
          <w:szCs w:val="24"/>
          <w:highlight w:val="none"/>
          <w:lang w:val="en-US" w:eastAsia="zh-CN"/>
        </w:rPr>
      </w:pPr>
      <w:r>
        <w:rPr>
          <w:rFonts w:hint="eastAsia" w:ascii="宋体" w:hAnsi="宋体"/>
          <w:color w:val="auto"/>
          <w:sz w:val="24"/>
          <w:szCs w:val="24"/>
          <w:highlight w:val="none"/>
        </w:rPr>
        <w:t>4、本货物需求的核心产品，提供相同品牌产品且通过资格审查、符合性审查的不同投标人参加同一合同项下投标的，按一家投标人计算，评审后得分最高的同品牌投标人获得</w:t>
      </w:r>
      <w:r>
        <w:rPr>
          <w:rFonts w:hint="eastAsia" w:ascii="宋体" w:hAnsi="宋体"/>
          <w:color w:val="auto"/>
          <w:sz w:val="24"/>
          <w:szCs w:val="24"/>
          <w:highlight w:val="none"/>
          <w:lang w:val="en-US" w:eastAsia="zh-CN"/>
        </w:rPr>
        <w:t>成交</w:t>
      </w:r>
      <w:r>
        <w:rPr>
          <w:rFonts w:hint="eastAsia" w:ascii="宋体" w:hAnsi="宋体"/>
          <w:color w:val="auto"/>
          <w:sz w:val="24"/>
          <w:szCs w:val="24"/>
          <w:highlight w:val="none"/>
        </w:rPr>
        <w:t>人推荐资格（评审得分相同的，以投标报价由低到高顺序排列；得分相同且投标报价相同的，按技术指标优劣顺序排列），其他同品牌投标人不作为</w:t>
      </w:r>
      <w:r>
        <w:rPr>
          <w:rFonts w:hint="eastAsia" w:ascii="宋体" w:hAnsi="宋体"/>
          <w:color w:val="auto"/>
          <w:sz w:val="24"/>
          <w:szCs w:val="24"/>
          <w:highlight w:val="none"/>
          <w:lang w:val="en-US" w:eastAsia="zh-CN"/>
        </w:rPr>
        <w:t>成交</w:t>
      </w:r>
      <w:r>
        <w:rPr>
          <w:rFonts w:hint="eastAsia" w:ascii="宋体" w:hAnsi="宋体"/>
          <w:color w:val="auto"/>
          <w:sz w:val="24"/>
          <w:szCs w:val="24"/>
          <w:highlight w:val="none"/>
        </w:rPr>
        <w:t>候选人。</w:t>
      </w:r>
      <w:r>
        <w:rPr>
          <w:rFonts w:hint="eastAsia" w:ascii="宋体" w:hAnsi="宋体"/>
          <w:b/>
          <w:bCs/>
          <w:color w:val="auto"/>
          <w:sz w:val="24"/>
          <w:szCs w:val="24"/>
          <w:highlight w:val="none"/>
        </w:rPr>
        <w:t>本项目的核心产品为：</w:t>
      </w:r>
      <w:r>
        <w:rPr>
          <w:rFonts w:hint="eastAsia" w:ascii="宋体" w:hAnsi="宋体"/>
          <w:b/>
          <w:bCs/>
          <w:color w:val="auto"/>
          <w:sz w:val="24"/>
          <w:szCs w:val="24"/>
          <w:highlight w:val="none"/>
          <w:lang w:val="en-US" w:eastAsia="zh-CN"/>
        </w:rPr>
        <w:t xml:space="preserve">1  </w:t>
      </w:r>
      <w:r>
        <w:rPr>
          <w:rFonts w:hint="eastAsia" w:ascii="宋体" w:hAnsi="宋体"/>
          <w:b/>
          <w:bCs/>
          <w:color w:val="auto"/>
          <w:sz w:val="24"/>
          <w:szCs w:val="24"/>
          <w:highlight w:val="none"/>
        </w:rPr>
        <w:t>小学教室门</w:t>
      </w:r>
      <w:r>
        <w:rPr>
          <w:rFonts w:hint="eastAsia" w:ascii="宋体" w:hAnsi="宋体"/>
          <w:b/>
          <w:bCs/>
          <w:color w:val="auto"/>
          <w:sz w:val="24"/>
          <w:szCs w:val="24"/>
          <w:highlight w:val="none"/>
          <w:lang w:val="en-US" w:eastAsia="zh-CN"/>
        </w:rPr>
        <w:t xml:space="preserve"> </w:t>
      </w:r>
    </w:p>
    <w:p w14:paraId="3061A71D">
      <w:pPr>
        <w:keepNext w:val="0"/>
        <w:keepLines w:val="0"/>
        <w:pageBreakBefore w:val="0"/>
        <w:kinsoku/>
        <w:wordWrap/>
        <w:overflowPunct/>
        <w:topLinePunct w:val="0"/>
        <w:autoSpaceDE/>
        <w:autoSpaceDN/>
        <w:bidi w:val="0"/>
        <w:spacing w:line="460" w:lineRule="exact"/>
        <w:ind w:firstLine="480" w:firstLineChars="200"/>
        <w:rPr>
          <w:rFonts w:hint="eastAsia"/>
          <w:color w:val="auto"/>
          <w:sz w:val="24"/>
          <w:szCs w:val="24"/>
          <w:highlight w:val="none"/>
        </w:rPr>
      </w:pPr>
      <w:r>
        <w:rPr>
          <w:rFonts w:hint="eastAsia"/>
          <w:color w:val="auto"/>
          <w:sz w:val="24"/>
          <w:szCs w:val="24"/>
          <w:highlight w:val="none"/>
        </w:rPr>
        <w:t>5、应商总报价不得超过项目总采购预算，各分项报价也不得超过对应的分项采购预算。</w:t>
      </w:r>
    </w:p>
    <w:p w14:paraId="4C31A4B8">
      <w:pPr>
        <w:keepNext w:val="0"/>
        <w:keepLines w:val="0"/>
        <w:pageBreakBefore w:val="0"/>
        <w:kinsoku/>
        <w:wordWrap/>
        <w:overflowPunct/>
        <w:topLinePunct w:val="0"/>
        <w:autoSpaceDE/>
        <w:autoSpaceDN/>
        <w:bidi w:val="0"/>
        <w:spacing w:line="460" w:lineRule="exact"/>
        <w:ind w:firstLine="480" w:firstLineChars="200"/>
        <w:rPr>
          <w:rFonts w:hint="eastAsia"/>
          <w:b/>
          <w:color w:val="auto"/>
          <w:sz w:val="24"/>
          <w:szCs w:val="24"/>
          <w:highlight w:val="none"/>
        </w:rPr>
      </w:pPr>
      <w:r>
        <w:rPr>
          <w:rFonts w:hint="eastAsia"/>
          <w:color w:val="auto"/>
          <w:sz w:val="24"/>
          <w:szCs w:val="24"/>
          <w:highlight w:val="none"/>
        </w:rPr>
        <w:t>6、中小企业划分标准所属行业名称：</w:t>
      </w:r>
      <w:r>
        <w:rPr>
          <w:rFonts w:hint="eastAsia"/>
          <w:b/>
          <w:color w:val="auto"/>
          <w:sz w:val="24"/>
          <w:szCs w:val="24"/>
          <w:highlight w:val="none"/>
        </w:rPr>
        <w:t>工业</w:t>
      </w:r>
    </w:p>
    <w:p w14:paraId="495061FB">
      <w:pPr>
        <w:pStyle w:val="2"/>
        <w:keepNext w:val="0"/>
        <w:keepLines w:val="0"/>
        <w:pageBreakBefore w:val="0"/>
        <w:kinsoku/>
        <w:wordWrap/>
        <w:overflowPunct/>
        <w:topLinePunct w:val="0"/>
        <w:autoSpaceDE/>
        <w:autoSpaceDN/>
        <w:bidi w:val="0"/>
        <w:spacing w:line="460" w:lineRule="exact"/>
        <w:rPr>
          <w:rFonts w:hint="eastAsia"/>
          <w:color w:val="auto"/>
          <w:sz w:val="24"/>
          <w:szCs w:val="24"/>
          <w:highlight w:val="none"/>
        </w:rPr>
      </w:pPr>
    </w:p>
    <w:p w14:paraId="35940FDF">
      <w:pPr>
        <w:keepNext w:val="0"/>
        <w:keepLines w:val="0"/>
        <w:pageBreakBefore w:val="0"/>
        <w:kinsoku/>
        <w:wordWrap/>
        <w:overflowPunct/>
        <w:topLinePunct w:val="0"/>
        <w:autoSpaceDE/>
        <w:autoSpaceDN/>
        <w:bidi w:val="0"/>
        <w:spacing w:line="460" w:lineRule="exact"/>
        <w:rPr>
          <w:rFonts w:hint="eastAsia"/>
          <w:color w:val="auto"/>
          <w:sz w:val="24"/>
          <w:szCs w:val="24"/>
          <w:highlight w:val="none"/>
        </w:rPr>
      </w:pPr>
    </w:p>
    <w:p w14:paraId="35C1FFFF">
      <w:pPr>
        <w:pStyle w:val="2"/>
        <w:keepNext w:val="0"/>
        <w:keepLines w:val="0"/>
        <w:pageBreakBefore w:val="0"/>
        <w:kinsoku/>
        <w:wordWrap/>
        <w:overflowPunct/>
        <w:topLinePunct w:val="0"/>
        <w:autoSpaceDE/>
        <w:autoSpaceDN/>
        <w:bidi w:val="0"/>
        <w:spacing w:line="460" w:lineRule="exact"/>
        <w:rPr>
          <w:rFonts w:hint="eastAsia"/>
          <w:color w:val="auto"/>
          <w:sz w:val="24"/>
          <w:szCs w:val="24"/>
          <w:highlight w:val="none"/>
        </w:rPr>
      </w:pPr>
    </w:p>
    <w:p w14:paraId="4D9A4BD3">
      <w:pPr>
        <w:keepNext w:val="0"/>
        <w:keepLines w:val="0"/>
        <w:pageBreakBefore w:val="0"/>
        <w:kinsoku/>
        <w:wordWrap/>
        <w:overflowPunct/>
        <w:topLinePunct w:val="0"/>
        <w:autoSpaceDE/>
        <w:autoSpaceDN/>
        <w:bidi w:val="0"/>
        <w:spacing w:line="460" w:lineRule="exact"/>
        <w:rPr>
          <w:rFonts w:hint="eastAsia"/>
          <w:color w:val="auto"/>
          <w:sz w:val="24"/>
          <w:szCs w:val="24"/>
          <w:highlight w:val="none"/>
        </w:rPr>
      </w:pPr>
    </w:p>
    <w:p w14:paraId="7C1A19F9">
      <w:pPr>
        <w:keepNext w:val="0"/>
        <w:keepLines w:val="0"/>
        <w:pageBreakBefore w:val="0"/>
        <w:kinsoku/>
        <w:wordWrap/>
        <w:overflowPunct/>
        <w:topLinePunct w:val="0"/>
        <w:autoSpaceDE/>
        <w:autoSpaceDN/>
        <w:bidi w:val="0"/>
        <w:spacing w:line="460" w:lineRule="exact"/>
        <w:rPr>
          <w:rFonts w:hint="eastAsia"/>
          <w:color w:val="auto"/>
          <w:sz w:val="24"/>
          <w:szCs w:val="24"/>
          <w:highlight w:val="none"/>
        </w:rPr>
      </w:pPr>
    </w:p>
    <w:p w14:paraId="12A47E1C">
      <w:pPr>
        <w:pStyle w:val="2"/>
        <w:keepNext w:val="0"/>
        <w:keepLines w:val="0"/>
        <w:pageBreakBefore w:val="0"/>
        <w:kinsoku/>
        <w:wordWrap/>
        <w:overflowPunct/>
        <w:topLinePunct w:val="0"/>
        <w:autoSpaceDE/>
        <w:autoSpaceDN/>
        <w:bidi w:val="0"/>
        <w:spacing w:line="460" w:lineRule="exact"/>
        <w:rPr>
          <w:rFonts w:hint="eastAsia"/>
          <w:color w:val="auto"/>
          <w:sz w:val="24"/>
          <w:szCs w:val="24"/>
          <w:highlight w:val="none"/>
        </w:rPr>
      </w:pPr>
    </w:p>
    <w:p w14:paraId="6CDDA4D8">
      <w:pPr>
        <w:keepNext w:val="0"/>
        <w:keepLines w:val="0"/>
        <w:pageBreakBefore w:val="0"/>
        <w:kinsoku/>
        <w:wordWrap/>
        <w:overflowPunct/>
        <w:topLinePunct w:val="0"/>
        <w:autoSpaceDE/>
        <w:autoSpaceDN/>
        <w:bidi w:val="0"/>
        <w:spacing w:line="460" w:lineRule="exact"/>
        <w:rPr>
          <w:rFonts w:hint="eastAsia"/>
          <w:color w:val="auto"/>
          <w:sz w:val="24"/>
          <w:szCs w:val="24"/>
          <w:highlight w:val="none"/>
        </w:rPr>
      </w:pPr>
    </w:p>
    <w:p w14:paraId="487F7227">
      <w:pPr>
        <w:spacing w:line="428" w:lineRule="exact"/>
        <w:jc w:val="center"/>
        <w:rPr>
          <w:color w:val="auto"/>
          <w:sz w:val="36"/>
          <w:szCs w:val="36"/>
          <w:highlight w:val="none"/>
        </w:rPr>
      </w:pPr>
      <w:r>
        <w:rPr>
          <w:rFonts w:hint="eastAsia" w:ascii="宋体" w:hAnsi="宋体" w:eastAsia="宋体" w:cs="宋体"/>
          <w:b/>
          <w:color w:val="auto"/>
          <w:sz w:val="30"/>
          <w:szCs w:val="30"/>
          <w:highlight w:val="none"/>
        </w:rPr>
        <w:t>货物需求一览表</w:t>
      </w:r>
    </w:p>
    <w:tbl>
      <w:tblPr>
        <w:tblStyle w:val="32"/>
        <w:tblpPr w:leftFromText="180" w:rightFromText="180" w:vertAnchor="text" w:horzAnchor="page" w:tblpX="1228" w:tblpY="315"/>
        <w:tblOverlap w:val="never"/>
        <w:tblW w:w="4945" w:type="pct"/>
        <w:tblInd w:w="0" w:type="dxa"/>
        <w:tblLayout w:type="fixed"/>
        <w:tblCellMar>
          <w:top w:w="0" w:type="dxa"/>
          <w:left w:w="108" w:type="dxa"/>
          <w:bottom w:w="0" w:type="dxa"/>
          <w:right w:w="108" w:type="dxa"/>
        </w:tblCellMar>
      </w:tblPr>
      <w:tblGrid>
        <w:gridCol w:w="588"/>
        <w:gridCol w:w="835"/>
        <w:gridCol w:w="550"/>
        <w:gridCol w:w="833"/>
        <w:gridCol w:w="1031"/>
        <w:gridCol w:w="4653"/>
        <w:gridCol w:w="1088"/>
      </w:tblGrid>
      <w:tr w14:paraId="4D3130D2">
        <w:tblPrEx>
          <w:tblCellMar>
            <w:top w:w="0" w:type="dxa"/>
            <w:left w:w="108" w:type="dxa"/>
            <w:bottom w:w="0" w:type="dxa"/>
            <w:right w:w="108" w:type="dxa"/>
          </w:tblCellMar>
        </w:tblPrEx>
        <w:trPr>
          <w:trHeight w:val="735"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9C1AB">
            <w:pPr>
              <w:jc w:val="center"/>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项号</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C7DC">
            <w:pPr>
              <w:jc w:val="center"/>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货物</w:t>
            </w:r>
          </w:p>
          <w:p w14:paraId="649B8D84">
            <w:pPr>
              <w:jc w:val="center"/>
              <w:rPr>
                <w:rFonts w:hint="eastAsia" w:cs="宋体" w:asciiTheme="minorEastAsia" w:hAnsiTheme="minorEastAsia"/>
                <w:bCs/>
                <w:color w:val="auto"/>
                <w:szCs w:val="21"/>
                <w:highlight w:val="none"/>
              </w:rPr>
            </w:pPr>
            <w:r>
              <w:rPr>
                <w:rFonts w:hint="eastAsia" w:cs="宋体" w:asciiTheme="minorEastAsia" w:hAnsiTheme="minorEastAsia"/>
                <w:bCs/>
                <w:color w:val="auto"/>
                <w:szCs w:val="21"/>
                <w:highlight w:val="none"/>
              </w:rPr>
              <w:t>名称</w:t>
            </w:r>
          </w:p>
          <w:p w14:paraId="2B302714">
            <w:pPr>
              <w:jc w:val="center"/>
              <w:rPr>
                <w:rFonts w:hint="default" w:eastAsia="宋体"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(标的名称)</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D5992">
            <w:pPr>
              <w:jc w:val="center"/>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单位</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C542D">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数量</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AE0D0">
            <w:pPr>
              <w:widowControl/>
              <w:jc w:val="center"/>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单价（元）</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3643D">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技术参数要求</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EF9C9">
            <w:pPr>
              <w:jc w:val="center"/>
              <w:rPr>
                <w:rFonts w:cs="宋体" w:asciiTheme="minorEastAsia" w:hAnsiTheme="minorEastAsia"/>
                <w:bCs/>
                <w:color w:val="auto"/>
                <w:szCs w:val="21"/>
                <w:highlight w:val="none"/>
              </w:rPr>
            </w:pPr>
            <w:r>
              <w:rPr>
                <w:rFonts w:hint="eastAsia" w:asciiTheme="minorEastAsia" w:hAnsiTheme="minorEastAsia" w:cstheme="minorEastAsia"/>
                <w:bCs/>
                <w:color w:val="auto"/>
                <w:szCs w:val="21"/>
                <w:highlight w:val="none"/>
              </w:rPr>
              <w:t>分项预算合价（元）</w:t>
            </w:r>
          </w:p>
        </w:tc>
      </w:tr>
      <w:tr w14:paraId="72207E5D">
        <w:tblPrEx>
          <w:tblCellMar>
            <w:top w:w="0" w:type="dxa"/>
            <w:left w:w="108" w:type="dxa"/>
            <w:bottom w:w="0" w:type="dxa"/>
            <w:right w:w="108" w:type="dxa"/>
          </w:tblCellMar>
        </w:tblPrEx>
        <w:trPr>
          <w:trHeight w:val="2920"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0B671">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1</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D3882">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小学教室门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50394">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批</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C22A9">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1</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B6849">
            <w:pPr>
              <w:widowControl/>
              <w:jc w:val="righ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240000</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85F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▲采购数量及规格尺寸：1樘（宽96厘米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268厘米）、2樘（宽96厘米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266厘米）、2樘（宽96厘米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262厘米）、2樘（宽96厘米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265厘米）、2樘（宽97厘米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267厘米）、1樘（宽88厘米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241厘米）、2樘（宽96厘米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242厘米）、4樘（宽118厘米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180厘米）、4樘（宽100厘米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260厘米）、2樘（宽94厘米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261厘米）、1樘（宽85厘米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205厘米）、1樘（宽87厘米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243厘米）、1樘（宽88厘米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241厘米）、1樘（宽87厘米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241厘米）、1樘（宽87厘米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240厘米）、1樘（宽87厘米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240厘米）、1樘（宽87厘米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241厘米）、4樘（宽88厘米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242厘米）、1樘（宽88厘米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243厘米）、1樘（宽87厘米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244厘米）、1樘（宽95厘米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202厘米）、1樘（宽96厘米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202厘米）、3樘（宽94厘米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202厘米）、10樘（宽96厘米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268厘米）、4樘（宽98厘米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225厘米）、12樘（宽113厘米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273厘米）、10樘（宽85厘米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265厘米）、10樘（宽89厘米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244厘米）、2樘（宽95厘米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293厘米）、1樘（宽100厘米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204厘米）、10樘（宽99厘米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264厘米）、18樘（宽95厘米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293厘米）、16樘（宽95厘米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295厘米）、14樘（宽100厘米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265厘米）、27樘（宽93厘米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200厘米）、8樘（宽180厘米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250厘米）、4樘（宽96厘米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200厘米）、4樘（宽98厘米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250厘米）、6樘（宽98厘米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206厘米），总计208樘。</w:t>
            </w:r>
          </w:p>
          <w:p w14:paraId="47BF4C4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▲一、总体技术要求</w:t>
            </w:r>
          </w:p>
          <w:p w14:paraId="1238F07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1、产品为小学教室用钢制内开平开门，产品适用于小学日常教学场景，具备抗撞击、防变形、防腐蚀、静音、环保无异味、易清洁、耐日晒等校园专用性能。</w:t>
            </w:r>
          </w:p>
          <w:p w14:paraId="48D3E3F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2、所有产品为全新原厂成品，不接受翻新门、二手门、拼装次品门、工地现场自制门。</w:t>
            </w:r>
          </w:p>
          <w:p w14:paraId="1BE91B7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3、整门外观颜色统一、无色差、无划痕、无凹凸变形、无掉漆、无毛刺尖角，完全适配校园整洁统一形象。</w:t>
            </w:r>
          </w:p>
          <w:p w14:paraId="08B1B5F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▲二、门扇技术参数</w:t>
            </w:r>
          </w:p>
          <w:p w14:paraId="7370680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w:t>
            </w:r>
            <w:r>
              <w:rPr>
                <w:rFonts w:hint="eastAsia" w:cs="宋体" w:asciiTheme="minorEastAsia" w:hAnsiTheme="minorEastAsia"/>
                <w:b/>
                <w:bCs/>
                <w:color w:val="auto"/>
                <w:kern w:val="0"/>
                <w:szCs w:val="21"/>
                <w:highlight w:val="none"/>
              </w:rPr>
              <w:t>门扇厚度：</w:t>
            </w:r>
            <w:r>
              <w:rPr>
                <w:rFonts w:hint="eastAsia" w:cs="宋体" w:asciiTheme="minorEastAsia" w:hAnsiTheme="minorEastAsia"/>
                <w:b/>
                <w:bCs/>
                <w:color w:val="auto"/>
                <w:kern w:val="0"/>
                <w:szCs w:val="21"/>
                <w:highlight w:val="none"/>
                <w:u w:val="single"/>
              </w:rPr>
              <w:t>门扇整体厚度≥60mm</w:t>
            </w:r>
            <w:r>
              <w:rPr>
                <w:rFonts w:hint="eastAsia" w:cs="宋体" w:asciiTheme="minorEastAsia" w:hAnsiTheme="minorEastAsia"/>
                <w:color w:val="auto"/>
                <w:kern w:val="0"/>
                <w:szCs w:val="21"/>
                <w:highlight w:val="none"/>
              </w:rPr>
              <w:t>，结构稳固，长期开关不变形、不松动。</w:t>
            </w:r>
          </w:p>
          <w:p w14:paraId="30016C7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w:t>
            </w:r>
            <w:r>
              <w:rPr>
                <w:rFonts w:hint="eastAsia" w:cs="宋体" w:asciiTheme="minorEastAsia" w:hAnsiTheme="minorEastAsia"/>
                <w:b/>
                <w:bCs/>
                <w:color w:val="auto"/>
                <w:kern w:val="0"/>
                <w:szCs w:val="21"/>
                <w:highlight w:val="none"/>
                <w:u w:val="single"/>
              </w:rPr>
              <w:t>、门板材质：门扇内外面板均采用优质冷轧钢板，面板厚度≥4mm，</w:t>
            </w:r>
            <w:r>
              <w:rPr>
                <w:rFonts w:hint="eastAsia" w:cs="宋体" w:asciiTheme="minorEastAsia" w:hAnsiTheme="minorEastAsia"/>
                <w:color w:val="auto"/>
                <w:kern w:val="0"/>
                <w:szCs w:val="21"/>
                <w:highlight w:val="none"/>
              </w:rPr>
              <w:t>具备超强防锈、防腐蚀、抗磕碰性能，杜绝学生日常撞击导致凹陷、变形。</w:t>
            </w:r>
          </w:p>
          <w:p w14:paraId="49CEAB7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内部结构与填充：门扇内部采用高密度阻燃蜂窝纸填充，填充饱满无空鼓、无空隙，整体受力均匀；门锁位、合页位局部双层加厚加固，杜绝长期开关松动、塌陷、变形。隔音性能良好，满足教室教学隔音需求。</w:t>
            </w:r>
          </w:p>
          <w:p w14:paraId="452C280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▲三、门框技术参数</w:t>
            </w:r>
          </w:p>
          <w:p w14:paraId="2F804852">
            <w:pPr>
              <w:widowControl/>
              <w:jc w:val="left"/>
              <w:textAlignment w:val="center"/>
              <w:rPr>
                <w:rFonts w:cs="宋体" w:asciiTheme="minorEastAsia" w:hAnsiTheme="minorEastAsia"/>
                <w:b/>
                <w:bCs/>
                <w:color w:val="auto"/>
                <w:kern w:val="0"/>
                <w:szCs w:val="21"/>
                <w:highlight w:val="none"/>
                <w:u w:val="single"/>
              </w:rPr>
            </w:pPr>
            <w:r>
              <w:rPr>
                <w:rFonts w:hint="eastAsia" w:cs="宋体" w:asciiTheme="minorEastAsia" w:hAnsiTheme="minorEastAsia"/>
                <w:b w:val="0"/>
                <w:bCs w:val="0"/>
                <w:color w:val="auto"/>
                <w:kern w:val="0"/>
                <w:szCs w:val="21"/>
                <w:highlight w:val="none"/>
                <w:u w:val="none"/>
              </w:rPr>
              <w:t>1、材质：采用同批次</w:t>
            </w:r>
            <w:r>
              <w:rPr>
                <w:rFonts w:hint="eastAsia" w:cs="宋体" w:asciiTheme="minorEastAsia" w:hAnsiTheme="minorEastAsia"/>
                <w:b/>
                <w:bCs/>
                <w:color w:val="auto"/>
                <w:kern w:val="0"/>
                <w:szCs w:val="21"/>
                <w:highlight w:val="none"/>
                <w:u w:val="single"/>
              </w:rPr>
              <w:t>优质热镀锌钢板一体折弯成型，板材厚度≥0.8mm，门框厚度≥80mm，包边≥80mm，外开扣墙≥40mm，结构强度高，抗挤压、不变形。</w:t>
            </w:r>
          </w:p>
          <w:p w14:paraId="4EFF2F4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3、密封配置：门框整圈加装三元乙丙（EPDM）高品质密封胶条，耐老化、耐高低温、回弹性能优异；门扇关闭后贴合紧密，有效隔音、防尘、防风、防撞击异响。</w:t>
            </w:r>
          </w:p>
          <w:p w14:paraId="504101C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4、固定结构：门框预留专用固定安装孔，每樘门框墙体固定点位不少于6个，确保安装牢固、无晃动、不松动。</w:t>
            </w:r>
          </w:p>
          <w:p w14:paraId="3211023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四、五金配件参数</w:t>
            </w:r>
          </w:p>
          <w:p w14:paraId="70B7A2A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1、合页：每扇门配置3副重型静音钢制合页，承重≥80kg，全开顺畅、无卡顿、无异响，防锈防腐，长期开合不松动、不下坠。</w:t>
            </w:r>
          </w:p>
          <w:p w14:paraId="4304641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2、教室专用门锁：采用静音执手通道锁，A级防盗锁芯；门把手无尖锐棱角、防滑设计。</w:t>
            </w:r>
          </w:p>
          <w:p w14:paraId="188AE06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3、门吸：配置加厚不锈钢地吸/墙吸，缓冲防撞，有效保护门扇、墙体，安装牢固，不易脱落、断裂。</w:t>
            </w:r>
          </w:p>
          <w:p w14:paraId="5BC6460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4、紧固件：所有螺丝、连接件全部采用不锈钢材质，防锈耐用，杜绝生锈松动。</w:t>
            </w:r>
          </w:p>
          <w:p w14:paraId="537219D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五、装配质量标准</w:t>
            </w:r>
          </w:p>
          <w:p w14:paraId="5B9B3C7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1、各构件的连接(焊、铆、螺接、粘接等)应牢固可靠，不应有未熔合、开裂、松动等缺陷。</w:t>
            </w:r>
          </w:p>
          <w:p w14:paraId="619C200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▲2、允许误差及平面度：宽、高≤2mm，对角线差≤2.5mm，扇弯曲平面度≤2mm/扇，扇扭曲平面度≤2mm/扇。（签订合同后，提供有效的CMA或CNAS检测报告</w:t>
            </w:r>
            <w:r>
              <w:rPr>
                <w:rFonts w:hint="eastAsia" w:cs="宋体" w:asciiTheme="minorEastAsia" w:hAnsiTheme="minorEastAsia"/>
                <w:color w:val="auto"/>
                <w:kern w:val="0"/>
                <w:szCs w:val="21"/>
                <w:highlight w:val="none"/>
                <w:lang w:val="en-US" w:eastAsia="zh-CN"/>
              </w:rPr>
              <w:t>原件核验检测参数必满足采购需求，报告二维码可扫码查验真伪，否则不予以验收，由此造成的损失由竞标人承担</w:t>
            </w:r>
            <w:r>
              <w:rPr>
                <w:rFonts w:hint="eastAsia" w:cs="宋体" w:asciiTheme="minorEastAsia" w:hAnsiTheme="minorEastAsia"/>
                <w:color w:val="auto"/>
                <w:kern w:val="0"/>
                <w:szCs w:val="21"/>
                <w:highlight w:val="none"/>
              </w:rPr>
              <w:t>）</w:t>
            </w:r>
          </w:p>
          <w:p w14:paraId="131A6D3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▲3、装配间隙和框扇配合：相邻构件装配间隙≤1mm，相邻构件高低差≤1mm，框扇搭接量≥8mm，可视的配合间隙≤4mm，贴合间隙≤2.5mm。（</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提供有效的CMA或CNAS检测报告</w:t>
            </w:r>
            <w:r>
              <w:rPr>
                <w:rFonts w:hint="eastAsia" w:cs="宋体" w:asciiTheme="minorEastAsia" w:hAnsiTheme="minorEastAsia"/>
                <w:color w:val="auto"/>
                <w:kern w:val="0"/>
                <w:szCs w:val="21"/>
                <w:highlight w:val="none"/>
                <w:lang w:val="en-US" w:eastAsia="zh-CN"/>
              </w:rPr>
              <w:t>原件核验检测参数必满足采购需求</w:t>
            </w:r>
            <w:r>
              <w:rPr>
                <w:rFonts w:hint="eastAsia" w:cs="宋体" w:asciiTheme="minorEastAsia" w:hAnsiTheme="minorEastAsia"/>
                <w:color w:val="auto"/>
                <w:kern w:val="0"/>
                <w:szCs w:val="21"/>
                <w:highlight w:val="none"/>
              </w:rPr>
              <w:t>，报告二维码可扫码查验真伪</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00F4F66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整门结构抗冲击、抗磕碰，适配学生高频次开关使用，长期使用不凹陷、不变形、不开裂，施加垂直静载荷1000N时，门下垂量小于2mm,启闭正常。（成交后签合同时提供有效的CMA或CNAS检测报告，要求报告二维码无遮掩、涂改，可扫码查验真伪，原件备查。）</w:t>
            </w:r>
          </w:p>
          <w:p w14:paraId="2E026792">
            <w:pPr>
              <w:pStyle w:val="2"/>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▲5、冷轧钢板的产品有害物质；乙酸盐雾试验（240h）；中性盐雾试验（240h）；硬度≥H；冲击强度；附着力；涂层厚度；漆膜耐湿热（480h）；化学成分，力学性能等性能要求应符合GB/T 35607-2024《绿色产品评价 家具》、QB/T 3827-1999《轻工产品金属镀层和化学处理层的耐腐蚀试验方法乙酸盐雾试验(ASS)法》、QB/T 3826-1999《轻工产品金属镀层和化学处理层的耐腐蚀试验方法中性盐雾试验(NSS)法》、QB/T 3832-1999《轻工产品金属镀层腐蚀试验 结果的评价》、QB/T 4767-2014《家具用钢构件》、GB/T 5213-2019《冷轧低碳钢板及钢带》、GB/T 700-2006《碳素结构钢》、GB/T 1740-2007《漆膜耐湿热测定法》等国家标准的规定要求。（签订合同后，提供有效的CMA或CNAS检测</w:t>
            </w:r>
            <w:r>
              <w:rPr>
                <w:rFonts w:hint="eastAsia" w:cs="宋体" w:asciiTheme="minorEastAsia" w:hAnsiTheme="minorEastAsia"/>
                <w:color w:val="auto"/>
                <w:kern w:val="0"/>
                <w:szCs w:val="21"/>
                <w:highlight w:val="none"/>
                <w:lang w:val="en-US" w:eastAsia="zh-CN"/>
              </w:rPr>
              <w:t>原件核验检测参数必满足采购需求</w:t>
            </w:r>
            <w:r>
              <w:rPr>
                <w:rFonts w:hint="eastAsia" w:cs="宋体" w:asciiTheme="minorEastAsia" w:hAnsiTheme="minorEastAsia"/>
                <w:color w:val="auto"/>
                <w:kern w:val="0"/>
                <w:szCs w:val="21"/>
                <w:highlight w:val="none"/>
              </w:rPr>
              <w:t>，报告二维码可扫码查验真伪</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1ECEE8E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六、施工安装及质保要求</w:t>
            </w:r>
          </w:p>
          <w:p w14:paraId="3C07189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▲1、投标人报价包含：旧门拆除、现场垃圾清运、新门运输、搬运、安装、调试、收口修补、从收口边墙体抹白1米、现场清洁、成品保护等全部费用，甲方无需额外付费。</w:t>
            </w:r>
          </w:p>
          <w:p w14:paraId="1DB715E3">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2、安装精度要求：门框垂直偏差≤2mm，水平偏差≤2mm；门扇四周缝隙均匀，控制在2–3mm，开关顺畅、密封严密、无晃动、无撞击异响。</w:t>
            </w:r>
          </w:p>
          <w:p w14:paraId="5861D51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3、针对不同墙体（砖墙、混凝土墙、轻质隔墙）采用对应加固固定工艺，确保安装稳固、安全达标。</w:t>
            </w:r>
          </w:p>
          <w:p w14:paraId="485C30D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4、施工全过程不得损坏校园原有墙面、地面、水电设施，施工结束场地干净整洁，不影响正常教学秩序。</w:t>
            </w:r>
          </w:p>
          <w:p w14:paraId="3900286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5、整体免费质保期不少于3年，自项目整体竣工验收合格之日起计算。</w:t>
            </w:r>
          </w:p>
          <w:p w14:paraId="66535299">
            <w:pPr>
              <w:widowControl/>
              <w:jc w:val="left"/>
              <w:textAlignment w:val="center"/>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6、质保范围包含：门扇变形、门框松动、漆面脱落、五金损坏、锁具故障、密封条老化、开合异响、玻璃松动等所有非人为损坏问题，全部免费维修、免费更换配件、免费人工。</w:t>
            </w:r>
          </w:p>
          <w:p w14:paraId="78FD4F02">
            <w:pPr>
              <w:pStyle w:val="2"/>
              <w:rPr>
                <w:rFonts w:cs="宋体" w:asciiTheme="minorEastAsia" w:hAnsiTheme="minorEastAsia"/>
                <w:bCs/>
                <w:color w:val="auto"/>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▲7、响应文件中</w:t>
            </w:r>
            <w:r>
              <w:rPr>
                <w:rFonts w:hint="eastAsia" w:cs="宋体" w:asciiTheme="minorEastAsia" w:hAnsiTheme="minorEastAsia"/>
                <w:color w:val="auto"/>
                <w:kern w:val="0"/>
                <w:szCs w:val="21"/>
                <w:highlight w:val="none"/>
              </w:rPr>
              <w:t>提供产品全景、内部阻燃蜂窝纸、门板厚度、门板板材厚度、门框厚度、门框包边宽度、门槛密封胶条、门框固定点位、合页</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及标▲项</w:t>
            </w:r>
            <w:r>
              <w:rPr>
                <w:rFonts w:hint="eastAsia" w:asciiTheme="minorEastAsia" w:hAnsiTheme="minorEastAsia" w:eastAsiaTheme="minorEastAsia" w:cstheme="minorEastAsia"/>
                <w:color w:val="auto"/>
                <w:sz w:val="21"/>
                <w:szCs w:val="21"/>
                <w:highlight w:val="none"/>
              </w:rPr>
              <w:t>带下划线“＿”的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实质性参数、功能等</w:t>
            </w:r>
            <w:r>
              <w:rPr>
                <w:rFonts w:hint="eastAsia" w:cs="宋体" w:asciiTheme="minorEastAsia" w:hAnsiTheme="minorEastAsia"/>
                <w:color w:val="auto"/>
                <w:kern w:val="0"/>
                <w:szCs w:val="21"/>
                <w:highlight w:val="none"/>
              </w:rPr>
              <w:t>关键位置实拍图</w:t>
            </w:r>
            <w:r>
              <w:rPr>
                <w:rFonts w:hint="eastAsia" w:cs="宋体" w:asciiTheme="minorEastAsia" w:hAnsiTheme="minorEastAsia"/>
                <w:color w:val="auto"/>
                <w:kern w:val="0"/>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要求图片清晰无遮挡</w:t>
            </w:r>
            <w:r>
              <w:rPr>
                <w:rFonts w:hint="eastAsia" w:cs="宋体" w:asciiTheme="minorEastAsia" w:hAnsiTheme="minorEastAsia" w:eastAsia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在采购人指定位置安装一套成品进行检测，</w:t>
            </w:r>
            <w:r>
              <w:rPr>
                <w:rFonts w:hint="eastAsia" w:cs="宋体" w:asciiTheme="minorEastAsia" w:hAnsiTheme="minorEastAsia"/>
                <w:color w:val="auto"/>
                <w:kern w:val="0"/>
                <w:szCs w:val="21"/>
                <w:highlight w:val="none"/>
                <w:lang w:val="en-US" w:eastAsia="zh-CN"/>
              </w:rPr>
              <w:t>由国认证、认可的检测机构出具的</w:t>
            </w:r>
            <w:r>
              <w:rPr>
                <w:rFonts w:hint="eastAsia" w:cs="宋体" w:asciiTheme="minorEastAsia" w:hAnsiTheme="minorEastAsia"/>
                <w:color w:val="auto"/>
                <w:kern w:val="0"/>
                <w:szCs w:val="21"/>
                <w:highlight w:val="none"/>
              </w:rPr>
              <w:t>检测</w:t>
            </w:r>
            <w:r>
              <w:rPr>
                <w:rFonts w:hint="eastAsia" w:cs="宋体" w:asciiTheme="minorEastAsia" w:hAnsiTheme="minorEastAsia"/>
                <w:color w:val="auto"/>
                <w:kern w:val="0"/>
                <w:szCs w:val="21"/>
                <w:highlight w:val="none"/>
                <w:lang w:val="en-US" w:eastAsia="zh-CN"/>
              </w:rPr>
              <w:t>报告</w:t>
            </w:r>
            <w:r>
              <w:rPr>
                <w:rFonts w:hint="eastAsia" w:cs="宋体" w:asciiTheme="minorEastAsia" w:hAnsiTheme="minorEastAsia"/>
                <w:color w:val="auto"/>
                <w:kern w:val="0"/>
                <w:szCs w:val="21"/>
                <w:highlight w:val="none"/>
              </w:rPr>
              <w:t>结果须与响应参数及提供的图纸一致，检测合格后</w:t>
            </w:r>
            <w:r>
              <w:rPr>
                <w:rFonts w:hint="eastAsia" w:cs="宋体" w:asciiTheme="minorEastAsia" w:hAnsiTheme="minorEastAsia"/>
                <w:color w:val="auto"/>
                <w:kern w:val="0"/>
                <w:szCs w:val="21"/>
                <w:highlight w:val="none"/>
                <w:lang w:val="en-US" w:eastAsia="zh-CN"/>
              </w:rPr>
              <w:t>履行</w:t>
            </w:r>
            <w:r>
              <w:rPr>
                <w:rFonts w:hint="eastAsia" w:cs="宋体" w:asciiTheme="minorEastAsia" w:hAnsiTheme="minorEastAsia"/>
                <w:color w:val="auto"/>
                <w:kern w:val="0"/>
                <w:szCs w:val="21"/>
                <w:highlight w:val="none"/>
              </w:rPr>
              <w:t>合同，如检测结果与</w:t>
            </w:r>
            <w:r>
              <w:rPr>
                <w:rFonts w:hint="eastAsia" w:cs="宋体" w:asciiTheme="minorEastAsia" w:hAnsiTheme="minorEastAsia"/>
                <w:color w:val="auto"/>
                <w:kern w:val="0"/>
                <w:szCs w:val="21"/>
                <w:highlight w:val="none"/>
                <w:lang w:eastAsia="zh-CN"/>
              </w:rPr>
              <w:t>竞标响应文件</w:t>
            </w:r>
            <w:r>
              <w:rPr>
                <w:rFonts w:hint="eastAsia" w:cs="宋体" w:asciiTheme="minorEastAsia" w:hAnsiTheme="minorEastAsia"/>
                <w:color w:val="auto"/>
                <w:kern w:val="0"/>
                <w:szCs w:val="21"/>
                <w:highlight w:val="none"/>
              </w:rPr>
              <w:t>不符，</w:t>
            </w:r>
            <w:r>
              <w:rPr>
                <w:rFonts w:hint="eastAsia" w:cs="宋体" w:asciiTheme="minorEastAsia" w:hAnsiTheme="minorEastAsia"/>
                <w:color w:val="auto"/>
                <w:kern w:val="0"/>
                <w:szCs w:val="21"/>
                <w:highlight w:val="none"/>
                <w:lang w:val="en-US" w:eastAsia="zh-CN"/>
              </w:rPr>
              <w:t>不予以验收，存在虚假响应情形</w:t>
            </w:r>
            <w:r>
              <w:rPr>
                <w:rFonts w:hint="eastAsia" w:cs="宋体" w:asciiTheme="minorEastAsia" w:hAnsiTheme="minorEastAsia"/>
                <w:color w:val="auto"/>
                <w:kern w:val="0"/>
                <w:szCs w:val="21"/>
                <w:highlight w:val="none"/>
              </w:rPr>
              <w:t>上报采购监管部门。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61A4C">
            <w:pPr>
              <w:widowControl/>
              <w:jc w:val="center"/>
              <w:textAlignment w:val="center"/>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240000</w:t>
            </w:r>
          </w:p>
        </w:tc>
      </w:tr>
      <w:tr w14:paraId="2E7E2FAF">
        <w:tblPrEx>
          <w:tblCellMar>
            <w:top w:w="0" w:type="dxa"/>
            <w:left w:w="108" w:type="dxa"/>
            <w:bottom w:w="0" w:type="dxa"/>
            <w:right w:w="108" w:type="dxa"/>
          </w:tblCellMar>
        </w:tblPrEx>
        <w:trPr>
          <w:trHeight w:val="90"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9DCE9">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2</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BA07D">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初中教室门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9DFD0">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批</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2CD4">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1</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8CAB0">
            <w:pPr>
              <w:widowControl/>
              <w:jc w:val="righ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70000</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F9CF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▲采购数量及规格尺寸：16樘（宽98厘米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316厘米）、15樘（宽96厘米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203厘米）、28樘（宽98厘米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265厘米），总计59樘。</w:t>
            </w:r>
          </w:p>
          <w:p w14:paraId="4831BC6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▲一、总体要求</w:t>
            </w:r>
          </w:p>
          <w:p w14:paraId="277E190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1、产品为定制钢制内开平开门，主要包含门扇、门框和通风窗，具备抗撞击、防变形、防腐蚀、静音、环保无异味、易清洁、耐日晒等性能。</w:t>
            </w:r>
          </w:p>
          <w:p w14:paraId="56E6BB9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2、整门外观颜色统一、无色差、无划痕、无凹凸变形、无掉漆、无毛刺尖角。</w:t>
            </w:r>
          </w:p>
          <w:p w14:paraId="7D8C18B3">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▲二、门扇技术参数</w:t>
            </w:r>
          </w:p>
          <w:p w14:paraId="27AB269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1、门扇骨架：门扇骨架采用25*25mm规格、厚度≥0.8mm的钢质方通焊接而成，结构稳固，长期开关不变形、不松动。</w:t>
            </w:r>
          </w:p>
          <w:p w14:paraId="138E3C9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2、门板材质：</w:t>
            </w:r>
            <w:r>
              <w:rPr>
                <w:rFonts w:hint="eastAsia" w:cs="宋体" w:asciiTheme="minorEastAsia" w:hAnsiTheme="minorEastAsia"/>
                <w:b/>
                <w:bCs/>
                <w:color w:val="auto"/>
                <w:kern w:val="0"/>
                <w:szCs w:val="21"/>
                <w:highlight w:val="none"/>
                <w:u w:val="single"/>
              </w:rPr>
              <w:t>门扇外面板采用优质冷轧钢板，面板厚度≥8mm，</w:t>
            </w:r>
            <w:r>
              <w:rPr>
                <w:rFonts w:hint="eastAsia" w:cs="宋体" w:asciiTheme="minorEastAsia" w:hAnsiTheme="minorEastAsia"/>
                <w:color w:val="auto"/>
                <w:kern w:val="0"/>
                <w:szCs w:val="21"/>
                <w:highlight w:val="none"/>
              </w:rPr>
              <w:t>门板造型采用一体冲压成型技术，支持个性化造型定制，</w:t>
            </w:r>
            <w:r>
              <w:rPr>
                <w:rFonts w:hint="eastAsia" w:cs="宋体" w:asciiTheme="minorEastAsia" w:hAnsiTheme="minorEastAsia"/>
                <w:color w:val="auto"/>
                <w:kern w:val="0"/>
                <w:szCs w:val="21"/>
                <w:highlight w:val="none"/>
                <w:lang w:val="en-US" w:eastAsia="zh-CN"/>
              </w:rPr>
              <w:t>成交</w:t>
            </w:r>
            <w:r>
              <w:rPr>
                <w:rFonts w:hint="eastAsia" w:cs="宋体" w:asciiTheme="minorEastAsia" w:hAnsiTheme="minorEastAsia"/>
                <w:color w:val="auto"/>
                <w:kern w:val="0"/>
                <w:szCs w:val="21"/>
                <w:highlight w:val="none"/>
              </w:rPr>
              <w:t>后根据各使用学校的造型需求进行定制。</w:t>
            </w:r>
          </w:p>
          <w:p w14:paraId="3BC9267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▲三、门框技术参数</w:t>
            </w:r>
          </w:p>
          <w:p w14:paraId="5AA7C7D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1、材质：采用优质25*25mm角铁制作，结构强度高，抗挤压、不变形。</w:t>
            </w:r>
          </w:p>
          <w:p w14:paraId="0F75A59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2、固定结构：门框预留专用固定安装孔，每樘门框墙体固定点位不少于6个，确保安装牢固、无晃动、不松动。</w:t>
            </w:r>
          </w:p>
          <w:p w14:paraId="2946FBB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四、通气窗技术参数</w:t>
            </w:r>
          </w:p>
          <w:p w14:paraId="2EA80E2F">
            <w:pPr>
              <w:widowControl/>
              <w:jc w:val="left"/>
              <w:textAlignment w:val="center"/>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门扇骨架采用25*25mm规格、厚度≥0.8mm的钢质方通制作，与门框焊接而成，结构稳固，长期开关不变形、不松动。</w:t>
            </w:r>
          </w:p>
          <w:p w14:paraId="30D40D1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五、金配件参数</w:t>
            </w:r>
          </w:p>
          <w:p w14:paraId="07768AD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1、合页：每扇门配置3副重型静音钢制合页，承重≥80kg，全开顺畅、无卡顿、无异响，防锈防腐，长期开合不松动、不下坠。</w:t>
            </w:r>
          </w:p>
          <w:p w14:paraId="0853412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2、教室专用门锁：采用静音执手通道锁，C级防盗锁芯；门把手无尖锐棱角、防滑设计。</w:t>
            </w:r>
          </w:p>
          <w:p w14:paraId="0D1D20D6">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3、门吸：配置加厚不锈钢地吸/墙吸，缓冲防撞，有效保护门扇、墙体，安装牢固，不易脱落、断裂。</w:t>
            </w:r>
          </w:p>
          <w:p w14:paraId="29928CB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4、紧固件：所有螺丝、连接件全部采用不锈钢材质，防锈耐用，杜绝生锈松动。</w:t>
            </w:r>
          </w:p>
          <w:p w14:paraId="6E4880D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五、装配质量标准</w:t>
            </w:r>
          </w:p>
          <w:p w14:paraId="7F7DF6A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1、各构件的连接(焊、铆、螺接、粘接等)应牢固可靠，不应有未熔合、开裂、松动等缺陷。</w:t>
            </w:r>
          </w:p>
          <w:p w14:paraId="5C58CBC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▲2、允许误差及平面度：宽、高≤2mm，对角线差≤2.5mm，扇弯曲平面度≤2mm/扇，扇扭曲平面度≤2mm/扇。（验收时</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采购人根据需要委托有资质的第三方检测机构进行检测，检测费用由成交人承担</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若验收不通过由此造成的损失由竞标人承担</w:t>
            </w:r>
            <w:r>
              <w:rPr>
                <w:rFonts w:hint="eastAsia" w:cs="宋体" w:asciiTheme="minorEastAsia" w:hAnsiTheme="minorEastAsia"/>
                <w:color w:val="auto"/>
                <w:kern w:val="0"/>
                <w:szCs w:val="21"/>
                <w:highlight w:val="none"/>
              </w:rPr>
              <w:t>）</w:t>
            </w:r>
          </w:p>
          <w:p w14:paraId="59BDAEC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▲3、装配间隙和框扇配合：相邻构件装配间隙≤1mm，相邻构件高低差≤1mm，框扇搭接量≥8mm，可视的配合间隙≤4mm，贴合间隙≤2.5mm。（验收时</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采购人根据需要委托有资质的第三方检测机构进行检测，检测费用由成交人承担</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若验收不通过由此造成的损失由竞标人承担</w:t>
            </w:r>
            <w:r>
              <w:rPr>
                <w:rFonts w:hint="eastAsia" w:cs="宋体" w:asciiTheme="minorEastAsia" w:hAnsiTheme="minorEastAsia"/>
                <w:color w:val="auto"/>
                <w:kern w:val="0"/>
                <w:szCs w:val="21"/>
                <w:highlight w:val="none"/>
              </w:rPr>
              <w:t>）</w:t>
            </w:r>
          </w:p>
          <w:p w14:paraId="571DEBE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▲4、整门结构抗冲击、抗磕碰，适配学生高频次开关使用，长期使用不凹陷、不变形、不开裂，施加垂直静载荷1000N时，门下垂量小于2mm,启闭正常。（验收时</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采购人根据需要委托有资质的第三方检测机构进行检测，检测费用由成交人承担</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若验收不通过由此造成的损失由竞标人承担</w:t>
            </w:r>
            <w:r>
              <w:rPr>
                <w:rFonts w:hint="eastAsia" w:cs="宋体" w:asciiTheme="minorEastAsia" w:hAnsiTheme="minorEastAsia"/>
                <w:color w:val="auto"/>
                <w:kern w:val="0"/>
                <w:szCs w:val="21"/>
                <w:highlight w:val="none"/>
              </w:rPr>
              <w:t>）</w:t>
            </w:r>
          </w:p>
          <w:p w14:paraId="4F25F032">
            <w:pPr>
              <w:pStyle w:val="2"/>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▲5、整门喷涂安全环保防锈油漆，油漆无异味，有害物质挥发性符合国家标准。（签订合同后，提供有效的CMA或CNAS检测报告</w:t>
            </w:r>
            <w:r>
              <w:rPr>
                <w:rFonts w:hint="eastAsia" w:cs="宋体" w:asciiTheme="minorEastAsia" w:hAnsiTheme="minorEastAsia"/>
                <w:color w:val="auto"/>
                <w:kern w:val="0"/>
                <w:szCs w:val="21"/>
                <w:highlight w:val="none"/>
                <w:lang w:val="en-US" w:eastAsia="zh-CN"/>
              </w:rPr>
              <w:t>原件核验检测参数必满足采购需求</w:t>
            </w:r>
            <w:r>
              <w:rPr>
                <w:rFonts w:hint="eastAsia" w:cs="宋体" w:asciiTheme="minorEastAsia" w:hAnsiTheme="minorEastAsia"/>
                <w:color w:val="auto"/>
                <w:kern w:val="0"/>
                <w:szCs w:val="21"/>
                <w:highlight w:val="none"/>
              </w:rPr>
              <w:t>，报告二维码可扫码查验真伪</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2904389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六、施工安装及质保要求</w:t>
            </w:r>
          </w:p>
          <w:p w14:paraId="29EE10A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▲1、投标人报价包含：旧门拆除、现场垃圾清运、新门运输、搬运、安装、调试、收口修补、从收口边墙体抹白1米、现场清洁、成品保护等全部费用，甲方无需额外付费。</w:t>
            </w:r>
          </w:p>
          <w:p w14:paraId="4290271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2、安装精度要求：门框垂直偏差≤2mm，水平偏差≤2mm；门扇四周缝隙均匀，控制在2–3mm，开关顺畅、密封严密、无晃动、无撞击异响。</w:t>
            </w:r>
          </w:p>
          <w:p w14:paraId="62C3AC6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3、针对不同墙体（砖墙、混凝土墙、轻质隔墙）采用对应加固固定工艺，确保安装稳固、安全达标。</w:t>
            </w:r>
          </w:p>
          <w:p w14:paraId="1453E42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4、施工全过程不得损坏校园原有墙面、地面、水电设施，施工结束场地干净整洁，不影响正常教学秩序。</w:t>
            </w:r>
          </w:p>
          <w:p w14:paraId="54BBE6F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5、整体免费质保期不少于3年，自项目整体竣工验收合格之日起计算。</w:t>
            </w:r>
          </w:p>
          <w:p w14:paraId="7AAF3D84">
            <w:pPr>
              <w:pStyle w:val="2"/>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6、质保范围包含：门扇变形、门框松动、漆面脱落、五金损坏、锁具故障、密封条老化、开合异响、玻璃松动等所有非人为损坏问题，全部免费维修、免费更换配件、免费人工。</w:t>
            </w:r>
          </w:p>
          <w:p w14:paraId="572BC837">
            <w:pPr>
              <w:pStyle w:val="2"/>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color w:val="auto"/>
                <w:szCs w:val="21"/>
                <w:highlight w:val="none"/>
              </w:rPr>
              <w:t>▲</w:t>
            </w:r>
            <w:r>
              <w:rPr>
                <w:rFonts w:hint="eastAsia" w:asciiTheme="minorEastAsia" w:hAnsiTheme="minorEastAsia" w:cstheme="minorEastAsia"/>
                <w:i w:val="0"/>
                <w:iCs w:val="0"/>
                <w:color w:val="auto"/>
                <w:kern w:val="0"/>
                <w:sz w:val="21"/>
                <w:szCs w:val="21"/>
                <w:highlight w:val="none"/>
                <w:u w:val="none"/>
                <w:lang w:val="en-US" w:eastAsia="zh-CN" w:bidi="ar"/>
              </w:rPr>
              <w:t>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响应文件中提供产品实拍图或设计图，至少包含正面、背面、侧面、及标▲项</w:t>
            </w:r>
            <w:r>
              <w:rPr>
                <w:rFonts w:hint="eastAsia" w:asciiTheme="minorEastAsia" w:hAnsiTheme="minorEastAsia" w:eastAsiaTheme="minorEastAsia" w:cstheme="minorEastAsia"/>
                <w:color w:val="auto"/>
                <w:sz w:val="21"/>
                <w:szCs w:val="21"/>
                <w:highlight w:val="none"/>
              </w:rPr>
              <w:t>带下划线“＿”的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实质性参数、功能等</w:t>
            </w:r>
            <w:r>
              <w:rPr>
                <w:rFonts w:hint="eastAsia" w:cs="宋体" w:asciiTheme="minorEastAsia" w:hAnsiTheme="minorEastAsia"/>
                <w:color w:val="auto"/>
                <w:kern w:val="0"/>
                <w:szCs w:val="21"/>
                <w:highlight w:val="none"/>
              </w:rPr>
              <w:t>关键位置实拍图</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，要求图片清晰无遮挡，作为验收依据，如验收与响应图片不符，经整改仍不符合的，不予以验收。</w:t>
            </w:r>
          </w:p>
          <w:p w14:paraId="29B5CCFD">
            <w:pPr>
              <w:pStyle w:val="2"/>
              <w:rPr>
                <w:rFonts w:hint="eastAsia" w:cs="宋体" w:asciiTheme="minorEastAsia" w:hAnsiTheme="minorEastAsia" w:eastAsiaTheme="minorEastAsia"/>
                <w:color w:val="auto"/>
                <w:kern w:val="0"/>
                <w:szCs w:val="21"/>
                <w:highlight w:val="none"/>
                <w:lang w:eastAsia="zh-CN"/>
              </w:rPr>
            </w:pP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在采购人指定位置安装一套成品进行检测，</w:t>
            </w:r>
            <w:r>
              <w:rPr>
                <w:rFonts w:hint="eastAsia" w:cs="宋体" w:asciiTheme="minorEastAsia" w:hAnsiTheme="minorEastAsia"/>
                <w:color w:val="auto"/>
                <w:kern w:val="0"/>
                <w:szCs w:val="21"/>
                <w:highlight w:val="none"/>
                <w:lang w:val="en-US" w:eastAsia="zh-CN"/>
              </w:rPr>
              <w:t>由国家认证、认可的检测机构出具的</w:t>
            </w:r>
            <w:r>
              <w:rPr>
                <w:rFonts w:hint="eastAsia" w:cs="宋体" w:asciiTheme="minorEastAsia" w:hAnsiTheme="minorEastAsia"/>
                <w:color w:val="auto"/>
                <w:kern w:val="0"/>
                <w:szCs w:val="21"/>
                <w:highlight w:val="none"/>
              </w:rPr>
              <w:t>检测</w:t>
            </w:r>
            <w:r>
              <w:rPr>
                <w:rFonts w:hint="eastAsia" w:cs="宋体" w:asciiTheme="minorEastAsia" w:hAnsiTheme="minorEastAsia"/>
                <w:color w:val="auto"/>
                <w:kern w:val="0"/>
                <w:szCs w:val="21"/>
                <w:highlight w:val="none"/>
                <w:lang w:val="en-US" w:eastAsia="zh-CN"/>
              </w:rPr>
              <w:t>报告</w:t>
            </w:r>
            <w:r>
              <w:rPr>
                <w:rFonts w:hint="eastAsia" w:cs="宋体" w:asciiTheme="minorEastAsia" w:hAnsiTheme="minorEastAsia"/>
                <w:color w:val="auto"/>
                <w:kern w:val="0"/>
                <w:szCs w:val="21"/>
                <w:highlight w:val="none"/>
              </w:rPr>
              <w:t>结果须与响应参数及提供的图纸一致，检测合格后履行合同，如检测结果与</w:t>
            </w:r>
            <w:r>
              <w:rPr>
                <w:rFonts w:hint="eastAsia" w:cs="宋体" w:asciiTheme="minorEastAsia" w:hAnsiTheme="minorEastAsia"/>
                <w:color w:val="auto"/>
                <w:kern w:val="0"/>
                <w:szCs w:val="21"/>
                <w:highlight w:val="none"/>
                <w:lang w:eastAsia="zh-CN"/>
              </w:rPr>
              <w:t>竞标响应文件</w:t>
            </w:r>
            <w:r>
              <w:rPr>
                <w:rFonts w:hint="eastAsia" w:cs="宋体" w:asciiTheme="minorEastAsia" w:hAnsiTheme="minorEastAsia"/>
                <w:color w:val="auto"/>
                <w:kern w:val="0"/>
                <w:szCs w:val="21"/>
                <w:highlight w:val="none"/>
              </w:rPr>
              <w:t>不符</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不予以验收，存在虚假响应情形</w:t>
            </w:r>
            <w:r>
              <w:rPr>
                <w:rFonts w:hint="eastAsia" w:cs="宋体" w:asciiTheme="minorEastAsia" w:hAnsiTheme="minorEastAsia"/>
                <w:color w:val="auto"/>
                <w:kern w:val="0"/>
                <w:szCs w:val="21"/>
                <w:highlight w:val="none"/>
              </w:rPr>
              <w:t>上报采购监管部门</w:t>
            </w:r>
            <w:r>
              <w:rPr>
                <w:rFonts w:hint="eastAsia" w:cs="宋体" w:asciiTheme="minorEastAsia" w:hAnsiTheme="minorEastAsia"/>
                <w:color w:val="auto"/>
                <w:kern w:val="0"/>
                <w:szCs w:val="21"/>
                <w:highlight w:val="none"/>
                <w:lang w:eastAsia="zh-CN"/>
              </w:rPr>
              <w:t>。</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6FE7F">
            <w:pPr>
              <w:widowControl/>
              <w:jc w:val="center"/>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70000</w:t>
            </w:r>
          </w:p>
        </w:tc>
      </w:tr>
      <w:tr w14:paraId="6E50E792">
        <w:tblPrEx>
          <w:tblCellMar>
            <w:top w:w="0" w:type="dxa"/>
            <w:left w:w="108" w:type="dxa"/>
            <w:bottom w:w="0" w:type="dxa"/>
            <w:right w:w="108" w:type="dxa"/>
          </w:tblCellMar>
        </w:tblPrEx>
        <w:trPr>
          <w:trHeight w:val="555"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6BE0">
            <w:pPr>
              <w:jc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bCs/>
                <w:color w:val="auto"/>
                <w:szCs w:val="21"/>
                <w:highlight w:val="none"/>
                <w:lang w:val="en-US" w:eastAsia="zh-CN"/>
              </w:rPr>
              <w:t>3</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A63F7">
            <w:pPr>
              <w:widowControl/>
              <w:jc w:val="center"/>
              <w:textAlignment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color w:val="auto"/>
                <w:kern w:val="0"/>
                <w:szCs w:val="21"/>
                <w:highlight w:val="none"/>
              </w:rPr>
              <w:t>小学学生宿舍门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14B05">
            <w:pPr>
              <w:widowControl/>
              <w:jc w:val="center"/>
              <w:textAlignment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color w:val="auto"/>
                <w:kern w:val="0"/>
                <w:szCs w:val="21"/>
                <w:highlight w:val="none"/>
              </w:rPr>
              <w:t>批</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84ED">
            <w:pPr>
              <w:widowControl/>
              <w:jc w:val="center"/>
              <w:textAlignment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color w:val="auto"/>
                <w:kern w:val="0"/>
                <w:szCs w:val="21"/>
                <w:highlight w:val="none"/>
              </w:rPr>
              <w:t>1</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EA1E1">
            <w:pPr>
              <w:widowControl/>
              <w:jc w:val="right"/>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230000</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A30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▲采购数量及规格尺寸：6樘（宽87厘米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205厘米）、2樘（宽86厘米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201厘米）、2樘（宽89厘米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204厘米）、4樘（宽70厘米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205厘米）、2樘（宽80厘米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200厘米）、4樘（宽70厘米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205厘米）、9樘（宽68厘米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191厘米）、2樘（宽69厘米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194厘米）、1樘（宽66厘米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189厘米）、10樘（宽62厘米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198厘米）、40樘（宽100厘米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263厘米）、45樘（宽100厘米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248厘米）、10樘（宽88厘米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210厘米）、15樘（宽88厘米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195厘米）、24樘（宽88厘米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195厘米）、5樘（宽90厘米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250厘米）、9樘（宽89厘米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200厘米）、3樘（宽70厘米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200厘米）、5樘（宽90厘米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200厘米）、35樘（宽75厘米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180厘米），总计224樘。</w:t>
            </w:r>
            <w:r>
              <w:rPr>
                <w:rFonts w:hint="eastAsia" w:cs="宋体" w:asciiTheme="minorEastAsia" w:hAnsiTheme="minorEastAsia"/>
                <w:color w:val="auto"/>
                <w:kern w:val="0"/>
                <w:szCs w:val="21"/>
                <w:highlight w:val="none"/>
              </w:rPr>
              <w:br w:type="textWrapping"/>
            </w:r>
            <w:r>
              <w:rPr>
                <w:rFonts w:hint="eastAsia" w:cs="宋体" w:asciiTheme="minorEastAsia" w:hAnsiTheme="minorEastAsia"/>
                <w:color w:val="auto"/>
                <w:kern w:val="0"/>
                <w:szCs w:val="21"/>
                <w:highlight w:val="none"/>
              </w:rPr>
              <w:t>▲一、总体技术要求</w:t>
            </w:r>
          </w:p>
          <w:p w14:paraId="03D5671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1、产品为小学宿舍用钢制内开平开门，产品适用于小学日常教学场景，具备抗撞击、防变形、防腐蚀、静音、环保无异味、易清洁、耐日晒等校园专用性能。</w:t>
            </w:r>
          </w:p>
          <w:p w14:paraId="575211C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2、所有产品为全新原厂成品，不接受翻新门、二手门、拼装次品门、工地现场自制门。</w:t>
            </w:r>
          </w:p>
          <w:p w14:paraId="4820D84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3、整门外观颜色统一、无色差、无划痕、无凹凸变形、无掉漆、无毛刺尖角，完全适配校园整洁统一形象。</w:t>
            </w:r>
          </w:p>
          <w:p w14:paraId="5248B2A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▲二、门扇技术参数</w:t>
            </w:r>
          </w:p>
          <w:p w14:paraId="3E6AD00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1、门扇厚度：</w:t>
            </w:r>
            <w:r>
              <w:rPr>
                <w:rFonts w:hint="eastAsia" w:cs="宋体" w:asciiTheme="minorEastAsia" w:hAnsiTheme="minorEastAsia"/>
                <w:b/>
                <w:bCs/>
                <w:color w:val="auto"/>
                <w:kern w:val="0"/>
                <w:szCs w:val="21"/>
                <w:highlight w:val="none"/>
                <w:u w:val="single"/>
              </w:rPr>
              <w:t>门扇整体厚度≥60mm</w:t>
            </w:r>
            <w:r>
              <w:rPr>
                <w:rFonts w:hint="eastAsia" w:cs="宋体" w:asciiTheme="minorEastAsia" w:hAnsiTheme="minorEastAsia"/>
                <w:color w:val="auto"/>
                <w:kern w:val="0"/>
                <w:szCs w:val="21"/>
                <w:highlight w:val="none"/>
              </w:rPr>
              <w:t>，结构稳固，长期开关不变形、不松动。</w:t>
            </w:r>
          </w:p>
          <w:p w14:paraId="5A379B1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2、门板材质：门扇内外面板均采用优质冷轧钢板，面板厚度≥4mm，具备超强防锈、防腐蚀、抗磕碰性能，杜绝学生日常撞击导致凹陷、变形。</w:t>
            </w:r>
          </w:p>
          <w:p w14:paraId="50540A8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内部结构与填充：门扇内部采用高密度阻燃蜂窝纸填充，填充饱满无空鼓、无空隙，整体受力均匀；门锁位、合页位局部双层加厚加固，杜绝长期开关松动、塌陷、变形。隔音性能良好，满足教室教学隔音需求。</w:t>
            </w:r>
          </w:p>
          <w:p w14:paraId="7308384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▲三、门框技术参数</w:t>
            </w:r>
          </w:p>
          <w:p w14:paraId="7C2A67E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1、材质：采用同批次</w:t>
            </w:r>
            <w:r>
              <w:rPr>
                <w:rFonts w:hint="eastAsia" w:cs="宋体" w:asciiTheme="minorEastAsia" w:hAnsiTheme="minorEastAsia"/>
                <w:b/>
                <w:bCs/>
                <w:color w:val="auto"/>
                <w:kern w:val="0"/>
                <w:szCs w:val="21"/>
                <w:highlight w:val="none"/>
                <w:u w:val="single"/>
              </w:rPr>
              <w:t>优质热镀锌钢板一体折弯成型，板材厚度≥0.8mm，门框厚度≥80mm，包边≥80mm</w:t>
            </w:r>
            <w:r>
              <w:rPr>
                <w:rFonts w:hint="eastAsia" w:cs="宋体" w:asciiTheme="minorEastAsia" w:hAnsiTheme="minorEastAsia"/>
                <w:color w:val="auto"/>
                <w:kern w:val="0"/>
                <w:szCs w:val="21"/>
                <w:highlight w:val="none"/>
              </w:rPr>
              <w:t>，外开扣墙≥40mm，结构强度高，抗挤压、不变形。</w:t>
            </w:r>
          </w:p>
          <w:p w14:paraId="1FB57D3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3、密封配置：门框整圈加装三元乙丙（EPDM）高品质密封胶条，耐老化、耐高低温、回弹性能优异；门扇关闭后贴合紧密，有效隔音、防尘、防风、防撞击异响。</w:t>
            </w:r>
          </w:p>
          <w:p w14:paraId="4734981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4、固定结构：门框预留专用固定安装孔，每樘门框墙体固定点位不少于6个，确保安装牢固、无晃动、不松动。</w:t>
            </w:r>
          </w:p>
          <w:p w14:paraId="2169153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四、五金配件参数</w:t>
            </w:r>
          </w:p>
          <w:p w14:paraId="1871135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1、合页：每扇门配置3副重型静音钢制合页，承重≥80kg，全开顺畅、无卡顿、无异响，防锈防腐，长期开合不松动、不下坠。</w:t>
            </w:r>
          </w:p>
          <w:p w14:paraId="7915E443">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2、教室专用门锁：采用静音执手通道锁，A级防盗锁芯；门把手无尖锐棱角、防滑设计。</w:t>
            </w:r>
          </w:p>
          <w:p w14:paraId="7DFD683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3、门吸：配置加厚不锈钢地吸/墙吸，缓冲防撞，有效保护门扇、墙体，安装牢固，不易脱落、断裂。</w:t>
            </w:r>
          </w:p>
          <w:p w14:paraId="1F98A9B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4、紧固件：所有螺丝、连接件全部采用不锈钢材质，防锈耐用，杜绝生锈松动。</w:t>
            </w:r>
          </w:p>
          <w:p w14:paraId="4831D6C6">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五、装配质量标准</w:t>
            </w:r>
          </w:p>
          <w:p w14:paraId="5E69C66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1、各构件的连接(焊、铆、螺接、粘接等)应牢固可靠，不应有未熔合、开裂、松动等缺陷。</w:t>
            </w:r>
          </w:p>
          <w:p w14:paraId="0E438D9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▲2、允许误差及平面度：宽、高≤2mm，对角线差≤2.5mm，扇弯曲平面度≤2mm/扇，扇扭曲平面度≤2mm/扇。（</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提供有效的CMA或CNAS检测报告</w:t>
            </w:r>
            <w:r>
              <w:rPr>
                <w:rFonts w:hint="eastAsia" w:cs="宋体" w:asciiTheme="minorEastAsia" w:hAnsiTheme="minorEastAsia"/>
                <w:color w:val="auto"/>
                <w:kern w:val="0"/>
                <w:szCs w:val="21"/>
                <w:highlight w:val="none"/>
                <w:lang w:val="en-US" w:eastAsia="zh-CN"/>
              </w:rPr>
              <w:t>原件核验检测参数必满足采购需求</w:t>
            </w:r>
            <w:r>
              <w:rPr>
                <w:rFonts w:hint="eastAsia" w:cs="宋体" w:asciiTheme="minorEastAsia" w:hAnsiTheme="minorEastAsia"/>
                <w:color w:val="auto"/>
                <w:kern w:val="0"/>
                <w:szCs w:val="21"/>
                <w:highlight w:val="none"/>
              </w:rPr>
              <w:t>，报告二维码可扫码查验真伪，</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3009112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▲3、装配间隙和框扇配合：相邻构件装配间隙≤1mm，相邻构件高低差≤1mm，框扇搭接量≥8mm，可视的配合间隙≤4mm，贴合间隙≤2.5mm。（</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提供有效的CMA或CNAS检测报告，要求报告二维码无遮掩、涂改，可扫码查验真伪，</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7C77A38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▲4、整门结构抗冲击、抗磕碰，适配学生高频次开关使用，长期使用不凹陷、不变形、不开裂，施加垂直静载荷1000N时，门下垂量小于2mm,启闭正常。（</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时提供有效的CMA或CNAS检测报告</w:t>
            </w:r>
            <w:r>
              <w:rPr>
                <w:rFonts w:hint="eastAsia" w:cs="宋体" w:asciiTheme="minorEastAsia" w:hAnsiTheme="minorEastAsia"/>
                <w:color w:val="auto"/>
                <w:kern w:val="0"/>
                <w:szCs w:val="21"/>
                <w:highlight w:val="none"/>
                <w:lang w:val="en-US" w:eastAsia="zh-CN"/>
              </w:rPr>
              <w:t>原件核验检测参数必满足采购需求</w:t>
            </w:r>
            <w:r>
              <w:rPr>
                <w:rFonts w:hint="eastAsia" w:cs="宋体" w:asciiTheme="minorEastAsia" w:hAnsiTheme="minorEastAsia"/>
                <w:color w:val="auto"/>
                <w:kern w:val="0"/>
                <w:szCs w:val="21"/>
                <w:highlight w:val="none"/>
              </w:rPr>
              <w:t>，报告二维码可扫码查验真伪，</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60C95F42">
            <w:pPr>
              <w:pStyle w:val="2"/>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▲5、冷轧钢板的产品有害物质；乙酸盐雾试验（240h）；中性盐雾试验（240h）；硬度≥H；冲击强度；附着力；涂层厚度；漆膜耐湿热（480h）；化学成分，力学性能等性能要求应符合GB/T 35607-2024《绿色产品评价 家具》、QB/T 3827-1999《轻工产品金属镀层和化学处理层的耐腐蚀试验方法乙酸盐雾试验(ASS)法》、QB/T 3826-1999《轻工产品金属镀层和化学处理层的耐腐蚀试验方法中性盐雾试验(NSS)法》、QB/T 3832-1999《轻工产品金属镀层腐蚀试验 结果的评价》、QB/T 4767-2014《家具用钢构件》、GB/T 5213-2019《冷轧低碳钢板及钢带》、GB/T 700-2006《碳素结构钢》、GB/T 1740-2007《漆膜耐湿热测定法》等国家标准的规定要求。（</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提供有效的CMA或CNAS检测报告</w:t>
            </w:r>
            <w:r>
              <w:rPr>
                <w:rFonts w:hint="eastAsia" w:cs="宋体" w:asciiTheme="minorEastAsia" w:hAnsiTheme="minorEastAsia"/>
                <w:color w:val="auto"/>
                <w:kern w:val="0"/>
                <w:szCs w:val="21"/>
                <w:highlight w:val="none"/>
                <w:lang w:val="en-US" w:eastAsia="zh-CN"/>
              </w:rPr>
              <w:t>原件核验检测参数必满足采购需求</w:t>
            </w:r>
            <w:r>
              <w:rPr>
                <w:rFonts w:hint="eastAsia" w:cs="宋体" w:asciiTheme="minorEastAsia" w:hAnsiTheme="minorEastAsia"/>
                <w:color w:val="auto"/>
                <w:kern w:val="0"/>
                <w:szCs w:val="21"/>
                <w:highlight w:val="none"/>
              </w:rPr>
              <w:t>，报告二维码可扫码查验真伪，</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22F3054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六、施工安装及质保要求</w:t>
            </w:r>
          </w:p>
          <w:p w14:paraId="59C67FE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▲1、投标人报价包含：旧门拆除、现场垃圾清运、新门运输、搬运、安装、调试、收口修补、、从收口边墙体抹白、现场清洁、成品保护等全部费用，甲方无需额外付费。</w:t>
            </w:r>
          </w:p>
          <w:p w14:paraId="4D9702C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2、安装精度要求：门框垂直偏差≤2mm，水平偏差≤2mm；门扇四周缝隙均匀，控制在2–3mm，开关顺畅、密封严密、无晃动、无撞击异响。</w:t>
            </w:r>
          </w:p>
          <w:p w14:paraId="395F62F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3、针对不同墙体（砖墙、混凝土墙、轻质隔墙）采用对应加固固定工艺，确保安装稳固、安全达标。</w:t>
            </w:r>
          </w:p>
          <w:p w14:paraId="6669246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4、施工全过程不得损坏校园原有墙面、地面、水电设施，施工结束场地干净整洁，不影响正常教学秩序。</w:t>
            </w:r>
          </w:p>
          <w:p w14:paraId="50BC716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5、整体免费质保期不少于3年，自项目整体竣工验收合格之日起计算。</w:t>
            </w:r>
          </w:p>
          <w:p w14:paraId="6BD925A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6、质保范围包含：门扇变形、门框松动、漆面脱落、五金损坏、锁具故障、密封条老化、开合异响、玻璃松动等所有非人为损坏问题，全部免费维修、免费更换配件、免费人工。</w:t>
            </w:r>
          </w:p>
          <w:p w14:paraId="4DC91A0A">
            <w:pPr>
              <w:pStyle w:val="2"/>
              <w:rPr>
                <w:rFonts w:hint="eastAsia" w:cs="宋体" w:asciiTheme="minorEastAsia" w:hAnsiTheme="minorEastAsia" w:eastAsiaTheme="minorEastAsia"/>
                <w:color w:val="auto"/>
                <w:kern w:val="0"/>
                <w:sz w:val="21"/>
                <w:szCs w:val="21"/>
                <w:highlight w:val="none"/>
                <w:lang w:val="en-US" w:eastAsia="zh-CN" w:bidi="ar-SA"/>
              </w:rPr>
            </w:pPr>
            <w:r>
              <w:rPr>
                <w:rFonts w:hint="eastAsia" w:asciiTheme="minorEastAsia" w:hAnsiTheme="minorEastAsia"/>
                <w:color w:val="auto"/>
                <w:szCs w:val="21"/>
                <w:highlight w:val="none"/>
              </w:rPr>
              <w:t>▲</w:t>
            </w:r>
            <w:r>
              <w:rPr>
                <w:rFonts w:hint="eastAsia" w:asciiTheme="minorEastAsia" w:hAnsiTheme="minorEastAsia" w:cstheme="minorEastAsia"/>
                <w:i w:val="0"/>
                <w:iCs w:val="0"/>
                <w:color w:val="auto"/>
                <w:kern w:val="0"/>
                <w:sz w:val="21"/>
                <w:szCs w:val="21"/>
                <w:highlight w:val="none"/>
                <w:u w:val="none"/>
                <w:lang w:val="en-US" w:eastAsia="zh-CN" w:bidi="ar"/>
              </w:rPr>
              <w:t>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响应文件中</w:t>
            </w:r>
            <w:r>
              <w:rPr>
                <w:rFonts w:hint="eastAsia" w:cs="宋体" w:asciiTheme="minorEastAsia" w:hAnsiTheme="minorEastAsia"/>
                <w:color w:val="auto"/>
                <w:kern w:val="0"/>
                <w:szCs w:val="21"/>
                <w:highlight w:val="none"/>
              </w:rPr>
              <w:t>提供产品全景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及标▲项</w:t>
            </w:r>
            <w:r>
              <w:rPr>
                <w:rFonts w:hint="eastAsia" w:asciiTheme="minorEastAsia" w:hAnsiTheme="minorEastAsia" w:eastAsiaTheme="minorEastAsia" w:cstheme="minorEastAsia"/>
                <w:color w:val="auto"/>
                <w:sz w:val="21"/>
                <w:szCs w:val="21"/>
                <w:highlight w:val="none"/>
              </w:rPr>
              <w:t>带下划线“＿”的</w:t>
            </w:r>
            <w:r>
              <w:rPr>
                <w:rFonts w:hint="eastAsia" w:cs="宋体" w:asciiTheme="minorEastAsia" w:hAnsiTheme="minorEastAsia"/>
                <w:color w:val="auto"/>
                <w:kern w:val="0"/>
                <w:szCs w:val="21"/>
                <w:highlight w:val="none"/>
              </w:rPr>
              <w:t>实质性参数、重要功能等实拍图或设计图，要求图片清晰无遮挡</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在采购人指定位置安装一套成品进行检测，</w:t>
            </w:r>
            <w:r>
              <w:rPr>
                <w:rFonts w:hint="eastAsia" w:cs="宋体" w:asciiTheme="minorEastAsia" w:hAnsiTheme="minorEastAsia"/>
                <w:color w:val="auto"/>
                <w:kern w:val="0"/>
                <w:szCs w:val="21"/>
                <w:highlight w:val="none"/>
                <w:lang w:val="en-US" w:eastAsia="zh-CN"/>
              </w:rPr>
              <w:t>由国家认证、认可的检测机构出具的</w:t>
            </w:r>
            <w:r>
              <w:rPr>
                <w:rFonts w:hint="eastAsia" w:cs="宋体" w:asciiTheme="minorEastAsia" w:hAnsiTheme="minorEastAsia"/>
                <w:color w:val="auto"/>
                <w:kern w:val="0"/>
                <w:szCs w:val="21"/>
                <w:highlight w:val="none"/>
              </w:rPr>
              <w:t>检测</w:t>
            </w:r>
            <w:r>
              <w:rPr>
                <w:rFonts w:hint="eastAsia" w:cs="宋体" w:asciiTheme="minorEastAsia" w:hAnsiTheme="minorEastAsia"/>
                <w:color w:val="auto"/>
                <w:kern w:val="0"/>
                <w:szCs w:val="21"/>
                <w:highlight w:val="none"/>
                <w:lang w:val="en-US" w:eastAsia="zh-CN"/>
              </w:rPr>
              <w:t>报告</w:t>
            </w:r>
            <w:r>
              <w:rPr>
                <w:rFonts w:hint="eastAsia" w:cs="宋体" w:asciiTheme="minorEastAsia" w:hAnsiTheme="minorEastAsia"/>
                <w:color w:val="auto"/>
                <w:kern w:val="0"/>
                <w:szCs w:val="21"/>
                <w:highlight w:val="none"/>
              </w:rPr>
              <w:t>结果须与响应参数及提供的图纸一致，检测合格后履行合同，如检测结果与</w:t>
            </w:r>
            <w:r>
              <w:rPr>
                <w:rFonts w:hint="eastAsia" w:cs="宋体" w:asciiTheme="minorEastAsia" w:hAnsiTheme="minorEastAsia"/>
                <w:color w:val="auto"/>
                <w:kern w:val="0"/>
                <w:szCs w:val="21"/>
                <w:highlight w:val="none"/>
                <w:lang w:eastAsia="zh-CN"/>
              </w:rPr>
              <w:t>竞标响应文件</w:t>
            </w:r>
            <w:r>
              <w:rPr>
                <w:rFonts w:hint="eastAsia" w:cs="宋体" w:asciiTheme="minorEastAsia" w:hAnsiTheme="minorEastAsia"/>
                <w:color w:val="auto"/>
                <w:kern w:val="0"/>
                <w:szCs w:val="21"/>
                <w:highlight w:val="none"/>
              </w:rPr>
              <w:t>不符，</w:t>
            </w:r>
            <w:r>
              <w:rPr>
                <w:rFonts w:hint="eastAsia" w:cs="宋体" w:asciiTheme="minorEastAsia" w:hAnsiTheme="minorEastAsia"/>
                <w:color w:val="auto"/>
                <w:kern w:val="0"/>
                <w:szCs w:val="21"/>
                <w:highlight w:val="none"/>
                <w:lang w:val="en-US" w:eastAsia="zh-CN"/>
              </w:rPr>
              <w:t>不予以验收，存在虚假响应情形</w:t>
            </w:r>
            <w:r>
              <w:rPr>
                <w:rFonts w:hint="eastAsia" w:cs="宋体" w:asciiTheme="minorEastAsia" w:hAnsiTheme="minorEastAsia"/>
                <w:color w:val="auto"/>
                <w:kern w:val="0"/>
                <w:szCs w:val="21"/>
                <w:highlight w:val="none"/>
              </w:rPr>
              <w:t>上报采购监管部门</w:t>
            </w:r>
            <w:r>
              <w:rPr>
                <w:rFonts w:hint="eastAsia" w:cs="宋体" w:asciiTheme="minorEastAsia" w:hAnsiTheme="minorEastAsia"/>
                <w:color w:val="auto"/>
                <w:kern w:val="0"/>
                <w:szCs w:val="21"/>
                <w:highlight w:val="none"/>
                <w:lang w:eastAsia="zh-CN"/>
              </w:rPr>
              <w:t>。</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A32BB">
            <w:pPr>
              <w:widowControl/>
              <w:jc w:val="center"/>
              <w:textAlignment w:val="center"/>
              <w:rPr>
                <w:rFonts w:hint="eastAsia" w:asciiTheme="minorEastAsia" w:hAnsiTheme="minorEastAsia" w:eastAsiaTheme="minorEastAsia" w:cstheme="minorBidi"/>
                <w:color w:val="auto"/>
                <w:kern w:val="2"/>
                <w:sz w:val="21"/>
                <w:szCs w:val="21"/>
                <w:highlight w:val="none"/>
                <w:lang w:val="en-US" w:eastAsia="zh-CN" w:bidi="ar-SA"/>
              </w:rPr>
            </w:pPr>
            <w:r>
              <w:rPr>
                <w:rFonts w:hint="eastAsia" w:cs="宋体" w:asciiTheme="minorEastAsia" w:hAnsiTheme="minorEastAsia"/>
                <w:color w:val="auto"/>
                <w:kern w:val="0"/>
                <w:szCs w:val="21"/>
                <w:highlight w:val="none"/>
              </w:rPr>
              <w:t>230000</w:t>
            </w:r>
          </w:p>
        </w:tc>
      </w:tr>
      <w:tr w14:paraId="6893B39F">
        <w:tblPrEx>
          <w:tblCellMar>
            <w:top w:w="0" w:type="dxa"/>
            <w:left w:w="108" w:type="dxa"/>
            <w:bottom w:w="0" w:type="dxa"/>
            <w:right w:w="108" w:type="dxa"/>
          </w:tblCellMar>
        </w:tblPrEx>
        <w:trPr>
          <w:trHeight w:val="555"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5F510">
            <w:pPr>
              <w:jc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bCs/>
                <w:color w:val="auto"/>
                <w:szCs w:val="21"/>
                <w:highlight w:val="none"/>
                <w:lang w:val="en-US" w:eastAsia="zh-CN"/>
              </w:rPr>
              <w:t>4</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C0E79">
            <w:pPr>
              <w:widowControl/>
              <w:jc w:val="center"/>
              <w:textAlignment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color w:val="auto"/>
                <w:kern w:val="0"/>
                <w:szCs w:val="21"/>
                <w:highlight w:val="none"/>
              </w:rPr>
              <w:t>初中学生宿舍门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355D6">
            <w:pPr>
              <w:widowControl/>
              <w:jc w:val="center"/>
              <w:textAlignment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bCs/>
                <w:color w:val="auto"/>
                <w:szCs w:val="21"/>
                <w:highlight w:val="none"/>
              </w:rPr>
              <w:t>批</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40B96">
            <w:pPr>
              <w:widowControl/>
              <w:jc w:val="center"/>
              <w:textAlignment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color w:val="auto"/>
                <w:kern w:val="0"/>
                <w:szCs w:val="21"/>
                <w:highlight w:val="none"/>
              </w:rPr>
              <w:t>1</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27CDD">
            <w:pPr>
              <w:widowControl/>
              <w:jc w:val="right"/>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256405</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34FC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▲采购数量及规格尺寸：24樘（宽89厘米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245厘米）、25樘（宽98厘米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206厘米）、11樘（宽69厘米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208厘米）、40樘（宽88厘米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245厘米）、60樘（宽88厘米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245厘米）、32樘（宽96厘米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240厘米）、10樘（宽80厘米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262厘米）、52樘（宽90厘米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高2</w:t>
            </w:r>
            <w:r>
              <w:rPr>
                <w:rFonts w:hint="eastAsia" w:cs="宋体" w:asciiTheme="minorEastAsia" w:hAnsiTheme="minorEastAsia"/>
                <w:color w:val="auto"/>
                <w:kern w:val="0"/>
                <w:szCs w:val="21"/>
                <w:highlight w:val="none"/>
              </w:rPr>
              <w:t>05厘米），总计254樘。</w:t>
            </w:r>
          </w:p>
          <w:p w14:paraId="35AEFDA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▲一、总体要求</w:t>
            </w:r>
          </w:p>
          <w:p w14:paraId="02F6091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1、产品为定制钢制内开平开门，主要包含门扇、门框和通风窗，具备抗撞击、防变形、防腐蚀、静音、环保无异味、易清洁、耐日晒等性能。</w:t>
            </w:r>
          </w:p>
          <w:p w14:paraId="24E7234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2、整门外观颜色统一、无色差、无划痕、无凹凸变形、无掉漆、无毛刺尖角。</w:t>
            </w:r>
          </w:p>
          <w:p w14:paraId="4F1F0CE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▲二、门扇技术参数</w:t>
            </w:r>
          </w:p>
          <w:p w14:paraId="2F74FC4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1、门扇骨架：门扇骨架采用25*25mm规格、厚度≥0.8mm的钢质方通焊接而成，结构稳固，长期开关不变形、不松动。</w:t>
            </w:r>
          </w:p>
          <w:p w14:paraId="01CC8B4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2、门板材质：</w:t>
            </w:r>
            <w:r>
              <w:rPr>
                <w:rFonts w:hint="eastAsia" w:cs="宋体" w:asciiTheme="minorEastAsia" w:hAnsiTheme="minorEastAsia"/>
                <w:b/>
                <w:bCs/>
                <w:color w:val="auto"/>
                <w:kern w:val="0"/>
                <w:szCs w:val="21"/>
                <w:highlight w:val="none"/>
                <w:u w:val="single"/>
              </w:rPr>
              <w:t>门扇外面板采用优质冷轧钢板，面板厚度≥8m</w:t>
            </w:r>
            <w:r>
              <w:rPr>
                <w:rFonts w:hint="eastAsia" w:cs="宋体" w:asciiTheme="minorEastAsia" w:hAnsiTheme="minorEastAsia"/>
                <w:color w:val="auto"/>
                <w:kern w:val="0"/>
                <w:szCs w:val="21"/>
                <w:highlight w:val="none"/>
              </w:rPr>
              <w:t>m，门板造型采用一体冲压成型技术，支持个性化造型定制，</w:t>
            </w:r>
            <w:r>
              <w:rPr>
                <w:rFonts w:hint="eastAsia" w:cs="宋体" w:asciiTheme="minorEastAsia" w:hAnsiTheme="minorEastAsia"/>
                <w:color w:val="auto"/>
                <w:kern w:val="0"/>
                <w:szCs w:val="21"/>
                <w:highlight w:val="none"/>
                <w:lang w:val="en-US" w:eastAsia="zh-CN"/>
              </w:rPr>
              <w:t>成交</w:t>
            </w:r>
            <w:r>
              <w:rPr>
                <w:rFonts w:hint="eastAsia" w:cs="宋体" w:asciiTheme="minorEastAsia" w:hAnsiTheme="minorEastAsia"/>
                <w:color w:val="auto"/>
                <w:kern w:val="0"/>
                <w:szCs w:val="21"/>
                <w:highlight w:val="none"/>
              </w:rPr>
              <w:t>后根据各使用学校的造型需求进行定制。</w:t>
            </w:r>
          </w:p>
          <w:p w14:paraId="113D30A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▲三、门框技术参数</w:t>
            </w:r>
          </w:p>
          <w:p w14:paraId="6D85A87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1、材质：采用优质25*25mm角铁制作，结构强度高，抗挤压、不变形。</w:t>
            </w:r>
          </w:p>
          <w:p w14:paraId="0927EED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2、固定结构：门框预留专用固定安装孔，每樘门框墙体固定点位不少于6个，确保安装牢固、无晃动、不松动。</w:t>
            </w:r>
          </w:p>
          <w:p w14:paraId="0BBAA08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四、通气窗技术参数</w:t>
            </w:r>
          </w:p>
          <w:p w14:paraId="5F228074">
            <w:pPr>
              <w:widowControl/>
              <w:jc w:val="left"/>
              <w:textAlignment w:val="center"/>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门扇骨架采用25*25mm规格、厚度≥0.8mm的钢质方通制作，与门框焊接而成，结构稳固，长期开关不变形、不松动。</w:t>
            </w:r>
          </w:p>
          <w:p w14:paraId="5593850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五、金配件参数</w:t>
            </w:r>
          </w:p>
          <w:p w14:paraId="491450D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1、合页：每扇门配置3副重型静音钢制合页，承重≥80kg，全开顺畅、无卡顿、无异响，防锈防腐，长期开合不松动、不下坠。</w:t>
            </w:r>
          </w:p>
          <w:p w14:paraId="695F803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2、教室专用门锁：采用静音执手通道锁，C级防盗锁芯；门把手无尖锐棱角、防滑设计。</w:t>
            </w:r>
          </w:p>
          <w:p w14:paraId="3148FC0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3、门吸：配置加厚不锈钢地吸/墙吸，缓冲防撞，有效保护门扇、墙体，安装牢固，不易脱落、断裂。</w:t>
            </w:r>
          </w:p>
          <w:p w14:paraId="445195E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4、紧固件：所有螺丝、连接件全部采用不锈钢材质，防锈耐用，杜绝生锈松动。</w:t>
            </w:r>
          </w:p>
          <w:p w14:paraId="119286D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五、装配质量标准</w:t>
            </w:r>
          </w:p>
          <w:p w14:paraId="5E0A759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1、各构件的连接(焊、铆、螺接、粘接等)应牢固可靠，不应有未熔合、开裂、松动等缺陷。</w:t>
            </w:r>
          </w:p>
          <w:p w14:paraId="76638E3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▲2、允许误差及平面度：宽、高≤2mm，对角线差≤2.5mm，扇弯曲平面度≤2mm/扇，扇扭曲平面度≤2mm/扇。（验收时采购人根据需要委托有资质的第三方检测机构进行检测，检测费用由成交人承担。）</w:t>
            </w:r>
          </w:p>
          <w:p w14:paraId="679C9EB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装配间隙和框扇配合：相邻构件装配间隙≤1mm，相邻构件高低差≤1mm，框扇搭接量≥8mm，可视的配合间隙≤4mm，贴合间隙≤2.5mm。（验收时采购人根据需要委托有资质的第三方检测机构进行检测，检测费用由成交人承担。）</w:t>
            </w:r>
          </w:p>
          <w:p w14:paraId="0682097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整门结构抗冲击、抗磕碰，适配学生高频次开关使用，长期使用不凹陷、不变形、不开裂，施加垂直静载荷1000N时，门下垂量小于2mm,启闭正常。（验收时采购人根据需要委托有资质的第三方检测机构进行检测，检测费用由成交人承担。）</w:t>
            </w:r>
          </w:p>
          <w:p w14:paraId="2BB9AD19">
            <w:pPr>
              <w:pStyle w:val="2"/>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▲5、整门喷涂安全环保防锈油漆，油漆无异味，有害物质挥发性符合国家标准。（</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提供有效的CMA或CNAS检测报告</w:t>
            </w:r>
            <w:r>
              <w:rPr>
                <w:rFonts w:hint="eastAsia" w:cs="宋体" w:asciiTheme="minorEastAsia" w:hAnsiTheme="minorEastAsia"/>
                <w:color w:val="auto"/>
                <w:kern w:val="0"/>
                <w:szCs w:val="21"/>
                <w:highlight w:val="none"/>
                <w:lang w:val="en-US" w:eastAsia="zh-CN"/>
              </w:rPr>
              <w:t>原件核验检测参数必满足采购需求</w:t>
            </w:r>
            <w:r>
              <w:rPr>
                <w:rFonts w:hint="eastAsia" w:cs="宋体" w:asciiTheme="minorEastAsia" w:hAnsiTheme="minorEastAsia"/>
                <w:color w:val="auto"/>
                <w:kern w:val="0"/>
                <w:szCs w:val="21"/>
                <w:highlight w:val="none"/>
              </w:rPr>
              <w:t>，报告二维码可扫码查验真伪，</w:t>
            </w:r>
            <w:r>
              <w:rPr>
                <w:rFonts w:hint="eastAsia" w:cs="宋体" w:asciiTheme="minorEastAsia" w:hAnsiTheme="minorEastAsia"/>
                <w:color w:val="auto"/>
                <w:kern w:val="0"/>
                <w:szCs w:val="21"/>
                <w:highlight w:val="none"/>
                <w:lang w:val="en-US" w:eastAsia="zh-CN"/>
              </w:rPr>
              <w:t>否则不予以验收，由此造成的损失由竞标人承担</w:t>
            </w:r>
            <w:r>
              <w:rPr>
                <w:rFonts w:hint="eastAsia" w:cs="宋体" w:asciiTheme="minorEastAsia" w:hAnsiTheme="minorEastAsia"/>
                <w:color w:val="auto"/>
                <w:kern w:val="0"/>
                <w:szCs w:val="21"/>
                <w:highlight w:val="none"/>
              </w:rPr>
              <w:t>）</w:t>
            </w:r>
          </w:p>
          <w:p w14:paraId="3FD515B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六、施工安装及质保要求</w:t>
            </w:r>
          </w:p>
          <w:p w14:paraId="2F97E96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▲1、投标人报价包含：旧门拆除、现场垃圾清运、新门运输、搬运、安装、调试、收口修补、、从收口边墙体抹白、现场清洁、成品保护等全部费用，甲方无需额外付费。</w:t>
            </w:r>
          </w:p>
          <w:p w14:paraId="14586A6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2、安装精度要求：门框垂直偏差≤2mm，水平偏差≤2mm；门扇四周缝隙均匀，控制在2–3mm，开关顺畅、密封严密、无晃动、无撞击异响。</w:t>
            </w:r>
          </w:p>
          <w:p w14:paraId="4D0CA7F3">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3、针对不同墙体（砖墙、混凝土墙、轻质隔墙）采用对应加固固定工艺，确保安装稳固、安全达标。</w:t>
            </w:r>
          </w:p>
          <w:p w14:paraId="205475B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4、施工全过程不得损坏校园原有墙面、地面、水电设施，施工结束场地干净整洁，不影响正常教学秩序。</w:t>
            </w:r>
          </w:p>
          <w:p w14:paraId="66D86D8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5、整体免费质保期不少于3年，自项目整体竣工验收合格之日起计算。</w:t>
            </w:r>
          </w:p>
          <w:p w14:paraId="0A4F6C33">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6、质保范围包含：门扇变形、门框松动、漆面脱落、五金损坏、锁具故障、密封条老化、开合异响、玻璃松动等所有非人为损坏问题，全部免费维修、免费更换配件、免费人工。</w:t>
            </w:r>
          </w:p>
          <w:p w14:paraId="3A38B6C8">
            <w:pPr>
              <w:pStyle w:val="2"/>
              <w:rPr>
                <w:rFonts w:hint="eastAsia" w:asciiTheme="minorEastAsia" w:hAnsiTheme="minorEastAsia" w:eastAsiaTheme="minorEastAsia" w:cstheme="minorBidi"/>
                <w:color w:val="auto"/>
                <w:kern w:val="2"/>
                <w:sz w:val="21"/>
                <w:szCs w:val="21"/>
                <w:highlight w:val="none"/>
                <w:lang w:val="en-US" w:eastAsia="zh-CN" w:bidi="ar-SA"/>
              </w:rPr>
            </w:pPr>
            <w:r>
              <w:rPr>
                <w:rFonts w:hint="eastAsia" w:asciiTheme="minorEastAsia" w:hAnsiTheme="minorEastAsia"/>
                <w:color w:val="auto"/>
                <w:szCs w:val="21"/>
                <w:highlight w:val="none"/>
              </w:rPr>
              <w:t>▲</w:t>
            </w:r>
            <w:r>
              <w:rPr>
                <w:rFonts w:hint="eastAsia" w:asciiTheme="minorEastAsia" w:hAnsiTheme="minorEastAsia"/>
                <w:color w:val="auto"/>
                <w:szCs w:val="21"/>
                <w:highlight w:val="none"/>
                <w:lang w:val="en-US" w:eastAsia="zh-CN"/>
              </w:rPr>
              <w:t>7.响应文件中</w:t>
            </w:r>
            <w:r>
              <w:rPr>
                <w:rFonts w:hint="eastAsia" w:asciiTheme="minorEastAsia" w:hAnsiTheme="minorEastAsia"/>
                <w:color w:val="auto"/>
                <w:szCs w:val="21"/>
                <w:highlight w:val="none"/>
              </w:rPr>
              <w:t>提供产品全景及标▲项</w:t>
            </w:r>
            <w:r>
              <w:rPr>
                <w:rFonts w:hint="eastAsia" w:asciiTheme="minorEastAsia" w:hAnsiTheme="minorEastAsia" w:eastAsiaTheme="minorEastAsia" w:cstheme="minorEastAsia"/>
                <w:color w:val="auto"/>
                <w:sz w:val="21"/>
                <w:szCs w:val="21"/>
                <w:highlight w:val="none"/>
              </w:rPr>
              <w:t>带下划线“＿”的</w:t>
            </w:r>
            <w:r>
              <w:rPr>
                <w:rFonts w:hint="eastAsia" w:asciiTheme="minorEastAsia" w:hAnsiTheme="minorEastAsia"/>
                <w:color w:val="auto"/>
                <w:szCs w:val="21"/>
                <w:highlight w:val="none"/>
              </w:rPr>
              <w:t>实质性参数、重要功能等实拍图或设计图，要求图片清晰无遮挡</w:t>
            </w:r>
            <w:r>
              <w:rPr>
                <w:rFonts w:hint="eastAsia" w:asciiTheme="minorEastAsia" w:hAnsiTheme="minorEastAsia"/>
                <w:color w:val="auto"/>
                <w:szCs w:val="21"/>
                <w:highlight w:val="none"/>
                <w:lang w:eastAsia="zh-CN"/>
              </w:rPr>
              <w:t>。</w:t>
            </w:r>
            <w:r>
              <w:rPr>
                <w:rFonts w:hint="eastAsia" w:asciiTheme="minorEastAsia" w:hAnsiTheme="minorEastAsia"/>
                <w:color w:val="auto"/>
                <w:szCs w:val="21"/>
                <w:highlight w:val="none"/>
                <w:lang w:val="en-US" w:eastAsia="zh-CN"/>
              </w:rPr>
              <w:t>签订合同后，</w:t>
            </w:r>
            <w:r>
              <w:rPr>
                <w:rFonts w:hint="eastAsia" w:asciiTheme="minorEastAsia" w:hAnsiTheme="minorEastAsia"/>
                <w:color w:val="auto"/>
                <w:szCs w:val="21"/>
                <w:highlight w:val="none"/>
              </w:rPr>
              <w:t>在采购人指定位置安装一套成品进行检测，检测结果须与响应参数及提供的图纸一致，检测合格后履行合同，如检测结果与</w:t>
            </w:r>
            <w:r>
              <w:rPr>
                <w:rFonts w:hint="eastAsia" w:asciiTheme="minorEastAsia" w:hAnsiTheme="minorEastAsia"/>
                <w:color w:val="auto"/>
                <w:szCs w:val="21"/>
                <w:highlight w:val="none"/>
                <w:lang w:eastAsia="zh-CN"/>
              </w:rPr>
              <w:t>竞标响应文件</w:t>
            </w:r>
            <w:r>
              <w:rPr>
                <w:rFonts w:hint="eastAsia" w:asciiTheme="minorEastAsia" w:hAnsiTheme="minorEastAsia"/>
                <w:color w:val="auto"/>
                <w:szCs w:val="21"/>
                <w:highlight w:val="none"/>
              </w:rPr>
              <w:t>不符</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val="en-US" w:eastAsia="zh-CN"/>
              </w:rPr>
              <w:t>不予以验收，存在虚假响应情形</w:t>
            </w:r>
            <w:r>
              <w:rPr>
                <w:rFonts w:hint="eastAsia" w:cs="宋体" w:asciiTheme="minorEastAsia" w:hAnsiTheme="minorEastAsia"/>
                <w:color w:val="auto"/>
                <w:kern w:val="0"/>
                <w:szCs w:val="21"/>
                <w:highlight w:val="none"/>
              </w:rPr>
              <w:t>上报采购监管部门</w:t>
            </w:r>
            <w:r>
              <w:rPr>
                <w:rFonts w:hint="eastAsia" w:cs="宋体" w:asciiTheme="minorEastAsia" w:hAnsiTheme="minorEastAsia"/>
                <w:color w:val="auto"/>
                <w:kern w:val="0"/>
                <w:szCs w:val="21"/>
                <w:highlight w:val="none"/>
                <w:lang w:eastAsia="zh-CN"/>
              </w:rPr>
              <w:t>。</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7CFBD">
            <w:pPr>
              <w:widowControl/>
              <w:jc w:val="center"/>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256405</w:t>
            </w:r>
          </w:p>
        </w:tc>
      </w:tr>
      <w:tr w14:paraId="0A9A6139">
        <w:tblPrEx>
          <w:tblCellMar>
            <w:top w:w="0" w:type="dxa"/>
            <w:left w:w="108" w:type="dxa"/>
            <w:bottom w:w="0" w:type="dxa"/>
            <w:right w:w="108" w:type="dxa"/>
          </w:tblCellMar>
        </w:tblPrEx>
        <w:trPr>
          <w:trHeight w:val="555"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65492">
            <w:pPr>
              <w:jc w:val="center"/>
              <w:rPr>
                <w:rFonts w:hint="eastAsia" w:cs="宋体" w:asciiTheme="minorEastAsia" w:hAnsiTheme="minorEastAsia" w:eastAsiaTheme="minorEastAsia"/>
                <w:bCs/>
                <w:color w:val="auto"/>
                <w:kern w:val="2"/>
                <w:sz w:val="21"/>
                <w:szCs w:val="21"/>
                <w:highlight w:val="none"/>
                <w:lang w:val="en-US" w:eastAsia="zh-CN" w:bidi="ar-SA"/>
              </w:rPr>
            </w:pPr>
            <w:r>
              <w:rPr>
                <w:rFonts w:hint="eastAsia" w:cs="宋体" w:asciiTheme="minorEastAsia" w:hAnsiTheme="minorEastAsia"/>
                <w:bCs/>
                <w:color w:val="auto"/>
                <w:szCs w:val="21"/>
                <w:highlight w:val="none"/>
                <w:lang w:val="en-US" w:eastAsia="zh-CN"/>
              </w:rPr>
              <w:t>5</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64F43">
            <w:pPr>
              <w:widowControl/>
              <w:jc w:val="center"/>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学生宿舍卫生间门</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208D">
            <w:pPr>
              <w:widowControl/>
              <w:jc w:val="center"/>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批</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25F28">
            <w:pPr>
              <w:widowControl/>
              <w:jc w:val="center"/>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1</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4125">
            <w:pPr>
              <w:widowControl/>
              <w:jc w:val="right"/>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220000</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CD9A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▲采购数量及规格尺寸：68樘（宽66厘米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200厘米）、50樘（宽76厘米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200厘米）、32樘（宽90厘米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280厘米）、32樘（宽70厘米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280厘米）、55樘（宽69厘米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195厘米），总计236樘。</w:t>
            </w:r>
          </w:p>
          <w:p w14:paraId="03DA723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▲一、总体技术要求</w:t>
            </w:r>
          </w:p>
          <w:p w14:paraId="02B74FD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1、本项目采购产品为学校卫生间专用铝合金平开门，所有产品须符合：《中小学校设计规范》GB 50099-2011、《建筑用铝合金型材》GB/T 5237-2017、《建筑装饰装修工程质量验收标准》GB 50210-2018及相关国家、行业标准。</w:t>
            </w:r>
          </w:p>
          <w:p w14:paraId="3CDDE75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2、门型：单扇平开门，开启方向按校方现场要求统一设置，开启角度≥90°，开关顺畅、无卡滞、无异响。</w:t>
            </w:r>
          </w:p>
          <w:p w14:paraId="693E855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3、洞口尺寸：参照附件二；成品外形尺寸偏差≤±2mm，对角线偏差≤3mm。</w:t>
            </w:r>
          </w:p>
          <w:p w14:paraId="6D263C7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4、全新原厂成品，不接受翻新、二手、现场拼装；防水、防潮、防腐蚀、易清洁，适配卫生间潮湿环境；无尖锐棱角，符合校园安全要求。</w:t>
            </w:r>
          </w:p>
          <w:p w14:paraId="0B212C9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5、整门色泽均匀，表面无划痕、磕碰、变形、脱膜、色差等缺陷。</w:t>
            </w:r>
          </w:p>
          <w:p w14:paraId="30E24C5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▲二、门框技术参数</w:t>
            </w:r>
          </w:p>
          <w:p w14:paraId="4F377146">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w:t>
            </w:r>
            <w:r>
              <w:rPr>
                <w:rFonts w:hint="eastAsia" w:cs="宋体" w:asciiTheme="minorEastAsia" w:hAnsiTheme="minorEastAsia"/>
                <w:b/>
                <w:bCs/>
                <w:color w:val="auto"/>
                <w:kern w:val="0"/>
                <w:szCs w:val="21"/>
                <w:highlight w:val="none"/>
                <w:u w:val="single"/>
              </w:rPr>
              <w:t>采用国标铝合金型材,壁厚≥1.0mm</w:t>
            </w:r>
            <w:r>
              <w:rPr>
                <w:rFonts w:hint="eastAsia" w:cs="宋体" w:asciiTheme="minorEastAsia" w:hAnsiTheme="minorEastAsia"/>
                <w:color w:val="auto"/>
                <w:kern w:val="0"/>
                <w:szCs w:val="21"/>
                <w:highlight w:val="none"/>
              </w:rPr>
              <w:t>，耐潮、耐褪色、耐刮擦，颜色由采购人指定。</w:t>
            </w:r>
          </w:p>
          <w:p w14:paraId="596C6C8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2、门框截面尺寸满足洞口配套要求，整框一体组角，专用角码加固，连接牢固、无缝隙、不松动。</w:t>
            </w:r>
          </w:p>
          <w:p w14:paraId="3F4166A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3、框体预留固定孔，每樘不少于 4 个固定点，安装后垂直、水平偏差≤2mm。</w:t>
            </w:r>
          </w:p>
          <w:p w14:paraId="6F4E5A4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4、密封配置：内侧加装优质耐老化橡胶密封条，防水防尘，关闭后贴合紧密。</w:t>
            </w:r>
          </w:p>
          <w:p w14:paraId="6CDBA16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▲三、门扇技术参数</w:t>
            </w:r>
          </w:p>
          <w:p w14:paraId="2AC90BD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w:t>
            </w:r>
            <w:r>
              <w:rPr>
                <w:rFonts w:hint="eastAsia" w:cs="宋体" w:asciiTheme="minorEastAsia" w:hAnsiTheme="minorEastAsia"/>
                <w:b/>
                <w:bCs/>
                <w:color w:val="auto"/>
                <w:kern w:val="0"/>
                <w:szCs w:val="21"/>
                <w:highlight w:val="none"/>
                <w:u w:val="single"/>
              </w:rPr>
              <w:t>门扇厚度≥30mm，采用国标铝合金型材，与门框同材质、同色、同工艺，型材壁厚≥1.0mm</w:t>
            </w:r>
            <w:r>
              <w:rPr>
                <w:rFonts w:hint="eastAsia" w:cs="宋体" w:asciiTheme="minorEastAsia" w:hAnsiTheme="minorEastAsia"/>
                <w:color w:val="auto"/>
                <w:kern w:val="0"/>
                <w:szCs w:val="21"/>
                <w:highlight w:val="none"/>
              </w:rPr>
              <w:t>，满足承重及抗撞击要求，长期使用不变形。</w:t>
            </w:r>
          </w:p>
          <w:p w14:paraId="2870F0F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2、玻璃配置</w:t>
            </w:r>
          </w:p>
          <w:p w14:paraId="35C39B9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w:t>
            </w:r>
            <w:r>
              <w:rPr>
                <w:rFonts w:hint="eastAsia" w:cs="宋体" w:asciiTheme="minorEastAsia" w:hAnsiTheme="minorEastAsia"/>
                <w:b/>
                <w:bCs/>
                <w:color w:val="auto"/>
                <w:kern w:val="0"/>
                <w:szCs w:val="21"/>
                <w:highlight w:val="none"/>
                <w:u w:val="single"/>
              </w:rPr>
              <w:t>采用厚度≥5mm的安全钢化磨砂玻璃，透光、隐私兼顾，带国家3C标识</w:t>
            </w:r>
            <w:r>
              <w:rPr>
                <w:rFonts w:hint="eastAsia" w:cs="宋体" w:asciiTheme="minorEastAsia" w:hAnsiTheme="minorEastAsia"/>
                <w:color w:val="auto"/>
                <w:kern w:val="0"/>
                <w:szCs w:val="21"/>
                <w:highlight w:val="none"/>
              </w:rPr>
              <w:t>，破碎呈钝角颗粒（</w:t>
            </w:r>
            <w:r>
              <w:rPr>
                <w:rFonts w:hint="eastAsia" w:cs="宋体" w:asciiTheme="minorEastAsia" w:hAnsiTheme="minorEastAsia"/>
                <w:strike w:val="0"/>
                <w:dstrike w:val="0"/>
                <w:color w:val="auto"/>
                <w:kern w:val="0"/>
                <w:sz w:val="21"/>
                <w:szCs w:val="21"/>
                <w:highlight w:val="none"/>
                <w:lang w:val="en-US" w:eastAsia="zh-CN"/>
              </w:rPr>
              <w:t>响应文件中</w:t>
            </w:r>
            <w:r>
              <w:rPr>
                <w:rFonts w:hint="eastAsia" w:cs="宋体" w:asciiTheme="minorEastAsia" w:hAnsiTheme="minorEastAsia"/>
                <w:color w:val="auto"/>
                <w:kern w:val="0"/>
                <w:szCs w:val="21"/>
                <w:highlight w:val="none"/>
              </w:rPr>
              <w:t>提供3C认证证书</w:t>
            </w:r>
            <w:r>
              <w:rPr>
                <w:rFonts w:hint="eastAsia" w:cs="宋体" w:asciiTheme="minorEastAsia" w:hAnsiTheme="minorEastAsia"/>
                <w:color w:val="auto"/>
                <w:kern w:val="0"/>
                <w:szCs w:val="21"/>
                <w:highlight w:val="none"/>
                <w:lang w:val="en-US" w:eastAsia="zh-CN"/>
              </w:rPr>
              <w:t>证明</w:t>
            </w:r>
            <w:r>
              <w:rPr>
                <w:rFonts w:hint="eastAsia" w:cs="宋体" w:asciiTheme="minorEastAsia" w:hAnsiTheme="minorEastAsia"/>
                <w:color w:val="auto"/>
                <w:kern w:val="0"/>
                <w:szCs w:val="21"/>
                <w:highlight w:val="none"/>
              </w:rPr>
              <w:t>）；</w:t>
            </w:r>
          </w:p>
          <w:p w14:paraId="5A10F5E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2)玻璃与铝框间采用防水胶条+中性耐候密封胶双重密封，胶缝均匀饱满、不开裂、不脱落；</w:t>
            </w:r>
          </w:p>
          <w:p w14:paraId="39314CB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3、门扇与门框间隙均匀，四周缝隙2～3mm，开合无晃动、无碰撞异响。</w:t>
            </w:r>
          </w:p>
          <w:p w14:paraId="16653CF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四、五金配件</w:t>
            </w:r>
          </w:p>
          <w:p w14:paraId="51C3AD1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1、每扇3 副不锈钢重型合页，静音、承重达标、防锈防腐，长期不下坠、不松动。</w:t>
            </w:r>
          </w:p>
          <w:p w14:paraId="1FF2FC3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2、卫生间专用无钥匙通道执手锁（带应急开启），门外可紧急解锁，把手圆润无尖角，防水防锈。</w:t>
            </w:r>
          </w:p>
          <w:p w14:paraId="7CB132D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3、配防水门吸或橡胶防撞块，防撞击、防磕碰。</w:t>
            </w:r>
          </w:p>
          <w:p w14:paraId="12FD5B2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4、紧固件：全部螺丝、连接件为不锈钢材质，防潮防锈。</w:t>
            </w:r>
          </w:p>
          <w:p w14:paraId="4DC7039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五、生产工艺与质量要求</w:t>
            </w:r>
          </w:p>
          <w:p w14:paraId="0ECF242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1、铝型材切割精准，组角严密，拼接缝隙均匀，外观平整美观。</w:t>
            </w:r>
          </w:p>
          <w:p w14:paraId="1C138C4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2、密封到位，防水防渗，潮湿环境不渗水、不发霉。</w:t>
            </w:r>
          </w:p>
          <w:p w14:paraId="05ADFC0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3、辅料、胶类均为环保、防水、耐老化产品，无刺激性气味。</w:t>
            </w:r>
          </w:p>
          <w:p w14:paraId="211744C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4、抗磕碰、抗变形，适应校园高频次使用。</w:t>
            </w:r>
          </w:p>
          <w:p w14:paraId="0CB0350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六、施工安装及售后服务</w:t>
            </w:r>
          </w:p>
          <w:p w14:paraId="77F12DA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▲1、报价包含：旧门拆除、垃圾清运、运输、搬运、安装、调试、缝隙打胶收口、、从收口边墙体抹白、成品保护、现场清理等全部费用。</w:t>
            </w:r>
          </w:p>
          <w:p w14:paraId="241D1B8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2、安装后门体垂直度、平整度、缝隙尺寸符合参数要求；开关、锁具、合页功能调试到位。</w:t>
            </w:r>
          </w:p>
          <w:p w14:paraId="7D2E8C8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3、施工不得损坏原有墙体、墙面、地面及给排水设施，完工场地整洁。</w:t>
            </w:r>
          </w:p>
          <w:p w14:paraId="774D86B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4、免费质保≥3 年，自竣工验收合格之日起计算。</w:t>
            </w:r>
          </w:p>
          <w:p w14:paraId="0EFBD0CD">
            <w:pPr>
              <w:pStyle w:val="2"/>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5、质保范围：型材变形、漆面脱落、玻璃松动、密封开裂渗水、五金损坏、锁具失灵、合页异响等非人为损坏，免费维修、换件及人工。</w:t>
            </w:r>
            <w:r>
              <w:rPr>
                <w:rFonts w:hint="eastAsia" w:cs="宋体" w:asciiTheme="minorEastAsia" w:hAnsiTheme="minorEastAsia"/>
                <w:color w:val="auto"/>
                <w:kern w:val="0"/>
                <w:szCs w:val="21"/>
                <w:highlight w:val="none"/>
              </w:rPr>
              <w:br w:type="textWrapping"/>
            </w:r>
            <w:r>
              <w:rPr>
                <w:rFonts w:hint="eastAsia" w:asciiTheme="minorEastAsia" w:hAnsiTheme="minorEastAsia"/>
                <w:color w:val="auto"/>
                <w:szCs w:val="21"/>
                <w:highlight w:val="none"/>
              </w:rPr>
              <w:t>▲</w:t>
            </w:r>
            <w:r>
              <w:rPr>
                <w:rFonts w:hint="eastAsia" w:cs="宋体" w:asciiTheme="minorEastAsia" w:hAnsiTheme="minorEastAsia"/>
                <w:color w:val="auto"/>
                <w:kern w:val="0"/>
                <w:szCs w:val="21"/>
                <w:highlight w:val="none"/>
              </w:rPr>
              <w:t>6、</w:t>
            </w:r>
            <w:r>
              <w:rPr>
                <w:rFonts w:hint="eastAsia" w:cs="宋体" w:asciiTheme="minorEastAsia" w:hAnsiTheme="minorEastAsia"/>
                <w:color w:val="auto"/>
                <w:kern w:val="0"/>
                <w:szCs w:val="21"/>
                <w:highlight w:val="none"/>
                <w:lang w:val="en-US" w:eastAsia="zh-CN"/>
              </w:rPr>
              <w:t>响应文件中</w:t>
            </w:r>
            <w:r>
              <w:rPr>
                <w:rFonts w:hint="eastAsia" w:cs="宋体" w:asciiTheme="minorEastAsia" w:hAnsiTheme="minorEastAsia"/>
                <w:color w:val="auto"/>
                <w:kern w:val="0"/>
                <w:szCs w:val="21"/>
                <w:highlight w:val="none"/>
              </w:rPr>
              <w:t>提供产品全景及标▲项</w:t>
            </w:r>
            <w:r>
              <w:rPr>
                <w:rFonts w:hint="eastAsia" w:asciiTheme="minorEastAsia" w:hAnsiTheme="minorEastAsia" w:eastAsiaTheme="minorEastAsia" w:cstheme="minorEastAsia"/>
                <w:color w:val="auto"/>
                <w:sz w:val="21"/>
                <w:szCs w:val="21"/>
                <w:highlight w:val="none"/>
              </w:rPr>
              <w:t>带下划线“＿”的</w:t>
            </w:r>
            <w:r>
              <w:rPr>
                <w:rFonts w:hint="eastAsia" w:cs="宋体" w:asciiTheme="minorEastAsia" w:hAnsiTheme="minorEastAsia"/>
                <w:color w:val="auto"/>
                <w:kern w:val="0"/>
                <w:szCs w:val="21"/>
                <w:highlight w:val="none"/>
              </w:rPr>
              <w:t>实质性参数、重要功能等实拍图或设计图，要求图片清晰无遮挡</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lang w:val="en-US" w:eastAsia="zh-CN"/>
              </w:rPr>
              <w:t>签订合同后，</w:t>
            </w:r>
            <w:r>
              <w:rPr>
                <w:rFonts w:hint="eastAsia" w:cs="宋体" w:asciiTheme="minorEastAsia" w:hAnsiTheme="minorEastAsia"/>
                <w:color w:val="auto"/>
                <w:kern w:val="0"/>
                <w:szCs w:val="21"/>
                <w:highlight w:val="none"/>
              </w:rPr>
              <w:t>在采购人指定位置安装一套成品进行检测，</w:t>
            </w:r>
            <w:r>
              <w:rPr>
                <w:rFonts w:hint="eastAsia" w:cs="宋体" w:asciiTheme="minorEastAsia" w:hAnsiTheme="minorEastAsia"/>
                <w:color w:val="auto"/>
                <w:kern w:val="0"/>
                <w:szCs w:val="21"/>
                <w:highlight w:val="none"/>
                <w:lang w:val="en-US" w:eastAsia="zh-CN"/>
              </w:rPr>
              <w:t>由国家认证、认可的检测机构出具的</w:t>
            </w:r>
            <w:r>
              <w:rPr>
                <w:rFonts w:hint="eastAsia" w:cs="宋体" w:asciiTheme="minorEastAsia" w:hAnsiTheme="minorEastAsia"/>
                <w:color w:val="auto"/>
                <w:kern w:val="0"/>
                <w:szCs w:val="21"/>
                <w:highlight w:val="none"/>
              </w:rPr>
              <w:t>检测</w:t>
            </w:r>
            <w:r>
              <w:rPr>
                <w:rFonts w:hint="eastAsia" w:cs="宋体" w:asciiTheme="minorEastAsia" w:hAnsiTheme="minorEastAsia"/>
                <w:color w:val="auto"/>
                <w:kern w:val="0"/>
                <w:szCs w:val="21"/>
                <w:highlight w:val="none"/>
                <w:lang w:val="en-US" w:eastAsia="zh-CN"/>
              </w:rPr>
              <w:t>报告</w:t>
            </w:r>
            <w:r>
              <w:rPr>
                <w:rFonts w:hint="eastAsia" w:cs="宋体" w:asciiTheme="minorEastAsia" w:hAnsiTheme="minorEastAsia"/>
                <w:color w:val="auto"/>
                <w:kern w:val="0"/>
                <w:szCs w:val="21"/>
                <w:highlight w:val="none"/>
              </w:rPr>
              <w:t>结果须与响应参数及提供的图纸一致，检测合格后履行合同，如检测结果与</w:t>
            </w:r>
            <w:r>
              <w:rPr>
                <w:rFonts w:hint="eastAsia" w:cs="宋体" w:asciiTheme="minorEastAsia" w:hAnsiTheme="minorEastAsia"/>
                <w:color w:val="auto"/>
                <w:kern w:val="0"/>
                <w:szCs w:val="21"/>
                <w:highlight w:val="none"/>
                <w:lang w:eastAsia="zh-CN"/>
              </w:rPr>
              <w:t>竞标响应文件</w:t>
            </w:r>
            <w:r>
              <w:rPr>
                <w:rFonts w:hint="eastAsia" w:cs="宋体" w:asciiTheme="minorEastAsia" w:hAnsiTheme="minorEastAsia"/>
                <w:color w:val="auto"/>
                <w:kern w:val="0"/>
                <w:szCs w:val="21"/>
                <w:highlight w:val="none"/>
              </w:rPr>
              <w:t>不符，</w:t>
            </w:r>
            <w:r>
              <w:rPr>
                <w:rFonts w:hint="eastAsia" w:cs="宋体" w:asciiTheme="minorEastAsia" w:hAnsiTheme="minorEastAsia"/>
                <w:color w:val="auto"/>
                <w:kern w:val="0"/>
                <w:szCs w:val="21"/>
                <w:highlight w:val="none"/>
                <w:lang w:val="en-US" w:eastAsia="zh-CN"/>
              </w:rPr>
              <w:t>不予以验收，存在虚假响应情形</w:t>
            </w:r>
            <w:r>
              <w:rPr>
                <w:rFonts w:hint="eastAsia" w:cs="宋体" w:asciiTheme="minorEastAsia" w:hAnsiTheme="minorEastAsia"/>
                <w:color w:val="auto"/>
                <w:kern w:val="0"/>
                <w:szCs w:val="21"/>
                <w:highlight w:val="none"/>
              </w:rPr>
              <w:t>上报采购监管部门</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EF97B">
            <w:pPr>
              <w:widowControl/>
              <w:jc w:val="center"/>
              <w:textAlignment w:val="center"/>
              <w:rPr>
                <w:rFonts w:hint="eastAsia" w:cs="宋体" w:asciiTheme="minorEastAsia" w:hAnsiTheme="minorEastAsia" w:eastAsiaTheme="minorEastAsia"/>
                <w:color w:val="auto"/>
                <w:kern w:val="0"/>
                <w:sz w:val="21"/>
                <w:szCs w:val="21"/>
                <w:highlight w:val="none"/>
                <w:lang w:val="en-US" w:eastAsia="zh-CN" w:bidi="ar-SA"/>
              </w:rPr>
            </w:pPr>
            <w:r>
              <w:rPr>
                <w:rFonts w:hint="eastAsia" w:cs="宋体" w:asciiTheme="minorEastAsia" w:hAnsiTheme="minorEastAsia"/>
                <w:color w:val="auto"/>
                <w:kern w:val="0"/>
                <w:szCs w:val="21"/>
                <w:highlight w:val="none"/>
              </w:rPr>
              <w:t>220000</w:t>
            </w:r>
          </w:p>
        </w:tc>
      </w:tr>
      <w:tr w14:paraId="2FA8E6D5">
        <w:tblPrEx>
          <w:tblCellMar>
            <w:top w:w="0" w:type="dxa"/>
            <w:left w:w="108" w:type="dxa"/>
            <w:bottom w:w="0" w:type="dxa"/>
            <w:right w:w="108" w:type="dxa"/>
          </w:tblCellMar>
        </w:tblPrEx>
        <w:trPr>
          <w:trHeight w:val="555"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29560">
            <w:pPr>
              <w:widowControl/>
              <w:jc w:val="center"/>
              <w:textAlignment w:val="center"/>
              <w:rPr>
                <w:rFonts w:hint="eastAsia" w:cs="宋体" w:asciiTheme="minorEastAsia" w:hAnsiTheme="minorEastAsia" w:eastAsiaTheme="minorEastAsia"/>
                <w:bCs/>
                <w:color w:val="auto"/>
                <w:szCs w:val="21"/>
                <w:highlight w:val="none"/>
                <w:lang w:eastAsia="zh-CN"/>
              </w:rPr>
            </w:pPr>
            <w:r>
              <w:rPr>
                <w:rFonts w:hint="eastAsia" w:cs="宋体" w:asciiTheme="minorEastAsia" w:hAnsiTheme="minorEastAsia"/>
                <w:color w:val="auto"/>
                <w:kern w:val="0"/>
                <w:szCs w:val="21"/>
                <w:highlight w:val="none"/>
                <w:lang w:val="en-US" w:eastAsia="zh-CN"/>
              </w:rPr>
              <w:t>6</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DD58F">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教室窗</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FBA52">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批</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05EF">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1</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3BC2A">
            <w:pPr>
              <w:widowControl/>
              <w:jc w:val="righ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430000</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AF1E6">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▲采购数量及规格尺寸：32樘（宽230厘米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205厘米）、18樘（宽230厘米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98厘米）、10樘（宽175厘米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145厘米）、10樘（宽175厘米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203厘米）、20樘（宽203厘米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203厘米）、30樘（宽345厘米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212厘米）、1樘（宽203厘米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234厘米）、1樘（宽200厘米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235厘米）、16樘（宽195厘米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246厘米）、16樘（宽179厘米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205厘米）、10樘（宽248厘米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198厘米）、10樘（宽158厘米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198厘米）、40樘（宽160厘米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150厘米）、20樘（宽160厘米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100厘米）、3樘（宽178厘米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178厘米）、1樘（宽169厘米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180厘米）、2樘（宽83厘米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178厘米）、1樘（宽177厘米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90厘米）、1樘（宽179厘米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178厘米）、2樘（宽68厘米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120厘米）、22樘（宽203厘米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232厘米）、22樘（宽203厘米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290厘米）、1樘（宽203厘米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260厘米）、48樘（宽175厘米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205厘米）、24樘（宽95厘米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205厘米）、22樘（宽208厘米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176厘米）、18樘（宽210厘米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238厘米）、5樘（宽100厘米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175厘米）、2樘（宽200厘米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176厘米），总计418樘。</w:t>
            </w:r>
          </w:p>
          <w:p w14:paraId="6990B40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▲一、总体要求</w:t>
            </w:r>
          </w:p>
          <w:p w14:paraId="2099AAD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1、中小学专用铝合金推拉窗（窗型按校方图纸及现场要求），所有产品须国家标准。</w:t>
            </w:r>
          </w:p>
          <w:p w14:paraId="1C607FC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2、产品适用于普通教学教室，要求高强度、抗风压、防水防渗、隔音隔热、耐候不褪色、易清洁、安全防坠，适配校园高频使用、长期日晒雨淋环境。</w:t>
            </w:r>
          </w:p>
          <w:p w14:paraId="6D6AF8B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3、所有窗户为全新原厂成品铝合金窗（按项目要求），整套系统化生产，禁止现场切拼、二手翻新、残次组装产品。</w:t>
            </w:r>
          </w:p>
          <w:p w14:paraId="4C27CE4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4、本项目包含窗框、窗扇、玻璃、密封系统、五金、安装收口全套内容。</w:t>
            </w:r>
          </w:p>
          <w:p w14:paraId="6B7B08D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5、整窗外观颜色统一、表面细腻平整，无划痕、压痕、气泡、色差、掉粉、变形、翘曲等质量缺陷。</w:t>
            </w:r>
          </w:p>
          <w:p w14:paraId="40C9247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▲二、型材技术参数</w:t>
            </w:r>
          </w:p>
          <w:p w14:paraId="0763CA4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b/>
                <w:bCs/>
                <w:color w:val="auto"/>
                <w:kern w:val="0"/>
                <w:szCs w:val="21"/>
                <w:highlight w:val="none"/>
                <w:u w:val="single"/>
              </w:rPr>
              <w:t>1、采用标准80铝合金型材，窗框和窗扇壁厚≥0.9mm</w:t>
            </w:r>
            <w:r>
              <w:rPr>
                <w:rFonts w:hint="eastAsia" w:cs="宋体" w:asciiTheme="minorEastAsia" w:hAnsiTheme="minorEastAsia"/>
                <w:color w:val="auto"/>
                <w:kern w:val="0"/>
                <w:szCs w:val="21"/>
                <w:highlight w:val="none"/>
              </w:rPr>
              <w:t>，受力部位结构加强，抗风压、抗撞击性能满足教学楼使用。</w:t>
            </w:r>
          </w:p>
          <w:p w14:paraId="59DA2EB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3、采用静电粉末喷涂工艺，干膜厚度≥65μm，180~200℃高温固化，涂层硬度≥H，附着力 0 级，中性盐雾试验≥120h；涂层均匀、附着力强、耐候性佳，长期户外日晒不褪色、不粉化、不开裂，颜色由采购人统一指定。</w:t>
            </w:r>
          </w:p>
          <w:p w14:paraId="352595B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4、组角工艺：窗扇、窗框全部采用精密角码注胶组角，组角严密、缝隙均匀、整体方正，杜绝渗水、松动、变形；整窗对角线误差≤3mm，平整度、垂直度符合规范。</w:t>
            </w:r>
          </w:p>
          <w:p w14:paraId="50630AA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▲三、玻璃技术参数</w:t>
            </w:r>
          </w:p>
          <w:p w14:paraId="6A6A32D2">
            <w:pPr>
              <w:widowControl/>
              <w:numPr>
                <w:ilvl w:val="0"/>
                <w:numId w:val="2"/>
              </w:numPr>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采用透明钢化平板玻璃，符合GB11614-2022《平板玻璃》标准中“优质加工级”的要求，</w:t>
            </w:r>
            <w:r>
              <w:rPr>
                <w:rFonts w:hint="eastAsia" w:cs="宋体" w:asciiTheme="minorEastAsia" w:hAnsiTheme="minorEastAsia"/>
                <w:b/>
                <w:bCs/>
                <w:color w:val="auto"/>
                <w:kern w:val="0"/>
                <w:szCs w:val="21"/>
                <w:highlight w:val="none"/>
                <w:u w:val="single"/>
              </w:rPr>
              <w:t>厚度≥5mm，带原厂钢化3C标识</w:t>
            </w:r>
            <w:r>
              <w:rPr>
                <w:rFonts w:hint="eastAsia" w:cs="宋体" w:asciiTheme="minorEastAsia" w:hAnsiTheme="minorEastAsia"/>
                <w:b w:val="0"/>
                <w:bCs w:val="0"/>
                <w:color w:val="auto"/>
                <w:kern w:val="0"/>
                <w:szCs w:val="21"/>
                <w:highlight w:val="none"/>
                <w:u w:val="none"/>
              </w:rPr>
              <w:t>，破碎后呈钝角颗粒，防割伤、防坠落</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val="en-US" w:eastAsia="zh-CN"/>
              </w:rPr>
              <w:t>响应文件中</w:t>
            </w:r>
            <w:r>
              <w:rPr>
                <w:rFonts w:hint="eastAsia" w:cs="宋体" w:asciiTheme="minorEastAsia" w:hAnsiTheme="minorEastAsia"/>
                <w:color w:val="auto"/>
                <w:kern w:val="0"/>
                <w:szCs w:val="21"/>
                <w:highlight w:val="none"/>
              </w:rPr>
              <w:t>提供玻璃3C认证证书</w:t>
            </w:r>
            <w:r>
              <w:rPr>
                <w:rFonts w:hint="eastAsia" w:cs="宋体" w:asciiTheme="minorEastAsia" w:hAnsiTheme="minorEastAsia"/>
                <w:color w:val="auto"/>
                <w:kern w:val="0"/>
                <w:szCs w:val="21"/>
                <w:highlight w:val="none"/>
                <w:lang w:val="en-US" w:eastAsia="zh-CN"/>
              </w:rPr>
              <w:t>证明</w:t>
            </w:r>
            <w:r>
              <w:rPr>
                <w:rFonts w:hint="eastAsia" w:cs="宋体" w:asciiTheme="minorEastAsia" w:hAnsiTheme="minorEastAsia"/>
                <w:color w:val="auto"/>
                <w:kern w:val="0"/>
                <w:szCs w:val="21"/>
                <w:highlight w:val="none"/>
              </w:rPr>
              <w:t>）。</w:t>
            </w:r>
          </w:p>
          <w:p w14:paraId="54D7340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2、玻璃光学变形、点状缺陷、线道、裂纹、断面缺陷、厚薄差、对角线差、弯曲度等指标均符合符合GB11614-2022《平板玻璃》标准要求；</w:t>
            </w:r>
          </w:p>
          <w:p w14:paraId="28F0236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3、玻璃胶条：采用三元乙丙一体密封胶条+中性耐候结构胶双重密封，胶缝饱满平整、耐老化、不开裂、不渗水。</w:t>
            </w:r>
          </w:p>
          <w:p w14:paraId="05EF0E2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四、开启方式与安全设计</w:t>
            </w:r>
          </w:p>
          <w:p w14:paraId="4F2F6D6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1、开启形式：为教室专用推拉窗，开启顺畅、阻尼均匀、无卡顿、无异响。</w:t>
            </w:r>
          </w:p>
          <w:p w14:paraId="415F4BC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2、安全限位：所有开启窗扇必须配备儿童安全限位装置，开窗幅度可控，防止学生高空探头、坠窗风险，完全符合中小学安全管理要求。</w:t>
            </w:r>
          </w:p>
          <w:p w14:paraId="349C065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3、窗扇防坠：配置专用防坠绳/防坠器，双重防护，杜绝窗扇脱落、坠落安全事故。</w:t>
            </w:r>
          </w:p>
          <w:p w14:paraId="53ED3A8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4、窗扇关闭严密，缝隙均匀，防风、防雨、防尘、隔音效果良好。</w:t>
            </w:r>
          </w:p>
          <w:p w14:paraId="0508DFF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五、全套五金配件</w:t>
            </w:r>
          </w:p>
          <w:p w14:paraId="34E1543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1、所有五金为校园窗专用加厚防锈配件，同窗体颜色配套，静音、耐用、防生锈、防卡死。</w:t>
            </w:r>
          </w:p>
          <w:p w14:paraId="06A7EA5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2、铰链/滑撑：采用加厚不锈钢滑撑，承重强、抗疲劳，长期开合不松动、不下垂、不变形。</w:t>
            </w:r>
          </w:p>
          <w:p w14:paraId="0B9124C9">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3、执手：铝合金多点锁执手，手感顺滑、无尖锐棱角，适配学生安全使用。</w:t>
            </w:r>
          </w:p>
          <w:p w14:paraId="45459AB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4、锁点、锁座：配套多点锁闭系统，关闭锁紧、密封性好，抗风压性能强。</w:t>
            </w:r>
          </w:p>
          <w:p w14:paraId="6DEC4B4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5、所有紧固螺丝全部采用不锈钢材质，耐候防锈，终身不易生锈卡死。</w:t>
            </w:r>
          </w:p>
          <w:p w14:paraId="2FD414F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六、施工安装范围及售后要求</w:t>
            </w:r>
          </w:p>
          <w:p w14:paraId="2DC1DE8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▲1、报价包含：旧窗拆除、玻璃及型材垃圾清运、新窗运输、搬运、定位安装、调平调直、打发泡、防水密封打胶、收口修补、、从收口边墙体抹白、现场清洁、成品保护等全部费用，甲方无需新增任何费用。</w:t>
            </w:r>
          </w:p>
          <w:p w14:paraId="5B3B772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2、安装精度：窗框水平、垂直偏差≤2mm，整窗方正、牢固、无晃动；缝隙填充饱满密实，外墙、内墙收口平整防水。</w:t>
            </w:r>
          </w:p>
          <w:p w14:paraId="1725E24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3、外墙打胶采用耐候防水密封胶，防渗耐老化；内墙采用环保美容胶，美观整洁、无异味。</w:t>
            </w:r>
          </w:p>
          <w:p w14:paraId="06F60D4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4、施工全过程不得损坏墙体、外墙涂料、内墙腻子、水电、屋面等原有设施。</w:t>
            </w:r>
          </w:p>
          <w:p w14:paraId="66FB802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5、整窗系统免费质保不少于3年（可升级5年），自整体竣工验收合格之日起计算。</w:t>
            </w:r>
          </w:p>
          <w:p w14:paraId="2F6915F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6、质保范围包含：型材变形、漆面褪色掉粉、玻璃起雾进水、胶条老化开裂、渗水漏水、五金松动损坏、开合故障、锁具失灵等所有非人为损坏，免费维修、免费更换配件及人工。</w:t>
            </w:r>
          </w:p>
          <w:p w14:paraId="24F4DBA8">
            <w:pPr>
              <w:pStyle w:val="2"/>
              <w:rPr>
                <w:rFonts w:hint="eastAsia" w:asciiTheme="minorEastAsia" w:hAnsiTheme="minorEastAsia" w:cstheme="minorEastAsia"/>
                <w:i w:val="0"/>
                <w:iCs w:val="0"/>
                <w:color w:val="auto"/>
                <w:kern w:val="0"/>
                <w:sz w:val="21"/>
                <w:szCs w:val="21"/>
                <w:highlight w:val="none"/>
                <w:u w:val="none"/>
                <w:lang w:val="en-US" w:eastAsia="zh-CN" w:bidi="ar"/>
              </w:rPr>
            </w:pPr>
            <w:r>
              <w:rPr>
                <w:rFonts w:hint="eastAsia" w:asciiTheme="minorEastAsia" w:hAnsiTheme="minorEastAsia"/>
                <w:color w:val="auto"/>
                <w:szCs w:val="21"/>
                <w:highlight w:val="none"/>
              </w:rPr>
              <w:t>▲7、</w:t>
            </w:r>
            <w:r>
              <w:rPr>
                <w:rFonts w:hint="eastAsia" w:asciiTheme="minorEastAsia" w:hAnsiTheme="minorEastAsia" w:cstheme="minorEastAsia"/>
                <w:i w:val="0"/>
                <w:iCs w:val="0"/>
                <w:color w:val="auto"/>
                <w:kern w:val="0"/>
                <w:sz w:val="21"/>
                <w:szCs w:val="21"/>
                <w:highlight w:val="none"/>
                <w:u w:val="none"/>
                <w:lang w:val="en-US" w:eastAsia="zh-CN" w:bidi="ar"/>
              </w:rPr>
              <w:t>配备具备有效特种作业操作证的施工人员，其中涉及高处安装作业的人员须持有应急管理部门颁发的《特种作业操作证》（高处安装、维护、拆除作业）；在响应文件中提供上述人员名单及证书扫描件、竞标人为其缴纳近三个月社保证明，并承诺施工期间持证上岗。</w:t>
            </w:r>
          </w:p>
          <w:p w14:paraId="50DC574A">
            <w:pPr>
              <w:pStyle w:val="2"/>
              <w:rPr>
                <w:rFonts w:asciiTheme="minorEastAsia" w:hAnsiTheme="minorEastAsia"/>
                <w:color w:val="auto"/>
                <w:szCs w:val="21"/>
                <w:highlight w:val="none"/>
              </w:rPr>
            </w:pPr>
            <w:r>
              <w:rPr>
                <w:rFonts w:hint="eastAsia" w:asciiTheme="minorEastAsia" w:hAnsiTheme="minorEastAsia"/>
                <w:color w:val="auto"/>
                <w:szCs w:val="21"/>
                <w:highlight w:val="none"/>
              </w:rPr>
              <w:t>提供产品全景及标▲项</w:t>
            </w:r>
            <w:r>
              <w:rPr>
                <w:rFonts w:hint="eastAsia" w:asciiTheme="minorEastAsia" w:hAnsiTheme="minorEastAsia" w:eastAsiaTheme="minorEastAsia" w:cstheme="minorEastAsia"/>
                <w:color w:val="auto"/>
                <w:sz w:val="21"/>
                <w:szCs w:val="21"/>
                <w:highlight w:val="none"/>
              </w:rPr>
              <w:t>带下划线“＿”的</w:t>
            </w:r>
            <w:r>
              <w:rPr>
                <w:rFonts w:hint="eastAsia" w:asciiTheme="minorEastAsia" w:hAnsiTheme="minorEastAsia"/>
                <w:color w:val="auto"/>
                <w:szCs w:val="21"/>
                <w:highlight w:val="none"/>
              </w:rPr>
              <w:t>实质性参数、重要功能等实拍图或设计图，要求图片清晰无遮挡，</w:t>
            </w:r>
            <w:r>
              <w:rPr>
                <w:rFonts w:hint="eastAsia" w:asciiTheme="minorEastAsia" w:hAnsiTheme="minorEastAsia"/>
                <w:color w:val="auto"/>
                <w:szCs w:val="21"/>
                <w:highlight w:val="none"/>
                <w:lang w:val="en-US" w:eastAsia="zh-CN"/>
              </w:rPr>
              <w:t>签订合同后，</w:t>
            </w:r>
            <w:r>
              <w:rPr>
                <w:rFonts w:hint="eastAsia" w:asciiTheme="minorEastAsia" w:hAnsiTheme="minorEastAsia"/>
                <w:color w:val="auto"/>
                <w:szCs w:val="21"/>
                <w:highlight w:val="none"/>
              </w:rPr>
              <w:t>在采购人指定位置安装一套成品进行检测，</w:t>
            </w:r>
            <w:r>
              <w:rPr>
                <w:rFonts w:hint="eastAsia" w:cs="宋体" w:asciiTheme="minorEastAsia" w:hAnsiTheme="minorEastAsia"/>
                <w:color w:val="auto"/>
                <w:kern w:val="0"/>
                <w:szCs w:val="21"/>
                <w:highlight w:val="none"/>
                <w:lang w:val="en-US" w:eastAsia="zh-CN"/>
              </w:rPr>
              <w:t>由国家认证、认可的检测机构出具的</w:t>
            </w:r>
            <w:r>
              <w:rPr>
                <w:rFonts w:hint="eastAsia" w:cs="宋体" w:asciiTheme="minorEastAsia" w:hAnsiTheme="minorEastAsia"/>
                <w:color w:val="auto"/>
                <w:kern w:val="0"/>
                <w:szCs w:val="21"/>
                <w:highlight w:val="none"/>
              </w:rPr>
              <w:t>检测</w:t>
            </w:r>
            <w:r>
              <w:rPr>
                <w:rFonts w:hint="eastAsia" w:cs="宋体" w:asciiTheme="minorEastAsia" w:hAnsiTheme="minorEastAsia"/>
                <w:color w:val="auto"/>
                <w:kern w:val="0"/>
                <w:szCs w:val="21"/>
                <w:highlight w:val="none"/>
                <w:lang w:val="en-US" w:eastAsia="zh-CN"/>
              </w:rPr>
              <w:t>报告</w:t>
            </w:r>
            <w:r>
              <w:rPr>
                <w:rFonts w:hint="eastAsia" w:cs="宋体" w:asciiTheme="minorEastAsia" w:hAnsiTheme="minorEastAsia"/>
                <w:color w:val="auto"/>
                <w:kern w:val="0"/>
                <w:szCs w:val="21"/>
                <w:highlight w:val="none"/>
              </w:rPr>
              <w:t>结果</w:t>
            </w:r>
            <w:r>
              <w:rPr>
                <w:rFonts w:hint="eastAsia" w:asciiTheme="minorEastAsia" w:hAnsiTheme="minorEastAsia"/>
                <w:color w:val="auto"/>
                <w:szCs w:val="21"/>
                <w:highlight w:val="none"/>
              </w:rPr>
              <w:t>须与响应参数及提供的图纸一致，检测合格后履行合同，如检测结果与</w:t>
            </w:r>
            <w:r>
              <w:rPr>
                <w:rFonts w:hint="eastAsia" w:asciiTheme="minorEastAsia" w:hAnsiTheme="minorEastAsia"/>
                <w:color w:val="auto"/>
                <w:szCs w:val="21"/>
                <w:highlight w:val="none"/>
                <w:lang w:eastAsia="zh-CN"/>
              </w:rPr>
              <w:t>竞标响应文件</w:t>
            </w:r>
            <w:r>
              <w:rPr>
                <w:rFonts w:hint="eastAsia" w:asciiTheme="minorEastAsia" w:hAnsiTheme="minorEastAsia"/>
                <w:color w:val="auto"/>
                <w:szCs w:val="21"/>
                <w:highlight w:val="none"/>
              </w:rPr>
              <w:t>不符</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val="en-US" w:eastAsia="zh-CN"/>
              </w:rPr>
              <w:t>不予以验收，存在虚假响应情形</w:t>
            </w:r>
            <w:r>
              <w:rPr>
                <w:rFonts w:hint="eastAsia" w:cs="宋体" w:asciiTheme="minorEastAsia" w:hAnsiTheme="minorEastAsia"/>
                <w:color w:val="auto"/>
                <w:kern w:val="0"/>
                <w:szCs w:val="21"/>
                <w:highlight w:val="none"/>
              </w:rPr>
              <w:t>上报采购监管部门</w:t>
            </w:r>
            <w:r>
              <w:rPr>
                <w:rFonts w:hint="eastAsia" w:asciiTheme="minorEastAsia" w:hAnsiTheme="minorEastAsia"/>
                <w:color w:val="auto"/>
                <w:szCs w:val="21"/>
                <w:highlight w:val="none"/>
              </w:rPr>
              <w:t>。</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9FC51">
            <w:pPr>
              <w:widowControl/>
              <w:jc w:val="center"/>
              <w:textAlignment w:val="center"/>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430000</w:t>
            </w:r>
          </w:p>
        </w:tc>
      </w:tr>
      <w:tr w14:paraId="2F809A8F">
        <w:tblPrEx>
          <w:tblCellMar>
            <w:top w:w="0" w:type="dxa"/>
            <w:left w:w="108" w:type="dxa"/>
            <w:bottom w:w="0" w:type="dxa"/>
            <w:right w:w="108" w:type="dxa"/>
          </w:tblCellMar>
        </w:tblPrEx>
        <w:trPr>
          <w:trHeight w:val="2115" w:hRule="atLeast"/>
        </w:trPr>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E8D79">
            <w:pPr>
              <w:jc w:val="center"/>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7</w:t>
            </w:r>
          </w:p>
        </w:tc>
        <w:tc>
          <w:tcPr>
            <w:tcW w:w="4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45A40">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学生宿舍窗</w:t>
            </w:r>
          </w:p>
        </w:tc>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81B6">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bCs/>
                <w:color w:val="auto"/>
                <w:szCs w:val="21"/>
                <w:highlight w:val="none"/>
              </w:rPr>
              <w:t>批</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01D16">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1</w:t>
            </w:r>
          </w:p>
        </w:tc>
        <w:tc>
          <w:tcPr>
            <w:tcW w:w="5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C8713">
            <w:pPr>
              <w:widowControl/>
              <w:jc w:val="righ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135000</w:t>
            </w:r>
          </w:p>
        </w:tc>
        <w:tc>
          <w:tcPr>
            <w:tcW w:w="2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F3A9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▲采购数量及规格尺寸：30樘（宽203厘米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85厘米）、12樘（宽267厘米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193厘米）、12樘（宽170厘米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193厘米）、11樘（宽148厘米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160厘米）、10樘（宽57厘米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112厘米）、10樘（宽32厘米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95厘米）、40樘（宽95厘米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148厘米）、1樘（宽95厘米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175厘米）、6樘（宽115厘米</w:t>
            </w:r>
            <w:r>
              <w:rPr>
                <w:rFonts w:cs="Arial" w:asciiTheme="minorEastAsia" w:hAnsiTheme="minorEastAsia"/>
                <w:color w:val="auto"/>
                <w:kern w:val="0"/>
                <w:szCs w:val="21"/>
                <w:highlight w:val="none"/>
              </w:rPr>
              <w:t>×</w:t>
            </w:r>
            <w:r>
              <w:rPr>
                <w:rFonts w:hint="eastAsia" w:cs="Arial" w:asciiTheme="minorEastAsia" w:hAnsiTheme="minorEastAsia"/>
                <w:color w:val="auto"/>
                <w:kern w:val="0"/>
                <w:szCs w:val="21"/>
                <w:highlight w:val="none"/>
              </w:rPr>
              <w:t>高</w:t>
            </w:r>
            <w:r>
              <w:rPr>
                <w:rFonts w:hint="eastAsia" w:cs="宋体" w:asciiTheme="minorEastAsia" w:hAnsiTheme="minorEastAsia"/>
                <w:color w:val="auto"/>
                <w:kern w:val="0"/>
                <w:szCs w:val="21"/>
                <w:highlight w:val="none"/>
              </w:rPr>
              <w:t>197厘米），总计132樘。</w:t>
            </w:r>
          </w:p>
          <w:p w14:paraId="0F6E499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▲一、总体要求</w:t>
            </w:r>
          </w:p>
          <w:p w14:paraId="75461AA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1、中小学专用铝合金推拉窗（窗型按校方图纸及现场要求），所有产品须国家标准。</w:t>
            </w:r>
          </w:p>
          <w:p w14:paraId="7FB2C86A">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2、产品适用于学生宿舍场景，要求高强度、抗风压、防水防渗、隔音隔热、耐候不褪色、易清洁、安全防坠，适配校园高频使用、长期日晒雨淋环境。</w:t>
            </w:r>
          </w:p>
          <w:p w14:paraId="06F54C8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3、所有窗户为全新原厂成品铝合金窗（按项目要求），整套系统化生产，禁止现场切拼、二手翻新、残次组装产品。</w:t>
            </w:r>
          </w:p>
          <w:p w14:paraId="008DC5D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4、本项目包含窗框、窗扇、玻璃、密封系统、五金、安装收口全套内容。</w:t>
            </w:r>
          </w:p>
          <w:p w14:paraId="63FBC23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5、整窗外观颜色统一、表面细腻平整，无划痕、压痕、气泡、色差、掉粉、变形、翘曲等质量缺陷。</w:t>
            </w:r>
          </w:p>
          <w:p w14:paraId="37FBD7F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▲二、型材技术参数</w:t>
            </w:r>
          </w:p>
          <w:p w14:paraId="5535CF1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w:t>
            </w:r>
            <w:r>
              <w:rPr>
                <w:rFonts w:hint="eastAsia" w:cs="宋体" w:asciiTheme="minorEastAsia" w:hAnsiTheme="minorEastAsia"/>
                <w:b/>
                <w:bCs/>
                <w:color w:val="auto"/>
                <w:kern w:val="0"/>
                <w:szCs w:val="21"/>
                <w:highlight w:val="none"/>
                <w:u w:val="single"/>
              </w:rPr>
              <w:t>采用标准80铝合金型材，窗框和窗扇壁厚≥0.9mm</w:t>
            </w:r>
            <w:r>
              <w:rPr>
                <w:rFonts w:hint="eastAsia" w:cs="宋体" w:asciiTheme="minorEastAsia" w:hAnsiTheme="minorEastAsia"/>
                <w:color w:val="auto"/>
                <w:kern w:val="0"/>
                <w:szCs w:val="21"/>
                <w:highlight w:val="none"/>
              </w:rPr>
              <w:t>，受力部位结构加强，抗风压、抗撞击性能满足教学楼使用。</w:t>
            </w:r>
          </w:p>
          <w:p w14:paraId="44BC909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3、采用静电粉末喷涂工艺，干膜厚度≥65μm，180~200℃高温固化，涂层硬度≥H，附着力 0 级，中性盐雾试验≥120h；涂层均匀、附着力强、耐候性佳，长期户外日晒不褪色、不粉化、不开裂，颜色由采购人统一指定。</w:t>
            </w:r>
          </w:p>
          <w:p w14:paraId="5AA737E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4、组角工艺：窗扇、窗框全部采用精密角码注胶组角，组角严密、缝隙均匀、整体方正，杜绝渗水、松动、变形；整窗对角线误差≤3mm，平整度、垂直度符合规范。</w:t>
            </w:r>
          </w:p>
          <w:p w14:paraId="2FE5F31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▲三、玻璃技术参数</w:t>
            </w:r>
          </w:p>
          <w:p w14:paraId="4CFEEC0E">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1、采用透明钢化平板玻璃，符合GB11614-2022《平板玻璃》标准中“优质加工级”的要求，</w:t>
            </w:r>
            <w:r>
              <w:rPr>
                <w:rFonts w:hint="eastAsia" w:cs="宋体" w:asciiTheme="minorEastAsia" w:hAnsiTheme="minorEastAsia"/>
                <w:b/>
                <w:bCs/>
                <w:color w:val="auto"/>
                <w:kern w:val="0"/>
                <w:szCs w:val="21"/>
                <w:highlight w:val="none"/>
                <w:u w:val="single"/>
              </w:rPr>
              <w:t>厚度≥5mm，带原厂钢化3C标识</w:t>
            </w:r>
            <w:r>
              <w:rPr>
                <w:rFonts w:hint="eastAsia" w:cs="宋体" w:asciiTheme="minorEastAsia" w:hAnsiTheme="minorEastAsia"/>
                <w:color w:val="auto"/>
                <w:kern w:val="0"/>
                <w:szCs w:val="21"/>
                <w:highlight w:val="none"/>
              </w:rPr>
              <w:t>，破碎后呈钝角颗粒，防割伤、防坠落（</w:t>
            </w:r>
            <w:r>
              <w:rPr>
                <w:rFonts w:hint="eastAsia" w:cs="宋体" w:asciiTheme="minorEastAsia" w:hAnsiTheme="minorEastAsia"/>
                <w:strike w:val="0"/>
                <w:dstrike w:val="0"/>
                <w:color w:val="auto"/>
                <w:kern w:val="0"/>
                <w:sz w:val="21"/>
                <w:szCs w:val="21"/>
                <w:highlight w:val="none"/>
                <w:lang w:val="en-US" w:eastAsia="zh-CN"/>
              </w:rPr>
              <w:t>响应文件中</w:t>
            </w:r>
            <w:r>
              <w:rPr>
                <w:rFonts w:hint="eastAsia" w:cs="宋体" w:asciiTheme="minorEastAsia" w:hAnsiTheme="minorEastAsia"/>
                <w:color w:val="auto"/>
                <w:kern w:val="0"/>
                <w:szCs w:val="21"/>
                <w:highlight w:val="none"/>
              </w:rPr>
              <w:t>提供玻璃3C认证证书</w:t>
            </w:r>
            <w:r>
              <w:rPr>
                <w:rFonts w:hint="eastAsia" w:cs="宋体" w:asciiTheme="minorEastAsia" w:hAnsiTheme="minorEastAsia"/>
                <w:color w:val="auto"/>
                <w:kern w:val="0"/>
                <w:szCs w:val="21"/>
                <w:highlight w:val="none"/>
                <w:lang w:val="en-US" w:eastAsia="zh-CN"/>
              </w:rPr>
              <w:t>证明</w:t>
            </w:r>
            <w:r>
              <w:rPr>
                <w:rFonts w:hint="eastAsia" w:cs="宋体" w:asciiTheme="minorEastAsia" w:hAnsiTheme="minorEastAsia"/>
                <w:color w:val="auto"/>
                <w:kern w:val="0"/>
                <w:szCs w:val="21"/>
                <w:highlight w:val="none"/>
              </w:rPr>
              <w:t>）。</w:t>
            </w:r>
          </w:p>
          <w:p w14:paraId="6CF240F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2、玻璃光学变形、点状缺陷、线道、裂纹、断面缺陷、厚薄差、对角线差、弯曲度等指标均符合符合GB11614-2022《平板玻璃》标准要求；</w:t>
            </w:r>
          </w:p>
          <w:p w14:paraId="5A284E3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3、玻璃胶条：采用三元乙丙一体密封胶条+中性耐候结构胶双重密封，胶缝饱满平整、耐老化、不开裂、不渗水。</w:t>
            </w:r>
          </w:p>
          <w:p w14:paraId="4E7DB03F">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四、开启方式与安全设计</w:t>
            </w:r>
          </w:p>
          <w:p w14:paraId="3B78BC0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1、开启形式：为教室专用推拉窗，开启顺畅、阻尼均匀、无卡顿、无异响。</w:t>
            </w:r>
          </w:p>
          <w:p w14:paraId="37A4B282">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2、安全限位：所有开启窗扇必须配备儿童安全限位装置，开窗幅度可控，防止学生高空探头、坠窗风险，完全符合中小学安全管理要求。</w:t>
            </w:r>
          </w:p>
          <w:p w14:paraId="7BA2B59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3、窗扇防坠：配置专用防坠绳/防坠器，双重防护，杜绝窗扇脱落、坠落安全事故。</w:t>
            </w:r>
          </w:p>
          <w:p w14:paraId="4908895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4、窗扇关闭严密，缝隙均匀，防风、防雨、防尘、隔音效果良好。</w:t>
            </w:r>
          </w:p>
          <w:p w14:paraId="6FAAE4C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五、全套五金配件</w:t>
            </w:r>
          </w:p>
          <w:p w14:paraId="2F5212B6">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1、所有五金为校园窗专用加厚防锈配件，同窗体颜色配套，静音、耐用、防生锈、防卡死。</w:t>
            </w:r>
          </w:p>
          <w:p w14:paraId="21C7AF5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2、铰链/滑撑：采用加厚不锈钢滑撑，承重强、抗疲劳，长期开合不松动、不下垂、不变形。</w:t>
            </w:r>
          </w:p>
          <w:p w14:paraId="5DFA16AB">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3、执手：铝合金多点锁执手，手感顺滑、无尖锐棱角，适配学生安全使用。</w:t>
            </w:r>
          </w:p>
          <w:p w14:paraId="7FCDCCF1">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4、锁点、锁座：配套多点锁闭系统，关闭锁紧、密封性好，抗风压性能强。</w:t>
            </w:r>
          </w:p>
          <w:p w14:paraId="1A69539C">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5、所有紧固螺丝全部采用不锈钢材质，耐候防锈，终身不易生锈卡死。</w:t>
            </w:r>
          </w:p>
          <w:p w14:paraId="3BEEA8C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六、施工安装范围及售后要求</w:t>
            </w:r>
          </w:p>
          <w:p w14:paraId="0AD1D087">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▲1、报价包含：旧窗拆除、玻璃及型材垃圾清运、新窗运输、搬运、定位安装、调平调直、打发泡、防水密封打胶、收口修补、、从收口边墙体抹白、现场清洁、成品保护等全部费用，甲方无需新增任何费用。</w:t>
            </w:r>
          </w:p>
          <w:p w14:paraId="27D577C0">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2、安装精度：窗框水平、垂直偏差≤2mm，整窗方正、牢固、无晃动；缝隙填充饱满密实，外墙、内墙收口平整防水。</w:t>
            </w:r>
          </w:p>
          <w:p w14:paraId="06FDB915">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3、外墙打胶采用耐候防水密封胶，防渗耐老化；内墙采用环保美容胶，美观整洁、无异味。</w:t>
            </w:r>
          </w:p>
          <w:p w14:paraId="11CEFB3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4、施工全过程不得损坏墙体、外墙涂料、内墙腻子、水电、屋面等原有设施。</w:t>
            </w:r>
          </w:p>
          <w:p w14:paraId="5F10256D">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5、整窗系统免费质保不少于3年（可升级5年），自整体竣工验收合格之日起计算。</w:t>
            </w:r>
          </w:p>
          <w:p w14:paraId="43690C58">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6、质保范围包含：型材变形、漆面褪色掉粉、玻璃起雾进水、胶条老化开裂、渗水漏水、五金松动损坏、开合故障、锁具失灵等所有非人为损坏，免费维修、免费更换配件及人工。</w:t>
            </w:r>
          </w:p>
          <w:p w14:paraId="62D475B6">
            <w:pPr>
              <w:pStyle w:val="2"/>
              <w:rPr>
                <w:rFonts w:hint="eastAsia" w:asciiTheme="minorEastAsia" w:hAnsiTheme="minorEastAsia" w:cstheme="minorEastAsia"/>
                <w:i w:val="0"/>
                <w:iCs w:val="0"/>
                <w:color w:val="auto"/>
                <w:kern w:val="0"/>
                <w:sz w:val="21"/>
                <w:szCs w:val="21"/>
                <w:highlight w:val="none"/>
                <w:u w:val="none"/>
                <w:lang w:val="en-US" w:eastAsia="zh-CN" w:bidi="ar"/>
              </w:rPr>
            </w:pPr>
            <w:r>
              <w:rPr>
                <w:rFonts w:hint="eastAsia" w:asciiTheme="minorEastAsia" w:hAnsiTheme="minorEastAsia"/>
                <w:color w:val="auto"/>
                <w:szCs w:val="21"/>
                <w:highlight w:val="none"/>
              </w:rPr>
              <w:t>▲7、</w:t>
            </w:r>
            <w:r>
              <w:rPr>
                <w:rFonts w:hint="eastAsia" w:asciiTheme="minorEastAsia" w:hAnsiTheme="minorEastAsia" w:cstheme="minorEastAsia"/>
                <w:i w:val="0"/>
                <w:iCs w:val="0"/>
                <w:color w:val="auto"/>
                <w:kern w:val="0"/>
                <w:sz w:val="21"/>
                <w:szCs w:val="21"/>
                <w:highlight w:val="none"/>
                <w:u w:val="none"/>
                <w:lang w:val="en-US" w:eastAsia="zh-CN" w:bidi="ar"/>
              </w:rPr>
              <w:t>配备具备有效特种作业操作证的施工人员，其中涉及高处安装作业的人员须持有应急管理部门颁发的《特种作业操作证》（高处安装、维护、拆除作业）；在响应文件中提供上述人员名单及证书扫描件、竞标人为其缴纳近三个月社保证明，并承诺施工期间持证上岗。</w:t>
            </w:r>
          </w:p>
          <w:p w14:paraId="3E70E2A0">
            <w:pPr>
              <w:pStyle w:val="2"/>
              <w:rPr>
                <w:rFonts w:asciiTheme="minorEastAsia" w:hAnsiTheme="minorEastAsia"/>
                <w:color w:val="auto"/>
                <w:szCs w:val="21"/>
                <w:highlight w:val="none"/>
              </w:rPr>
            </w:pPr>
            <w:r>
              <w:rPr>
                <w:rFonts w:hint="eastAsia" w:asciiTheme="minorEastAsia" w:hAnsiTheme="minorEastAsia"/>
                <w:color w:val="auto"/>
                <w:szCs w:val="21"/>
                <w:highlight w:val="none"/>
              </w:rPr>
              <w:t>提供产品全景及标</w:t>
            </w:r>
            <w:bookmarkStart w:id="40" w:name="OLE_LINK2"/>
            <w:bookmarkStart w:id="41" w:name="OLE_LINK1"/>
            <w:r>
              <w:rPr>
                <w:rFonts w:hint="eastAsia" w:asciiTheme="minorEastAsia" w:hAnsiTheme="minorEastAsia"/>
                <w:color w:val="auto"/>
                <w:szCs w:val="21"/>
                <w:highlight w:val="none"/>
              </w:rPr>
              <w:t>▲</w:t>
            </w:r>
            <w:bookmarkEnd w:id="40"/>
            <w:bookmarkEnd w:id="41"/>
            <w:r>
              <w:rPr>
                <w:rFonts w:hint="eastAsia" w:asciiTheme="minorEastAsia" w:hAnsiTheme="minorEastAsia"/>
                <w:color w:val="auto"/>
                <w:szCs w:val="21"/>
                <w:highlight w:val="none"/>
              </w:rPr>
              <w:t>项</w:t>
            </w:r>
            <w:r>
              <w:rPr>
                <w:rFonts w:hint="eastAsia" w:asciiTheme="minorEastAsia" w:hAnsiTheme="minorEastAsia" w:eastAsiaTheme="minorEastAsia" w:cstheme="minorEastAsia"/>
                <w:color w:val="auto"/>
                <w:sz w:val="21"/>
                <w:szCs w:val="21"/>
                <w:highlight w:val="none"/>
              </w:rPr>
              <w:t>带下划线“＿”的</w:t>
            </w:r>
            <w:r>
              <w:rPr>
                <w:rFonts w:hint="eastAsia" w:asciiTheme="minorEastAsia" w:hAnsiTheme="minorEastAsia"/>
                <w:color w:val="auto"/>
                <w:szCs w:val="21"/>
                <w:highlight w:val="none"/>
              </w:rPr>
              <w:t>实质性参数、重要功能等实拍图或设计图，要求图片清晰无遮挡</w:t>
            </w:r>
            <w:r>
              <w:rPr>
                <w:rFonts w:hint="eastAsia" w:asciiTheme="minorEastAsia" w:hAnsiTheme="minorEastAsia"/>
                <w:color w:val="auto"/>
                <w:szCs w:val="21"/>
                <w:highlight w:val="none"/>
                <w:lang w:eastAsia="zh-CN"/>
              </w:rPr>
              <w:t>。</w:t>
            </w:r>
            <w:r>
              <w:rPr>
                <w:rFonts w:hint="eastAsia" w:asciiTheme="minorEastAsia" w:hAnsiTheme="minorEastAsia"/>
                <w:color w:val="auto"/>
                <w:szCs w:val="21"/>
                <w:highlight w:val="none"/>
                <w:lang w:val="en-US" w:eastAsia="zh-CN"/>
              </w:rPr>
              <w:t>签订合同后，</w:t>
            </w:r>
            <w:r>
              <w:rPr>
                <w:rFonts w:hint="eastAsia" w:asciiTheme="minorEastAsia" w:hAnsiTheme="minorEastAsia"/>
                <w:color w:val="auto"/>
                <w:szCs w:val="21"/>
                <w:highlight w:val="none"/>
              </w:rPr>
              <w:t>在采购人指定位置安装一套成品进行检测，</w:t>
            </w:r>
            <w:r>
              <w:rPr>
                <w:rFonts w:hint="eastAsia" w:cs="宋体" w:asciiTheme="minorEastAsia" w:hAnsiTheme="minorEastAsia"/>
                <w:color w:val="auto"/>
                <w:kern w:val="0"/>
                <w:szCs w:val="21"/>
                <w:highlight w:val="none"/>
                <w:lang w:val="en-US" w:eastAsia="zh-CN"/>
              </w:rPr>
              <w:t>由国家认证、认可的检测机构出具的</w:t>
            </w:r>
            <w:r>
              <w:rPr>
                <w:rFonts w:hint="eastAsia" w:cs="宋体" w:asciiTheme="minorEastAsia" w:hAnsiTheme="minorEastAsia"/>
                <w:color w:val="auto"/>
                <w:kern w:val="0"/>
                <w:szCs w:val="21"/>
                <w:highlight w:val="none"/>
              </w:rPr>
              <w:t>检测</w:t>
            </w:r>
            <w:r>
              <w:rPr>
                <w:rFonts w:hint="eastAsia" w:cs="宋体" w:asciiTheme="minorEastAsia" w:hAnsiTheme="minorEastAsia"/>
                <w:color w:val="auto"/>
                <w:kern w:val="0"/>
                <w:szCs w:val="21"/>
                <w:highlight w:val="none"/>
                <w:lang w:val="en-US" w:eastAsia="zh-CN"/>
              </w:rPr>
              <w:t>报告</w:t>
            </w:r>
            <w:r>
              <w:rPr>
                <w:rFonts w:hint="eastAsia" w:cs="宋体" w:asciiTheme="minorEastAsia" w:hAnsiTheme="minorEastAsia"/>
                <w:color w:val="auto"/>
                <w:kern w:val="0"/>
                <w:szCs w:val="21"/>
                <w:highlight w:val="none"/>
              </w:rPr>
              <w:t>结果</w:t>
            </w:r>
            <w:r>
              <w:rPr>
                <w:rFonts w:hint="eastAsia" w:asciiTheme="minorEastAsia" w:hAnsiTheme="minorEastAsia"/>
                <w:color w:val="auto"/>
                <w:szCs w:val="21"/>
                <w:highlight w:val="none"/>
              </w:rPr>
              <w:t>须与响应参数及提供的图纸一致，检测合格后履行合同，如检测结果与</w:t>
            </w:r>
            <w:r>
              <w:rPr>
                <w:rFonts w:hint="eastAsia" w:asciiTheme="minorEastAsia" w:hAnsiTheme="minorEastAsia"/>
                <w:color w:val="auto"/>
                <w:szCs w:val="21"/>
                <w:highlight w:val="none"/>
                <w:lang w:eastAsia="zh-CN"/>
              </w:rPr>
              <w:t>竞标响应文件</w:t>
            </w:r>
            <w:r>
              <w:rPr>
                <w:rFonts w:hint="eastAsia" w:asciiTheme="minorEastAsia" w:hAnsiTheme="minorEastAsia"/>
                <w:color w:val="auto"/>
                <w:szCs w:val="21"/>
                <w:highlight w:val="none"/>
              </w:rPr>
              <w:t>不符</w:t>
            </w:r>
            <w:r>
              <w:rPr>
                <w:rFonts w:hint="eastAsia" w:cs="宋体" w:asciiTheme="minorEastAsia" w:hAnsiTheme="minorEastAsia"/>
                <w:color w:val="auto"/>
                <w:kern w:val="0"/>
                <w:szCs w:val="21"/>
                <w:highlight w:val="none"/>
              </w:rPr>
              <w:t>，</w:t>
            </w:r>
            <w:r>
              <w:rPr>
                <w:rFonts w:hint="eastAsia" w:cs="宋体" w:asciiTheme="minorEastAsia" w:hAnsiTheme="minorEastAsia"/>
                <w:color w:val="auto"/>
                <w:kern w:val="0"/>
                <w:szCs w:val="21"/>
                <w:highlight w:val="none"/>
                <w:lang w:val="en-US" w:eastAsia="zh-CN"/>
              </w:rPr>
              <w:t>不予以验收，存在虚假响应情形</w:t>
            </w:r>
            <w:r>
              <w:rPr>
                <w:rFonts w:hint="eastAsia" w:cs="宋体" w:asciiTheme="minorEastAsia" w:hAnsiTheme="minorEastAsia"/>
                <w:color w:val="auto"/>
                <w:kern w:val="0"/>
                <w:szCs w:val="21"/>
                <w:highlight w:val="none"/>
              </w:rPr>
              <w:t>上报采购监管部门</w:t>
            </w:r>
            <w:r>
              <w:rPr>
                <w:rFonts w:hint="eastAsia" w:asciiTheme="minorEastAsia" w:hAnsiTheme="minorEastAsia"/>
                <w:color w:val="auto"/>
                <w:szCs w:val="21"/>
                <w:highlight w:val="none"/>
              </w:rPr>
              <w:t>。</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9E2DC">
            <w:pPr>
              <w:widowControl/>
              <w:jc w:val="center"/>
              <w:textAlignment w:val="center"/>
              <w:rPr>
                <w:rFonts w:asciiTheme="minorEastAsia" w:hAnsiTheme="minorEastAsia"/>
                <w:color w:val="auto"/>
                <w:szCs w:val="21"/>
                <w:highlight w:val="none"/>
              </w:rPr>
            </w:pPr>
            <w:r>
              <w:rPr>
                <w:rFonts w:hint="eastAsia" w:cs="宋体" w:asciiTheme="minorEastAsia" w:hAnsiTheme="minorEastAsia"/>
                <w:color w:val="auto"/>
                <w:kern w:val="0"/>
                <w:szCs w:val="21"/>
                <w:highlight w:val="none"/>
              </w:rPr>
              <w:t>135000</w:t>
            </w:r>
          </w:p>
        </w:tc>
      </w:tr>
      <w:tr w14:paraId="0F7CC2D1">
        <w:tblPrEx>
          <w:tblCellMar>
            <w:top w:w="0" w:type="dxa"/>
            <w:left w:w="108" w:type="dxa"/>
            <w:bottom w:w="0" w:type="dxa"/>
            <w:right w:w="108" w:type="dxa"/>
          </w:tblCellMar>
        </w:tblPrEx>
        <w:trPr>
          <w:trHeight w:val="90" w:hRule="atLeast"/>
        </w:trPr>
        <w:tc>
          <w:tcPr>
            <w:tcW w:w="443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BB5740">
            <w:pPr>
              <w:widowControl/>
              <w:jc w:val="center"/>
              <w:textAlignment w:val="center"/>
              <w:rPr>
                <w:rFonts w:cs="宋体" w:asciiTheme="minorEastAsia" w:hAnsiTheme="minorEastAsia"/>
                <w:bCs/>
                <w:color w:val="auto"/>
                <w:szCs w:val="21"/>
                <w:highlight w:val="none"/>
              </w:rPr>
            </w:pPr>
            <w:r>
              <w:rPr>
                <w:rFonts w:hint="eastAsia" w:cs="宋体" w:asciiTheme="minorEastAsia" w:hAnsiTheme="minorEastAsia"/>
                <w:color w:val="auto"/>
                <w:kern w:val="0"/>
                <w:szCs w:val="21"/>
                <w:highlight w:val="none"/>
              </w:rPr>
              <w:t>合计（元）</w:t>
            </w:r>
          </w:p>
        </w:tc>
        <w:tc>
          <w:tcPr>
            <w:tcW w:w="5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4FA2E">
            <w:pPr>
              <w:widowControl/>
              <w:jc w:val="center"/>
              <w:textAlignment w:val="center"/>
              <w:rPr>
                <w:rFonts w:cs="宋体" w:asciiTheme="minorEastAsia" w:hAnsiTheme="minorEastAsia"/>
                <w:bCs/>
                <w:color w:val="auto"/>
                <w:szCs w:val="21"/>
                <w:highlight w:val="none"/>
              </w:rPr>
            </w:pPr>
            <w:r>
              <w:rPr>
                <w:rFonts w:hint="eastAsia" w:asciiTheme="minorEastAsia" w:hAnsiTheme="minorEastAsia"/>
                <w:color w:val="auto"/>
                <w:szCs w:val="21"/>
                <w:highlight w:val="none"/>
              </w:rPr>
              <w:t>1581405</w:t>
            </w:r>
          </w:p>
        </w:tc>
      </w:tr>
      <w:tr w14:paraId="7EAD69FD">
        <w:tblPrEx>
          <w:tblCellMar>
            <w:top w:w="0" w:type="dxa"/>
            <w:left w:w="108" w:type="dxa"/>
            <w:bottom w:w="0" w:type="dxa"/>
            <w:right w:w="108" w:type="dxa"/>
          </w:tblCellMar>
        </w:tblPrEx>
        <w:trPr>
          <w:trHeight w:val="2920" w:hRule="atLeast"/>
        </w:trPr>
        <w:tc>
          <w:tcPr>
            <w:tcW w:w="7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3A9C57">
            <w:pPr>
              <w:jc w:val="center"/>
              <w:rPr>
                <w:rFonts w:hint="default" w:cs="宋体" w:asciiTheme="minorEastAsia" w:hAnsiTheme="minorEastAsia" w:eastAsiaTheme="minorEastAsia"/>
                <w:color w:val="auto"/>
                <w:kern w:val="0"/>
                <w:szCs w:val="21"/>
                <w:highlight w:val="none"/>
                <w:lang w:val="en-US" w:eastAsia="zh-CN"/>
              </w:rPr>
            </w:pPr>
            <w:r>
              <w:rPr>
                <w:rFonts w:hint="eastAsia" w:asciiTheme="minorEastAsia" w:hAnsiTheme="minorEastAsia"/>
                <w:color w:val="auto"/>
                <w:szCs w:val="21"/>
                <w:highlight w:val="none"/>
              </w:rPr>
              <w:t>▲</w:t>
            </w:r>
            <w:r>
              <w:rPr>
                <w:rFonts w:hint="eastAsia" w:cs="宋体" w:asciiTheme="minorEastAsia" w:hAnsiTheme="minorEastAsia"/>
                <w:b/>
                <w:bCs/>
                <w:color w:val="auto"/>
                <w:kern w:val="0"/>
                <w:szCs w:val="21"/>
                <w:highlight w:val="none"/>
                <w:lang w:val="en-US" w:eastAsia="zh-CN"/>
              </w:rPr>
              <w:t>商务条款</w:t>
            </w:r>
          </w:p>
        </w:tc>
        <w:tc>
          <w:tcPr>
            <w:tcW w:w="425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83C333">
            <w:pPr>
              <w:jc w:val="left"/>
              <w:rPr>
                <w:rFonts w:hint="eastAsia" w:eastAsia="宋体"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eastAsia="zh-CN"/>
              </w:rPr>
              <w:t>一．签订合同期：自成交公告之日起</w:t>
            </w:r>
            <w:r>
              <w:rPr>
                <w:rFonts w:hint="eastAsia" w:cs="宋体" w:asciiTheme="minorEastAsia" w:hAnsiTheme="minorEastAsia"/>
                <w:color w:val="auto"/>
                <w:kern w:val="0"/>
                <w:szCs w:val="21"/>
                <w:highlight w:val="none"/>
                <w:lang w:val="en-US" w:eastAsia="zh-CN"/>
              </w:rPr>
              <w:t>10日</w:t>
            </w:r>
            <w:r>
              <w:rPr>
                <w:rFonts w:hint="eastAsia" w:cs="宋体" w:asciiTheme="minorEastAsia" w:hAnsiTheme="minorEastAsia"/>
                <w:color w:val="auto"/>
                <w:kern w:val="0"/>
                <w:szCs w:val="21"/>
                <w:highlight w:val="none"/>
              </w:rPr>
              <w:t>（日历天）</w:t>
            </w:r>
            <w:r>
              <w:rPr>
                <w:rFonts w:hint="eastAsia" w:cs="宋体" w:asciiTheme="minorEastAsia" w:hAnsiTheme="minorEastAsia"/>
                <w:color w:val="auto"/>
                <w:kern w:val="0"/>
                <w:szCs w:val="21"/>
                <w:highlight w:val="none"/>
                <w:lang w:eastAsia="zh-CN"/>
              </w:rPr>
              <w:t>内签订合同。</w:t>
            </w:r>
          </w:p>
          <w:p w14:paraId="11761161">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二</w:t>
            </w:r>
            <w:r>
              <w:rPr>
                <w:rFonts w:hint="eastAsia" w:cs="宋体" w:asciiTheme="minorEastAsia" w:hAnsiTheme="minorEastAsia"/>
                <w:color w:val="auto"/>
                <w:kern w:val="0"/>
                <w:szCs w:val="21"/>
                <w:highlight w:val="none"/>
              </w:rPr>
              <w:t>.交货期：自合同签订之日起</w:t>
            </w:r>
            <w:r>
              <w:rPr>
                <w:rFonts w:hint="eastAsia" w:cs="宋体" w:asciiTheme="minorEastAsia" w:hAnsiTheme="minorEastAsia"/>
                <w:color w:val="auto"/>
                <w:kern w:val="0"/>
                <w:szCs w:val="21"/>
                <w:highlight w:val="none"/>
                <w:lang w:val="en-US" w:eastAsia="zh-CN"/>
              </w:rPr>
              <w:t>25</w:t>
            </w:r>
            <w:r>
              <w:rPr>
                <w:rFonts w:hint="eastAsia" w:cs="宋体" w:asciiTheme="minorEastAsia" w:hAnsiTheme="minorEastAsia"/>
                <w:color w:val="auto"/>
                <w:kern w:val="0"/>
                <w:szCs w:val="21"/>
                <w:highlight w:val="none"/>
              </w:rPr>
              <w:t>日（日历天）内交货并安装调式完毕交付使用。</w:t>
            </w:r>
          </w:p>
          <w:p w14:paraId="3B2DAD39">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三</w:t>
            </w:r>
            <w:r>
              <w:rPr>
                <w:rFonts w:hint="eastAsia" w:cs="宋体" w:asciiTheme="minorEastAsia" w:hAnsiTheme="minorEastAsia"/>
                <w:color w:val="auto"/>
                <w:kern w:val="0"/>
                <w:szCs w:val="21"/>
                <w:highlight w:val="none"/>
              </w:rPr>
              <w:t>.交货地点：采购人指定地点</w:t>
            </w:r>
          </w:p>
          <w:p w14:paraId="54F83654">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四</w:t>
            </w:r>
            <w:r>
              <w:rPr>
                <w:rFonts w:hint="eastAsia" w:cs="宋体" w:asciiTheme="minorEastAsia" w:hAnsiTheme="minorEastAsia"/>
                <w:color w:val="auto"/>
                <w:kern w:val="0"/>
                <w:szCs w:val="21"/>
                <w:highlight w:val="none"/>
              </w:rPr>
              <w:t>.交货方式：现场交货</w:t>
            </w:r>
          </w:p>
          <w:p w14:paraId="7FABFE23">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eastAsia="zh-CN"/>
              </w:rPr>
              <w:t>五</w:t>
            </w:r>
            <w:r>
              <w:rPr>
                <w:rFonts w:hint="eastAsia" w:cs="宋体" w:asciiTheme="minorEastAsia" w:hAnsiTheme="minorEastAsia"/>
                <w:color w:val="auto"/>
                <w:kern w:val="0"/>
                <w:szCs w:val="21"/>
                <w:highlight w:val="none"/>
              </w:rPr>
              <w:t>.售后服务：</w:t>
            </w:r>
          </w:p>
          <w:p w14:paraId="69EE36EA">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1.质量保证期5年（自交货并验收合格之日起计）。“技术参数要求”中有特殊要求的，按特殊要求执行。</w:t>
            </w:r>
          </w:p>
          <w:p w14:paraId="09C14072">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2.故障响应时间：</w:t>
            </w:r>
            <w:r>
              <w:rPr>
                <w:rFonts w:hint="eastAsia" w:cs="宋体" w:asciiTheme="minorEastAsia" w:hAnsiTheme="minorEastAsia"/>
                <w:color w:val="auto"/>
                <w:kern w:val="0"/>
                <w:szCs w:val="21"/>
                <w:highlight w:val="none"/>
                <w:lang w:val="en-US" w:eastAsia="zh-CN"/>
              </w:rPr>
              <w:t>成交</w:t>
            </w:r>
            <w:r>
              <w:rPr>
                <w:rFonts w:hint="eastAsia" w:cs="宋体" w:asciiTheme="minorEastAsia" w:hAnsiTheme="minorEastAsia"/>
                <w:color w:val="auto"/>
                <w:kern w:val="0"/>
                <w:szCs w:val="21"/>
                <w:highlight w:val="none"/>
              </w:rPr>
              <w:t>供应商应接到故障通知后在 4 小时内到采购人指定现场，按国家及行业标准对故障进行及时处理；在8小时内不能解决的，供应商须在一个工作日内提供与原设备技术参数要求相同或高于原设备技术参数要求的备用产品，以保证采购人的正常工作。</w:t>
            </w:r>
            <w:r>
              <w:rPr>
                <w:rFonts w:hint="eastAsia" w:cs="宋体" w:asciiTheme="minorEastAsia" w:hAnsiTheme="minorEastAsia"/>
                <w:color w:val="auto"/>
                <w:kern w:val="0"/>
                <w:szCs w:val="21"/>
                <w:highlight w:val="none"/>
                <w:lang w:val="en-US" w:eastAsia="zh-CN"/>
              </w:rPr>
              <w:t>竞标</w:t>
            </w:r>
            <w:r>
              <w:rPr>
                <w:rFonts w:hint="eastAsia" w:cs="宋体" w:asciiTheme="minorEastAsia" w:hAnsiTheme="minorEastAsia"/>
                <w:color w:val="auto"/>
                <w:kern w:val="0"/>
                <w:szCs w:val="21"/>
                <w:highlight w:val="none"/>
              </w:rPr>
              <w:t>人须针对本项目的故障响应服务，单独编制《故障响应履约专项方案》，作为</w:t>
            </w:r>
            <w:r>
              <w:rPr>
                <w:rFonts w:hint="eastAsia" w:cs="宋体" w:asciiTheme="minorEastAsia" w:hAnsiTheme="minorEastAsia"/>
                <w:color w:val="auto"/>
                <w:kern w:val="0"/>
                <w:szCs w:val="21"/>
                <w:highlight w:val="none"/>
                <w:lang w:val="en-US" w:eastAsia="zh-CN"/>
              </w:rPr>
              <w:t>响应</w:t>
            </w:r>
            <w:r>
              <w:rPr>
                <w:rFonts w:hint="eastAsia" w:cs="宋体" w:asciiTheme="minorEastAsia" w:hAnsiTheme="minorEastAsia"/>
                <w:color w:val="auto"/>
                <w:kern w:val="0"/>
                <w:szCs w:val="21"/>
                <w:highlight w:val="none"/>
              </w:rPr>
              <w:t>文件的组成部分，未按要求提供或方案不满足实质性条款的，投标将作无效</w:t>
            </w:r>
            <w:r>
              <w:rPr>
                <w:rFonts w:hint="eastAsia" w:cs="宋体" w:asciiTheme="minorEastAsia" w:hAnsiTheme="minorEastAsia"/>
                <w:color w:val="auto"/>
                <w:kern w:val="0"/>
                <w:szCs w:val="21"/>
                <w:highlight w:val="none"/>
                <w:lang w:val="en-US" w:eastAsia="zh-CN"/>
              </w:rPr>
              <w:t>竞标</w:t>
            </w:r>
            <w:r>
              <w:rPr>
                <w:rFonts w:hint="eastAsia" w:cs="宋体" w:asciiTheme="minorEastAsia" w:hAnsiTheme="minorEastAsia"/>
                <w:color w:val="auto"/>
                <w:kern w:val="0"/>
                <w:szCs w:val="21"/>
                <w:highlight w:val="none"/>
              </w:rPr>
              <w:t>处理。</w:t>
            </w:r>
          </w:p>
          <w:p w14:paraId="03CE34FB">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所有提供的产品均要求是原厂新品，按国家有关产品“三包”规定执行“三包”以及厂家承诺进行；免费送货上门.安装.调试，免费培训使用人员和维护人员，培训内容主要为：功能设备的软硬件安装.维护（包括操作系统的完全安装.维护等）。</w:t>
            </w:r>
          </w:p>
          <w:p w14:paraId="4337E6B9">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4.在质量保证期内设备非因人为及不可抗拒因素的原因而引起损坏或质量问题，</w:t>
            </w:r>
            <w:r>
              <w:rPr>
                <w:rFonts w:hint="eastAsia" w:cs="宋体" w:asciiTheme="minorEastAsia" w:hAnsiTheme="minorEastAsia"/>
                <w:color w:val="auto"/>
                <w:kern w:val="0"/>
                <w:szCs w:val="21"/>
                <w:highlight w:val="none"/>
                <w:lang w:val="en-US" w:eastAsia="zh-CN"/>
              </w:rPr>
              <w:t>成交</w:t>
            </w:r>
            <w:r>
              <w:rPr>
                <w:rFonts w:hint="eastAsia" w:cs="宋体" w:asciiTheme="minorEastAsia" w:hAnsiTheme="minorEastAsia"/>
                <w:color w:val="auto"/>
                <w:kern w:val="0"/>
                <w:szCs w:val="21"/>
                <w:highlight w:val="none"/>
              </w:rPr>
              <w:t>供应商应免费予以技术服务.维修或设备更换，并承担相应费用和零部件的费用，因人为因素出现的故障不在免费保修范围内，</w:t>
            </w:r>
            <w:r>
              <w:rPr>
                <w:rFonts w:hint="eastAsia" w:cs="宋体" w:asciiTheme="minorEastAsia" w:hAnsiTheme="minorEastAsia"/>
                <w:color w:val="auto"/>
                <w:kern w:val="0"/>
                <w:szCs w:val="21"/>
                <w:highlight w:val="none"/>
                <w:lang w:eastAsia="zh-CN"/>
              </w:rPr>
              <w:t>成交</w:t>
            </w:r>
            <w:r>
              <w:rPr>
                <w:rFonts w:hint="eastAsia" w:cs="宋体" w:asciiTheme="minorEastAsia" w:hAnsiTheme="minorEastAsia"/>
                <w:color w:val="auto"/>
                <w:kern w:val="0"/>
                <w:szCs w:val="21"/>
                <w:highlight w:val="none"/>
              </w:rPr>
              <w:t>供应商也要积极帮助</w:t>
            </w:r>
            <w:r>
              <w:rPr>
                <w:rFonts w:hint="eastAsia" w:cs="宋体" w:asciiTheme="minorEastAsia" w:hAnsiTheme="minorEastAsia"/>
                <w:color w:val="auto"/>
                <w:kern w:val="0"/>
                <w:szCs w:val="21"/>
                <w:highlight w:val="none"/>
                <w:lang w:val="en-US" w:eastAsia="zh-CN"/>
              </w:rPr>
              <w:t>采购人</w:t>
            </w:r>
            <w:r>
              <w:rPr>
                <w:rFonts w:hint="eastAsia" w:cs="宋体" w:asciiTheme="minorEastAsia" w:hAnsiTheme="minorEastAsia"/>
                <w:color w:val="auto"/>
                <w:kern w:val="0"/>
                <w:szCs w:val="21"/>
                <w:highlight w:val="none"/>
              </w:rPr>
              <w:t>修理，并提供优惠价格的配件和服务。</w:t>
            </w:r>
          </w:p>
          <w:p w14:paraId="6B3BA163">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五. 培训要求： </w:t>
            </w:r>
          </w:p>
          <w:p w14:paraId="5C2DF9E6">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供应方负责本地集中培训场地、培训教材、培训讲师以及培训所需的硬软件环境，为培训人员提供培训用中文培训教材（纸质稿和电子稿）、实习资料和讲义等相关用品。培训地点原则上在校内进行；培训时间由招标人根据需要确定，培训费用及被培训人员所有费用由成交人负责。</w:t>
            </w:r>
          </w:p>
          <w:p w14:paraId="7D7DE7C7">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免费对采购人的管理人员、应用使用人员进行集中培训。通过讲解、学员亲自体验、试用、交流等形式开展培训。确保参与培训人员，能够熟练掌握系统操作流程、各个功能使用方法和应用技巧等，能掌握硬件设备运维和平台应用技巧等。</w:t>
            </w:r>
          </w:p>
          <w:p w14:paraId="6FE2E506">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4、培训结束后5个工作日内，成交人向</w:t>
            </w:r>
            <w:r>
              <w:rPr>
                <w:rFonts w:hint="eastAsia" w:cs="宋体" w:asciiTheme="minorEastAsia" w:hAnsiTheme="minorEastAsia"/>
                <w:color w:val="auto"/>
                <w:kern w:val="0"/>
                <w:szCs w:val="21"/>
                <w:highlight w:val="none"/>
                <w:lang w:val="en-US" w:eastAsia="zh-CN"/>
              </w:rPr>
              <w:t>采购人</w:t>
            </w:r>
            <w:r>
              <w:rPr>
                <w:rFonts w:hint="eastAsia" w:cs="宋体" w:asciiTheme="minorEastAsia" w:hAnsiTheme="minorEastAsia"/>
                <w:color w:val="auto"/>
                <w:kern w:val="0"/>
                <w:szCs w:val="21"/>
                <w:highlight w:val="none"/>
              </w:rPr>
              <w:t>提供以下培训材料：</w:t>
            </w:r>
          </w:p>
          <w:p w14:paraId="364C63AB">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（1）参训学员名单、签到表；</w:t>
            </w:r>
          </w:p>
          <w:p w14:paraId="68177915">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（2）培训具体日程安排表；</w:t>
            </w:r>
          </w:p>
          <w:p w14:paraId="2F0479FE">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（3）培训资料、教材、课件；</w:t>
            </w:r>
          </w:p>
          <w:p w14:paraId="396FA3F0">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（4）培训简报；</w:t>
            </w:r>
          </w:p>
          <w:p w14:paraId="706343E3">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（5）培训照片（至少五张）；</w:t>
            </w:r>
          </w:p>
          <w:p w14:paraId="012AB5D9">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（6）培训项目评价反馈汇总表（受训学校盖章。招标人提供样表）。</w:t>
            </w:r>
          </w:p>
          <w:p w14:paraId="4B0F5E15">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六.其他要求：</w:t>
            </w:r>
          </w:p>
          <w:p w14:paraId="1B291C1D">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w:t>
            </w:r>
            <w:r>
              <w:rPr>
                <w:rFonts w:hint="eastAsia" w:cs="宋体" w:asciiTheme="minorEastAsia" w:hAnsiTheme="minorEastAsia"/>
                <w:color w:val="auto"/>
                <w:kern w:val="0"/>
                <w:szCs w:val="21"/>
                <w:highlight w:val="none"/>
                <w:lang w:val="en-US" w:eastAsia="zh-CN"/>
              </w:rPr>
              <w:t>竞标</w:t>
            </w:r>
            <w:r>
              <w:rPr>
                <w:rFonts w:hint="eastAsia" w:cs="宋体" w:asciiTheme="minorEastAsia" w:hAnsiTheme="minorEastAsia"/>
                <w:color w:val="auto"/>
                <w:kern w:val="0"/>
                <w:szCs w:val="21"/>
                <w:highlight w:val="none"/>
              </w:rPr>
              <w:t>报价为采购人指定地点的现场交货价，包括：</w:t>
            </w:r>
          </w:p>
          <w:p w14:paraId="6FEE4329">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（1）货物及标准附件、备品备件、专用工具的价格；</w:t>
            </w:r>
          </w:p>
          <w:p w14:paraId="1C7311EB">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（2）运输、装卸、调试、培训、技术支持、售后服务等费用；</w:t>
            </w:r>
          </w:p>
          <w:p w14:paraId="2FF5D4B6">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（3）必要的保险费用和各项税费；</w:t>
            </w:r>
          </w:p>
          <w:p w14:paraId="5FFEF8BD">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（4）包括拆旧费用、安装费用、安装后的现场垃圾清理；</w:t>
            </w:r>
          </w:p>
          <w:p w14:paraId="7B977C0D">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（5）设备安装、培训（含教材费、场地租用费）、送货上门的费用；</w:t>
            </w:r>
          </w:p>
          <w:p w14:paraId="78411FF1">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（6）到现场验收的费用。</w:t>
            </w:r>
          </w:p>
          <w:p w14:paraId="6049307F">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2.付款方式：本项目无预付款，供应商交货安装完毕，经学校和教育局验收合格，并完成办理支付程序及财政部门下达支付指标后，支付合同款。</w:t>
            </w:r>
          </w:p>
          <w:p w14:paraId="63E3181C">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3.备品备件及耗材等要求：本项目采购的全部设备和零部件、配件及安装材料必须是未经使用的、全新的，并符合国家相关质量标准的。</w:t>
            </w:r>
          </w:p>
          <w:p w14:paraId="05C599CA">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4.验收条件及标准：</w:t>
            </w:r>
          </w:p>
          <w:p w14:paraId="1BBCC483">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现场验收。验货时严格按照文件参数要求进行验货，供应方所供货物必须与文件要求的技术参数相符，否则采购方有权拒收货物，直至终止合同，由此造成的一切损失由供应方负责。 </w:t>
            </w:r>
          </w:p>
          <w:p w14:paraId="3D384BCD">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5.实施和安装要求：</w:t>
            </w:r>
          </w:p>
          <w:p w14:paraId="74110A9D">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（1）供应方必须服从客户方现场负责人的指挥，按指定地点进行安装；</w:t>
            </w:r>
          </w:p>
          <w:p w14:paraId="6A4408CF">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（2）安装过程中的所有安全保障由供应商自行负责；</w:t>
            </w:r>
          </w:p>
          <w:p w14:paraId="75C32A50">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（3）严格按</w:t>
            </w:r>
            <w:r>
              <w:rPr>
                <w:rFonts w:hint="eastAsia" w:cs="宋体" w:asciiTheme="minorEastAsia" w:hAnsiTheme="minorEastAsia"/>
                <w:color w:val="auto"/>
                <w:kern w:val="0"/>
                <w:szCs w:val="21"/>
                <w:highlight w:val="none"/>
                <w:lang w:val="en-US" w:eastAsia="zh-CN"/>
              </w:rPr>
              <w:t>竞标</w:t>
            </w:r>
            <w:r>
              <w:rPr>
                <w:rFonts w:hint="eastAsia" w:cs="宋体" w:asciiTheme="minorEastAsia" w:hAnsiTheme="minorEastAsia"/>
                <w:color w:val="auto"/>
                <w:kern w:val="0"/>
                <w:szCs w:val="21"/>
                <w:highlight w:val="none"/>
              </w:rPr>
              <w:t>产品的安装规范要求进行安装，确保安全。</w:t>
            </w:r>
          </w:p>
          <w:p w14:paraId="6F6C7EC0">
            <w:pPr>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6.质量保障要求：</w:t>
            </w:r>
          </w:p>
          <w:p w14:paraId="0F94C8E4">
            <w:pPr>
              <w:widowControl/>
              <w:jc w:val="left"/>
              <w:textAlignment w:val="center"/>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因产品质量发生争议的，</w:t>
            </w:r>
            <w:r>
              <w:rPr>
                <w:rFonts w:hint="eastAsia" w:cs="宋体" w:asciiTheme="minorEastAsia" w:hAnsiTheme="minorEastAsia"/>
                <w:color w:val="auto"/>
                <w:kern w:val="0"/>
                <w:szCs w:val="21"/>
                <w:highlight w:val="none"/>
                <w:lang w:val="en-US" w:eastAsia="zh-CN"/>
              </w:rPr>
              <w:t>采购人</w:t>
            </w:r>
            <w:r>
              <w:rPr>
                <w:rFonts w:hint="eastAsia" w:cs="宋体" w:asciiTheme="minorEastAsia" w:hAnsiTheme="minorEastAsia"/>
                <w:color w:val="auto"/>
                <w:kern w:val="0"/>
                <w:szCs w:val="21"/>
                <w:highlight w:val="none"/>
              </w:rPr>
              <w:t>有权单方委托有资质的产品质量检测机构进行鉴定，产品质量鉴定合格的，鉴定费用由采购人承担。产品质量鉴定不合格的，鉴定费用由成交人承担。</w:t>
            </w:r>
          </w:p>
        </w:tc>
      </w:tr>
    </w:tbl>
    <w:p w14:paraId="0ACEC03D">
      <w:pPr>
        <w:spacing w:line="428" w:lineRule="exact"/>
        <w:jc w:val="both"/>
        <w:rPr>
          <w:rFonts w:hint="eastAsia" w:ascii="宋体" w:hAnsi="宋体" w:eastAsia="宋体" w:cs="宋体"/>
          <w:b/>
          <w:color w:val="auto"/>
          <w:sz w:val="30"/>
          <w:szCs w:val="30"/>
          <w:highlight w:val="none"/>
        </w:rPr>
      </w:pPr>
    </w:p>
    <w:p w14:paraId="109FD0AC">
      <w:pPr>
        <w:spacing w:line="428" w:lineRule="exact"/>
        <w:rPr>
          <w:rFonts w:hint="eastAsia" w:ascii="宋体" w:hAnsi="宋体" w:eastAsia="宋体" w:cs="宋体"/>
          <w:b/>
          <w:color w:val="auto"/>
          <w:sz w:val="30"/>
          <w:szCs w:val="30"/>
          <w:highlight w:val="none"/>
        </w:rPr>
      </w:pPr>
    </w:p>
    <w:p w14:paraId="2AA9C280">
      <w:pPr>
        <w:spacing w:line="428" w:lineRule="exact"/>
        <w:rPr>
          <w:rFonts w:hint="eastAsia" w:ascii="宋体" w:hAnsi="宋体" w:cs="宋体"/>
          <w:b/>
          <w:bCs/>
          <w:color w:val="auto"/>
          <w:sz w:val="32"/>
          <w:szCs w:val="32"/>
          <w:highlight w:val="none"/>
        </w:rPr>
      </w:pPr>
    </w:p>
    <w:p w14:paraId="41208326">
      <w:pPr>
        <w:spacing w:line="428" w:lineRule="exact"/>
        <w:rPr>
          <w:rFonts w:hint="eastAsia" w:ascii="宋体" w:hAnsi="宋体" w:cs="宋体"/>
          <w:b/>
          <w:bCs/>
          <w:color w:val="auto"/>
          <w:sz w:val="32"/>
          <w:szCs w:val="32"/>
          <w:highlight w:val="none"/>
        </w:rPr>
      </w:pPr>
    </w:p>
    <w:p w14:paraId="75FFFBB7">
      <w:pPr>
        <w:spacing w:line="428" w:lineRule="exact"/>
        <w:rPr>
          <w:rFonts w:hint="eastAsia" w:ascii="宋体" w:hAnsi="宋体" w:cs="宋体"/>
          <w:b/>
          <w:bCs/>
          <w:color w:val="auto"/>
          <w:sz w:val="32"/>
          <w:szCs w:val="32"/>
          <w:highlight w:val="none"/>
        </w:rPr>
      </w:pPr>
    </w:p>
    <w:p w14:paraId="41CA8D62">
      <w:pPr>
        <w:spacing w:line="428" w:lineRule="exact"/>
        <w:rPr>
          <w:rFonts w:hint="eastAsia" w:ascii="宋体" w:hAnsi="宋体" w:cs="宋体"/>
          <w:b/>
          <w:bCs/>
          <w:color w:val="auto"/>
          <w:sz w:val="32"/>
          <w:szCs w:val="32"/>
          <w:highlight w:val="none"/>
        </w:rPr>
      </w:pPr>
    </w:p>
    <w:p w14:paraId="31B26E6B">
      <w:pPr>
        <w:pStyle w:val="2"/>
        <w:rPr>
          <w:rFonts w:hint="eastAsia" w:ascii="宋体" w:hAnsi="宋体" w:cs="宋体"/>
          <w:b/>
          <w:bCs/>
          <w:color w:val="auto"/>
          <w:sz w:val="32"/>
          <w:szCs w:val="32"/>
          <w:highlight w:val="none"/>
        </w:rPr>
      </w:pPr>
    </w:p>
    <w:p w14:paraId="42C35AB8">
      <w:pPr>
        <w:pStyle w:val="2"/>
        <w:rPr>
          <w:rFonts w:hint="eastAsia" w:ascii="宋体" w:hAnsi="宋体" w:cs="宋体"/>
          <w:b/>
          <w:bCs/>
          <w:color w:val="auto"/>
          <w:sz w:val="32"/>
          <w:szCs w:val="32"/>
          <w:highlight w:val="none"/>
        </w:rPr>
      </w:pPr>
    </w:p>
    <w:p w14:paraId="10146C77">
      <w:pPr>
        <w:pStyle w:val="2"/>
        <w:rPr>
          <w:rFonts w:hint="eastAsia" w:ascii="宋体" w:hAnsi="宋体" w:cs="宋体"/>
          <w:b/>
          <w:bCs/>
          <w:color w:val="auto"/>
          <w:sz w:val="32"/>
          <w:szCs w:val="32"/>
          <w:highlight w:val="none"/>
        </w:rPr>
      </w:pPr>
    </w:p>
    <w:p w14:paraId="336AEF20">
      <w:pPr>
        <w:pStyle w:val="2"/>
        <w:rPr>
          <w:rFonts w:hint="eastAsia" w:ascii="宋体" w:hAnsi="宋体" w:cs="宋体"/>
          <w:b/>
          <w:bCs/>
          <w:color w:val="auto"/>
          <w:sz w:val="32"/>
          <w:szCs w:val="32"/>
          <w:highlight w:val="none"/>
        </w:rPr>
      </w:pPr>
    </w:p>
    <w:p w14:paraId="4262C693">
      <w:pPr>
        <w:pStyle w:val="2"/>
        <w:rPr>
          <w:rFonts w:hint="eastAsia" w:ascii="宋体" w:hAnsi="宋体" w:cs="宋体"/>
          <w:b/>
          <w:bCs/>
          <w:color w:val="auto"/>
          <w:sz w:val="32"/>
          <w:szCs w:val="32"/>
          <w:highlight w:val="none"/>
        </w:rPr>
      </w:pPr>
    </w:p>
    <w:p w14:paraId="1A7F448E">
      <w:pPr>
        <w:pStyle w:val="2"/>
        <w:rPr>
          <w:rFonts w:hint="eastAsia" w:ascii="宋体" w:hAnsi="宋体" w:cs="宋体"/>
          <w:b/>
          <w:bCs/>
          <w:color w:val="auto"/>
          <w:sz w:val="32"/>
          <w:szCs w:val="32"/>
          <w:highlight w:val="none"/>
        </w:rPr>
      </w:pPr>
    </w:p>
    <w:p w14:paraId="0E271395">
      <w:pPr>
        <w:pStyle w:val="2"/>
        <w:rPr>
          <w:rFonts w:hint="eastAsia" w:ascii="宋体" w:hAnsi="宋体" w:cs="宋体"/>
          <w:b/>
          <w:bCs/>
          <w:color w:val="auto"/>
          <w:sz w:val="32"/>
          <w:szCs w:val="32"/>
          <w:highlight w:val="none"/>
        </w:rPr>
      </w:pPr>
    </w:p>
    <w:p w14:paraId="5F8514FA">
      <w:pPr>
        <w:pStyle w:val="2"/>
        <w:rPr>
          <w:rFonts w:hint="eastAsia" w:ascii="宋体" w:hAnsi="宋体" w:cs="宋体"/>
          <w:b/>
          <w:bCs/>
          <w:color w:val="auto"/>
          <w:sz w:val="32"/>
          <w:szCs w:val="32"/>
          <w:highlight w:val="none"/>
        </w:rPr>
      </w:pPr>
    </w:p>
    <w:p w14:paraId="5CD8829A">
      <w:pPr>
        <w:pStyle w:val="2"/>
        <w:rPr>
          <w:rFonts w:hint="eastAsia" w:ascii="宋体" w:hAnsi="宋体" w:cs="宋体"/>
          <w:b/>
          <w:bCs/>
          <w:color w:val="auto"/>
          <w:sz w:val="32"/>
          <w:szCs w:val="32"/>
          <w:highlight w:val="none"/>
        </w:rPr>
      </w:pPr>
    </w:p>
    <w:p w14:paraId="0F881C6C">
      <w:pPr>
        <w:spacing w:line="428" w:lineRule="exact"/>
        <w:rPr>
          <w:rFonts w:hint="eastAsia" w:ascii="宋体" w:hAnsi="宋体" w:cs="宋体"/>
          <w:b/>
          <w:bCs/>
          <w:color w:val="auto"/>
          <w:sz w:val="32"/>
          <w:szCs w:val="32"/>
          <w:highlight w:val="none"/>
        </w:rPr>
      </w:pPr>
    </w:p>
    <w:p w14:paraId="0FB3FEAE">
      <w:pPr>
        <w:spacing w:line="428" w:lineRule="exact"/>
        <w:rPr>
          <w:rFonts w:hint="eastAsia" w:ascii="宋体" w:hAnsi="宋体" w:cs="宋体"/>
          <w:b/>
          <w:bCs/>
          <w:color w:val="auto"/>
          <w:sz w:val="32"/>
          <w:szCs w:val="32"/>
          <w:highlight w:val="none"/>
        </w:rPr>
      </w:pPr>
    </w:p>
    <w:p w14:paraId="40244A57">
      <w:pPr>
        <w:spacing w:line="428" w:lineRule="exact"/>
        <w:rPr>
          <w:rFonts w:ascii="宋体" w:hAnsi="宋体" w:cs="宋体"/>
          <w:b/>
          <w:bCs/>
          <w:color w:val="auto"/>
          <w:sz w:val="17"/>
          <w:szCs w:val="17"/>
          <w:highlight w:val="none"/>
        </w:rPr>
      </w:pPr>
      <w:r>
        <w:rPr>
          <w:rFonts w:hint="eastAsia" w:ascii="宋体" w:hAnsi="宋体" w:cs="宋体"/>
          <w:b/>
          <w:bCs/>
          <w:color w:val="auto"/>
          <w:sz w:val="32"/>
          <w:szCs w:val="32"/>
          <w:highlight w:val="none"/>
        </w:rPr>
        <w:t>附件1：</w:t>
      </w:r>
    </w:p>
    <w:p w14:paraId="4EE1E20B">
      <w:pPr>
        <w:spacing w:line="528" w:lineRule="exact"/>
        <w:ind w:left="1871"/>
        <w:rPr>
          <w:rFonts w:ascii="宋体" w:hAnsi="宋体" w:cs="宋体"/>
          <w:b/>
          <w:bCs/>
          <w:color w:val="auto"/>
          <w:sz w:val="40"/>
          <w:szCs w:val="40"/>
          <w:highlight w:val="none"/>
        </w:rPr>
      </w:pPr>
      <w:r>
        <w:rPr>
          <w:rFonts w:hint="eastAsia" w:ascii="宋体" w:hAnsi="宋体" w:cs="宋体"/>
          <w:b/>
          <w:bCs/>
          <w:color w:val="auto"/>
          <w:sz w:val="40"/>
          <w:szCs w:val="40"/>
          <w:highlight w:val="none"/>
        </w:rPr>
        <w:t>节能产品政府采购品目清单</w:t>
      </w:r>
    </w:p>
    <w:tbl>
      <w:tblPr>
        <w:tblStyle w:val="32"/>
        <w:tblW w:w="9738" w:type="dxa"/>
        <w:tblInd w:w="93" w:type="dxa"/>
        <w:tblLayout w:type="fixed"/>
        <w:tblCellMar>
          <w:top w:w="0" w:type="dxa"/>
          <w:left w:w="108" w:type="dxa"/>
          <w:bottom w:w="0" w:type="dxa"/>
          <w:right w:w="108" w:type="dxa"/>
        </w:tblCellMar>
      </w:tblPr>
      <w:tblGrid>
        <w:gridCol w:w="692"/>
        <w:gridCol w:w="1084"/>
        <w:gridCol w:w="1497"/>
        <w:gridCol w:w="1612"/>
        <w:gridCol w:w="4853"/>
      </w:tblGrid>
      <w:tr w14:paraId="0B198798">
        <w:tblPrEx>
          <w:tblCellMar>
            <w:top w:w="0" w:type="dxa"/>
            <w:left w:w="108" w:type="dxa"/>
            <w:bottom w:w="0" w:type="dxa"/>
            <w:right w:w="108" w:type="dxa"/>
          </w:tblCellMar>
        </w:tblPrEx>
        <w:trPr>
          <w:trHeight w:val="90" w:hRule="atLeast"/>
        </w:trPr>
        <w:tc>
          <w:tcPr>
            <w:tcW w:w="692" w:type="dxa"/>
            <w:tcBorders>
              <w:top w:val="single" w:color="000000" w:sz="8" w:space="0"/>
              <w:left w:val="single" w:color="000000" w:sz="8" w:space="0"/>
              <w:bottom w:val="single" w:color="000000" w:sz="8" w:space="0"/>
              <w:right w:val="single" w:color="000000" w:sz="8" w:space="0"/>
            </w:tcBorders>
          </w:tcPr>
          <w:p w14:paraId="2265F8FE">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193" w:type="dxa"/>
            <w:gridSpan w:val="3"/>
            <w:tcBorders>
              <w:top w:val="single" w:color="000000" w:sz="8" w:space="0"/>
              <w:left w:val="nil"/>
              <w:bottom w:val="single" w:color="000000" w:sz="8" w:space="0"/>
              <w:right w:val="single" w:color="000000" w:sz="8" w:space="0"/>
            </w:tcBorders>
            <w:vAlign w:val="center"/>
          </w:tcPr>
          <w:p w14:paraId="55D148C6">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853" w:type="dxa"/>
            <w:tcBorders>
              <w:top w:val="single" w:color="000000" w:sz="8" w:space="0"/>
              <w:left w:val="nil"/>
              <w:bottom w:val="single" w:color="000000" w:sz="8" w:space="0"/>
              <w:right w:val="single" w:color="000000" w:sz="8" w:space="0"/>
            </w:tcBorders>
            <w:vAlign w:val="center"/>
          </w:tcPr>
          <w:p w14:paraId="0110EA46">
            <w:pPr>
              <w:widowControl/>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1FCF6CB7">
        <w:tblPrEx>
          <w:tblCellMar>
            <w:top w:w="0" w:type="dxa"/>
            <w:left w:w="108" w:type="dxa"/>
            <w:bottom w:w="0" w:type="dxa"/>
            <w:right w:w="108" w:type="dxa"/>
          </w:tblCellMar>
        </w:tblPrEx>
        <w:trPr>
          <w:trHeight w:val="495" w:hRule="atLeast"/>
        </w:trPr>
        <w:tc>
          <w:tcPr>
            <w:tcW w:w="692" w:type="dxa"/>
            <w:vMerge w:val="restart"/>
            <w:tcBorders>
              <w:top w:val="nil"/>
              <w:left w:val="single" w:color="000000" w:sz="8" w:space="0"/>
              <w:bottom w:val="single" w:color="000000" w:sz="8" w:space="0"/>
              <w:right w:val="single" w:color="000000" w:sz="8" w:space="0"/>
            </w:tcBorders>
            <w:vAlign w:val="center"/>
          </w:tcPr>
          <w:p w14:paraId="08B262F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084" w:type="dxa"/>
            <w:vMerge w:val="restart"/>
            <w:tcBorders>
              <w:top w:val="nil"/>
              <w:left w:val="single" w:color="000000" w:sz="8" w:space="0"/>
              <w:bottom w:val="single" w:color="000000" w:sz="8" w:space="0"/>
              <w:right w:val="single" w:color="000000" w:sz="8" w:space="0"/>
            </w:tcBorders>
            <w:vAlign w:val="center"/>
          </w:tcPr>
          <w:p w14:paraId="19EFF6A6">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A020101计算机设备</w:t>
            </w:r>
          </w:p>
        </w:tc>
        <w:tc>
          <w:tcPr>
            <w:tcW w:w="1497" w:type="dxa"/>
            <w:tcBorders>
              <w:top w:val="nil"/>
              <w:left w:val="nil"/>
              <w:bottom w:val="single" w:color="000000" w:sz="8" w:space="0"/>
              <w:right w:val="single" w:color="000000" w:sz="8" w:space="0"/>
            </w:tcBorders>
            <w:vAlign w:val="center"/>
          </w:tcPr>
          <w:p w14:paraId="425EF19B">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★A02010104台式计算机</w:t>
            </w:r>
          </w:p>
        </w:tc>
        <w:tc>
          <w:tcPr>
            <w:tcW w:w="1612" w:type="dxa"/>
            <w:tcBorders>
              <w:top w:val="nil"/>
              <w:left w:val="nil"/>
              <w:bottom w:val="single" w:color="000000" w:sz="8" w:space="0"/>
              <w:right w:val="single" w:color="000000" w:sz="8" w:space="0"/>
            </w:tcBorders>
            <w:vAlign w:val="center"/>
          </w:tcPr>
          <w:p w14:paraId="39C4E49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6640217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5DD4C2EA">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332E20C4">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BB1F58B">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79934C43">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★A02010105便携式计算机</w:t>
            </w:r>
          </w:p>
        </w:tc>
        <w:tc>
          <w:tcPr>
            <w:tcW w:w="1612" w:type="dxa"/>
            <w:tcBorders>
              <w:top w:val="nil"/>
              <w:left w:val="nil"/>
              <w:bottom w:val="single" w:color="000000" w:sz="8" w:space="0"/>
              <w:right w:val="single" w:color="000000" w:sz="8" w:space="0"/>
            </w:tcBorders>
            <w:vAlign w:val="center"/>
          </w:tcPr>
          <w:p w14:paraId="3A1D733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0332916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34D8770B">
        <w:tblPrEx>
          <w:tblCellMar>
            <w:top w:w="0" w:type="dxa"/>
            <w:left w:w="108" w:type="dxa"/>
            <w:bottom w:w="0" w:type="dxa"/>
            <w:right w:w="108" w:type="dxa"/>
          </w:tblCellMar>
        </w:tblPrEx>
        <w:trPr>
          <w:trHeight w:val="735" w:hRule="atLeast"/>
        </w:trPr>
        <w:tc>
          <w:tcPr>
            <w:tcW w:w="692" w:type="dxa"/>
            <w:vMerge w:val="continue"/>
            <w:tcBorders>
              <w:top w:val="nil"/>
              <w:left w:val="single" w:color="000000" w:sz="8" w:space="0"/>
              <w:bottom w:val="single" w:color="000000" w:sz="8" w:space="0"/>
              <w:right w:val="single" w:color="000000" w:sz="8" w:space="0"/>
            </w:tcBorders>
            <w:vAlign w:val="center"/>
          </w:tcPr>
          <w:p w14:paraId="69306F66">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6BA41E4">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18D2E52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★A02010107平板式微型计算机</w:t>
            </w:r>
          </w:p>
        </w:tc>
        <w:tc>
          <w:tcPr>
            <w:tcW w:w="1612" w:type="dxa"/>
            <w:tcBorders>
              <w:top w:val="nil"/>
              <w:left w:val="nil"/>
              <w:bottom w:val="single" w:color="000000" w:sz="8" w:space="0"/>
              <w:right w:val="single" w:color="000000" w:sz="8" w:space="0"/>
            </w:tcBorders>
            <w:vAlign w:val="center"/>
          </w:tcPr>
          <w:p w14:paraId="1FA2687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608EB833">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《微型计算机能效限定值及能效等级》（GB28380）</w:t>
            </w:r>
          </w:p>
        </w:tc>
      </w:tr>
      <w:tr w14:paraId="2F124B30">
        <w:tblPrEx>
          <w:tblCellMar>
            <w:top w:w="0" w:type="dxa"/>
            <w:left w:w="108" w:type="dxa"/>
            <w:bottom w:w="0" w:type="dxa"/>
            <w:right w:w="108" w:type="dxa"/>
          </w:tblCellMar>
        </w:tblPrEx>
        <w:trPr>
          <w:trHeight w:val="495" w:hRule="atLeast"/>
        </w:trPr>
        <w:tc>
          <w:tcPr>
            <w:tcW w:w="692" w:type="dxa"/>
            <w:vMerge w:val="restart"/>
            <w:tcBorders>
              <w:top w:val="nil"/>
              <w:left w:val="single" w:color="000000" w:sz="8" w:space="0"/>
              <w:bottom w:val="single" w:color="000000" w:sz="8" w:space="0"/>
              <w:right w:val="single" w:color="000000" w:sz="8" w:space="0"/>
            </w:tcBorders>
            <w:vAlign w:val="center"/>
          </w:tcPr>
          <w:p w14:paraId="56CB5CE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084" w:type="dxa"/>
            <w:vMerge w:val="restart"/>
            <w:tcBorders>
              <w:top w:val="nil"/>
              <w:left w:val="single" w:color="000000" w:sz="8" w:space="0"/>
              <w:bottom w:val="single" w:color="000000" w:sz="8" w:space="0"/>
              <w:right w:val="single" w:color="000000" w:sz="8" w:space="0"/>
            </w:tcBorders>
            <w:vAlign w:val="center"/>
          </w:tcPr>
          <w:p w14:paraId="2D59AB03">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A020106输入输出设备</w:t>
            </w:r>
          </w:p>
        </w:tc>
        <w:tc>
          <w:tcPr>
            <w:tcW w:w="1497" w:type="dxa"/>
            <w:vMerge w:val="restart"/>
            <w:tcBorders>
              <w:top w:val="nil"/>
              <w:left w:val="single" w:color="000000" w:sz="8" w:space="0"/>
              <w:bottom w:val="single" w:color="000000" w:sz="8" w:space="0"/>
              <w:right w:val="single" w:color="000000" w:sz="8" w:space="0"/>
            </w:tcBorders>
            <w:vAlign w:val="center"/>
          </w:tcPr>
          <w:p w14:paraId="395898C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A02010601</w:t>
            </w:r>
          </w:p>
          <w:p w14:paraId="6E5BDC4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打印设备</w:t>
            </w:r>
          </w:p>
        </w:tc>
        <w:tc>
          <w:tcPr>
            <w:tcW w:w="1612" w:type="dxa"/>
            <w:tcBorders>
              <w:top w:val="nil"/>
              <w:left w:val="nil"/>
              <w:bottom w:val="single" w:color="000000" w:sz="8" w:space="0"/>
              <w:right w:val="single" w:color="000000" w:sz="8" w:space="0"/>
            </w:tcBorders>
            <w:vAlign w:val="center"/>
          </w:tcPr>
          <w:p w14:paraId="6E4D09F8">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A0201060101喷墨打印机</w:t>
            </w:r>
          </w:p>
        </w:tc>
        <w:tc>
          <w:tcPr>
            <w:tcW w:w="4853" w:type="dxa"/>
            <w:tcBorders>
              <w:top w:val="nil"/>
              <w:left w:val="nil"/>
              <w:bottom w:val="single" w:color="000000" w:sz="8" w:space="0"/>
              <w:right w:val="single" w:color="000000" w:sz="8" w:space="0"/>
            </w:tcBorders>
            <w:vAlign w:val="center"/>
          </w:tcPr>
          <w:p w14:paraId="4414A2C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33114019">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35B113F2">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7EC541E4">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6B1A0E44">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340B76D1">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★A0201060102激光打印机</w:t>
            </w:r>
          </w:p>
        </w:tc>
        <w:tc>
          <w:tcPr>
            <w:tcW w:w="4853" w:type="dxa"/>
            <w:tcBorders>
              <w:top w:val="nil"/>
              <w:left w:val="nil"/>
              <w:bottom w:val="single" w:color="000000" w:sz="8" w:space="0"/>
              <w:right w:val="single" w:color="000000" w:sz="8" w:space="0"/>
            </w:tcBorders>
            <w:vAlign w:val="center"/>
          </w:tcPr>
          <w:p w14:paraId="3FB3619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14518A40">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654D790F">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44184C02">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17D06B5A">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1CE7F4F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★A0201060104针式打印机</w:t>
            </w:r>
          </w:p>
        </w:tc>
        <w:tc>
          <w:tcPr>
            <w:tcW w:w="4853" w:type="dxa"/>
            <w:tcBorders>
              <w:top w:val="nil"/>
              <w:left w:val="nil"/>
              <w:bottom w:val="single" w:color="000000" w:sz="8" w:space="0"/>
              <w:right w:val="single" w:color="000000" w:sz="8" w:space="0"/>
            </w:tcBorders>
            <w:vAlign w:val="center"/>
          </w:tcPr>
          <w:p w14:paraId="04D2975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000F2E79">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208C3035">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2896EA54">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4D9BF23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A02010604</w:t>
            </w:r>
          </w:p>
          <w:p w14:paraId="23710C6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显示设备</w:t>
            </w:r>
          </w:p>
        </w:tc>
        <w:tc>
          <w:tcPr>
            <w:tcW w:w="1612" w:type="dxa"/>
            <w:tcBorders>
              <w:top w:val="nil"/>
              <w:left w:val="nil"/>
              <w:bottom w:val="single" w:color="000000" w:sz="8" w:space="0"/>
              <w:right w:val="single" w:color="000000" w:sz="8" w:space="0"/>
            </w:tcBorders>
            <w:vAlign w:val="center"/>
          </w:tcPr>
          <w:p w14:paraId="6115D22C">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★A0201060401液晶显示器</w:t>
            </w:r>
          </w:p>
        </w:tc>
        <w:tc>
          <w:tcPr>
            <w:tcW w:w="4853" w:type="dxa"/>
            <w:tcBorders>
              <w:top w:val="nil"/>
              <w:left w:val="nil"/>
              <w:bottom w:val="single" w:color="000000" w:sz="8" w:space="0"/>
              <w:right w:val="single" w:color="000000" w:sz="8" w:space="0"/>
            </w:tcBorders>
            <w:vAlign w:val="center"/>
          </w:tcPr>
          <w:p w14:paraId="2BDD38B3">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《计算机显示器能效限定值及能效等级》（GB21520）</w:t>
            </w:r>
          </w:p>
        </w:tc>
      </w:tr>
      <w:tr w14:paraId="2726AD3C">
        <w:tblPrEx>
          <w:tblCellMar>
            <w:top w:w="0" w:type="dxa"/>
            <w:left w:w="108" w:type="dxa"/>
            <w:bottom w:w="0" w:type="dxa"/>
            <w:right w:w="108" w:type="dxa"/>
          </w:tblCellMar>
        </w:tblPrEx>
        <w:trPr>
          <w:trHeight w:val="975" w:hRule="atLeast"/>
        </w:trPr>
        <w:tc>
          <w:tcPr>
            <w:tcW w:w="692" w:type="dxa"/>
            <w:vMerge w:val="continue"/>
            <w:tcBorders>
              <w:top w:val="nil"/>
              <w:left w:val="single" w:color="000000" w:sz="8" w:space="0"/>
              <w:bottom w:val="single" w:color="000000" w:sz="8" w:space="0"/>
              <w:right w:val="single" w:color="000000" w:sz="8" w:space="0"/>
            </w:tcBorders>
            <w:vAlign w:val="center"/>
          </w:tcPr>
          <w:p w14:paraId="62C7A2EB">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37A8AD00">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1B1496E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A02010609图形图像输入设备</w:t>
            </w:r>
          </w:p>
        </w:tc>
        <w:tc>
          <w:tcPr>
            <w:tcW w:w="1612" w:type="dxa"/>
            <w:tcBorders>
              <w:top w:val="nil"/>
              <w:left w:val="nil"/>
              <w:bottom w:val="single" w:color="000000" w:sz="8" w:space="0"/>
              <w:right w:val="single" w:color="000000" w:sz="8" w:space="0"/>
            </w:tcBorders>
            <w:vAlign w:val="center"/>
          </w:tcPr>
          <w:p w14:paraId="01F24412">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A0201060901扫描仪</w:t>
            </w:r>
          </w:p>
        </w:tc>
        <w:tc>
          <w:tcPr>
            <w:tcW w:w="4853" w:type="dxa"/>
            <w:tcBorders>
              <w:top w:val="nil"/>
              <w:left w:val="nil"/>
              <w:bottom w:val="single" w:color="000000" w:sz="8" w:space="0"/>
              <w:right w:val="single" w:color="000000" w:sz="8" w:space="0"/>
            </w:tcBorders>
            <w:vAlign w:val="center"/>
          </w:tcPr>
          <w:p w14:paraId="4C7222F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参照《复印机、打印机和传真机能效限定值及能效等级》（GB21521中打印速度为15页/分的针式打印机相关要求中打印速度为15页/分的针式打印机相关要求</w:t>
            </w:r>
          </w:p>
        </w:tc>
      </w:tr>
      <w:tr w14:paraId="61F66FB2">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27800C6D">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084" w:type="dxa"/>
            <w:tcBorders>
              <w:top w:val="nil"/>
              <w:left w:val="nil"/>
              <w:bottom w:val="single" w:color="000000" w:sz="8" w:space="0"/>
              <w:right w:val="single" w:color="000000" w:sz="8" w:space="0"/>
            </w:tcBorders>
            <w:vAlign w:val="center"/>
          </w:tcPr>
          <w:p w14:paraId="219906DD">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A020202投影仪</w:t>
            </w:r>
          </w:p>
        </w:tc>
        <w:tc>
          <w:tcPr>
            <w:tcW w:w="1497" w:type="dxa"/>
            <w:tcBorders>
              <w:top w:val="nil"/>
              <w:left w:val="nil"/>
              <w:bottom w:val="single" w:color="000000" w:sz="8" w:space="0"/>
              <w:right w:val="single" w:color="000000" w:sz="8" w:space="0"/>
            </w:tcBorders>
            <w:vAlign w:val="center"/>
          </w:tcPr>
          <w:p w14:paraId="5F1CEA60">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12" w:type="dxa"/>
            <w:tcBorders>
              <w:top w:val="nil"/>
              <w:left w:val="nil"/>
              <w:bottom w:val="single" w:color="000000" w:sz="8" w:space="0"/>
              <w:right w:val="single" w:color="000000" w:sz="8" w:space="0"/>
            </w:tcBorders>
            <w:vAlign w:val="center"/>
          </w:tcPr>
          <w:p w14:paraId="375D5AE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1305DB8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《投影机能效限定值及能效等级》（GB32028）</w:t>
            </w:r>
          </w:p>
        </w:tc>
      </w:tr>
      <w:tr w14:paraId="653A9257">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5C4A36BD">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1084" w:type="dxa"/>
            <w:tcBorders>
              <w:top w:val="nil"/>
              <w:left w:val="nil"/>
              <w:bottom w:val="single" w:color="000000" w:sz="8" w:space="0"/>
              <w:right w:val="single" w:color="000000" w:sz="8" w:space="0"/>
            </w:tcBorders>
            <w:vAlign w:val="center"/>
          </w:tcPr>
          <w:p w14:paraId="6D4316DC">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A020204多功能一体机</w:t>
            </w:r>
          </w:p>
        </w:tc>
        <w:tc>
          <w:tcPr>
            <w:tcW w:w="1497" w:type="dxa"/>
            <w:tcBorders>
              <w:top w:val="nil"/>
              <w:left w:val="nil"/>
              <w:bottom w:val="single" w:color="000000" w:sz="8" w:space="0"/>
              <w:right w:val="single" w:color="000000" w:sz="8" w:space="0"/>
            </w:tcBorders>
            <w:vAlign w:val="center"/>
          </w:tcPr>
          <w:p w14:paraId="67526B6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12" w:type="dxa"/>
            <w:tcBorders>
              <w:top w:val="nil"/>
              <w:left w:val="nil"/>
              <w:bottom w:val="single" w:color="000000" w:sz="8" w:space="0"/>
              <w:right w:val="single" w:color="000000" w:sz="8" w:space="0"/>
            </w:tcBorders>
            <w:vAlign w:val="center"/>
          </w:tcPr>
          <w:p w14:paraId="06CE0AE1">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3A5B113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《复印机、打印机和传真机能效限定值及能效等级》（GB21521）</w:t>
            </w:r>
          </w:p>
        </w:tc>
      </w:tr>
      <w:tr w14:paraId="481B3A79">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2B46AF9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1084" w:type="dxa"/>
            <w:tcBorders>
              <w:top w:val="nil"/>
              <w:left w:val="nil"/>
              <w:bottom w:val="single" w:color="000000" w:sz="8" w:space="0"/>
              <w:right w:val="single" w:color="000000" w:sz="8" w:space="0"/>
            </w:tcBorders>
            <w:vAlign w:val="center"/>
          </w:tcPr>
          <w:p w14:paraId="7C2B407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A020519泵</w:t>
            </w:r>
          </w:p>
        </w:tc>
        <w:tc>
          <w:tcPr>
            <w:tcW w:w="1497" w:type="dxa"/>
            <w:tcBorders>
              <w:top w:val="nil"/>
              <w:left w:val="nil"/>
              <w:bottom w:val="single" w:color="000000" w:sz="8" w:space="0"/>
              <w:right w:val="single" w:color="000000" w:sz="8" w:space="0"/>
            </w:tcBorders>
            <w:vAlign w:val="center"/>
          </w:tcPr>
          <w:p w14:paraId="72C5A18C">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A02051901离心泵</w:t>
            </w:r>
          </w:p>
        </w:tc>
        <w:tc>
          <w:tcPr>
            <w:tcW w:w="1612" w:type="dxa"/>
            <w:tcBorders>
              <w:top w:val="nil"/>
              <w:left w:val="nil"/>
              <w:bottom w:val="single" w:color="000000" w:sz="8" w:space="0"/>
              <w:right w:val="single" w:color="000000" w:sz="8" w:space="0"/>
            </w:tcBorders>
            <w:vAlign w:val="center"/>
          </w:tcPr>
          <w:p w14:paraId="77EDD65B">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2C58CC9E">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《清水离心泵能效限定值及节能评价值》（GB19762）</w:t>
            </w:r>
          </w:p>
        </w:tc>
      </w:tr>
      <w:tr w14:paraId="02BFCE84">
        <w:tblPrEx>
          <w:tblCellMar>
            <w:top w:w="0" w:type="dxa"/>
            <w:left w:w="108" w:type="dxa"/>
            <w:bottom w:w="0" w:type="dxa"/>
            <w:right w:w="108" w:type="dxa"/>
          </w:tblCellMar>
        </w:tblPrEx>
        <w:trPr>
          <w:trHeight w:val="735" w:hRule="atLeast"/>
        </w:trPr>
        <w:tc>
          <w:tcPr>
            <w:tcW w:w="692" w:type="dxa"/>
            <w:vMerge w:val="restart"/>
            <w:tcBorders>
              <w:top w:val="nil"/>
              <w:left w:val="single" w:color="000000" w:sz="8" w:space="0"/>
              <w:bottom w:val="single" w:color="000000" w:sz="8" w:space="0"/>
              <w:right w:val="single" w:color="000000" w:sz="8" w:space="0"/>
            </w:tcBorders>
            <w:vAlign w:val="center"/>
          </w:tcPr>
          <w:p w14:paraId="5B9F1CB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1084" w:type="dxa"/>
            <w:vMerge w:val="restart"/>
            <w:tcBorders>
              <w:top w:val="nil"/>
              <w:left w:val="single" w:color="000000" w:sz="8" w:space="0"/>
              <w:bottom w:val="single" w:color="000000" w:sz="8" w:space="0"/>
              <w:right w:val="single" w:color="000000" w:sz="8" w:space="0"/>
            </w:tcBorders>
            <w:vAlign w:val="center"/>
          </w:tcPr>
          <w:p w14:paraId="14310716">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A020523制冷空调设备</w:t>
            </w:r>
          </w:p>
        </w:tc>
        <w:tc>
          <w:tcPr>
            <w:tcW w:w="1497" w:type="dxa"/>
            <w:vMerge w:val="restart"/>
            <w:tcBorders>
              <w:top w:val="nil"/>
              <w:left w:val="single" w:color="000000" w:sz="8" w:space="0"/>
              <w:bottom w:val="single" w:color="000000" w:sz="8" w:space="0"/>
              <w:right w:val="single" w:color="000000" w:sz="8" w:space="0"/>
            </w:tcBorders>
            <w:vAlign w:val="center"/>
          </w:tcPr>
          <w:p w14:paraId="7AF6DC72">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★A02052301制冷压缩机</w:t>
            </w:r>
          </w:p>
        </w:tc>
        <w:tc>
          <w:tcPr>
            <w:tcW w:w="1612" w:type="dxa"/>
            <w:tcBorders>
              <w:top w:val="nil"/>
              <w:left w:val="nil"/>
              <w:bottom w:val="single" w:color="000000" w:sz="8" w:space="0"/>
              <w:right w:val="single" w:color="000000" w:sz="8" w:space="0"/>
            </w:tcBorders>
            <w:vAlign w:val="center"/>
          </w:tcPr>
          <w:p w14:paraId="7396DA48">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冷水机组</w:t>
            </w:r>
          </w:p>
        </w:tc>
        <w:tc>
          <w:tcPr>
            <w:tcW w:w="4853" w:type="dxa"/>
            <w:tcBorders>
              <w:top w:val="nil"/>
              <w:left w:val="nil"/>
              <w:bottom w:val="single" w:color="000000" w:sz="8" w:space="0"/>
              <w:right w:val="single" w:color="000000" w:sz="8" w:space="0"/>
            </w:tcBorders>
            <w:vAlign w:val="center"/>
          </w:tcPr>
          <w:p w14:paraId="13C9DC2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《冷水机组能效限定值及能效等级》（GB19577），《低环境温度空气源热泵（冷水）机组能效限定值及能效等级》（GB37480）</w:t>
            </w:r>
          </w:p>
        </w:tc>
      </w:tr>
      <w:tr w14:paraId="7FB3A016">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15789246">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288D03C9">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1B0F7B05">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37390ED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水源热泵机组</w:t>
            </w:r>
          </w:p>
        </w:tc>
        <w:tc>
          <w:tcPr>
            <w:tcW w:w="4853" w:type="dxa"/>
            <w:tcBorders>
              <w:top w:val="nil"/>
              <w:left w:val="nil"/>
              <w:bottom w:val="single" w:color="000000" w:sz="8" w:space="0"/>
              <w:right w:val="single" w:color="000000" w:sz="8" w:space="0"/>
            </w:tcBorders>
            <w:vAlign w:val="center"/>
          </w:tcPr>
          <w:p w14:paraId="21BEF61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《水（地）源热泵机组能效限定值及能效等级》（GB30721）</w:t>
            </w:r>
          </w:p>
        </w:tc>
      </w:tr>
      <w:tr w14:paraId="651D8F13">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2597DA00">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3F698B2">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765E3192">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6333651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溴化锂吸收式冷水机组</w:t>
            </w:r>
          </w:p>
        </w:tc>
        <w:tc>
          <w:tcPr>
            <w:tcW w:w="4853" w:type="dxa"/>
            <w:tcBorders>
              <w:top w:val="nil"/>
              <w:left w:val="nil"/>
              <w:bottom w:val="single" w:color="000000" w:sz="8" w:space="0"/>
              <w:right w:val="single" w:color="000000" w:sz="8" w:space="0"/>
            </w:tcBorders>
            <w:vAlign w:val="center"/>
          </w:tcPr>
          <w:p w14:paraId="743BD0C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《溴化锂吸收式冷水机组能效限定值及能效等级》（GB29540）</w:t>
            </w:r>
          </w:p>
        </w:tc>
      </w:tr>
      <w:tr w14:paraId="0CDFABDD">
        <w:tblPrEx>
          <w:tblCellMar>
            <w:top w:w="0" w:type="dxa"/>
            <w:left w:w="108" w:type="dxa"/>
            <w:bottom w:w="0" w:type="dxa"/>
            <w:right w:w="108" w:type="dxa"/>
          </w:tblCellMar>
        </w:tblPrEx>
        <w:trPr>
          <w:trHeight w:val="735" w:hRule="atLeast"/>
        </w:trPr>
        <w:tc>
          <w:tcPr>
            <w:tcW w:w="692" w:type="dxa"/>
            <w:vMerge w:val="continue"/>
            <w:tcBorders>
              <w:top w:val="nil"/>
              <w:left w:val="single" w:color="000000" w:sz="8" w:space="0"/>
              <w:bottom w:val="single" w:color="000000" w:sz="8" w:space="0"/>
              <w:right w:val="single" w:color="000000" w:sz="8" w:space="0"/>
            </w:tcBorders>
            <w:vAlign w:val="center"/>
          </w:tcPr>
          <w:p w14:paraId="72B1D160">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01F015F">
            <w:pPr>
              <w:widowControl/>
              <w:spacing w:line="300" w:lineRule="exact"/>
              <w:jc w:val="left"/>
              <w:rPr>
                <w:rFonts w:ascii="宋体" w:hAnsi="宋体" w:cs="宋体"/>
                <w:color w:val="auto"/>
                <w:kern w:val="0"/>
                <w:szCs w:val="21"/>
                <w:highlight w:val="none"/>
              </w:rPr>
            </w:pPr>
          </w:p>
        </w:tc>
        <w:tc>
          <w:tcPr>
            <w:tcW w:w="1497" w:type="dxa"/>
            <w:vMerge w:val="restart"/>
            <w:tcBorders>
              <w:top w:val="nil"/>
              <w:left w:val="single" w:color="000000" w:sz="8" w:space="0"/>
              <w:bottom w:val="single" w:color="000000" w:sz="8" w:space="0"/>
              <w:right w:val="single" w:color="000000" w:sz="8" w:space="0"/>
            </w:tcBorders>
            <w:vAlign w:val="center"/>
          </w:tcPr>
          <w:p w14:paraId="4E7389C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★A02052305空调机组</w:t>
            </w:r>
          </w:p>
        </w:tc>
        <w:tc>
          <w:tcPr>
            <w:tcW w:w="1612" w:type="dxa"/>
            <w:tcBorders>
              <w:top w:val="nil"/>
              <w:left w:val="nil"/>
              <w:bottom w:val="single" w:color="000000" w:sz="8" w:space="0"/>
              <w:right w:val="single" w:color="000000" w:sz="8" w:space="0"/>
            </w:tcBorders>
            <w:vAlign w:val="center"/>
          </w:tcPr>
          <w:p w14:paraId="63A52747">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多联式空调（热泵）机组(制冷量&gt;14000W)</w:t>
            </w:r>
          </w:p>
        </w:tc>
        <w:tc>
          <w:tcPr>
            <w:tcW w:w="4853" w:type="dxa"/>
            <w:tcBorders>
              <w:top w:val="nil"/>
              <w:left w:val="nil"/>
              <w:bottom w:val="single" w:color="000000" w:sz="8" w:space="0"/>
              <w:right w:val="single" w:color="000000" w:sz="8" w:space="0"/>
            </w:tcBorders>
            <w:vAlign w:val="center"/>
          </w:tcPr>
          <w:p w14:paraId="5F441AE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0712DDA5">
        <w:tblPrEx>
          <w:tblCellMar>
            <w:top w:w="0" w:type="dxa"/>
            <w:left w:w="108" w:type="dxa"/>
            <w:bottom w:w="0" w:type="dxa"/>
            <w:right w:w="108" w:type="dxa"/>
          </w:tblCellMar>
        </w:tblPrEx>
        <w:trPr>
          <w:trHeight w:val="735" w:hRule="atLeast"/>
        </w:trPr>
        <w:tc>
          <w:tcPr>
            <w:tcW w:w="692" w:type="dxa"/>
            <w:vMerge w:val="continue"/>
            <w:tcBorders>
              <w:top w:val="nil"/>
              <w:left w:val="single" w:color="000000" w:sz="8" w:space="0"/>
              <w:bottom w:val="single" w:color="000000" w:sz="8" w:space="0"/>
              <w:right w:val="single" w:color="000000" w:sz="8" w:space="0"/>
            </w:tcBorders>
            <w:vAlign w:val="center"/>
          </w:tcPr>
          <w:p w14:paraId="2F9A82CB">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3FCA268">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351A49FA">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0ED99A6C">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单元式空气调节机(制冷量&gt;14000W</w:t>
            </w:r>
          </w:p>
        </w:tc>
        <w:tc>
          <w:tcPr>
            <w:tcW w:w="4853" w:type="dxa"/>
            <w:tcBorders>
              <w:top w:val="nil"/>
              <w:left w:val="nil"/>
              <w:bottom w:val="single" w:color="000000" w:sz="8" w:space="0"/>
              <w:right w:val="single" w:color="000000" w:sz="8" w:space="0"/>
            </w:tcBorders>
            <w:vAlign w:val="center"/>
          </w:tcPr>
          <w:p w14:paraId="0CDA202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《单元式空气调节机能效限定值及能效等级》（GB19576）《风管送风式空调机组能效限定值及能效等级》（GB37479）</w:t>
            </w:r>
          </w:p>
        </w:tc>
      </w:tr>
      <w:tr w14:paraId="57E8641A">
        <w:tblPrEx>
          <w:tblCellMar>
            <w:top w:w="0" w:type="dxa"/>
            <w:left w:w="108" w:type="dxa"/>
            <w:bottom w:w="0" w:type="dxa"/>
            <w:right w:w="108" w:type="dxa"/>
          </w:tblCellMar>
        </w:tblPrEx>
        <w:trPr>
          <w:trHeight w:val="254" w:hRule="atLeast"/>
        </w:trPr>
        <w:tc>
          <w:tcPr>
            <w:tcW w:w="692" w:type="dxa"/>
            <w:vMerge w:val="continue"/>
            <w:tcBorders>
              <w:top w:val="nil"/>
              <w:left w:val="single" w:color="000000" w:sz="8" w:space="0"/>
              <w:bottom w:val="single" w:color="000000" w:sz="8" w:space="0"/>
              <w:right w:val="single" w:color="000000" w:sz="8" w:space="0"/>
            </w:tcBorders>
            <w:vAlign w:val="center"/>
          </w:tcPr>
          <w:p w14:paraId="0A7F7BBF">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47A1069A">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5EDEB7FD">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★A02052309专用制冷、空调设备</w:t>
            </w:r>
          </w:p>
        </w:tc>
        <w:tc>
          <w:tcPr>
            <w:tcW w:w="1612" w:type="dxa"/>
            <w:tcBorders>
              <w:top w:val="nil"/>
              <w:left w:val="nil"/>
              <w:bottom w:val="single" w:color="000000" w:sz="8" w:space="0"/>
              <w:right w:val="single" w:color="000000" w:sz="8" w:space="0"/>
            </w:tcBorders>
            <w:vAlign w:val="center"/>
          </w:tcPr>
          <w:p w14:paraId="006F8FC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机房空调</w:t>
            </w:r>
          </w:p>
        </w:tc>
        <w:tc>
          <w:tcPr>
            <w:tcW w:w="4853" w:type="dxa"/>
            <w:tcBorders>
              <w:top w:val="nil"/>
              <w:left w:val="nil"/>
              <w:bottom w:val="single" w:color="000000" w:sz="8" w:space="0"/>
              <w:right w:val="single" w:color="000000" w:sz="8" w:space="0"/>
            </w:tcBorders>
            <w:vAlign w:val="center"/>
          </w:tcPr>
          <w:p w14:paraId="32A417E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《单元式空气调节机能效限定值及能效等级》（GB19576）</w:t>
            </w:r>
          </w:p>
        </w:tc>
      </w:tr>
      <w:tr w14:paraId="49C0B556">
        <w:tblPrEx>
          <w:tblCellMar>
            <w:top w:w="0" w:type="dxa"/>
            <w:left w:w="108" w:type="dxa"/>
            <w:bottom w:w="0" w:type="dxa"/>
            <w:right w:w="108" w:type="dxa"/>
          </w:tblCellMar>
        </w:tblPrEx>
        <w:trPr>
          <w:trHeight w:val="735" w:hRule="atLeast"/>
        </w:trPr>
        <w:tc>
          <w:tcPr>
            <w:tcW w:w="692" w:type="dxa"/>
            <w:vMerge w:val="continue"/>
            <w:tcBorders>
              <w:top w:val="nil"/>
              <w:left w:val="single" w:color="000000" w:sz="8" w:space="0"/>
              <w:bottom w:val="single" w:color="000000" w:sz="8" w:space="0"/>
              <w:right w:val="single" w:color="000000" w:sz="8" w:space="0"/>
            </w:tcBorders>
            <w:vAlign w:val="center"/>
          </w:tcPr>
          <w:p w14:paraId="07A12496">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61CF568E">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6EC935E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A02052399其他制冷空调设备</w:t>
            </w:r>
          </w:p>
        </w:tc>
        <w:tc>
          <w:tcPr>
            <w:tcW w:w="1612" w:type="dxa"/>
            <w:tcBorders>
              <w:top w:val="nil"/>
              <w:left w:val="nil"/>
              <w:bottom w:val="single" w:color="000000" w:sz="8" w:space="0"/>
              <w:right w:val="single" w:color="000000" w:sz="8" w:space="0"/>
            </w:tcBorders>
            <w:vAlign w:val="center"/>
          </w:tcPr>
          <w:p w14:paraId="1267AFF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冷却塔</w:t>
            </w:r>
          </w:p>
        </w:tc>
        <w:tc>
          <w:tcPr>
            <w:tcW w:w="4853" w:type="dxa"/>
            <w:tcBorders>
              <w:top w:val="nil"/>
              <w:left w:val="nil"/>
              <w:bottom w:val="single" w:color="000000" w:sz="8" w:space="0"/>
              <w:right w:val="single" w:color="000000" w:sz="8" w:space="0"/>
            </w:tcBorders>
            <w:vAlign w:val="center"/>
          </w:tcPr>
          <w:p w14:paraId="4525501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《机械通风冷却塔第1部分：中小型开式冷却塔》（GB/T7190.1）；《机械通风冷却塔第2部分：大型开式冷却塔》（GB/T7190.2）</w:t>
            </w:r>
          </w:p>
        </w:tc>
      </w:tr>
      <w:tr w14:paraId="5FA935A5">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69367C9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7</w:t>
            </w:r>
          </w:p>
        </w:tc>
        <w:tc>
          <w:tcPr>
            <w:tcW w:w="1084" w:type="dxa"/>
            <w:tcBorders>
              <w:top w:val="nil"/>
              <w:left w:val="nil"/>
              <w:bottom w:val="single" w:color="000000" w:sz="8" w:space="0"/>
              <w:right w:val="single" w:color="000000" w:sz="8" w:space="0"/>
            </w:tcBorders>
            <w:vAlign w:val="center"/>
          </w:tcPr>
          <w:p w14:paraId="7CEA74D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A020601电机</w:t>
            </w:r>
          </w:p>
        </w:tc>
        <w:tc>
          <w:tcPr>
            <w:tcW w:w="1497" w:type="dxa"/>
            <w:tcBorders>
              <w:top w:val="nil"/>
              <w:left w:val="nil"/>
              <w:bottom w:val="single" w:color="000000" w:sz="8" w:space="0"/>
              <w:right w:val="single" w:color="000000" w:sz="8" w:space="0"/>
            </w:tcBorders>
            <w:vAlign w:val="center"/>
          </w:tcPr>
          <w:p w14:paraId="5A4D0960">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12" w:type="dxa"/>
            <w:tcBorders>
              <w:top w:val="nil"/>
              <w:left w:val="nil"/>
              <w:bottom w:val="single" w:color="000000" w:sz="8" w:space="0"/>
              <w:right w:val="single" w:color="000000" w:sz="8" w:space="0"/>
            </w:tcBorders>
            <w:vAlign w:val="center"/>
          </w:tcPr>
          <w:p w14:paraId="32B0638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7EB4281A">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《中小型三相异步电动机能效限定值及能效等级》（GB18613）</w:t>
            </w:r>
          </w:p>
        </w:tc>
      </w:tr>
      <w:tr w14:paraId="6C5F2CDD">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0D28C43E">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1084" w:type="dxa"/>
            <w:tcBorders>
              <w:top w:val="nil"/>
              <w:left w:val="nil"/>
              <w:bottom w:val="single" w:color="000000" w:sz="8" w:space="0"/>
              <w:right w:val="single" w:color="000000" w:sz="8" w:space="0"/>
            </w:tcBorders>
            <w:vAlign w:val="center"/>
          </w:tcPr>
          <w:p w14:paraId="2FEED69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A020602变压器</w:t>
            </w:r>
          </w:p>
        </w:tc>
        <w:tc>
          <w:tcPr>
            <w:tcW w:w="1497" w:type="dxa"/>
            <w:tcBorders>
              <w:top w:val="nil"/>
              <w:left w:val="nil"/>
              <w:bottom w:val="single" w:color="000000" w:sz="8" w:space="0"/>
              <w:right w:val="single" w:color="000000" w:sz="8" w:space="0"/>
            </w:tcBorders>
            <w:vAlign w:val="center"/>
          </w:tcPr>
          <w:p w14:paraId="23E4D7B7">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配电变压器</w:t>
            </w:r>
          </w:p>
        </w:tc>
        <w:tc>
          <w:tcPr>
            <w:tcW w:w="1612" w:type="dxa"/>
            <w:tcBorders>
              <w:top w:val="nil"/>
              <w:left w:val="nil"/>
              <w:bottom w:val="single" w:color="000000" w:sz="8" w:space="0"/>
              <w:right w:val="single" w:color="000000" w:sz="8" w:space="0"/>
            </w:tcBorders>
            <w:vAlign w:val="center"/>
          </w:tcPr>
          <w:p w14:paraId="41D9BFC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4B007423">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《三相配电变压器能效限定值及能效等级》（GB20052）</w:t>
            </w:r>
          </w:p>
        </w:tc>
      </w:tr>
      <w:tr w14:paraId="716710DF">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1EDBD4E0">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9</w:t>
            </w:r>
          </w:p>
        </w:tc>
        <w:tc>
          <w:tcPr>
            <w:tcW w:w="1084" w:type="dxa"/>
            <w:tcBorders>
              <w:top w:val="nil"/>
              <w:left w:val="nil"/>
              <w:bottom w:val="single" w:color="000000" w:sz="8" w:space="0"/>
              <w:right w:val="single" w:color="000000" w:sz="8" w:space="0"/>
            </w:tcBorders>
            <w:vAlign w:val="center"/>
          </w:tcPr>
          <w:p w14:paraId="71851DCD">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★A020609镇流器</w:t>
            </w:r>
          </w:p>
        </w:tc>
        <w:tc>
          <w:tcPr>
            <w:tcW w:w="1497" w:type="dxa"/>
            <w:tcBorders>
              <w:top w:val="nil"/>
              <w:left w:val="nil"/>
              <w:bottom w:val="single" w:color="000000" w:sz="8" w:space="0"/>
              <w:right w:val="single" w:color="000000" w:sz="8" w:space="0"/>
            </w:tcBorders>
            <w:vAlign w:val="center"/>
          </w:tcPr>
          <w:p w14:paraId="04BD0E1D">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管型荧光灯镇流器</w:t>
            </w:r>
          </w:p>
        </w:tc>
        <w:tc>
          <w:tcPr>
            <w:tcW w:w="1612" w:type="dxa"/>
            <w:tcBorders>
              <w:top w:val="nil"/>
              <w:left w:val="nil"/>
              <w:bottom w:val="single" w:color="000000" w:sz="8" w:space="0"/>
              <w:right w:val="single" w:color="000000" w:sz="8" w:space="0"/>
            </w:tcBorders>
            <w:vAlign w:val="center"/>
          </w:tcPr>
          <w:p w14:paraId="22053ADC">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075C95FD">
            <w:pPr>
              <w:widowControl/>
              <w:wordWrap w:val="0"/>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《管形荧光灯镇流器能效限定值及能效等级》（GB17896）</w:t>
            </w:r>
          </w:p>
        </w:tc>
      </w:tr>
      <w:tr w14:paraId="21C5746F">
        <w:tblPrEx>
          <w:tblCellMar>
            <w:top w:w="0" w:type="dxa"/>
            <w:left w:w="108" w:type="dxa"/>
            <w:bottom w:w="0" w:type="dxa"/>
            <w:right w:w="108" w:type="dxa"/>
          </w:tblCellMar>
        </w:tblPrEx>
        <w:trPr>
          <w:trHeight w:val="495" w:hRule="atLeast"/>
        </w:trPr>
        <w:tc>
          <w:tcPr>
            <w:tcW w:w="692" w:type="dxa"/>
            <w:vMerge w:val="restart"/>
            <w:tcBorders>
              <w:top w:val="nil"/>
              <w:left w:val="single" w:color="000000" w:sz="8" w:space="0"/>
              <w:bottom w:val="single" w:color="000000" w:sz="8" w:space="0"/>
              <w:right w:val="single" w:color="000000" w:sz="8" w:space="0"/>
            </w:tcBorders>
            <w:vAlign w:val="center"/>
          </w:tcPr>
          <w:p w14:paraId="6160E5B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1084" w:type="dxa"/>
            <w:vMerge w:val="restart"/>
            <w:tcBorders>
              <w:top w:val="nil"/>
              <w:left w:val="single" w:color="000000" w:sz="8" w:space="0"/>
              <w:bottom w:val="single" w:color="000000" w:sz="8" w:space="0"/>
              <w:right w:val="single" w:color="000000" w:sz="8" w:space="0"/>
            </w:tcBorders>
            <w:vAlign w:val="center"/>
          </w:tcPr>
          <w:p w14:paraId="0414CD9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A020618生活用电器</w:t>
            </w:r>
          </w:p>
        </w:tc>
        <w:tc>
          <w:tcPr>
            <w:tcW w:w="1497" w:type="dxa"/>
            <w:tcBorders>
              <w:top w:val="nil"/>
              <w:left w:val="nil"/>
              <w:bottom w:val="single" w:color="000000" w:sz="8" w:space="0"/>
              <w:right w:val="single" w:color="000000" w:sz="8" w:space="0"/>
            </w:tcBorders>
            <w:vAlign w:val="center"/>
          </w:tcPr>
          <w:p w14:paraId="5C0DA52B">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A0206180101电冰箱</w:t>
            </w:r>
          </w:p>
        </w:tc>
        <w:tc>
          <w:tcPr>
            <w:tcW w:w="1612" w:type="dxa"/>
            <w:tcBorders>
              <w:top w:val="nil"/>
              <w:left w:val="nil"/>
              <w:bottom w:val="single" w:color="000000" w:sz="8" w:space="0"/>
              <w:right w:val="single" w:color="000000" w:sz="8" w:space="0"/>
            </w:tcBorders>
            <w:vAlign w:val="center"/>
          </w:tcPr>
          <w:p w14:paraId="0C7210B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4381C42D">
            <w:pPr>
              <w:widowControl/>
              <w:wordWrap w:val="0"/>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《家用电冰箱耗电量限定值及能效等级》（GB 12021.2）</w:t>
            </w:r>
          </w:p>
        </w:tc>
      </w:tr>
      <w:tr w14:paraId="493D1DAC">
        <w:tblPrEx>
          <w:tblCellMar>
            <w:top w:w="0" w:type="dxa"/>
            <w:left w:w="108" w:type="dxa"/>
            <w:bottom w:w="0" w:type="dxa"/>
            <w:right w:w="108" w:type="dxa"/>
          </w:tblCellMar>
        </w:tblPrEx>
        <w:trPr>
          <w:trHeight w:val="975" w:hRule="atLeast"/>
        </w:trPr>
        <w:tc>
          <w:tcPr>
            <w:tcW w:w="692" w:type="dxa"/>
            <w:vMerge w:val="continue"/>
            <w:tcBorders>
              <w:top w:val="nil"/>
              <w:left w:val="single" w:color="000000" w:sz="8" w:space="0"/>
              <w:bottom w:val="single" w:color="000000" w:sz="8" w:space="0"/>
              <w:right w:val="single" w:color="000000" w:sz="8" w:space="0"/>
            </w:tcBorders>
            <w:vAlign w:val="center"/>
          </w:tcPr>
          <w:p w14:paraId="73F78E7D">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21F961DE">
            <w:pPr>
              <w:widowControl/>
              <w:spacing w:line="300" w:lineRule="exact"/>
              <w:jc w:val="left"/>
              <w:rPr>
                <w:rFonts w:ascii="宋体" w:hAnsi="宋体" w:cs="宋体"/>
                <w:color w:val="auto"/>
                <w:kern w:val="0"/>
                <w:szCs w:val="21"/>
                <w:highlight w:val="none"/>
              </w:rPr>
            </w:pPr>
          </w:p>
        </w:tc>
        <w:tc>
          <w:tcPr>
            <w:tcW w:w="1497" w:type="dxa"/>
            <w:vMerge w:val="restart"/>
            <w:tcBorders>
              <w:top w:val="nil"/>
              <w:left w:val="single" w:color="000000" w:sz="8" w:space="0"/>
              <w:bottom w:val="single" w:color="000000" w:sz="8" w:space="0"/>
              <w:right w:val="single" w:color="000000" w:sz="8" w:space="0"/>
            </w:tcBorders>
            <w:vAlign w:val="center"/>
          </w:tcPr>
          <w:p w14:paraId="22E48D4B">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★A0206180203空调机</w:t>
            </w:r>
          </w:p>
        </w:tc>
        <w:tc>
          <w:tcPr>
            <w:tcW w:w="1612" w:type="dxa"/>
            <w:tcBorders>
              <w:top w:val="nil"/>
              <w:left w:val="nil"/>
              <w:bottom w:val="single" w:color="000000" w:sz="8" w:space="0"/>
              <w:right w:val="single" w:color="000000" w:sz="8" w:space="0"/>
            </w:tcBorders>
            <w:vAlign w:val="center"/>
          </w:tcPr>
          <w:p w14:paraId="06F2046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房间空气调节器</w:t>
            </w:r>
          </w:p>
        </w:tc>
        <w:tc>
          <w:tcPr>
            <w:tcW w:w="4853" w:type="dxa"/>
            <w:tcBorders>
              <w:top w:val="nil"/>
              <w:left w:val="nil"/>
              <w:bottom w:val="single" w:color="000000" w:sz="8" w:space="0"/>
              <w:right w:val="single" w:color="000000" w:sz="8" w:space="0"/>
            </w:tcBorders>
            <w:vAlign w:val="center"/>
          </w:tcPr>
          <w:p w14:paraId="4541F79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《转速可控型房间空气调节器能效限定值及能效等级》（GB21455-2013），待2019年修订发布后，按《房间空气调节器能效限定值及能效等级》（GB21455-2019实施。</w:t>
            </w:r>
          </w:p>
        </w:tc>
      </w:tr>
      <w:tr w14:paraId="791C2451">
        <w:tblPrEx>
          <w:tblCellMar>
            <w:top w:w="0" w:type="dxa"/>
            <w:left w:w="108" w:type="dxa"/>
            <w:bottom w:w="0" w:type="dxa"/>
            <w:right w:w="108" w:type="dxa"/>
          </w:tblCellMar>
        </w:tblPrEx>
        <w:trPr>
          <w:trHeight w:val="735" w:hRule="atLeast"/>
        </w:trPr>
        <w:tc>
          <w:tcPr>
            <w:tcW w:w="692" w:type="dxa"/>
            <w:vMerge w:val="continue"/>
            <w:tcBorders>
              <w:top w:val="nil"/>
              <w:left w:val="single" w:color="000000" w:sz="8" w:space="0"/>
              <w:bottom w:val="single" w:color="000000" w:sz="8" w:space="0"/>
              <w:right w:val="single" w:color="000000" w:sz="8" w:space="0"/>
            </w:tcBorders>
            <w:vAlign w:val="center"/>
          </w:tcPr>
          <w:p w14:paraId="732E5DEB">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376394F9">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786AAB72">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5160F8F7">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多联式空调（热泵）机组（制冷量≤ 14000W）</w:t>
            </w:r>
          </w:p>
        </w:tc>
        <w:tc>
          <w:tcPr>
            <w:tcW w:w="4853" w:type="dxa"/>
            <w:tcBorders>
              <w:top w:val="nil"/>
              <w:left w:val="nil"/>
              <w:bottom w:val="single" w:color="000000" w:sz="8" w:space="0"/>
              <w:right w:val="single" w:color="000000" w:sz="8" w:space="0"/>
            </w:tcBorders>
            <w:vAlign w:val="center"/>
          </w:tcPr>
          <w:p w14:paraId="598FD856">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《多联式空调（热泵）机组能效限定值及能源效率等级》（GB21454）</w:t>
            </w:r>
          </w:p>
        </w:tc>
      </w:tr>
      <w:tr w14:paraId="0021EED1">
        <w:tblPrEx>
          <w:tblCellMar>
            <w:top w:w="0" w:type="dxa"/>
            <w:left w:w="108" w:type="dxa"/>
            <w:bottom w:w="0" w:type="dxa"/>
            <w:right w:w="108" w:type="dxa"/>
          </w:tblCellMar>
        </w:tblPrEx>
        <w:trPr>
          <w:trHeight w:val="735" w:hRule="atLeast"/>
        </w:trPr>
        <w:tc>
          <w:tcPr>
            <w:tcW w:w="692" w:type="dxa"/>
            <w:vMerge w:val="continue"/>
            <w:tcBorders>
              <w:top w:val="nil"/>
              <w:left w:val="single" w:color="000000" w:sz="8" w:space="0"/>
              <w:bottom w:val="single" w:color="000000" w:sz="8" w:space="0"/>
              <w:right w:val="single" w:color="000000" w:sz="8" w:space="0"/>
            </w:tcBorders>
            <w:vAlign w:val="center"/>
          </w:tcPr>
          <w:p w14:paraId="672686CC">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62DE9039">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4F75BE99">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098C9CF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单元式空气调节机(制冷量≤14000W)</w:t>
            </w:r>
          </w:p>
        </w:tc>
        <w:tc>
          <w:tcPr>
            <w:tcW w:w="4853" w:type="dxa"/>
            <w:tcBorders>
              <w:top w:val="nil"/>
              <w:left w:val="nil"/>
              <w:bottom w:val="single" w:color="000000" w:sz="8" w:space="0"/>
              <w:right w:val="single" w:color="000000" w:sz="8" w:space="0"/>
            </w:tcBorders>
            <w:vAlign w:val="center"/>
          </w:tcPr>
          <w:p w14:paraId="12884AD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《单元式空气调节机能效限定值及能源效率等级》（GB19576）《风管送风式空调机组能效限定值及能效等级》（GB37479）</w:t>
            </w:r>
          </w:p>
        </w:tc>
      </w:tr>
      <w:tr w14:paraId="6D5A1E05">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0E5BE3A1">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5574B59B">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3DF9F57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A0206180301洗衣机</w:t>
            </w:r>
          </w:p>
        </w:tc>
        <w:tc>
          <w:tcPr>
            <w:tcW w:w="1612" w:type="dxa"/>
            <w:tcBorders>
              <w:top w:val="nil"/>
              <w:left w:val="nil"/>
              <w:bottom w:val="single" w:color="000000" w:sz="8" w:space="0"/>
              <w:right w:val="single" w:color="000000" w:sz="8" w:space="0"/>
            </w:tcBorders>
            <w:vAlign w:val="center"/>
          </w:tcPr>
          <w:p w14:paraId="1246E3F1">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319EAEC2">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《电动洗衣机能效水效限定值及等级》（GB12021.4）</w:t>
            </w:r>
          </w:p>
        </w:tc>
      </w:tr>
      <w:tr w14:paraId="50199790">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6E2669E1">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CDB0B38">
            <w:pPr>
              <w:widowControl/>
              <w:spacing w:line="300" w:lineRule="exact"/>
              <w:jc w:val="left"/>
              <w:rPr>
                <w:rFonts w:ascii="宋体" w:hAnsi="宋体" w:cs="宋体"/>
                <w:color w:val="auto"/>
                <w:kern w:val="0"/>
                <w:szCs w:val="21"/>
                <w:highlight w:val="none"/>
              </w:rPr>
            </w:pPr>
          </w:p>
        </w:tc>
        <w:tc>
          <w:tcPr>
            <w:tcW w:w="1497" w:type="dxa"/>
            <w:vMerge w:val="restart"/>
            <w:tcBorders>
              <w:top w:val="nil"/>
              <w:left w:val="single" w:color="000000" w:sz="8" w:space="0"/>
              <w:bottom w:val="single" w:color="000000" w:sz="8" w:space="0"/>
              <w:right w:val="single" w:color="000000" w:sz="8" w:space="0"/>
            </w:tcBorders>
            <w:vAlign w:val="center"/>
          </w:tcPr>
          <w:p w14:paraId="248F530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A02061808热水器</w:t>
            </w:r>
          </w:p>
        </w:tc>
        <w:tc>
          <w:tcPr>
            <w:tcW w:w="1612" w:type="dxa"/>
            <w:tcBorders>
              <w:top w:val="nil"/>
              <w:left w:val="nil"/>
              <w:bottom w:val="single" w:color="000000" w:sz="8" w:space="0"/>
              <w:right w:val="single" w:color="000000" w:sz="8" w:space="0"/>
            </w:tcBorders>
            <w:vAlign w:val="center"/>
          </w:tcPr>
          <w:p w14:paraId="413C0128">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★电热水器</w:t>
            </w:r>
          </w:p>
        </w:tc>
        <w:tc>
          <w:tcPr>
            <w:tcW w:w="4853" w:type="dxa"/>
            <w:tcBorders>
              <w:top w:val="nil"/>
              <w:left w:val="nil"/>
              <w:bottom w:val="single" w:color="000000" w:sz="8" w:space="0"/>
              <w:right w:val="single" w:color="000000" w:sz="8" w:space="0"/>
            </w:tcBorders>
            <w:vAlign w:val="center"/>
          </w:tcPr>
          <w:p w14:paraId="0C95B78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《储水式电热水器能效限定值及能效等级》（GB21519）</w:t>
            </w:r>
          </w:p>
        </w:tc>
      </w:tr>
      <w:tr w14:paraId="2BFF9E6C">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2ECDA177">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1C40CCB1">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1E90158A">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7890131E">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燃气热水器</w:t>
            </w:r>
          </w:p>
        </w:tc>
        <w:tc>
          <w:tcPr>
            <w:tcW w:w="4853" w:type="dxa"/>
            <w:tcBorders>
              <w:top w:val="nil"/>
              <w:left w:val="nil"/>
              <w:bottom w:val="single" w:color="000000" w:sz="8" w:space="0"/>
              <w:right w:val="single" w:color="000000" w:sz="8" w:space="0"/>
            </w:tcBorders>
            <w:vAlign w:val="center"/>
          </w:tcPr>
          <w:p w14:paraId="061C019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《家用燃气快速热水器和燃气采暖热水炉能效限定值及能效等级》（GB20665）</w:t>
            </w:r>
          </w:p>
        </w:tc>
      </w:tr>
      <w:tr w14:paraId="027A70D1">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153DE315">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5C7BBFAB">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11AE1A31">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68C49EC8">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热泵热水器</w:t>
            </w:r>
          </w:p>
        </w:tc>
        <w:tc>
          <w:tcPr>
            <w:tcW w:w="4853" w:type="dxa"/>
            <w:tcBorders>
              <w:top w:val="nil"/>
              <w:left w:val="nil"/>
              <w:bottom w:val="single" w:color="000000" w:sz="8" w:space="0"/>
              <w:right w:val="single" w:color="000000" w:sz="8" w:space="0"/>
            </w:tcBorders>
            <w:vAlign w:val="center"/>
          </w:tcPr>
          <w:p w14:paraId="5FCA35B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《热泵热水机（器）能效限定值及能效等级》（GB29541）</w:t>
            </w:r>
          </w:p>
        </w:tc>
      </w:tr>
      <w:tr w14:paraId="2E3F1004">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6E12ABEA">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73DDE790">
            <w:pPr>
              <w:widowControl/>
              <w:spacing w:line="300" w:lineRule="exact"/>
              <w:jc w:val="left"/>
              <w:rPr>
                <w:rFonts w:ascii="宋体" w:hAnsi="宋体" w:cs="宋体"/>
                <w:color w:val="auto"/>
                <w:kern w:val="0"/>
                <w:szCs w:val="21"/>
                <w:highlight w:val="none"/>
              </w:rPr>
            </w:pPr>
          </w:p>
        </w:tc>
        <w:tc>
          <w:tcPr>
            <w:tcW w:w="1497" w:type="dxa"/>
            <w:vMerge w:val="continue"/>
            <w:tcBorders>
              <w:top w:val="nil"/>
              <w:left w:val="single" w:color="000000" w:sz="8" w:space="0"/>
              <w:bottom w:val="single" w:color="000000" w:sz="8" w:space="0"/>
              <w:right w:val="single" w:color="000000" w:sz="8" w:space="0"/>
            </w:tcBorders>
            <w:vAlign w:val="center"/>
          </w:tcPr>
          <w:p w14:paraId="517F485E">
            <w:pPr>
              <w:widowControl/>
              <w:spacing w:line="300" w:lineRule="exact"/>
              <w:jc w:val="left"/>
              <w:rPr>
                <w:rFonts w:ascii="宋体" w:hAnsi="宋体" w:cs="宋体"/>
                <w:color w:val="auto"/>
                <w:kern w:val="0"/>
                <w:szCs w:val="21"/>
                <w:highlight w:val="none"/>
              </w:rPr>
            </w:pPr>
          </w:p>
        </w:tc>
        <w:tc>
          <w:tcPr>
            <w:tcW w:w="1612" w:type="dxa"/>
            <w:tcBorders>
              <w:top w:val="nil"/>
              <w:left w:val="nil"/>
              <w:bottom w:val="single" w:color="000000" w:sz="8" w:space="0"/>
              <w:right w:val="single" w:color="000000" w:sz="8" w:space="0"/>
            </w:tcBorders>
            <w:vAlign w:val="center"/>
          </w:tcPr>
          <w:p w14:paraId="6711AE4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太阳能热水系统</w:t>
            </w:r>
          </w:p>
        </w:tc>
        <w:tc>
          <w:tcPr>
            <w:tcW w:w="4853" w:type="dxa"/>
            <w:tcBorders>
              <w:top w:val="nil"/>
              <w:left w:val="nil"/>
              <w:bottom w:val="single" w:color="000000" w:sz="8" w:space="0"/>
              <w:right w:val="single" w:color="000000" w:sz="8" w:space="0"/>
            </w:tcBorders>
            <w:vAlign w:val="center"/>
          </w:tcPr>
          <w:p w14:paraId="0899F9D1">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《家用太阳能热水系统能效限定值及能效等级》（GB26969）</w:t>
            </w:r>
          </w:p>
        </w:tc>
      </w:tr>
      <w:tr w14:paraId="3BF1AF8B">
        <w:tblPrEx>
          <w:tblCellMar>
            <w:top w:w="0" w:type="dxa"/>
            <w:left w:w="108" w:type="dxa"/>
            <w:bottom w:w="0" w:type="dxa"/>
            <w:right w:w="108" w:type="dxa"/>
          </w:tblCellMar>
        </w:tblPrEx>
        <w:trPr>
          <w:trHeight w:val="495" w:hRule="atLeast"/>
        </w:trPr>
        <w:tc>
          <w:tcPr>
            <w:tcW w:w="692" w:type="dxa"/>
            <w:vMerge w:val="restart"/>
            <w:tcBorders>
              <w:top w:val="nil"/>
              <w:left w:val="single" w:color="000000" w:sz="8" w:space="0"/>
              <w:bottom w:val="single" w:color="000000" w:sz="8" w:space="0"/>
              <w:right w:val="single" w:color="000000" w:sz="8" w:space="0"/>
            </w:tcBorders>
            <w:vAlign w:val="center"/>
          </w:tcPr>
          <w:p w14:paraId="1153AAFB">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1084" w:type="dxa"/>
            <w:vMerge w:val="restart"/>
            <w:tcBorders>
              <w:top w:val="nil"/>
              <w:left w:val="single" w:color="000000" w:sz="8" w:space="0"/>
              <w:bottom w:val="single" w:color="000000" w:sz="8" w:space="0"/>
              <w:right w:val="single" w:color="000000" w:sz="8" w:space="0"/>
            </w:tcBorders>
            <w:vAlign w:val="center"/>
          </w:tcPr>
          <w:p w14:paraId="6257F686">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A020619照明设备</w:t>
            </w:r>
          </w:p>
        </w:tc>
        <w:tc>
          <w:tcPr>
            <w:tcW w:w="1497" w:type="dxa"/>
            <w:tcBorders>
              <w:top w:val="nil"/>
              <w:left w:val="nil"/>
              <w:bottom w:val="single" w:color="000000" w:sz="8" w:space="0"/>
              <w:right w:val="single" w:color="000000" w:sz="8" w:space="0"/>
            </w:tcBorders>
            <w:vAlign w:val="center"/>
          </w:tcPr>
          <w:p w14:paraId="54BD1F36">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★普通照明用双端荧光灯</w:t>
            </w:r>
          </w:p>
        </w:tc>
        <w:tc>
          <w:tcPr>
            <w:tcW w:w="1612" w:type="dxa"/>
            <w:tcBorders>
              <w:top w:val="nil"/>
              <w:left w:val="nil"/>
              <w:bottom w:val="single" w:color="000000" w:sz="8" w:space="0"/>
              <w:right w:val="single" w:color="000000" w:sz="8" w:space="0"/>
            </w:tcBorders>
            <w:vAlign w:val="center"/>
          </w:tcPr>
          <w:p w14:paraId="71C1B792">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1DBF794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《普通照明用双端荧光灯能效限定值及能效等级》（GB19043）</w:t>
            </w:r>
          </w:p>
        </w:tc>
      </w:tr>
      <w:tr w14:paraId="690CC4AD">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6E0576E4">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3037717F">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373BEF03">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LED道路/隧道照明产品</w:t>
            </w:r>
          </w:p>
        </w:tc>
        <w:tc>
          <w:tcPr>
            <w:tcW w:w="1612" w:type="dxa"/>
            <w:tcBorders>
              <w:top w:val="nil"/>
              <w:left w:val="nil"/>
              <w:bottom w:val="single" w:color="000000" w:sz="8" w:space="0"/>
              <w:right w:val="single" w:color="000000" w:sz="8" w:space="0"/>
            </w:tcBorders>
            <w:vAlign w:val="center"/>
          </w:tcPr>
          <w:p w14:paraId="5EACBEE8">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03714AFD">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《道路和隧道照明用LED灯具能效限定值及能效等级》（GB37478）</w:t>
            </w:r>
          </w:p>
        </w:tc>
      </w:tr>
      <w:tr w14:paraId="1E8425A7">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554880ED">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DC1E01C">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3EFC1F5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LED筒灯</w:t>
            </w:r>
          </w:p>
        </w:tc>
        <w:tc>
          <w:tcPr>
            <w:tcW w:w="1612" w:type="dxa"/>
            <w:tcBorders>
              <w:top w:val="nil"/>
              <w:left w:val="nil"/>
              <w:bottom w:val="single" w:color="000000" w:sz="8" w:space="0"/>
              <w:right w:val="single" w:color="000000" w:sz="8" w:space="0"/>
            </w:tcBorders>
            <w:vAlign w:val="center"/>
          </w:tcPr>
          <w:p w14:paraId="6CE854CC">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6A305DCE">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30FA4CAB">
        <w:tblPrEx>
          <w:tblCellMar>
            <w:top w:w="0" w:type="dxa"/>
            <w:left w:w="108" w:type="dxa"/>
            <w:bottom w:w="0" w:type="dxa"/>
            <w:right w:w="108" w:type="dxa"/>
          </w:tblCellMar>
        </w:tblPrEx>
        <w:trPr>
          <w:trHeight w:val="735" w:hRule="atLeast"/>
        </w:trPr>
        <w:tc>
          <w:tcPr>
            <w:tcW w:w="692" w:type="dxa"/>
            <w:vMerge w:val="continue"/>
            <w:tcBorders>
              <w:top w:val="nil"/>
              <w:left w:val="single" w:color="000000" w:sz="8" w:space="0"/>
              <w:bottom w:val="single" w:color="000000" w:sz="8" w:space="0"/>
              <w:right w:val="single" w:color="000000" w:sz="8" w:space="0"/>
            </w:tcBorders>
            <w:vAlign w:val="center"/>
          </w:tcPr>
          <w:p w14:paraId="0C8850F7">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02471D57">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4B990E6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普通照明用非定向自镇流LED灯</w:t>
            </w:r>
          </w:p>
        </w:tc>
        <w:tc>
          <w:tcPr>
            <w:tcW w:w="1612" w:type="dxa"/>
            <w:tcBorders>
              <w:top w:val="nil"/>
              <w:left w:val="nil"/>
              <w:bottom w:val="single" w:color="000000" w:sz="8" w:space="0"/>
              <w:right w:val="single" w:color="000000" w:sz="8" w:space="0"/>
            </w:tcBorders>
            <w:vAlign w:val="center"/>
          </w:tcPr>
          <w:p w14:paraId="4101EE5F">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33B59165">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《室内照明用LED产品能效限定值及能效等级》（GB30255）</w:t>
            </w:r>
          </w:p>
        </w:tc>
      </w:tr>
      <w:tr w14:paraId="13431EF1">
        <w:tblPrEx>
          <w:tblCellMar>
            <w:top w:w="0" w:type="dxa"/>
            <w:left w:w="108" w:type="dxa"/>
            <w:bottom w:w="0" w:type="dxa"/>
            <w:right w:w="108" w:type="dxa"/>
          </w:tblCellMar>
        </w:tblPrEx>
        <w:trPr>
          <w:trHeight w:val="735" w:hRule="atLeast"/>
        </w:trPr>
        <w:tc>
          <w:tcPr>
            <w:tcW w:w="692" w:type="dxa"/>
            <w:tcBorders>
              <w:top w:val="nil"/>
              <w:left w:val="single" w:color="000000" w:sz="8" w:space="0"/>
              <w:bottom w:val="single" w:color="000000" w:sz="8" w:space="0"/>
              <w:right w:val="single" w:color="000000" w:sz="8" w:space="0"/>
            </w:tcBorders>
            <w:vAlign w:val="center"/>
          </w:tcPr>
          <w:p w14:paraId="4384D48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1084" w:type="dxa"/>
            <w:tcBorders>
              <w:top w:val="nil"/>
              <w:left w:val="nil"/>
              <w:bottom w:val="single" w:color="000000" w:sz="8" w:space="0"/>
              <w:right w:val="single" w:color="000000" w:sz="8" w:space="0"/>
            </w:tcBorders>
            <w:vAlign w:val="center"/>
          </w:tcPr>
          <w:p w14:paraId="58CDDD5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★A020910电视设备</w:t>
            </w:r>
          </w:p>
        </w:tc>
        <w:tc>
          <w:tcPr>
            <w:tcW w:w="1497" w:type="dxa"/>
            <w:tcBorders>
              <w:top w:val="nil"/>
              <w:left w:val="nil"/>
              <w:bottom w:val="single" w:color="000000" w:sz="8" w:space="0"/>
              <w:right w:val="single" w:color="000000" w:sz="8" w:space="0"/>
            </w:tcBorders>
            <w:vAlign w:val="center"/>
          </w:tcPr>
          <w:p w14:paraId="6700745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A02091001普通电视设备（电视机）</w:t>
            </w:r>
          </w:p>
        </w:tc>
        <w:tc>
          <w:tcPr>
            <w:tcW w:w="1612" w:type="dxa"/>
            <w:tcBorders>
              <w:top w:val="nil"/>
              <w:left w:val="nil"/>
              <w:bottom w:val="single" w:color="000000" w:sz="8" w:space="0"/>
              <w:right w:val="single" w:color="000000" w:sz="8" w:space="0"/>
            </w:tcBorders>
            <w:vAlign w:val="center"/>
          </w:tcPr>
          <w:p w14:paraId="776DF30E">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0D249E40">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《平板电视能效限定值及能效等级》（GB24850）</w:t>
            </w:r>
          </w:p>
        </w:tc>
      </w:tr>
      <w:tr w14:paraId="2649CC39">
        <w:tblPrEx>
          <w:tblCellMar>
            <w:top w:w="0" w:type="dxa"/>
            <w:left w:w="108" w:type="dxa"/>
            <w:bottom w:w="0" w:type="dxa"/>
            <w:right w:w="108" w:type="dxa"/>
          </w:tblCellMar>
        </w:tblPrEx>
        <w:trPr>
          <w:trHeight w:val="975" w:hRule="atLeast"/>
        </w:trPr>
        <w:tc>
          <w:tcPr>
            <w:tcW w:w="692" w:type="dxa"/>
            <w:tcBorders>
              <w:top w:val="nil"/>
              <w:left w:val="single" w:color="000000" w:sz="8" w:space="0"/>
              <w:bottom w:val="single" w:color="000000" w:sz="8" w:space="0"/>
              <w:right w:val="single" w:color="000000" w:sz="8" w:space="0"/>
            </w:tcBorders>
            <w:vAlign w:val="center"/>
          </w:tcPr>
          <w:p w14:paraId="5E02926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1084" w:type="dxa"/>
            <w:tcBorders>
              <w:top w:val="nil"/>
              <w:left w:val="nil"/>
              <w:bottom w:val="single" w:color="000000" w:sz="8" w:space="0"/>
              <w:right w:val="single" w:color="000000" w:sz="8" w:space="0"/>
            </w:tcBorders>
            <w:vAlign w:val="center"/>
          </w:tcPr>
          <w:p w14:paraId="0A24B5D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★A020911视频设备</w:t>
            </w:r>
          </w:p>
        </w:tc>
        <w:tc>
          <w:tcPr>
            <w:tcW w:w="1497" w:type="dxa"/>
            <w:tcBorders>
              <w:top w:val="nil"/>
              <w:left w:val="nil"/>
              <w:bottom w:val="single" w:color="000000" w:sz="8" w:space="0"/>
              <w:right w:val="single" w:color="000000" w:sz="8" w:space="0"/>
            </w:tcBorders>
            <w:vAlign w:val="center"/>
          </w:tcPr>
          <w:p w14:paraId="7D001E17">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A02091107视频监控设备</w:t>
            </w:r>
          </w:p>
        </w:tc>
        <w:tc>
          <w:tcPr>
            <w:tcW w:w="1612" w:type="dxa"/>
            <w:tcBorders>
              <w:top w:val="nil"/>
              <w:left w:val="nil"/>
              <w:bottom w:val="single" w:color="000000" w:sz="8" w:space="0"/>
              <w:right w:val="single" w:color="000000" w:sz="8" w:space="0"/>
            </w:tcBorders>
            <w:vAlign w:val="center"/>
          </w:tcPr>
          <w:p w14:paraId="7B2E5E83">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监视器</w:t>
            </w:r>
          </w:p>
        </w:tc>
        <w:tc>
          <w:tcPr>
            <w:tcW w:w="4853" w:type="dxa"/>
            <w:tcBorders>
              <w:top w:val="nil"/>
              <w:left w:val="nil"/>
              <w:bottom w:val="single" w:color="000000" w:sz="8" w:space="0"/>
              <w:right w:val="single" w:color="000000" w:sz="8" w:space="0"/>
            </w:tcBorders>
            <w:vAlign w:val="center"/>
          </w:tcPr>
          <w:p w14:paraId="6F8F285B">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30029E43">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1E36AC80">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14</w:t>
            </w:r>
          </w:p>
        </w:tc>
        <w:tc>
          <w:tcPr>
            <w:tcW w:w="1084" w:type="dxa"/>
            <w:tcBorders>
              <w:top w:val="nil"/>
              <w:left w:val="nil"/>
              <w:bottom w:val="single" w:color="000000" w:sz="8" w:space="0"/>
              <w:right w:val="single" w:color="000000" w:sz="8" w:space="0"/>
            </w:tcBorders>
            <w:vAlign w:val="center"/>
          </w:tcPr>
          <w:p w14:paraId="004E7F36">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A031210饮食炊事机械</w:t>
            </w:r>
          </w:p>
        </w:tc>
        <w:tc>
          <w:tcPr>
            <w:tcW w:w="1497" w:type="dxa"/>
            <w:tcBorders>
              <w:top w:val="nil"/>
              <w:left w:val="nil"/>
              <w:bottom w:val="single" w:color="000000" w:sz="8" w:space="0"/>
              <w:right w:val="single" w:color="000000" w:sz="8" w:space="0"/>
            </w:tcBorders>
            <w:vAlign w:val="center"/>
          </w:tcPr>
          <w:p w14:paraId="70BE6A54">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商用燃气灶具</w:t>
            </w:r>
          </w:p>
        </w:tc>
        <w:tc>
          <w:tcPr>
            <w:tcW w:w="1612" w:type="dxa"/>
            <w:tcBorders>
              <w:top w:val="nil"/>
              <w:left w:val="nil"/>
              <w:bottom w:val="single" w:color="000000" w:sz="8" w:space="0"/>
              <w:right w:val="single" w:color="000000" w:sz="8" w:space="0"/>
            </w:tcBorders>
            <w:vAlign w:val="center"/>
          </w:tcPr>
          <w:p w14:paraId="0A5C3AC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2FDEBDA9">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《商用燃气灶具能效限定值及能效等级》（GB30531）</w:t>
            </w:r>
          </w:p>
        </w:tc>
      </w:tr>
      <w:tr w14:paraId="2DE3D3F0">
        <w:tblPrEx>
          <w:tblCellMar>
            <w:top w:w="0" w:type="dxa"/>
            <w:left w:w="108" w:type="dxa"/>
            <w:bottom w:w="0" w:type="dxa"/>
            <w:right w:w="108" w:type="dxa"/>
          </w:tblCellMar>
        </w:tblPrEx>
        <w:trPr>
          <w:trHeight w:val="285" w:hRule="atLeast"/>
        </w:trPr>
        <w:tc>
          <w:tcPr>
            <w:tcW w:w="692" w:type="dxa"/>
            <w:vMerge w:val="restart"/>
            <w:tcBorders>
              <w:top w:val="nil"/>
              <w:left w:val="single" w:color="000000" w:sz="8" w:space="0"/>
              <w:bottom w:val="single" w:color="000000" w:sz="8" w:space="0"/>
              <w:right w:val="single" w:color="000000" w:sz="8" w:space="0"/>
            </w:tcBorders>
            <w:vAlign w:val="center"/>
          </w:tcPr>
          <w:p w14:paraId="5C689C6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1084" w:type="dxa"/>
            <w:vMerge w:val="restart"/>
            <w:tcBorders>
              <w:top w:val="nil"/>
              <w:left w:val="single" w:color="000000" w:sz="8" w:space="0"/>
              <w:bottom w:val="single" w:color="000000" w:sz="8" w:space="0"/>
              <w:right w:val="single" w:color="000000" w:sz="8" w:space="0"/>
            </w:tcBorders>
            <w:vAlign w:val="center"/>
          </w:tcPr>
          <w:p w14:paraId="1884A9D9">
            <w:pPr>
              <w:widowControl/>
              <w:wordWrap w:val="0"/>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★A060805便器</w:t>
            </w:r>
          </w:p>
        </w:tc>
        <w:tc>
          <w:tcPr>
            <w:tcW w:w="1497" w:type="dxa"/>
            <w:tcBorders>
              <w:top w:val="nil"/>
              <w:left w:val="nil"/>
              <w:bottom w:val="single" w:color="000000" w:sz="8" w:space="0"/>
              <w:right w:val="single" w:color="000000" w:sz="8" w:space="0"/>
            </w:tcBorders>
            <w:vAlign w:val="center"/>
          </w:tcPr>
          <w:p w14:paraId="7DBDAEF6">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坐便器</w:t>
            </w:r>
          </w:p>
        </w:tc>
        <w:tc>
          <w:tcPr>
            <w:tcW w:w="1612" w:type="dxa"/>
            <w:tcBorders>
              <w:top w:val="nil"/>
              <w:left w:val="nil"/>
              <w:bottom w:val="single" w:color="000000" w:sz="8" w:space="0"/>
              <w:right w:val="single" w:color="000000" w:sz="8" w:space="0"/>
            </w:tcBorders>
            <w:vAlign w:val="center"/>
          </w:tcPr>
          <w:p w14:paraId="2799F67D">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77F9B5C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《坐便器水效限定值及水效等级》（GB25502）</w:t>
            </w:r>
          </w:p>
        </w:tc>
      </w:tr>
      <w:tr w14:paraId="01F62958">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460AC194">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26747D6D">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5D02B910">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蹲便器</w:t>
            </w:r>
          </w:p>
        </w:tc>
        <w:tc>
          <w:tcPr>
            <w:tcW w:w="1612" w:type="dxa"/>
            <w:tcBorders>
              <w:top w:val="nil"/>
              <w:left w:val="nil"/>
              <w:bottom w:val="single" w:color="000000" w:sz="8" w:space="0"/>
              <w:right w:val="single" w:color="000000" w:sz="8" w:space="0"/>
            </w:tcBorders>
            <w:vAlign w:val="center"/>
          </w:tcPr>
          <w:p w14:paraId="0723166C">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2F4545D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《蹲便器用水效率限定值及用水效率等级》（GB30717）</w:t>
            </w:r>
          </w:p>
        </w:tc>
      </w:tr>
      <w:tr w14:paraId="57079CE9">
        <w:tblPrEx>
          <w:tblCellMar>
            <w:top w:w="0" w:type="dxa"/>
            <w:left w:w="108" w:type="dxa"/>
            <w:bottom w:w="0" w:type="dxa"/>
            <w:right w:w="108" w:type="dxa"/>
          </w:tblCellMar>
        </w:tblPrEx>
        <w:trPr>
          <w:trHeight w:val="495" w:hRule="atLeast"/>
        </w:trPr>
        <w:tc>
          <w:tcPr>
            <w:tcW w:w="692" w:type="dxa"/>
            <w:vMerge w:val="continue"/>
            <w:tcBorders>
              <w:top w:val="nil"/>
              <w:left w:val="single" w:color="000000" w:sz="8" w:space="0"/>
              <w:bottom w:val="single" w:color="000000" w:sz="8" w:space="0"/>
              <w:right w:val="single" w:color="000000" w:sz="8" w:space="0"/>
            </w:tcBorders>
            <w:vAlign w:val="center"/>
          </w:tcPr>
          <w:p w14:paraId="1A5DC990">
            <w:pPr>
              <w:widowControl/>
              <w:spacing w:line="300" w:lineRule="exact"/>
              <w:jc w:val="left"/>
              <w:rPr>
                <w:rFonts w:ascii="宋体" w:hAnsi="宋体" w:cs="宋体"/>
                <w:color w:val="auto"/>
                <w:kern w:val="0"/>
                <w:szCs w:val="21"/>
                <w:highlight w:val="none"/>
              </w:rPr>
            </w:pPr>
          </w:p>
        </w:tc>
        <w:tc>
          <w:tcPr>
            <w:tcW w:w="1084" w:type="dxa"/>
            <w:vMerge w:val="continue"/>
            <w:tcBorders>
              <w:top w:val="nil"/>
              <w:left w:val="single" w:color="000000" w:sz="8" w:space="0"/>
              <w:bottom w:val="single" w:color="000000" w:sz="8" w:space="0"/>
              <w:right w:val="single" w:color="000000" w:sz="8" w:space="0"/>
            </w:tcBorders>
            <w:vAlign w:val="center"/>
          </w:tcPr>
          <w:p w14:paraId="43F3D992">
            <w:pPr>
              <w:widowControl/>
              <w:spacing w:line="300" w:lineRule="exact"/>
              <w:jc w:val="left"/>
              <w:rPr>
                <w:rFonts w:ascii="宋体" w:hAnsi="宋体" w:cs="宋体"/>
                <w:color w:val="auto"/>
                <w:kern w:val="0"/>
                <w:szCs w:val="21"/>
                <w:highlight w:val="none"/>
              </w:rPr>
            </w:pPr>
          </w:p>
        </w:tc>
        <w:tc>
          <w:tcPr>
            <w:tcW w:w="1497" w:type="dxa"/>
            <w:tcBorders>
              <w:top w:val="nil"/>
              <w:left w:val="nil"/>
              <w:bottom w:val="single" w:color="000000" w:sz="8" w:space="0"/>
              <w:right w:val="single" w:color="000000" w:sz="8" w:space="0"/>
            </w:tcBorders>
            <w:vAlign w:val="center"/>
          </w:tcPr>
          <w:p w14:paraId="2A85B61E">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小便器</w:t>
            </w:r>
          </w:p>
        </w:tc>
        <w:tc>
          <w:tcPr>
            <w:tcW w:w="1612" w:type="dxa"/>
            <w:tcBorders>
              <w:top w:val="nil"/>
              <w:left w:val="nil"/>
              <w:bottom w:val="single" w:color="000000" w:sz="8" w:space="0"/>
              <w:right w:val="single" w:color="000000" w:sz="8" w:space="0"/>
            </w:tcBorders>
            <w:vAlign w:val="center"/>
          </w:tcPr>
          <w:p w14:paraId="7C3B6981">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0962BBAF">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《小便器用水效率限定值及用水效率等级》（GB28377）</w:t>
            </w:r>
          </w:p>
        </w:tc>
      </w:tr>
      <w:tr w14:paraId="33B9D0E0">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71554E87">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16</w:t>
            </w:r>
          </w:p>
        </w:tc>
        <w:tc>
          <w:tcPr>
            <w:tcW w:w="1084" w:type="dxa"/>
            <w:tcBorders>
              <w:top w:val="nil"/>
              <w:left w:val="nil"/>
              <w:bottom w:val="single" w:color="000000" w:sz="8" w:space="0"/>
              <w:right w:val="single" w:color="000000" w:sz="8" w:space="0"/>
            </w:tcBorders>
            <w:vAlign w:val="center"/>
          </w:tcPr>
          <w:p w14:paraId="7D3C2C1A">
            <w:pPr>
              <w:widowControl/>
              <w:wordWrap w:val="0"/>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★A060806水嘴</w:t>
            </w:r>
          </w:p>
        </w:tc>
        <w:tc>
          <w:tcPr>
            <w:tcW w:w="1497" w:type="dxa"/>
            <w:tcBorders>
              <w:top w:val="nil"/>
              <w:left w:val="nil"/>
              <w:bottom w:val="single" w:color="000000" w:sz="8" w:space="0"/>
              <w:right w:val="single" w:color="000000" w:sz="8" w:space="0"/>
            </w:tcBorders>
            <w:vAlign w:val="center"/>
          </w:tcPr>
          <w:p w14:paraId="27D6A84B">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12" w:type="dxa"/>
            <w:tcBorders>
              <w:top w:val="nil"/>
              <w:left w:val="nil"/>
              <w:bottom w:val="single" w:color="000000" w:sz="8" w:space="0"/>
              <w:right w:val="single" w:color="000000" w:sz="8" w:space="0"/>
            </w:tcBorders>
            <w:vAlign w:val="center"/>
          </w:tcPr>
          <w:p w14:paraId="0543CD9A">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09654A6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《水嘴用水效率限定值及用水效率等级》（GB 25501）</w:t>
            </w:r>
          </w:p>
        </w:tc>
      </w:tr>
      <w:tr w14:paraId="197C6D9C">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2AAE758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17</w:t>
            </w:r>
          </w:p>
        </w:tc>
        <w:tc>
          <w:tcPr>
            <w:tcW w:w="1084" w:type="dxa"/>
            <w:tcBorders>
              <w:top w:val="nil"/>
              <w:left w:val="nil"/>
              <w:bottom w:val="single" w:color="000000" w:sz="8" w:space="0"/>
              <w:right w:val="single" w:color="000000" w:sz="8" w:space="0"/>
            </w:tcBorders>
            <w:vAlign w:val="center"/>
          </w:tcPr>
          <w:p w14:paraId="0E941FB2">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A060807便器冲洗阀</w:t>
            </w:r>
          </w:p>
        </w:tc>
        <w:tc>
          <w:tcPr>
            <w:tcW w:w="1497" w:type="dxa"/>
            <w:tcBorders>
              <w:top w:val="nil"/>
              <w:left w:val="nil"/>
              <w:bottom w:val="single" w:color="000000" w:sz="8" w:space="0"/>
              <w:right w:val="single" w:color="000000" w:sz="8" w:space="0"/>
            </w:tcBorders>
            <w:vAlign w:val="center"/>
          </w:tcPr>
          <w:p w14:paraId="2C30951B">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12" w:type="dxa"/>
            <w:tcBorders>
              <w:top w:val="nil"/>
              <w:left w:val="nil"/>
              <w:bottom w:val="single" w:color="000000" w:sz="8" w:space="0"/>
              <w:right w:val="single" w:color="000000" w:sz="8" w:space="0"/>
            </w:tcBorders>
            <w:vAlign w:val="center"/>
          </w:tcPr>
          <w:p w14:paraId="15EC9F47">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0EE485EC">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《便器冲洗阀用水效率限定值及用水效率等级》（GB28379）</w:t>
            </w:r>
          </w:p>
        </w:tc>
      </w:tr>
      <w:tr w14:paraId="69C66B95">
        <w:tblPrEx>
          <w:tblCellMar>
            <w:top w:w="0" w:type="dxa"/>
            <w:left w:w="108" w:type="dxa"/>
            <w:bottom w:w="0" w:type="dxa"/>
            <w:right w:w="108" w:type="dxa"/>
          </w:tblCellMar>
        </w:tblPrEx>
        <w:trPr>
          <w:trHeight w:val="495" w:hRule="atLeast"/>
        </w:trPr>
        <w:tc>
          <w:tcPr>
            <w:tcW w:w="692" w:type="dxa"/>
            <w:tcBorders>
              <w:top w:val="nil"/>
              <w:left w:val="single" w:color="000000" w:sz="8" w:space="0"/>
              <w:bottom w:val="single" w:color="000000" w:sz="8" w:space="0"/>
              <w:right w:val="single" w:color="000000" w:sz="8" w:space="0"/>
            </w:tcBorders>
            <w:vAlign w:val="center"/>
          </w:tcPr>
          <w:p w14:paraId="2088D0A2">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18</w:t>
            </w:r>
          </w:p>
        </w:tc>
        <w:tc>
          <w:tcPr>
            <w:tcW w:w="1084" w:type="dxa"/>
            <w:tcBorders>
              <w:top w:val="nil"/>
              <w:left w:val="nil"/>
              <w:bottom w:val="single" w:color="000000" w:sz="8" w:space="0"/>
              <w:right w:val="single" w:color="000000" w:sz="8" w:space="0"/>
            </w:tcBorders>
            <w:vAlign w:val="center"/>
          </w:tcPr>
          <w:p w14:paraId="021331D5">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A060810淋浴器</w:t>
            </w:r>
          </w:p>
        </w:tc>
        <w:tc>
          <w:tcPr>
            <w:tcW w:w="1497" w:type="dxa"/>
            <w:tcBorders>
              <w:top w:val="nil"/>
              <w:left w:val="nil"/>
              <w:bottom w:val="single" w:color="000000" w:sz="8" w:space="0"/>
              <w:right w:val="single" w:color="000000" w:sz="8" w:space="0"/>
            </w:tcBorders>
            <w:vAlign w:val="center"/>
          </w:tcPr>
          <w:p w14:paraId="0BA9283E">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12" w:type="dxa"/>
            <w:tcBorders>
              <w:top w:val="nil"/>
              <w:left w:val="nil"/>
              <w:bottom w:val="single" w:color="000000" w:sz="8" w:space="0"/>
              <w:right w:val="single" w:color="000000" w:sz="8" w:space="0"/>
            </w:tcBorders>
            <w:vAlign w:val="center"/>
          </w:tcPr>
          <w:p w14:paraId="6DFA7259">
            <w:pPr>
              <w:widowControl/>
              <w:spacing w:line="3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4853" w:type="dxa"/>
            <w:tcBorders>
              <w:top w:val="nil"/>
              <w:left w:val="nil"/>
              <w:bottom w:val="single" w:color="000000" w:sz="8" w:space="0"/>
              <w:right w:val="single" w:color="000000" w:sz="8" w:space="0"/>
            </w:tcBorders>
            <w:vAlign w:val="center"/>
          </w:tcPr>
          <w:p w14:paraId="20AA2327">
            <w:pPr>
              <w:widowControl/>
              <w:spacing w:line="3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《淋浴器用水效率限定值及用水效率等级》（GB28378）</w:t>
            </w:r>
          </w:p>
        </w:tc>
      </w:tr>
    </w:tbl>
    <w:p w14:paraId="07BC58E2">
      <w:pPr>
        <w:pStyle w:val="2"/>
        <w:spacing w:line="360" w:lineRule="auto"/>
        <w:rPr>
          <w:rFonts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57A4F870">
      <w:pPr>
        <w:pStyle w:val="18"/>
        <w:jc w:val="left"/>
        <w:rPr>
          <w:rFonts w:hAnsi="宋体" w:cs="宋体"/>
          <w:color w:val="auto"/>
          <w:sz w:val="32"/>
          <w:szCs w:val="32"/>
          <w:highlight w:val="none"/>
        </w:rPr>
      </w:pPr>
      <w:r>
        <w:rPr>
          <w:rFonts w:hint="eastAsia" w:hAnsi="宋体" w:cs="宋体"/>
          <w:color w:val="auto"/>
          <w:sz w:val="21"/>
          <w:highlight w:val="none"/>
        </w:rPr>
        <w:t xml:space="preserve">    2.以“★”标注的为政府强制采购产品。</w:t>
      </w:r>
      <w:r>
        <w:rPr>
          <w:rFonts w:hint="eastAsia" w:hAnsi="宋体" w:cs="宋体"/>
          <w:color w:val="auto"/>
          <w:highlight w:val="none"/>
        </w:rPr>
        <w:br w:type="page"/>
      </w:r>
      <w:r>
        <w:rPr>
          <w:rFonts w:hint="eastAsia" w:hAnsi="宋体" w:cs="宋体"/>
          <w:b/>
          <w:bCs/>
          <w:color w:val="auto"/>
          <w:sz w:val="32"/>
          <w:szCs w:val="32"/>
          <w:highlight w:val="none"/>
        </w:rPr>
        <w:t>附件2：</w:t>
      </w:r>
    </w:p>
    <w:p w14:paraId="6C1C80FE">
      <w:pPr>
        <w:spacing w:line="528" w:lineRule="exact"/>
        <w:jc w:val="center"/>
        <w:rPr>
          <w:rFonts w:ascii="宋体" w:hAnsi="宋体" w:cs="宋体"/>
          <w:b/>
          <w:bCs/>
          <w:color w:val="auto"/>
          <w:sz w:val="40"/>
          <w:szCs w:val="40"/>
          <w:highlight w:val="none"/>
        </w:rPr>
      </w:pPr>
      <w:r>
        <w:rPr>
          <w:rFonts w:hint="eastAsia" w:ascii="宋体" w:hAnsi="宋体" w:cs="宋体"/>
          <w:b/>
          <w:bCs/>
          <w:color w:val="auto"/>
          <w:sz w:val="40"/>
          <w:szCs w:val="40"/>
          <w:highlight w:val="none"/>
        </w:rPr>
        <w:t>中小微企业划型标准</w:t>
      </w:r>
    </w:p>
    <w:tbl>
      <w:tblPr>
        <w:tblStyle w:val="32"/>
        <w:tblW w:w="0" w:type="auto"/>
        <w:tblInd w:w="250" w:type="dxa"/>
        <w:tblLayout w:type="fixed"/>
        <w:tblCellMar>
          <w:top w:w="0" w:type="dxa"/>
          <w:left w:w="108" w:type="dxa"/>
          <w:bottom w:w="0" w:type="dxa"/>
          <w:right w:w="108" w:type="dxa"/>
        </w:tblCellMar>
      </w:tblPr>
      <w:tblGrid>
        <w:gridCol w:w="1985"/>
        <w:gridCol w:w="1665"/>
        <w:gridCol w:w="1170"/>
        <w:gridCol w:w="1842"/>
        <w:gridCol w:w="1701"/>
        <w:gridCol w:w="1134"/>
      </w:tblGrid>
      <w:tr w14:paraId="3D9D313B">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0BAD7225">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65" w:type="dxa"/>
            <w:tcBorders>
              <w:top w:val="single" w:color="auto" w:sz="4" w:space="0"/>
              <w:left w:val="nil"/>
              <w:bottom w:val="single" w:color="auto" w:sz="4" w:space="0"/>
              <w:right w:val="single" w:color="auto" w:sz="4" w:space="0"/>
            </w:tcBorders>
            <w:vAlign w:val="center"/>
          </w:tcPr>
          <w:p w14:paraId="5CD992C6">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170" w:type="dxa"/>
            <w:tcBorders>
              <w:top w:val="single" w:color="auto" w:sz="4" w:space="0"/>
              <w:left w:val="nil"/>
              <w:bottom w:val="single" w:color="auto" w:sz="4" w:space="0"/>
              <w:right w:val="single" w:color="auto" w:sz="4" w:space="0"/>
            </w:tcBorders>
            <w:vAlign w:val="center"/>
          </w:tcPr>
          <w:p w14:paraId="1D6B1041">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842" w:type="dxa"/>
            <w:tcBorders>
              <w:top w:val="single" w:color="auto" w:sz="4" w:space="0"/>
              <w:left w:val="nil"/>
              <w:bottom w:val="single" w:color="auto" w:sz="4" w:space="0"/>
              <w:right w:val="single" w:color="auto" w:sz="4" w:space="0"/>
            </w:tcBorders>
            <w:vAlign w:val="center"/>
          </w:tcPr>
          <w:p w14:paraId="645C03C4">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1" w:type="dxa"/>
            <w:tcBorders>
              <w:top w:val="single" w:color="auto" w:sz="4" w:space="0"/>
              <w:left w:val="nil"/>
              <w:bottom w:val="single" w:color="auto" w:sz="4" w:space="0"/>
              <w:right w:val="single" w:color="auto" w:sz="4" w:space="0"/>
            </w:tcBorders>
            <w:vAlign w:val="center"/>
          </w:tcPr>
          <w:p w14:paraId="63BB0012">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134" w:type="dxa"/>
            <w:tcBorders>
              <w:top w:val="single" w:color="auto" w:sz="4" w:space="0"/>
              <w:left w:val="nil"/>
              <w:bottom w:val="single" w:color="auto" w:sz="4" w:space="0"/>
              <w:right w:val="single" w:color="auto" w:sz="4" w:space="0"/>
            </w:tcBorders>
            <w:vAlign w:val="center"/>
          </w:tcPr>
          <w:p w14:paraId="5F27DB48">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78E8DFA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73131D13">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65" w:type="dxa"/>
            <w:tcBorders>
              <w:top w:val="nil"/>
              <w:left w:val="nil"/>
              <w:bottom w:val="single" w:color="auto" w:sz="4" w:space="0"/>
              <w:right w:val="single" w:color="auto" w:sz="4" w:space="0"/>
            </w:tcBorders>
            <w:vAlign w:val="center"/>
          </w:tcPr>
          <w:p w14:paraId="54A7E4A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6DF42E5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05C90D9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1" w:type="dxa"/>
            <w:tcBorders>
              <w:top w:val="nil"/>
              <w:left w:val="nil"/>
              <w:bottom w:val="single" w:color="auto" w:sz="4" w:space="0"/>
              <w:right w:val="single" w:color="auto" w:sz="4" w:space="0"/>
            </w:tcBorders>
            <w:vAlign w:val="center"/>
          </w:tcPr>
          <w:p w14:paraId="2FB554A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50≤Y＜500</w:t>
            </w:r>
          </w:p>
        </w:tc>
        <w:tc>
          <w:tcPr>
            <w:tcW w:w="1134" w:type="dxa"/>
            <w:tcBorders>
              <w:top w:val="nil"/>
              <w:left w:val="nil"/>
              <w:bottom w:val="single" w:color="auto" w:sz="4" w:space="0"/>
              <w:right w:val="single" w:color="auto" w:sz="4" w:space="0"/>
            </w:tcBorders>
            <w:vAlign w:val="center"/>
          </w:tcPr>
          <w:p w14:paraId="6A8CF07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6B62AAC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BDB372B">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65" w:type="dxa"/>
            <w:tcBorders>
              <w:top w:val="nil"/>
              <w:left w:val="nil"/>
              <w:bottom w:val="single" w:color="auto" w:sz="4" w:space="0"/>
              <w:right w:val="single" w:color="auto" w:sz="4" w:space="0"/>
            </w:tcBorders>
            <w:vAlign w:val="center"/>
          </w:tcPr>
          <w:p w14:paraId="7B2D5F9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45F5F0D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0BC2C28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＜1000</w:t>
            </w:r>
          </w:p>
        </w:tc>
        <w:tc>
          <w:tcPr>
            <w:tcW w:w="1701" w:type="dxa"/>
            <w:tcBorders>
              <w:top w:val="nil"/>
              <w:left w:val="nil"/>
              <w:bottom w:val="single" w:color="auto" w:sz="4" w:space="0"/>
              <w:right w:val="single" w:color="auto" w:sz="4" w:space="0"/>
            </w:tcBorders>
            <w:vAlign w:val="center"/>
          </w:tcPr>
          <w:p w14:paraId="5989151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134" w:type="dxa"/>
            <w:tcBorders>
              <w:top w:val="nil"/>
              <w:left w:val="nil"/>
              <w:bottom w:val="single" w:color="auto" w:sz="4" w:space="0"/>
              <w:right w:val="single" w:color="auto" w:sz="4" w:space="0"/>
            </w:tcBorders>
            <w:vAlign w:val="center"/>
          </w:tcPr>
          <w:p w14:paraId="6A48B06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w:t>
            </w:r>
          </w:p>
        </w:tc>
      </w:tr>
      <w:tr w14:paraId="646494C8">
        <w:tblPrEx>
          <w:tblCellMar>
            <w:top w:w="0" w:type="dxa"/>
            <w:left w:w="108" w:type="dxa"/>
            <w:bottom w:w="0" w:type="dxa"/>
            <w:right w:w="108" w:type="dxa"/>
          </w:tblCellMar>
        </w:tblPrEx>
        <w:trPr>
          <w:trHeight w:val="319" w:hRule="atLeast"/>
        </w:trPr>
        <w:tc>
          <w:tcPr>
            <w:tcW w:w="1985" w:type="dxa"/>
            <w:vMerge w:val="continue"/>
            <w:tcBorders>
              <w:top w:val="nil"/>
              <w:left w:val="single" w:color="auto" w:sz="4" w:space="0"/>
              <w:bottom w:val="single" w:color="auto" w:sz="4" w:space="0"/>
              <w:right w:val="single" w:color="auto" w:sz="4" w:space="0"/>
            </w:tcBorders>
            <w:vAlign w:val="center"/>
          </w:tcPr>
          <w:p w14:paraId="0CD7739F">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2F20109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430C682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71BBB1E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1" w:type="dxa"/>
            <w:tcBorders>
              <w:top w:val="nil"/>
              <w:left w:val="nil"/>
              <w:bottom w:val="single" w:color="auto" w:sz="4" w:space="0"/>
              <w:right w:val="single" w:color="auto" w:sz="4" w:space="0"/>
            </w:tcBorders>
            <w:vAlign w:val="center"/>
          </w:tcPr>
          <w:p w14:paraId="5CC6B95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134" w:type="dxa"/>
            <w:tcBorders>
              <w:top w:val="nil"/>
              <w:left w:val="nil"/>
              <w:bottom w:val="single" w:color="auto" w:sz="4" w:space="0"/>
              <w:right w:val="single" w:color="auto" w:sz="4" w:space="0"/>
            </w:tcBorders>
            <w:vAlign w:val="center"/>
          </w:tcPr>
          <w:p w14:paraId="060BD49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1227948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F8F795E">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65" w:type="dxa"/>
            <w:tcBorders>
              <w:top w:val="nil"/>
              <w:left w:val="nil"/>
              <w:bottom w:val="single" w:color="auto" w:sz="4" w:space="0"/>
              <w:right w:val="single" w:color="auto" w:sz="4" w:space="0"/>
            </w:tcBorders>
            <w:vAlign w:val="center"/>
          </w:tcPr>
          <w:p w14:paraId="14ED44D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45E37D4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3A9974C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1" w:type="dxa"/>
            <w:tcBorders>
              <w:top w:val="nil"/>
              <w:left w:val="nil"/>
              <w:bottom w:val="single" w:color="auto" w:sz="4" w:space="0"/>
              <w:right w:val="single" w:color="auto" w:sz="4" w:space="0"/>
            </w:tcBorders>
            <w:vAlign w:val="center"/>
          </w:tcPr>
          <w:p w14:paraId="029D44A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134" w:type="dxa"/>
            <w:tcBorders>
              <w:top w:val="nil"/>
              <w:left w:val="nil"/>
              <w:bottom w:val="single" w:color="auto" w:sz="4" w:space="0"/>
              <w:right w:val="single" w:color="auto" w:sz="4" w:space="0"/>
            </w:tcBorders>
            <w:vAlign w:val="center"/>
          </w:tcPr>
          <w:p w14:paraId="70DA50A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Y＜300</w:t>
            </w:r>
          </w:p>
        </w:tc>
      </w:tr>
      <w:tr w14:paraId="132BDCE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3649E96">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03A280C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170" w:type="dxa"/>
            <w:tcBorders>
              <w:top w:val="nil"/>
              <w:left w:val="nil"/>
              <w:bottom w:val="single" w:color="auto" w:sz="4" w:space="0"/>
              <w:right w:val="single" w:color="auto" w:sz="4" w:space="0"/>
            </w:tcBorders>
            <w:vAlign w:val="center"/>
          </w:tcPr>
          <w:p w14:paraId="5F732B7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3D9AE64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1" w:type="dxa"/>
            <w:tcBorders>
              <w:top w:val="nil"/>
              <w:left w:val="nil"/>
              <w:bottom w:val="single" w:color="auto" w:sz="4" w:space="0"/>
              <w:right w:val="single" w:color="auto" w:sz="4" w:space="0"/>
            </w:tcBorders>
            <w:vAlign w:val="center"/>
          </w:tcPr>
          <w:p w14:paraId="0A4EE02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134" w:type="dxa"/>
            <w:tcBorders>
              <w:top w:val="nil"/>
              <w:left w:val="nil"/>
              <w:bottom w:val="single" w:color="auto" w:sz="4" w:space="0"/>
              <w:right w:val="single" w:color="auto" w:sz="4" w:space="0"/>
            </w:tcBorders>
            <w:vAlign w:val="center"/>
          </w:tcPr>
          <w:p w14:paraId="719C397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Z＜300</w:t>
            </w:r>
          </w:p>
        </w:tc>
      </w:tr>
      <w:tr w14:paraId="6BA6A5D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4143948">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65" w:type="dxa"/>
            <w:tcBorders>
              <w:top w:val="nil"/>
              <w:left w:val="nil"/>
              <w:bottom w:val="single" w:color="auto" w:sz="4" w:space="0"/>
              <w:right w:val="single" w:color="auto" w:sz="4" w:space="0"/>
            </w:tcBorders>
            <w:vAlign w:val="center"/>
          </w:tcPr>
          <w:p w14:paraId="4AF5F53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0D908A7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6998E9D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＜200</w:t>
            </w:r>
          </w:p>
        </w:tc>
        <w:tc>
          <w:tcPr>
            <w:tcW w:w="1701" w:type="dxa"/>
            <w:tcBorders>
              <w:top w:val="nil"/>
              <w:left w:val="nil"/>
              <w:bottom w:val="single" w:color="auto" w:sz="4" w:space="0"/>
              <w:right w:val="single" w:color="auto" w:sz="4" w:space="0"/>
            </w:tcBorders>
            <w:vAlign w:val="center"/>
          </w:tcPr>
          <w:p w14:paraId="7DB4111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w:t>
            </w:r>
          </w:p>
        </w:tc>
        <w:tc>
          <w:tcPr>
            <w:tcW w:w="1134" w:type="dxa"/>
            <w:tcBorders>
              <w:top w:val="nil"/>
              <w:left w:val="nil"/>
              <w:bottom w:val="single" w:color="auto" w:sz="4" w:space="0"/>
              <w:right w:val="single" w:color="auto" w:sz="4" w:space="0"/>
            </w:tcBorders>
            <w:vAlign w:val="center"/>
          </w:tcPr>
          <w:p w14:paraId="3615749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＜5</w:t>
            </w:r>
          </w:p>
        </w:tc>
      </w:tr>
      <w:tr w14:paraId="5BEF56D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DBD5E8D">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6EBD0FF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069851A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165DE51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1" w:type="dxa"/>
            <w:tcBorders>
              <w:top w:val="nil"/>
              <w:left w:val="nil"/>
              <w:bottom w:val="single" w:color="auto" w:sz="4" w:space="0"/>
              <w:right w:val="single" w:color="auto" w:sz="4" w:space="0"/>
            </w:tcBorders>
            <w:vAlign w:val="center"/>
          </w:tcPr>
          <w:p w14:paraId="1F932C0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134" w:type="dxa"/>
            <w:tcBorders>
              <w:top w:val="nil"/>
              <w:left w:val="nil"/>
              <w:bottom w:val="single" w:color="auto" w:sz="4" w:space="0"/>
              <w:right w:val="single" w:color="auto" w:sz="4" w:space="0"/>
            </w:tcBorders>
            <w:vAlign w:val="center"/>
          </w:tcPr>
          <w:p w14:paraId="111A8AC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Y＜1000</w:t>
            </w:r>
          </w:p>
        </w:tc>
      </w:tr>
      <w:tr w14:paraId="1B78FF41">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CEBCD27">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65" w:type="dxa"/>
            <w:tcBorders>
              <w:top w:val="nil"/>
              <w:left w:val="nil"/>
              <w:bottom w:val="single" w:color="auto" w:sz="4" w:space="0"/>
              <w:right w:val="single" w:color="auto" w:sz="4" w:space="0"/>
            </w:tcBorders>
            <w:vAlign w:val="center"/>
          </w:tcPr>
          <w:p w14:paraId="1DBF14E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14DBAD8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488E986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701" w:type="dxa"/>
            <w:tcBorders>
              <w:top w:val="nil"/>
              <w:left w:val="nil"/>
              <w:bottom w:val="single" w:color="auto" w:sz="4" w:space="0"/>
              <w:right w:val="single" w:color="auto" w:sz="4" w:space="0"/>
            </w:tcBorders>
            <w:vAlign w:val="center"/>
          </w:tcPr>
          <w:p w14:paraId="3FBA148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＜50</w:t>
            </w:r>
          </w:p>
        </w:tc>
        <w:tc>
          <w:tcPr>
            <w:tcW w:w="1134" w:type="dxa"/>
            <w:tcBorders>
              <w:top w:val="nil"/>
              <w:left w:val="nil"/>
              <w:bottom w:val="single" w:color="auto" w:sz="4" w:space="0"/>
              <w:right w:val="single" w:color="auto" w:sz="4" w:space="0"/>
            </w:tcBorders>
            <w:vAlign w:val="center"/>
          </w:tcPr>
          <w:p w14:paraId="484FC72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w:t>
            </w:r>
          </w:p>
        </w:tc>
      </w:tr>
      <w:tr w14:paraId="2E7E6F8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57DDEB6">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4084488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712EC4A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345D258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1" w:type="dxa"/>
            <w:tcBorders>
              <w:top w:val="nil"/>
              <w:left w:val="nil"/>
              <w:bottom w:val="single" w:color="auto" w:sz="4" w:space="0"/>
              <w:right w:val="single" w:color="auto" w:sz="4" w:space="0"/>
            </w:tcBorders>
            <w:vAlign w:val="center"/>
          </w:tcPr>
          <w:p w14:paraId="23AA94F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134" w:type="dxa"/>
            <w:tcBorders>
              <w:top w:val="nil"/>
              <w:left w:val="nil"/>
              <w:bottom w:val="single" w:color="auto" w:sz="4" w:space="0"/>
              <w:right w:val="single" w:color="auto" w:sz="4" w:space="0"/>
            </w:tcBorders>
            <w:vAlign w:val="center"/>
          </w:tcPr>
          <w:p w14:paraId="58FD8A1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72D3BBE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8AB1DA6">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65" w:type="dxa"/>
            <w:tcBorders>
              <w:top w:val="nil"/>
              <w:left w:val="nil"/>
              <w:bottom w:val="single" w:color="auto" w:sz="4" w:space="0"/>
              <w:right w:val="single" w:color="auto" w:sz="4" w:space="0"/>
            </w:tcBorders>
            <w:vAlign w:val="center"/>
          </w:tcPr>
          <w:p w14:paraId="1E99CDE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68EC813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2FFA6CD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＜1000</w:t>
            </w:r>
          </w:p>
        </w:tc>
        <w:tc>
          <w:tcPr>
            <w:tcW w:w="1701" w:type="dxa"/>
            <w:tcBorders>
              <w:top w:val="nil"/>
              <w:left w:val="nil"/>
              <w:bottom w:val="single" w:color="auto" w:sz="4" w:space="0"/>
              <w:right w:val="single" w:color="auto" w:sz="4" w:space="0"/>
            </w:tcBorders>
            <w:vAlign w:val="center"/>
          </w:tcPr>
          <w:p w14:paraId="06D8E9A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134" w:type="dxa"/>
            <w:tcBorders>
              <w:top w:val="nil"/>
              <w:left w:val="nil"/>
              <w:bottom w:val="single" w:color="auto" w:sz="4" w:space="0"/>
              <w:right w:val="single" w:color="auto" w:sz="4" w:space="0"/>
            </w:tcBorders>
            <w:vAlign w:val="center"/>
          </w:tcPr>
          <w:p w14:paraId="01D04C4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w:t>
            </w:r>
          </w:p>
        </w:tc>
      </w:tr>
      <w:tr w14:paraId="7EB295C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BF4A4B0">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0FD029D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291845F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6D08EC7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1" w:type="dxa"/>
            <w:tcBorders>
              <w:top w:val="nil"/>
              <w:left w:val="nil"/>
              <w:bottom w:val="single" w:color="auto" w:sz="4" w:space="0"/>
              <w:right w:val="single" w:color="auto" w:sz="4" w:space="0"/>
            </w:tcBorders>
            <w:vAlign w:val="center"/>
          </w:tcPr>
          <w:p w14:paraId="6809F68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134" w:type="dxa"/>
            <w:tcBorders>
              <w:top w:val="nil"/>
              <w:left w:val="nil"/>
              <w:bottom w:val="single" w:color="auto" w:sz="4" w:space="0"/>
              <w:right w:val="single" w:color="auto" w:sz="4" w:space="0"/>
            </w:tcBorders>
            <w:vAlign w:val="center"/>
          </w:tcPr>
          <w:p w14:paraId="11DB05E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Y＜200</w:t>
            </w:r>
          </w:p>
        </w:tc>
      </w:tr>
      <w:tr w14:paraId="0C576EC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88CC6A1">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65" w:type="dxa"/>
            <w:tcBorders>
              <w:top w:val="nil"/>
              <w:left w:val="nil"/>
              <w:bottom w:val="single" w:color="auto" w:sz="4" w:space="0"/>
              <w:right w:val="single" w:color="auto" w:sz="4" w:space="0"/>
            </w:tcBorders>
            <w:vAlign w:val="center"/>
          </w:tcPr>
          <w:p w14:paraId="31792FD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22F0118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0643823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＜200</w:t>
            </w:r>
          </w:p>
        </w:tc>
        <w:tc>
          <w:tcPr>
            <w:tcW w:w="1701" w:type="dxa"/>
            <w:tcBorders>
              <w:top w:val="nil"/>
              <w:left w:val="nil"/>
              <w:bottom w:val="single" w:color="auto" w:sz="4" w:space="0"/>
              <w:right w:val="single" w:color="auto" w:sz="4" w:space="0"/>
            </w:tcBorders>
            <w:vAlign w:val="center"/>
          </w:tcPr>
          <w:p w14:paraId="3E1004E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c>
          <w:tcPr>
            <w:tcW w:w="1134" w:type="dxa"/>
            <w:tcBorders>
              <w:top w:val="nil"/>
              <w:left w:val="nil"/>
              <w:bottom w:val="single" w:color="auto" w:sz="4" w:space="0"/>
              <w:right w:val="single" w:color="auto" w:sz="4" w:space="0"/>
            </w:tcBorders>
            <w:vAlign w:val="center"/>
          </w:tcPr>
          <w:p w14:paraId="781C965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w:t>
            </w:r>
          </w:p>
        </w:tc>
      </w:tr>
      <w:tr w14:paraId="67CBAEF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4BF5C0A">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3003D91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15F2387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1EDDFF9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1" w:type="dxa"/>
            <w:tcBorders>
              <w:top w:val="nil"/>
              <w:left w:val="nil"/>
              <w:bottom w:val="single" w:color="auto" w:sz="4" w:space="0"/>
              <w:right w:val="single" w:color="auto" w:sz="4" w:space="0"/>
            </w:tcBorders>
            <w:vAlign w:val="center"/>
          </w:tcPr>
          <w:p w14:paraId="0B5C8D6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vAlign w:val="center"/>
          </w:tcPr>
          <w:p w14:paraId="1170815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53B439CD">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8160C56">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65" w:type="dxa"/>
            <w:tcBorders>
              <w:top w:val="nil"/>
              <w:left w:val="nil"/>
              <w:bottom w:val="single" w:color="auto" w:sz="4" w:space="0"/>
              <w:right w:val="single" w:color="auto" w:sz="4" w:space="0"/>
            </w:tcBorders>
            <w:vAlign w:val="center"/>
          </w:tcPr>
          <w:p w14:paraId="3476DF1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4752C70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20287CC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＜1000</w:t>
            </w:r>
          </w:p>
        </w:tc>
        <w:tc>
          <w:tcPr>
            <w:tcW w:w="1701" w:type="dxa"/>
            <w:tcBorders>
              <w:top w:val="nil"/>
              <w:left w:val="nil"/>
              <w:bottom w:val="single" w:color="auto" w:sz="4" w:space="0"/>
              <w:right w:val="single" w:color="auto" w:sz="4" w:space="0"/>
            </w:tcBorders>
            <w:vAlign w:val="center"/>
          </w:tcPr>
          <w:p w14:paraId="3B327CA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134" w:type="dxa"/>
            <w:tcBorders>
              <w:top w:val="nil"/>
              <w:left w:val="nil"/>
              <w:bottom w:val="single" w:color="auto" w:sz="4" w:space="0"/>
              <w:right w:val="single" w:color="auto" w:sz="4" w:space="0"/>
            </w:tcBorders>
            <w:vAlign w:val="center"/>
          </w:tcPr>
          <w:p w14:paraId="1B03F4A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w:t>
            </w:r>
          </w:p>
        </w:tc>
      </w:tr>
      <w:tr w14:paraId="2AAD48E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D6D008A">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247FC38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285803D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091B29E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1" w:type="dxa"/>
            <w:tcBorders>
              <w:top w:val="nil"/>
              <w:left w:val="nil"/>
              <w:bottom w:val="single" w:color="auto" w:sz="4" w:space="0"/>
              <w:right w:val="single" w:color="auto" w:sz="4" w:space="0"/>
            </w:tcBorders>
            <w:vAlign w:val="center"/>
          </w:tcPr>
          <w:p w14:paraId="02DF039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vAlign w:val="center"/>
          </w:tcPr>
          <w:p w14:paraId="7437FBA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560A0EF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299C5FA">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65" w:type="dxa"/>
            <w:tcBorders>
              <w:top w:val="nil"/>
              <w:left w:val="nil"/>
              <w:bottom w:val="single" w:color="auto" w:sz="4" w:space="0"/>
              <w:right w:val="single" w:color="auto" w:sz="4" w:space="0"/>
            </w:tcBorders>
            <w:vAlign w:val="center"/>
          </w:tcPr>
          <w:p w14:paraId="7B36BDF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7206504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1FFC3F4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701" w:type="dxa"/>
            <w:tcBorders>
              <w:top w:val="nil"/>
              <w:left w:val="nil"/>
              <w:bottom w:val="single" w:color="auto" w:sz="4" w:space="0"/>
              <w:right w:val="single" w:color="auto" w:sz="4" w:space="0"/>
            </w:tcBorders>
            <w:vAlign w:val="center"/>
          </w:tcPr>
          <w:p w14:paraId="45ACBCE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c>
          <w:tcPr>
            <w:tcW w:w="1134" w:type="dxa"/>
            <w:tcBorders>
              <w:top w:val="nil"/>
              <w:left w:val="nil"/>
              <w:bottom w:val="single" w:color="auto" w:sz="4" w:space="0"/>
              <w:right w:val="single" w:color="auto" w:sz="4" w:space="0"/>
            </w:tcBorders>
            <w:vAlign w:val="center"/>
          </w:tcPr>
          <w:p w14:paraId="2E33CDE5">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w:t>
            </w:r>
          </w:p>
        </w:tc>
      </w:tr>
      <w:tr w14:paraId="212D859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F8DB6EE">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7EC8F87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6B447C3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1EA0FCF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1" w:type="dxa"/>
            <w:tcBorders>
              <w:top w:val="nil"/>
              <w:left w:val="nil"/>
              <w:bottom w:val="single" w:color="auto" w:sz="4" w:space="0"/>
              <w:right w:val="single" w:color="auto" w:sz="4" w:space="0"/>
            </w:tcBorders>
            <w:vAlign w:val="center"/>
          </w:tcPr>
          <w:p w14:paraId="1A76D43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vAlign w:val="center"/>
          </w:tcPr>
          <w:p w14:paraId="6D0511A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0A0CFE8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749C3C6">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65" w:type="dxa"/>
            <w:tcBorders>
              <w:top w:val="nil"/>
              <w:left w:val="nil"/>
              <w:bottom w:val="single" w:color="auto" w:sz="4" w:space="0"/>
              <w:right w:val="single" w:color="auto" w:sz="4" w:space="0"/>
            </w:tcBorders>
            <w:vAlign w:val="center"/>
          </w:tcPr>
          <w:p w14:paraId="1F5F1EB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2F84925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26E990BF">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701" w:type="dxa"/>
            <w:tcBorders>
              <w:top w:val="nil"/>
              <w:left w:val="nil"/>
              <w:bottom w:val="single" w:color="auto" w:sz="4" w:space="0"/>
              <w:right w:val="single" w:color="auto" w:sz="4" w:space="0"/>
            </w:tcBorders>
            <w:vAlign w:val="center"/>
          </w:tcPr>
          <w:p w14:paraId="328465B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c>
          <w:tcPr>
            <w:tcW w:w="1134" w:type="dxa"/>
            <w:tcBorders>
              <w:top w:val="nil"/>
              <w:left w:val="nil"/>
              <w:bottom w:val="single" w:color="auto" w:sz="4" w:space="0"/>
              <w:right w:val="single" w:color="auto" w:sz="4" w:space="0"/>
            </w:tcBorders>
            <w:vAlign w:val="center"/>
          </w:tcPr>
          <w:p w14:paraId="1D72101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w:t>
            </w:r>
          </w:p>
        </w:tc>
      </w:tr>
      <w:tr w14:paraId="48FDEF0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2B40CB0">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3F2C4D1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277A73F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5F7FEFE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1" w:type="dxa"/>
            <w:tcBorders>
              <w:top w:val="nil"/>
              <w:left w:val="nil"/>
              <w:bottom w:val="single" w:color="auto" w:sz="4" w:space="0"/>
              <w:right w:val="single" w:color="auto" w:sz="4" w:space="0"/>
            </w:tcBorders>
            <w:vAlign w:val="center"/>
          </w:tcPr>
          <w:p w14:paraId="76064CD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134" w:type="dxa"/>
            <w:tcBorders>
              <w:top w:val="nil"/>
              <w:left w:val="nil"/>
              <w:bottom w:val="single" w:color="auto" w:sz="4" w:space="0"/>
              <w:right w:val="single" w:color="auto" w:sz="4" w:space="0"/>
            </w:tcBorders>
            <w:vAlign w:val="center"/>
          </w:tcPr>
          <w:p w14:paraId="1C38BF2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68B38DD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9E44FFD">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65" w:type="dxa"/>
            <w:tcBorders>
              <w:top w:val="nil"/>
              <w:left w:val="nil"/>
              <w:bottom w:val="single" w:color="auto" w:sz="4" w:space="0"/>
              <w:right w:val="single" w:color="auto" w:sz="4" w:space="0"/>
            </w:tcBorders>
            <w:vAlign w:val="center"/>
          </w:tcPr>
          <w:p w14:paraId="59E62E5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5A729A5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2522598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＜2000</w:t>
            </w:r>
          </w:p>
        </w:tc>
        <w:tc>
          <w:tcPr>
            <w:tcW w:w="1701" w:type="dxa"/>
            <w:tcBorders>
              <w:top w:val="nil"/>
              <w:left w:val="nil"/>
              <w:bottom w:val="single" w:color="auto" w:sz="4" w:space="0"/>
              <w:right w:val="single" w:color="auto" w:sz="4" w:space="0"/>
            </w:tcBorders>
            <w:vAlign w:val="center"/>
          </w:tcPr>
          <w:p w14:paraId="2860E7D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c>
          <w:tcPr>
            <w:tcW w:w="1134" w:type="dxa"/>
            <w:tcBorders>
              <w:top w:val="nil"/>
              <w:left w:val="nil"/>
              <w:bottom w:val="single" w:color="auto" w:sz="4" w:space="0"/>
              <w:right w:val="single" w:color="auto" w:sz="4" w:space="0"/>
            </w:tcBorders>
            <w:vAlign w:val="center"/>
          </w:tcPr>
          <w:p w14:paraId="49B95D3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w:t>
            </w:r>
          </w:p>
        </w:tc>
      </w:tr>
      <w:tr w14:paraId="3CC180D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8919651">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29A86E4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67C7695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5B33B21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1" w:type="dxa"/>
            <w:tcBorders>
              <w:top w:val="nil"/>
              <w:left w:val="nil"/>
              <w:bottom w:val="single" w:color="auto" w:sz="4" w:space="0"/>
              <w:right w:val="single" w:color="auto" w:sz="4" w:space="0"/>
            </w:tcBorders>
            <w:vAlign w:val="center"/>
          </w:tcPr>
          <w:p w14:paraId="024CF6A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134" w:type="dxa"/>
            <w:tcBorders>
              <w:top w:val="nil"/>
              <w:left w:val="nil"/>
              <w:bottom w:val="single" w:color="auto" w:sz="4" w:space="0"/>
              <w:right w:val="single" w:color="auto" w:sz="4" w:space="0"/>
            </w:tcBorders>
            <w:vAlign w:val="center"/>
          </w:tcPr>
          <w:p w14:paraId="0E34330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133827FC">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3805CCB2">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65" w:type="dxa"/>
            <w:tcBorders>
              <w:top w:val="nil"/>
              <w:left w:val="nil"/>
              <w:bottom w:val="single" w:color="auto" w:sz="4" w:space="0"/>
              <w:right w:val="single" w:color="auto" w:sz="4" w:space="0"/>
            </w:tcBorders>
            <w:vAlign w:val="center"/>
          </w:tcPr>
          <w:p w14:paraId="7CCC945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0C02F3A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4FD48DE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701" w:type="dxa"/>
            <w:tcBorders>
              <w:top w:val="nil"/>
              <w:left w:val="nil"/>
              <w:bottom w:val="single" w:color="auto" w:sz="4" w:space="0"/>
              <w:right w:val="single" w:color="auto" w:sz="4" w:space="0"/>
            </w:tcBorders>
            <w:vAlign w:val="center"/>
          </w:tcPr>
          <w:p w14:paraId="40B1D8A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c>
          <w:tcPr>
            <w:tcW w:w="1134" w:type="dxa"/>
            <w:tcBorders>
              <w:top w:val="nil"/>
              <w:left w:val="nil"/>
              <w:bottom w:val="single" w:color="auto" w:sz="4" w:space="0"/>
              <w:right w:val="single" w:color="auto" w:sz="4" w:space="0"/>
            </w:tcBorders>
            <w:vAlign w:val="center"/>
          </w:tcPr>
          <w:p w14:paraId="5C3CDB4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w:t>
            </w:r>
          </w:p>
        </w:tc>
      </w:tr>
      <w:tr w14:paraId="76FD531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308608D">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22CC89C2">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5FEFECE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2E27D41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1" w:type="dxa"/>
            <w:tcBorders>
              <w:top w:val="nil"/>
              <w:left w:val="nil"/>
              <w:bottom w:val="single" w:color="auto" w:sz="4" w:space="0"/>
              <w:right w:val="single" w:color="auto" w:sz="4" w:space="0"/>
            </w:tcBorders>
            <w:vAlign w:val="center"/>
          </w:tcPr>
          <w:p w14:paraId="4297F93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134" w:type="dxa"/>
            <w:tcBorders>
              <w:top w:val="nil"/>
              <w:left w:val="nil"/>
              <w:bottom w:val="single" w:color="auto" w:sz="4" w:space="0"/>
              <w:right w:val="single" w:color="auto" w:sz="4" w:space="0"/>
            </w:tcBorders>
            <w:vAlign w:val="center"/>
          </w:tcPr>
          <w:p w14:paraId="189CB36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Y＜50</w:t>
            </w:r>
          </w:p>
        </w:tc>
      </w:tr>
      <w:tr w14:paraId="0A233EC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D726366">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65" w:type="dxa"/>
            <w:tcBorders>
              <w:top w:val="nil"/>
              <w:left w:val="nil"/>
              <w:bottom w:val="single" w:color="auto" w:sz="4" w:space="0"/>
              <w:right w:val="single" w:color="auto" w:sz="4" w:space="0"/>
            </w:tcBorders>
            <w:vAlign w:val="center"/>
          </w:tcPr>
          <w:p w14:paraId="1F22B83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6099140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00DF3CA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1" w:type="dxa"/>
            <w:tcBorders>
              <w:top w:val="nil"/>
              <w:left w:val="nil"/>
              <w:bottom w:val="single" w:color="auto" w:sz="4" w:space="0"/>
              <w:right w:val="single" w:color="auto" w:sz="4" w:space="0"/>
            </w:tcBorders>
            <w:vAlign w:val="center"/>
          </w:tcPr>
          <w:p w14:paraId="23278C1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＜1000</w:t>
            </w:r>
          </w:p>
        </w:tc>
        <w:tc>
          <w:tcPr>
            <w:tcW w:w="1134" w:type="dxa"/>
            <w:tcBorders>
              <w:top w:val="nil"/>
              <w:left w:val="nil"/>
              <w:bottom w:val="single" w:color="auto" w:sz="4" w:space="0"/>
              <w:right w:val="single" w:color="auto" w:sz="4" w:space="0"/>
            </w:tcBorders>
            <w:vAlign w:val="center"/>
          </w:tcPr>
          <w:p w14:paraId="1ED7AE1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r>
      <w:tr w14:paraId="624F28F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59FC9158">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487177E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170" w:type="dxa"/>
            <w:tcBorders>
              <w:top w:val="nil"/>
              <w:left w:val="nil"/>
              <w:bottom w:val="single" w:color="auto" w:sz="4" w:space="0"/>
              <w:right w:val="single" w:color="auto" w:sz="4" w:space="0"/>
            </w:tcBorders>
            <w:vAlign w:val="center"/>
          </w:tcPr>
          <w:p w14:paraId="4F67C1E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6ECB20A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1" w:type="dxa"/>
            <w:tcBorders>
              <w:top w:val="nil"/>
              <w:left w:val="nil"/>
              <w:bottom w:val="single" w:color="auto" w:sz="4" w:space="0"/>
              <w:right w:val="single" w:color="auto" w:sz="4" w:space="0"/>
            </w:tcBorders>
            <w:vAlign w:val="center"/>
          </w:tcPr>
          <w:p w14:paraId="7D366BA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134" w:type="dxa"/>
            <w:tcBorders>
              <w:top w:val="nil"/>
              <w:left w:val="nil"/>
              <w:bottom w:val="single" w:color="auto" w:sz="4" w:space="0"/>
              <w:right w:val="single" w:color="auto" w:sz="4" w:space="0"/>
            </w:tcBorders>
            <w:vAlign w:val="center"/>
          </w:tcPr>
          <w:p w14:paraId="69FA5F5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Y＜2000</w:t>
            </w:r>
          </w:p>
        </w:tc>
      </w:tr>
      <w:tr w14:paraId="4B9703D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30D83B1">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65" w:type="dxa"/>
            <w:tcBorders>
              <w:top w:val="nil"/>
              <w:left w:val="nil"/>
              <w:bottom w:val="single" w:color="auto" w:sz="4" w:space="0"/>
              <w:right w:val="single" w:color="auto" w:sz="4" w:space="0"/>
            </w:tcBorders>
            <w:vAlign w:val="center"/>
          </w:tcPr>
          <w:p w14:paraId="3A9FD849">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7CBB7B66">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500F8DB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＜1000</w:t>
            </w:r>
          </w:p>
        </w:tc>
        <w:tc>
          <w:tcPr>
            <w:tcW w:w="1701" w:type="dxa"/>
            <w:tcBorders>
              <w:top w:val="nil"/>
              <w:left w:val="nil"/>
              <w:bottom w:val="single" w:color="auto" w:sz="4" w:space="0"/>
              <w:right w:val="single" w:color="auto" w:sz="4" w:space="0"/>
            </w:tcBorders>
            <w:vAlign w:val="center"/>
          </w:tcPr>
          <w:p w14:paraId="6BE7327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134" w:type="dxa"/>
            <w:tcBorders>
              <w:top w:val="nil"/>
              <w:left w:val="nil"/>
              <w:bottom w:val="single" w:color="auto" w:sz="4" w:space="0"/>
              <w:right w:val="single" w:color="auto" w:sz="4" w:space="0"/>
            </w:tcBorders>
            <w:vAlign w:val="center"/>
          </w:tcPr>
          <w:p w14:paraId="66F2DB2E">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r>
      <w:tr w14:paraId="7A6FA9EC">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0E24542">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076A69D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170" w:type="dxa"/>
            <w:tcBorders>
              <w:top w:val="nil"/>
              <w:left w:val="nil"/>
              <w:bottom w:val="single" w:color="auto" w:sz="4" w:space="0"/>
              <w:right w:val="single" w:color="auto" w:sz="4" w:space="0"/>
            </w:tcBorders>
            <w:vAlign w:val="center"/>
          </w:tcPr>
          <w:p w14:paraId="58991D5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4BB1179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1" w:type="dxa"/>
            <w:tcBorders>
              <w:top w:val="nil"/>
              <w:left w:val="nil"/>
              <w:bottom w:val="single" w:color="auto" w:sz="4" w:space="0"/>
              <w:right w:val="single" w:color="auto" w:sz="4" w:space="0"/>
            </w:tcBorders>
            <w:vAlign w:val="center"/>
          </w:tcPr>
          <w:p w14:paraId="0D2245D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134" w:type="dxa"/>
            <w:tcBorders>
              <w:top w:val="nil"/>
              <w:left w:val="nil"/>
              <w:bottom w:val="single" w:color="auto" w:sz="4" w:space="0"/>
              <w:right w:val="single" w:color="auto" w:sz="4" w:space="0"/>
            </w:tcBorders>
            <w:vAlign w:val="center"/>
          </w:tcPr>
          <w:p w14:paraId="02DFCC4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Y＜500</w:t>
            </w:r>
          </w:p>
        </w:tc>
      </w:tr>
      <w:tr w14:paraId="2CB41E4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F63D207">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65" w:type="dxa"/>
            <w:tcBorders>
              <w:top w:val="nil"/>
              <w:left w:val="nil"/>
              <w:bottom w:val="single" w:color="auto" w:sz="4" w:space="0"/>
              <w:right w:val="single" w:color="auto" w:sz="4" w:space="0"/>
            </w:tcBorders>
            <w:vAlign w:val="center"/>
          </w:tcPr>
          <w:p w14:paraId="6E9194C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4C4A4684">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5235B6D0">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701" w:type="dxa"/>
            <w:tcBorders>
              <w:top w:val="nil"/>
              <w:left w:val="nil"/>
              <w:bottom w:val="single" w:color="auto" w:sz="4" w:space="0"/>
              <w:right w:val="single" w:color="auto" w:sz="4" w:space="0"/>
            </w:tcBorders>
            <w:vAlign w:val="center"/>
          </w:tcPr>
          <w:p w14:paraId="334F15FD">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c>
          <w:tcPr>
            <w:tcW w:w="1134" w:type="dxa"/>
            <w:tcBorders>
              <w:top w:val="nil"/>
              <w:left w:val="nil"/>
              <w:bottom w:val="single" w:color="auto" w:sz="4" w:space="0"/>
              <w:right w:val="single" w:color="auto" w:sz="4" w:space="0"/>
            </w:tcBorders>
            <w:vAlign w:val="center"/>
          </w:tcPr>
          <w:p w14:paraId="0ED0599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w:t>
            </w:r>
          </w:p>
        </w:tc>
      </w:tr>
      <w:tr w14:paraId="03AD9735">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452FD265">
            <w:pPr>
              <w:widowControl/>
              <w:jc w:val="center"/>
              <w:rPr>
                <w:rFonts w:ascii="宋体" w:hAnsi="宋体" w:cs="宋体"/>
                <w:b/>
                <w:bCs/>
                <w:color w:val="auto"/>
                <w:kern w:val="0"/>
                <w:szCs w:val="21"/>
                <w:highlight w:val="none"/>
              </w:rPr>
            </w:pPr>
          </w:p>
        </w:tc>
        <w:tc>
          <w:tcPr>
            <w:tcW w:w="1665" w:type="dxa"/>
            <w:tcBorders>
              <w:top w:val="nil"/>
              <w:left w:val="nil"/>
              <w:bottom w:val="single" w:color="auto" w:sz="4" w:space="0"/>
              <w:right w:val="single" w:color="auto" w:sz="4" w:space="0"/>
            </w:tcBorders>
            <w:vAlign w:val="center"/>
          </w:tcPr>
          <w:p w14:paraId="7DF3E2A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170" w:type="dxa"/>
            <w:tcBorders>
              <w:top w:val="nil"/>
              <w:left w:val="nil"/>
              <w:bottom w:val="single" w:color="auto" w:sz="4" w:space="0"/>
              <w:right w:val="single" w:color="auto" w:sz="4" w:space="0"/>
            </w:tcBorders>
            <w:vAlign w:val="center"/>
          </w:tcPr>
          <w:p w14:paraId="7C53112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万元</w:t>
            </w:r>
          </w:p>
        </w:tc>
        <w:tc>
          <w:tcPr>
            <w:tcW w:w="1842" w:type="dxa"/>
            <w:tcBorders>
              <w:top w:val="nil"/>
              <w:left w:val="nil"/>
              <w:bottom w:val="single" w:color="auto" w:sz="4" w:space="0"/>
              <w:right w:val="single" w:color="auto" w:sz="4" w:space="0"/>
            </w:tcBorders>
            <w:vAlign w:val="center"/>
          </w:tcPr>
          <w:p w14:paraId="05671F38">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1" w:type="dxa"/>
            <w:tcBorders>
              <w:top w:val="nil"/>
              <w:left w:val="nil"/>
              <w:bottom w:val="single" w:color="auto" w:sz="4" w:space="0"/>
              <w:right w:val="single" w:color="auto" w:sz="4" w:space="0"/>
            </w:tcBorders>
            <w:vAlign w:val="center"/>
          </w:tcPr>
          <w:p w14:paraId="2DEBD9E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134" w:type="dxa"/>
            <w:tcBorders>
              <w:top w:val="nil"/>
              <w:left w:val="nil"/>
              <w:bottom w:val="single" w:color="auto" w:sz="4" w:space="0"/>
              <w:right w:val="single" w:color="auto" w:sz="4" w:space="0"/>
            </w:tcBorders>
            <w:vAlign w:val="center"/>
          </w:tcPr>
          <w:p w14:paraId="0252AA87">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Y＜100</w:t>
            </w:r>
          </w:p>
        </w:tc>
      </w:tr>
      <w:tr w14:paraId="209DB0F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753584F0">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65" w:type="dxa"/>
            <w:tcBorders>
              <w:top w:val="nil"/>
              <w:left w:val="nil"/>
              <w:bottom w:val="single" w:color="auto" w:sz="4" w:space="0"/>
              <w:right w:val="single" w:color="auto" w:sz="4" w:space="0"/>
            </w:tcBorders>
            <w:vAlign w:val="center"/>
          </w:tcPr>
          <w:p w14:paraId="1467C1B3">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从业人员（</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w:t>
            </w:r>
          </w:p>
        </w:tc>
        <w:tc>
          <w:tcPr>
            <w:tcW w:w="1170" w:type="dxa"/>
            <w:tcBorders>
              <w:top w:val="nil"/>
              <w:left w:val="nil"/>
              <w:bottom w:val="single" w:color="auto" w:sz="4" w:space="0"/>
              <w:right w:val="single" w:color="auto" w:sz="4" w:space="0"/>
            </w:tcBorders>
            <w:vAlign w:val="center"/>
          </w:tcPr>
          <w:p w14:paraId="20C5B911">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人</w:t>
            </w:r>
          </w:p>
        </w:tc>
        <w:tc>
          <w:tcPr>
            <w:tcW w:w="1842" w:type="dxa"/>
            <w:tcBorders>
              <w:top w:val="nil"/>
              <w:left w:val="nil"/>
              <w:bottom w:val="single" w:color="auto" w:sz="4" w:space="0"/>
              <w:right w:val="single" w:color="auto" w:sz="4" w:space="0"/>
            </w:tcBorders>
            <w:vAlign w:val="center"/>
          </w:tcPr>
          <w:p w14:paraId="275784AA">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＜300</w:t>
            </w:r>
          </w:p>
        </w:tc>
        <w:tc>
          <w:tcPr>
            <w:tcW w:w="1701" w:type="dxa"/>
            <w:tcBorders>
              <w:top w:val="nil"/>
              <w:left w:val="nil"/>
              <w:bottom w:val="single" w:color="auto" w:sz="4" w:space="0"/>
              <w:right w:val="single" w:color="auto" w:sz="4" w:space="0"/>
            </w:tcBorders>
            <w:vAlign w:val="center"/>
          </w:tcPr>
          <w:p w14:paraId="4ABB146B">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＜100</w:t>
            </w:r>
          </w:p>
        </w:tc>
        <w:tc>
          <w:tcPr>
            <w:tcW w:w="1134" w:type="dxa"/>
            <w:tcBorders>
              <w:top w:val="nil"/>
              <w:left w:val="nil"/>
              <w:bottom w:val="single" w:color="auto" w:sz="4" w:space="0"/>
              <w:right w:val="single" w:color="auto" w:sz="4" w:space="0"/>
            </w:tcBorders>
            <w:vAlign w:val="center"/>
          </w:tcPr>
          <w:p w14:paraId="35AE8D6C">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＜10</w:t>
            </w:r>
          </w:p>
        </w:tc>
      </w:tr>
    </w:tbl>
    <w:p w14:paraId="359148EE">
      <w:pPr>
        <w:spacing w:line="40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E88FE9C">
      <w:pPr>
        <w:widowControl/>
        <w:jc w:val="left"/>
        <w:rPr>
          <w:rFonts w:ascii="宋体" w:hAnsi="宋体" w:cs="宋体"/>
          <w:color w:val="auto"/>
          <w:kern w:val="0"/>
          <w:sz w:val="20"/>
          <w:szCs w:val="21"/>
          <w:highlight w:val="none"/>
        </w:rPr>
        <w:sectPr>
          <w:pgSz w:w="11906" w:h="16838"/>
          <w:pgMar w:top="1304" w:right="1134" w:bottom="1134" w:left="1304" w:header="720" w:footer="720" w:gutter="0"/>
          <w:cols w:space="720" w:num="1"/>
          <w:docGrid w:type="lines" w:linePitch="331" w:charSpace="0"/>
        </w:sectPr>
      </w:pPr>
    </w:p>
    <w:p w14:paraId="6443BCC1">
      <w:pPr>
        <w:pStyle w:val="3"/>
        <w:spacing w:before="0" w:after="0" w:line="560" w:lineRule="exact"/>
        <w:jc w:val="center"/>
        <w:rPr>
          <w:rFonts w:ascii="宋体" w:hAnsi="宋体" w:cs="宋体"/>
          <w:color w:val="auto"/>
          <w:sz w:val="24"/>
          <w:szCs w:val="24"/>
          <w:highlight w:val="none"/>
        </w:rPr>
      </w:pPr>
      <w:bookmarkStart w:id="42" w:name="_Toc27408"/>
      <w:bookmarkStart w:id="43" w:name="_Toc26050"/>
      <w:bookmarkStart w:id="44" w:name="_Toc7974"/>
      <w:bookmarkStart w:id="45" w:name="_Toc80205922"/>
      <w:bookmarkStart w:id="46" w:name="_Toc21133"/>
      <w:r>
        <w:rPr>
          <w:rFonts w:hint="eastAsia"/>
          <w:bCs w:val="0"/>
          <w:color w:val="auto"/>
          <w:kern w:val="2"/>
          <w:sz w:val="36"/>
          <w:szCs w:val="20"/>
          <w:highlight w:val="none"/>
        </w:rPr>
        <w:t>第三章 供应商须知</w:t>
      </w:r>
      <w:bookmarkEnd w:id="42"/>
      <w:bookmarkEnd w:id="43"/>
      <w:bookmarkEnd w:id="44"/>
      <w:bookmarkEnd w:id="45"/>
      <w:bookmarkEnd w:id="46"/>
    </w:p>
    <w:p w14:paraId="4EA19076">
      <w:pPr>
        <w:pStyle w:val="4"/>
        <w:spacing w:before="0" w:after="0" w:line="560" w:lineRule="exact"/>
        <w:jc w:val="center"/>
        <w:rPr>
          <w:rFonts w:ascii="宋体" w:hAnsi="宋体" w:cs="宋体"/>
          <w:bCs w:val="0"/>
          <w:color w:val="auto"/>
          <w:sz w:val="28"/>
          <w:szCs w:val="28"/>
          <w:highlight w:val="none"/>
        </w:rPr>
      </w:pPr>
      <w:bookmarkStart w:id="47" w:name="_Toc8764"/>
      <w:bookmarkStart w:id="48" w:name="_Toc28383"/>
      <w:bookmarkStart w:id="49" w:name="_Toc80205923"/>
      <w:bookmarkStart w:id="50" w:name="_Toc19124"/>
      <w:bookmarkStart w:id="51" w:name="_Toc29625"/>
      <w:r>
        <w:rPr>
          <w:rFonts w:hint="eastAsia" w:ascii="宋体" w:hAnsi="宋体" w:cs="宋体"/>
          <w:bCs w:val="0"/>
          <w:color w:val="auto"/>
          <w:sz w:val="28"/>
          <w:szCs w:val="28"/>
          <w:highlight w:val="none"/>
        </w:rPr>
        <w:t>第一节 供应商须知前附表</w:t>
      </w:r>
      <w:bookmarkEnd w:id="47"/>
      <w:bookmarkEnd w:id="48"/>
      <w:bookmarkEnd w:id="49"/>
      <w:bookmarkEnd w:id="50"/>
      <w:bookmarkEnd w:id="51"/>
    </w:p>
    <w:tbl>
      <w:tblPr>
        <w:tblStyle w:val="32"/>
        <w:tblW w:w="96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1926"/>
        <w:gridCol w:w="6604"/>
      </w:tblGrid>
      <w:tr w14:paraId="0782B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129" w:type="dxa"/>
            <w:tcBorders>
              <w:top w:val="single" w:color="000000" w:sz="4" w:space="0"/>
              <w:left w:val="single" w:color="000000" w:sz="4" w:space="0"/>
              <w:bottom w:val="single" w:color="000000" w:sz="4" w:space="0"/>
              <w:right w:val="single" w:color="000000" w:sz="4" w:space="0"/>
            </w:tcBorders>
          </w:tcPr>
          <w:p w14:paraId="25B27230">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1926" w:type="dxa"/>
            <w:tcBorders>
              <w:top w:val="single" w:color="000000" w:sz="4" w:space="0"/>
              <w:left w:val="single" w:color="000000" w:sz="4" w:space="0"/>
              <w:bottom w:val="single" w:color="000000" w:sz="4" w:space="0"/>
              <w:right w:val="single" w:color="000000" w:sz="4" w:space="0"/>
            </w:tcBorders>
            <w:vAlign w:val="center"/>
          </w:tcPr>
          <w:p w14:paraId="73BF1241">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条款内容</w:t>
            </w:r>
          </w:p>
        </w:tc>
        <w:tc>
          <w:tcPr>
            <w:tcW w:w="6604" w:type="dxa"/>
            <w:tcBorders>
              <w:top w:val="single" w:color="000000" w:sz="4" w:space="0"/>
              <w:left w:val="single" w:color="000000" w:sz="4" w:space="0"/>
              <w:bottom w:val="single" w:color="000000" w:sz="4" w:space="0"/>
              <w:right w:val="single" w:color="000000" w:sz="4" w:space="0"/>
            </w:tcBorders>
          </w:tcPr>
          <w:p w14:paraId="5453BAA5">
            <w:pPr>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具体要求</w:t>
            </w:r>
          </w:p>
        </w:tc>
      </w:tr>
      <w:tr w14:paraId="35B17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1C1B4EF5">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5.1</w:t>
            </w:r>
          </w:p>
        </w:tc>
        <w:tc>
          <w:tcPr>
            <w:tcW w:w="1926" w:type="dxa"/>
            <w:tcBorders>
              <w:top w:val="single" w:color="000000" w:sz="4" w:space="0"/>
              <w:left w:val="single" w:color="000000" w:sz="4" w:space="0"/>
              <w:bottom w:val="single" w:color="000000" w:sz="4" w:space="0"/>
              <w:right w:val="single" w:color="000000" w:sz="4" w:space="0"/>
            </w:tcBorders>
            <w:vAlign w:val="center"/>
          </w:tcPr>
          <w:p w14:paraId="434A6AB4">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是否接受联合体</w:t>
            </w:r>
          </w:p>
          <w:p w14:paraId="462A16DC">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竞标</w:t>
            </w:r>
          </w:p>
        </w:tc>
        <w:tc>
          <w:tcPr>
            <w:tcW w:w="6604" w:type="dxa"/>
            <w:tcBorders>
              <w:top w:val="single" w:color="000000" w:sz="4" w:space="0"/>
              <w:left w:val="single" w:color="000000" w:sz="4" w:space="0"/>
              <w:bottom w:val="single" w:color="000000" w:sz="4" w:space="0"/>
              <w:right w:val="single" w:color="000000" w:sz="4" w:space="0"/>
            </w:tcBorders>
            <w:vAlign w:val="center"/>
          </w:tcPr>
          <w:p w14:paraId="19A04A3D">
            <w:pPr>
              <w:spacing w:line="400" w:lineRule="exact"/>
              <w:rPr>
                <w:rFonts w:ascii="宋体" w:hAnsi="宋体" w:cs="宋体"/>
                <w:color w:val="auto"/>
                <w:sz w:val="24"/>
                <w:highlight w:val="none"/>
              </w:rPr>
            </w:pPr>
            <w:bookmarkStart w:id="52" w:name="PO_3000001871_PM007_1"/>
            <w:r>
              <w:rPr>
                <w:rFonts w:hint="eastAsia" w:ascii="宋体" w:hAnsi="宋体" w:cs="宋体"/>
                <w:color w:val="auto"/>
                <w:sz w:val="24"/>
                <w:highlight w:val="none"/>
              </w:rPr>
              <w:t>不允许联合体</w:t>
            </w:r>
            <w:bookmarkEnd w:id="52"/>
            <w:r>
              <w:rPr>
                <w:rFonts w:hint="eastAsia" w:ascii="宋体" w:hAnsi="宋体" w:cs="宋体"/>
                <w:color w:val="auto"/>
                <w:sz w:val="24"/>
                <w:highlight w:val="none"/>
                <w:lang w:val="en-US" w:eastAsia="zh-CN"/>
              </w:rPr>
              <w:t>竞标</w:t>
            </w:r>
            <w:r>
              <w:rPr>
                <w:rFonts w:hint="eastAsia" w:ascii="宋体" w:hAnsi="宋体" w:cs="宋体"/>
                <w:color w:val="auto"/>
                <w:sz w:val="24"/>
                <w:highlight w:val="none"/>
              </w:rPr>
              <w:t>。</w:t>
            </w:r>
          </w:p>
        </w:tc>
      </w:tr>
      <w:tr w14:paraId="5D317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2357B249">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5.2</w:t>
            </w:r>
          </w:p>
        </w:tc>
        <w:tc>
          <w:tcPr>
            <w:tcW w:w="1926" w:type="dxa"/>
            <w:tcBorders>
              <w:top w:val="single" w:color="000000" w:sz="4" w:space="0"/>
              <w:left w:val="single" w:color="000000" w:sz="4" w:space="0"/>
              <w:bottom w:val="single" w:color="000000" w:sz="4" w:space="0"/>
              <w:right w:val="single" w:color="000000" w:sz="4" w:space="0"/>
            </w:tcBorders>
            <w:vAlign w:val="center"/>
          </w:tcPr>
          <w:p w14:paraId="6B11E93E">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联合体竞标要求</w:t>
            </w:r>
          </w:p>
        </w:tc>
        <w:tc>
          <w:tcPr>
            <w:tcW w:w="6604" w:type="dxa"/>
            <w:tcBorders>
              <w:top w:val="single" w:color="000000" w:sz="4" w:space="0"/>
              <w:left w:val="single" w:color="000000" w:sz="4" w:space="0"/>
              <w:bottom w:val="single" w:color="000000" w:sz="4" w:space="0"/>
              <w:right w:val="single" w:color="000000" w:sz="4" w:space="0"/>
            </w:tcBorders>
            <w:vAlign w:val="center"/>
          </w:tcPr>
          <w:p w14:paraId="04669E44">
            <w:pPr>
              <w:spacing w:line="400" w:lineRule="exact"/>
              <w:rPr>
                <w:rFonts w:ascii="宋体" w:hAnsi="宋体" w:cs="宋体"/>
                <w:color w:val="auto"/>
                <w:sz w:val="24"/>
                <w:highlight w:val="none"/>
              </w:rPr>
            </w:pPr>
            <w:r>
              <w:rPr>
                <w:rFonts w:hint="eastAsia" w:ascii="宋体" w:hAnsi="宋体" w:cs="宋体"/>
                <w:color w:val="auto"/>
                <w:sz w:val="24"/>
                <w:highlight w:val="none"/>
              </w:rPr>
              <w:t>无</w:t>
            </w:r>
          </w:p>
        </w:tc>
      </w:tr>
      <w:tr w14:paraId="307C1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1A20543F">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6.1</w:t>
            </w:r>
          </w:p>
        </w:tc>
        <w:tc>
          <w:tcPr>
            <w:tcW w:w="1926" w:type="dxa"/>
            <w:tcBorders>
              <w:top w:val="single" w:color="000000" w:sz="4" w:space="0"/>
              <w:left w:val="single" w:color="000000" w:sz="4" w:space="0"/>
              <w:bottom w:val="single" w:color="000000" w:sz="4" w:space="0"/>
              <w:right w:val="single" w:color="000000" w:sz="4" w:space="0"/>
            </w:tcBorders>
            <w:vAlign w:val="center"/>
          </w:tcPr>
          <w:p w14:paraId="0BED5CBE">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是否允许分包</w:t>
            </w:r>
          </w:p>
        </w:tc>
        <w:tc>
          <w:tcPr>
            <w:tcW w:w="6604" w:type="dxa"/>
            <w:tcBorders>
              <w:top w:val="single" w:color="000000" w:sz="4" w:space="0"/>
              <w:left w:val="single" w:color="000000" w:sz="4" w:space="0"/>
              <w:bottom w:val="single" w:color="000000" w:sz="4" w:space="0"/>
              <w:right w:val="single" w:color="000000" w:sz="4" w:space="0"/>
            </w:tcBorders>
            <w:vAlign w:val="center"/>
          </w:tcPr>
          <w:p w14:paraId="3489AB65">
            <w:pPr>
              <w:pStyle w:val="13"/>
              <w:spacing w:line="400" w:lineRule="exact"/>
              <w:rPr>
                <w:rFonts w:ascii="宋体" w:hAnsi="宋体" w:cs="宋体"/>
                <w:color w:val="auto"/>
                <w:sz w:val="24"/>
                <w:highlight w:val="none"/>
              </w:rPr>
            </w:pPr>
            <w:bookmarkStart w:id="53" w:name="PO_3000001871_PM044"/>
            <w:r>
              <w:rPr>
                <w:rFonts w:hint="eastAsia" w:ascii="宋体" w:hAnsi="宋体" w:cs="宋体"/>
                <w:color w:val="auto"/>
                <w:sz w:val="24"/>
                <w:highlight w:val="none"/>
              </w:rPr>
              <w:t>不允许分包</w:t>
            </w:r>
            <w:bookmarkEnd w:id="53"/>
          </w:p>
          <w:p w14:paraId="26AFD87B">
            <w:pPr>
              <w:pStyle w:val="13"/>
              <w:spacing w:line="400" w:lineRule="exact"/>
              <w:rPr>
                <w:rFonts w:ascii="宋体" w:hAnsi="宋体" w:cs="宋体"/>
                <w:color w:val="auto"/>
                <w:sz w:val="24"/>
                <w:highlight w:val="none"/>
                <w:u w:val="single"/>
              </w:rPr>
            </w:pPr>
            <w:r>
              <w:rPr>
                <w:rFonts w:hint="eastAsia" w:ascii="宋体" w:hAnsi="宋体" w:cs="宋体"/>
                <w:color w:val="auto"/>
                <w:sz w:val="24"/>
                <w:highlight w:val="none"/>
              </w:rPr>
              <w:t>分包内容：</w:t>
            </w:r>
            <w:r>
              <w:rPr>
                <w:rFonts w:hint="eastAsia" w:ascii="宋体" w:hAnsi="宋体" w:cs="宋体"/>
                <w:color w:val="auto"/>
                <w:sz w:val="24"/>
                <w:highlight w:val="none"/>
                <w:u w:val="single"/>
              </w:rPr>
              <w:t xml:space="preserve">      /                               。</w:t>
            </w:r>
          </w:p>
          <w:p w14:paraId="70471AA2">
            <w:pPr>
              <w:pStyle w:val="13"/>
              <w:spacing w:line="400" w:lineRule="exact"/>
              <w:rPr>
                <w:rFonts w:ascii="宋体" w:hAnsi="宋体" w:cs="宋体"/>
                <w:color w:val="auto"/>
                <w:sz w:val="24"/>
                <w:highlight w:val="none"/>
              </w:rPr>
            </w:pPr>
            <w:r>
              <w:rPr>
                <w:rFonts w:hint="eastAsia" w:ascii="宋体" w:hAnsi="宋体" w:cs="宋体"/>
                <w:color w:val="auto"/>
                <w:sz w:val="24"/>
                <w:highlight w:val="none"/>
              </w:rPr>
              <w:t>分包金额或者比例：</w:t>
            </w:r>
            <w:r>
              <w:rPr>
                <w:rFonts w:hint="eastAsia" w:ascii="宋体" w:hAnsi="宋体" w:cs="宋体"/>
                <w:color w:val="auto"/>
                <w:sz w:val="24"/>
                <w:highlight w:val="none"/>
                <w:u w:val="single"/>
              </w:rPr>
              <w:t xml:space="preserve">     /                        。</w:t>
            </w:r>
          </w:p>
        </w:tc>
      </w:tr>
      <w:tr w14:paraId="71471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2D6576A3">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12.1.1</w:t>
            </w:r>
          </w:p>
        </w:tc>
        <w:tc>
          <w:tcPr>
            <w:tcW w:w="1926" w:type="dxa"/>
            <w:tcBorders>
              <w:top w:val="single" w:color="000000" w:sz="4" w:space="0"/>
              <w:left w:val="single" w:color="000000" w:sz="4" w:space="0"/>
              <w:bottom w:val="single" w:color="000000" w:sz="4" w:space="0"/>
              <w:right w:val="single" w:color="000000" w:sz="4" w:space="0"/>
            </w:tcBorders>
            <w:vAlign w:val="center"/>
          </w:tcPr>
          <w:p w14:paraId="40ABBD64">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资格证明文件</w:t>
            </w:r>
          </w:p>
          <w:p w14:paraId="37D2212F">
            <w:pPr>
              <w:snapToGrid w:val="0"/>
              <w:spacing w:line="400" w:lineRule="exact"/>
              <w:jc w:val="center"/>
              <w:rPr>
                <w:rFonts w:ascii="宋体" w:hAnsi="宋体" w:cs="宋体"/>
                <w:b/>
                <w:color w:val="auto"/>
                <w:sz w:val="24"/>
                <w:highlight w:val="none"/>
              </w:rPr>
            </w:pPr>
            <w:r>
              <w:rPr>
                <w:rFonts w:hint="eastAsia" w:ascii="宋体" w:hAnsi="宋体" w:cs="宋体"/>
                <w:b/>
                <w:color w:val="auto"/>
                <w:sz w:val="24"/>
                <w:highlight w:val="none"/>
              </w:rPr>
              <w:t>组成</w:t>
            </w:r>
          </w:p>
          <w:p w14:paraId="35AE4068">
            <w:pPr>
              <w:spacing w:line="400" w:lineRule="exact"/>
              <w:jc w:val="center"/>
              <w:rPr>
                <w:rFonts w:ascii="宋体" w:hAnsi="宋体" w:cs="宋体"/>
                <w:color w:val="auto"/>
                <w:sz w:val="24"/>
                <w:highlight w:val="none"/>
              </w:rPr>
            </w:pPr>
          </w:p>
        </w:tc>
        <w:tc>
          <w:tcPr>
            <w:tcW w:w="6604" w:type="dxa"/>
            <w:tcBorders>
              <w:top w:val="single" w:color="000000" w:sz="4" w:space="0"/>
              <w:left w:val="single" w:color="000000" w:sz="4" w:space="0"/>
              <w:bottom w:val="single" w:color="000000" w:sz="4" w:space="0"/>
              <w:right w:val="single" w:color="000000" w:sz="4" w:space="0"/>
            </w:tcBorders>
            <w:vAlign w:val="center"/>
          </w:tcPr>
          <w:p w14:paraId="50B7AD34">
            <w:pPr>
              <w:snapToGrid w:val="0"/>
              <w:spacing w:line="380" w:lineRule="exact"/>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竞标</w:t>
            </w:r>
            <w:r>
              <w:rPr>
                <w:rFonts w:hint="eastAsia" w:ascii="宋体" w:hAnsi="宋体"/>
                <w:color w:val="auto"/>
                <w:sz w:val="24"/>
                <w:szCs w:val="24"/>
                <w:highlight w:val="none"/>
              </w:rPr>
              <w:t>人为法人或者其他组织的，提供营业执照等证明文件</w:t>
            </w:r>
            <w:r>
              <w:rPr>
                <w:rFonts w:hint="eastAsia" w:ascii="宋体" w:hAnsi="宋体" w:cs="宋体"/>
                <w:color w:val="auto"/>
                <w:sz w:val="24"/>
                <w:szCs w:val="24"/>
                <w:highlight w:val="none"/>
              </w:rPr>
              <w:t>（如营业执照或者事业单位法人证书或者</w:t>
            </w:r>
            <w:r>
              <w:rPr>
                <w:rStyle w:val="63"/>
                <w:color w:val="auto"/>
                <w:sz w:val="24"/>
                <w:szCs w:val="24"/>
                <w:highlight w:val="none"/>
              </w:rPr>
              <w:t>执业许可证</w:t>
            </w:r>
            <w:r>
              <w:rPr>
                <w:rFonts w:hint="eastAsia" w:ascii="宋体" w:hAnsi="宋体" w:cs="宋体"/>
                <w:color w:val="auto"/>
                <w:sz w:val="24"/>
                <w:szCs w:val="24"/>
                <w:highlight w:val="none"/>
              </w:rPr>
              <w:t>等）</w:t>
            </w:r>
            <w:r>
              <w:rPr>
                <w:rFonts w:hint="eastAsia" w:ascii="宋体" w:hAnsi="宋体"/>
                <w:color w:val="auto"/>
                <w:sz w:val="24"/>
                <w:szCs w:val="24"/>
                <w:highlight w:val="none"/>
              </w:rPr>
              <w:t>，投标人为自然人的，提供身份证</w:t>
            </w:r>
            <w:r>
              <w:rPr>
                <w:rFonts w:hint="eastAsia" w:ascii="宋体" w:hAnsi="宋体" w:cs="宋体"/>
                <w:color w:val="auto"/>
                <w:sz w:val="24"/>
                <w:szCs w:val="24"/>
                <w:highlight w:val="none"/>
              </w:rPr>
              <w:t>复印件</w:t>
            </w:r>
            <w:r>
              <w:rPr>
                <w:rFonts w:hint="eastAsia" w:ascii="宋体" w:hAnsi="宋体"/>
                <w:color w:val="auto"/>
                <w:sz w:val="24"/>
                <w:szCs w:val="24"/>
                <w:highlight w:val="none"/>
              </w:rPr>
              <w:t>；（</w:t>
            </w:r>
            <w:r>
              <w:rPr>
                <w:rFonts w:hint="eastAsia" w:ascii="宋体" w:hAnsi="宋体"/>
                <w:b/>
                <w:color w:val="auto"/>
                <w:sz w:val="24"/>
                <w:szCs w:val="24"/>
                <w:highlight w:val="none"/>
              </w:rPr>
              <w:t>必须提供，否则作无效投标处理</w:t>
            </w:r>
            <w:r>
              <w:rPr>
                <w:rFonts w:hint="eastAsia" w:ascii="宋体" w:hAnsi="宋体"/>
                <w:color w:val="auto"/>
                <w:sz w:val="24"/>
                <w:szCs w:val="24"/>
                <w:highlight w:val="none"/>
              </w:rPr>
              <w:t>）</w:t>
            </w:r>
          </w:p>
          <w:p w14:paraId="6866F783">
            <w:pPr>
              <w:snapToGrid w:val="0"/>
              <w:spacing w:line="380" w:lineRule="exact"/>
              <w:jc w:val="left"/>
              <w:rPr>
                <w:rFonts w:hint="eastAsia" w:ascii="宋体" w:hAnsi="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竞标</w:t>
            </w:r>
            <w:r>
              <w:rPr>
                <w:rFonts w:hint="eastAsia" w:ascii="宋体" w:hAnsi="宋体" w:cs="宋体"/>
                <w:color w:val="auto"/>
                <w:sz w:val="24"/>
                <w:szCs w:val="24"/>
                <w:highlight w:val="none"/>
              </w:rPr>
              <w:t>人依法缴纳税收的相关材料[</w:t>
            </w:r>
            <w:r>
              <w:rPr>
                <w:rFonts w:hint="eastAsia" w:ascii="宋体" w:hAnsi="宋体" w:cs="宋体"/>
                <w:color w:val="auto"/>
                <w:sz w:val="24"/>
                <w:szCs w:val="24"/>
                <w:highlight w:val="none"/>
                <w:u w:val="single"/>
              </w:rPr>
              <w:t xml:space="preserve"> 截标前半年内任意</w:t>
            </w:r>
            <w:r>
              <w:rPr>
                <w:rFonts w:hint="eastAsia" w:ascii="宋体" w:hAnsi="宋体" w:cs="宋体"/>
                <w:color w:val="auto"/>
                <w:sz w:val="24"/>
                <w:szCs w:val="24"/>
                <w:highlight w:val="none"/>
              </w:rPr>
              <w:t>连续</w:t>
            </w:r>
            <w:r>
              <w:rPr>
                <w:rFonts w:hint="eastAsia" w:ascii="宋体" w:hAnsi="宋体" w:cs="宋体"/>
                <w:color w:val="auto"/>
                <w:sz w:val="24"/>
                <w:szCs w:val="24"/>
                <w:highlight w:val="none"/>
                <w:u w:val="single"/>
              </w:rPr>
              <w:t xml:space="preserve"> 三 </w:t>
            </w:r>
            <w:r>
              <w:rPr>
                <w:rFonts w:hint="eastAsia" w:ascii="宋体" w:hAnsi="宋体" w:cs="宋体"/>
                <w:color w:val="auto"/>
                <w:sz w:val="24"/>
                <w:szCs w:val="24"/>
                <w:highlight w:val="none"/>
              </w:rPr>
              <w:t>个月]的依法缴纳税收的凭据复印件；依</w:t>
            </w:r>
            <w:r>
              <w:rPr>
                <w:rFonts w:hint="eastAsia" w:ascii="宋体" w:hAnsi="宋体"/>
                <w:color w:val="auto"/>
                <w:sz w:val="24"/>
                <w:szCs w:val="24"/>
                <w:highlight w:val="none"/>
              </w:rPr>
              <w:t>法免税的供应商，必须提供相应文件证明其依法免税。</w:t>
            </w:r>
            <w:r>
              <w:rPr>
                <w:rFonts w:hint="eastAsia" w:ascii="宋体" w:hAnsi="宋体" w:cs="宋体"/>
                <w:color w:val="auto"/>
                <w:sz w:val="24"/>
                <w:szCs w:val="24"/>
                <w:highlight w:val="none"/>
              </w:rPr>
              <w:t>从取得营业执照时间起到</w:t>
            </w:r>
            <w:r>
              <w:rPr>
                <w:rFonts w:hint="eastAsia" w:ascii="宋体" w:hAnsi="宋体" w:cs="宋体"/>
                <w:color w:val="auto"/>
                <w:sz w:val="24"/>
                <w:szCs w:val="24"/>
                <w:highlight w:val="none"/>
                <w:lang w:eastAsia="zh-CN"/>
              </w:rPr>
              <w:t>竞标响应文件</w:t>
            </w:r>
            <w:r>
              <w:rPr>
                <w:rFonts w:hint="eastAsia" w:ascii="宋体" w:hAnsi="宋体" w:cs="宋体"/>
                <w:color w:val="auto"/>
                <w:sz w:val="24"/>
                <w:szCs w:val="24"/>
                <w:highlight w:val="none"/>
              </w:rPr>
              <w:t>提交截止时间为止不足要求月数的，只需提供从取得营业执照起的依法缴纳税收</w:t>
            </w:r>
            <w:r>
              <w:rPr>
                <w:rFonts w:hint="eastAsia" w:ascii="宋体" w:hAnsi="宋体"/>
                <w:color w:val="auto"/>
                <w:sz w:val="24"/>
                <w:szCs w:val="24"/>
                <w:highlight w:val="none"/>
              </w:rPr>
              <w:t>相应证明文件</w:t>
            </w:r>
            <w:r>
              <w:rPr>
                <w:rFonts w:hint="eastAsia" w:ascii="宋体" w:hAnsi="宋体" w:cs="宋体"/>
                <w:color w:val="auto"/>
                <w:sz w:val="24"/>
                <w:szCs w:val="24"/>
                <w:highlight w:val="none"/>
              </w:rPr>
              <w:t>）</w:t>
            </w:r>
            <w:r>
              <w:rPr>
                <w:rFonts w:hint="eastAsia" w:ascii="宋体" w:hAnsi="宋体"/>
                <w:color w:val="auto"/>
                <w:sz w:val="24"/>
                <w:szCs w:val="24"/>
                <w:highlight w:val="none"/>
              </w:rPr>
              <w:t>；（</w:t>
            </w:r>
            <w:r>
              <w:rPr>
                <w:rFonts w:hint="eastAsia" w:ascii="宋体" w:hAnsi="宋体"/>
                <w:b/>
                <w:color w:val="auto"/>
                <w:sz w:val="24"/>
                <w:szCs w:val="24"/>
                <w:highlight w:val="none"/>
              </w:rPr>
              <w:t>必须提供，否则作无效投标处理</w:t>
            </w:r>
            <w:r>
              <w:rPr>
                <w:rFonts w:hint="eastAsia" w:ascii="宋体" w:hAnsi="宋体"/>
                <w:color w:val="auto"/>
                <w:sz w:val="24"/>
                <w:szCs w:val="24"/>
                <w:highlight w:val="none"/>
              </w:rPr>
              <w:t>）</w:t>
            </w:r>
          </w:p>
          <w:p w14:paraId="5BAC8E65">
            <w:pPr>
              <w:snapToGrid w:val="0"/>
              <w:spacing w:line="380" w:lineRule="exact"/>
              <w:jc w:val="left"/>
              <w:rPr>
                <w:rFonts w:hint="eastAsia" w:ascii="宋体" w:hAnsi="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竞标</w:t>
            </w:r>
            <w:r>
              <w:rPr>
                <w:rFonts w:hint="eastAsia" w:ascii="宋体" w:hAnsi="宋体" w:cs="宋体"/>
                <w:color w:val="auto"/>
                <w:sz w:val="24"/>
                <w:szCs w:val="24"/>
                <w:highlight w:val="none"/>
              </w:rPr>
              <w:t>人依法缴纳社会保障资金的相关材料[</w:t>
            </w:r>
            <w:r>
              <w:rPr>
                <w:rFonts w:hint="eastAsia" w:ascii="宋体" w:hAnsi="宋体" w:cs="宋体"/>
                <w:color w:val="auto"/>
                <w:sz w:val="24"/>
                <w:szCs w:val="24"/>
                <w:highlight w:val="none"/>
                <w:u w:val="single"/>
              </w:rPr>
              <w:t xml:space="preserve"> 截标前半年内任意</w:t>
            </w:r>
            <w:r>
              <w:rPr>
                <w:rFonts w:hint="eastAsia" w:ascii="宋体" w:hAnsi="宋体" w:cs="宋体"/>
                <w:color w:val="auto"/>
                <w:sz w:val="24"/>
                <w:szCs w:val="24"/>
                <w:highlight w:val="none"/>
              </w:rPr>
              <w:t>连续</w:t>
            </w:r>
            <w:r>
              <w:rPr>
                <w:rFonts w:hint="eastAsia" w:ascii="宋体" w:hAnsi="宋体" w:cs="宋体"/>
                <w:color w:val="auto"/>
                <w:sz w:val="24"/>
                <w:szCs w:val="24"/>
                <w:highlight w:val="none"/>
                <w:u w:val="single"/>
              </w:rPr>
              <w:t xml:space="preserve"> 三 </w:t>
            </w:r>
            <w:r>
              <w:rPr>
                <w:rFonts w:hint="eastAsia" w:ascii="宋体" w:hAnsi="宋体" w:cs="宋体"/>
                <w:color w:val="auto"/>
                <w:sz w:val="24"/>
                <w:szCs w:val="24"/>
                <w:highlight w:val="none"/>
              </w:rPr>
              <w:t>个月]的依法缴纳社会保障资金的缴费凭证（专用收据或者社会保险缴纳清单）复印件；</w:t>
            </w:r>
            <w:r>
              <w:rPr>
                <w:rFonts w:hint="eastAsia" w:ascii="宋体" w:hAnsi="宋体"/>
                <w:color w:val="auto"/>
                <w:sz w:val="24"/>
                <w:szCs w:val="24"/>
                <w:highlight w:val="none"/>
              </w:rPr>
              <w:t>依法不需要缴纳社会保障资金的供应商，必须提供相应文件证明不需要缴纳社会保障资金。</w:t>
            </w:r>
            <w:r>
              <w:rPr>
                <w:rFonts w:hint="eastAsia" w:ascii="宋体" w:hAnsi="宋体" w:cs="宋体"/>
                <w:color w:val="auto"/>
                <w:sz w:val="24"/>
                <w:szCs w:val="24"/>
                <w:highlight w:val="none"/>
              </w:rPr>
              <w:t>从取得营业执照时间起到</w:t>
            </w:r>
            <w:r>
              <w:rPr>
                <w:rFonts w:hint="eastAsia" w:ascii="宋体" w:hAnsi="宋体" w:cs="宋体"/>
                <w:color w:val="auto"/>
                <w:sz w:val="24"/>
                <w:szCs w:val="24"/>
                <w:highlight w:val="none"/>
                <w:lang w:eastAsia="zh-CN"/>
              </w:rPr>
              <w:t>竞标响应文件</w:t>
            </w:r>
            <w:r>
              <w:rPr>
                <w:rFonts w:hint="eastAsia" w:ascii="宋体" w:hAnsi="宋体" w:cs="宋体"/>
                <w:color w:val="auto"/>
                <w:sz w:val="24"/>
                <w:szCs w:val="24"/>
                <w:highlight w:val="none"/>
              </w:rPr>
              <w:t>提交截止时间为止不足要求月数的只需提供从取得营业执照起的依法缴纳社会保障资金的</w:t>
            </w:r>
            <w:r>
              <w:rPr>
                <w:rFonts w:hint="eastAsia" w:ascii="宋体" w:hAnsi="宋体"/>
                <w:color w:val="auto"/>
                <w:sz w:val="24"/>
                <w:szCs w:val="24"/>
                <w:highlight w:val="none"/>
              </w:rPr>
              <w:t>相应证明文件</w:t>
            </w:r>
            <w:r>
              <w:rPr>
                <w:rFonts w:hint="eastAsia" w:ascii="宋体" w:hAnsi="宋体" w:cs="宋体"/>
                <w:color w:val="auto"/>
                <w:sz w:val="24"/>
                <w:szCs w:val="24"/>
                <w:highlight w:val="none"/>
              </w:rPr>
              <w:t>]</w:t>
            </w:r>
            <w:r>
              <w:rPr>
                <w:rFonts w:hint="eastAsia" w:ascii="宋体" w:hAnsi="宋体"/>
                <w:color w:val="auto"/>
                <w:sz w:val="24"/>
                <w:szCs w:val="24"/>
                <w:highlight w:val="none"/>
              </w:rPr>
              <w:t>；（</w:t>
            </w:r>
            <w:r>
              <w:rPr>
                <w:rFonts w:hint="eastAsia" w:ascii="宋体" w:hAnsi="宋体"/>
                <w:b/>
                <w:color w:val="auto"/>
                <w:sz w:val="24"/>
                <w:szCs w:val="24"/>
                <w:highlight w:val="none"/>
              </w:rPr>
              <w:t>必须提供，否则作无效投标处理</w:t>
            </w:r>
            <w:r>
              <w:rPr>
                <w:rFonts w:hint="eastAsia" w:ascii="宋体" w:hAnsi="宋体"/>
                <w:color w:val="auto"/>
                <w:sz w:val="24"/>
                <w:szCs w:val="24"/>
                <w:highlight w:val="none"/>
              </w:rPr>
              <w:t>）</w:t>
            </w:r>
          </w:p>
          <w:p w14:paraId="79866E73">
            <w:pPr>
              <w:snapToGrid w:val="0"/>
              <w:spacing w:line="380" w:lineRule="exact"/>
              <w:jc w:val="left"/>
              <w:rPr>
                <w:rFonts w:hint="eastAsia" w:ascii="宋体" w:hAnsi="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val="en-US" w:eastAsia="zh-CN"/>
              </w:rPr>
              <w:t>竞标人</w:t>
            </w:r>
            <w:r>
              <w:rPr>
                <w:rFonts w:hint="eastAsia" w:ascii="宋体" w:hAnsi="宋体" w:cs="宋体"/>
                <w:color w:val="auto"/>
                <w:sz w:val="24"/>
                <w:szCs w:val="24"/>
                <w:highlight w:val="none"/>
              </w:rPr>
              <w:t>财务状况报告</w:t>
            </w:r>
            <w:r>
              <w:rPr>
                <w:rFonts w:hint="eastAsia" w:ascii="宋体" w:hAnsi="宋体"/>
                <w:color w:val="auto"/>
                <w:sz w:val="24"/>
                <w:szCs w:val="24"/>
                <w:highlight w:val="none"/>
                <w:lang w:eastAsia="zh-CN"/>
              </w:rPr>
              <w:t>【</w:t>
            </w:r>
            <w:r>
              <w:rPr>
                <w:rFonts w:hint="eastAsia" w:ascii="宋体" w:hAnsi="宋体"/>
                <w:b/>
                <w:bCs/>
                <w:color w:val="auto"/>
                <w:sz w:val="24"/>
                <w:szCs w:val="24"/>
                <w:highlight w:val="none"/>
                <w:u w:val="single"/>
              </w:rPr>
              <w:t>202</w:t>
            </w:r>
            <w:r>
              <w:rPr>
                <w:rFonts w:hint="eastAsia" w:ascii="宋体" w:hAnsi="宋体"/>
                <w:b/>
                <w:bCs/>
                <w:color w:val="auto"/>
                <w:sz w:val="24"/>
                <w:szCs w:val="24"/>
                <w:highlight w:val="none"/>
                <w:u w:val="single"/>
                <w:lang w:val="en-US" w:eastAsia="zh-CN"/>
              </w:rPr>
              <w:t>5年</w:t>
            </w:r>
            <w:r>
              <w:rPr>
                <w:rFonts w:hint="eastAsia" w:ascii="宋体" w:hAnsi="宋体"/>
                <w:color w:val="auto"/>
                <w:sz w:val="24"/>
                <w:szCs w:val="24"/>
                <w:highlight w:val="none"/>
                <w:u w:val="single"/>
                <w:lang w:val="en-US" w:eastAsia="zh-CN"/>
              </w:rPr>
              <w:t>】</w:t>
            </w:r>
            <w:r>
              <w:rPr>
                <w:rFonts w:hint="eastAsia" w:ascii="宋体" w:hAnsi="宋体"/>
                <w:color w:val="auto"/>
                <w:sz w:val="24"/>
                <w:szCs w:val="24"/>
                <w:highlight w:val="none"/>
              </w:rPr>
              <w:t>财务状况报告复印件，供应商成立不满一年的应提供上一个月的财务状况报告复印件（上述财务状况</w:t>
            </w:r>
            <w:r>
              <w:rPr>
                <w:rFonts w:hint="eastAsia" w:ascii="宋体" w:hAnsi="宋体"/>
                <w:color w:val="auto"/>
                <w:sz w:val="24"/>
                <w:szCs w:val="24"/>
                <w:highlight w:val="none"/>
                <w:lang w:val="en-US" w:eastAsia="zh-CN"/>
              </w:rPr>
              <w:t>报告</w:t>
            </w:r>
            <w:r>
              <w:rPr>
                <w:rFonts w:hint="eastAsia" w:ascii="宋体" w:hAnsi="宋体"/>
                <w:color w:val="auto"/>
                <w:sz w:val="24"/>
                <w:szCs w:val="24"/>
                <w:highlight w:val="none"/>
              </w:rPr>
              <w:t>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w:t>
            </w:r>
            <w:r>
              <w:rPr>
                <w:rFonts w:hint="eastAsia" w:ascii="宋体" w:hAnsi="宋体"/>
                <w:b/>
                <w:color w:val="auto"/>
                <w:sz w:val="24"/>
                <w:szCs w:val="24"/>
                <w:highlight w:val="none"/>
              </w:rPr>
              <w:t>必须提供，否则作无效投标处理</w:t>
            </w:r>
            <w:r>
              <w:rPr>
                <w:rFonts w:hint="eastAsia" w:ascii="宋体" w:hAnsi="宋体"/>
                <w:color w:val="auto"/>
                <w:sz w:val="24"/>
                <w:szCs w:val="24"/>
                <w:highlight w:val="none"/>
              </w:rPr>
              <w:t>）</w:t>
            </w:r>
          </w:p>
          <w:p w14:paraId="658641F8">
            <w:pPr>
              <w:snapToGrid w:val="0"/>
              <w:spacing w:line="380" w:lineRule="exact"/>
              <w:jc w:val="left"/>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竞标人</w:t>
            </w:r>
            <w:r>
              <w:rPr>
                <w:rFonts w:hint="eastAsia" w:ascii="宋体" w:hAnsi="宋体"/>
                <w:color w:val="auto"/>
                <w:sz w:val="24"/>
                <w:szCs w:val="24"/>
                <w:highlight w:val="none"/>
              </w:rPr>
              <w:t>直接控股、管理关系信息表（格式后附）；（</w:t>
            </w:r>
            <w:r>
              <w:rPr>
                <w:rFonts w:hint="eastAsia" w:ascii="宋体" w:hAnsi="宋体"/>
                <w:b/>
                <w:color w:val="auto"/>
                <w:sz w:val="24"/>
                <w:szCs w:val="24"/>
                <w:highlight w:val="none"/>
              </w:rPr>
              <w:t>必须提供，否则作无效投标处理</w:t>
            </w:r>
            <w:r>
              <w:rPr>
                <w:rFonts w:hint="eastAsia" w:ascii="宋体" w:hAnsi="宋体"/>
                <w:color w:val="auto"/>
                <w:sz w:val="24"/>
                <w:szCs w:val="24"/>
                <w:highlight w:val="none"/>
              </w:rPr>
              <w:t>）</w:t>
            </w:r>
          </w:p>
          <w:p w14:paraId="6BC268D0">
            <w:pPr>
              <w:numPr>
                <w:ilvl w:val="0"/>
                <w:numId w:val="0"/>
              </w:numPr>
              <w:snapToGrid w:val="0"/>
              <w:spacing w:line="380" w:lineRule="exact"/>
              <w:ind w:left="360" w:leftChars="0" w:hanging="360" w:firstLineChars="0"/>
              <w:jc w:val="left"/>
              <w:rPr>
                <w:rFonts w:hint="eastAsia" w:ascii="宋体" w:hAnsi="宋体"/>
                <w:color w:val="auto"/>
                <w:sz w:val="24"/>
                <w:szCs w:val="24"/>
                <w:highlight w:val="none"/>
              </w:rPr>
            </w:pPr>
            <w:r>
              <w:rPr>
                <w:rFonts w:hint="default" w:ascii="宋体" w:hAnsi="宋体" w:eastAsia="宋体" w:cs="Times New Roman"/>
                <w:color w:val="auto"/>
                <w:kern w:val="2"/>
                <w:sz w:val="24"/>
                <w:szCs w:val="24"/>
                <w:highlight w:val="none"/>
                <w:lang w:val="en-US" w:eastAsia="zh-CN" w:bidi="ar-SA"/>
              </w:rPr>
              <w:t>6、</w:t>
            </w:r>
            <w:r>
              <w:rPr>
                <w:rFonts w:hint="eastAsia" w:ascii="宋体" w:hAnsi="宋体"/>
                <w:color w:val="auto"/>
                <w:sz w:val="24"/>
                <w:szCs w:val="24"/>
                <w:highlight w:val="none"/>
              </w:rPr>
              <w:t>投标资格声明；（</w:t>
            </w:r>
            <w:r>
              <w:rPr>
                <w:rFonts w:hint="eastAsia" w:ascii="宋体" w:hAnsi="宋体"/>
                <w:b/>
                <w:color w:val="auto"/>
                <w:sz w:val="24"/>
                <w:szCs w:val="24"/>
                <w:highlight w:val="none"/>
              </w:rPr>
              <w:t>必须提供，否则作无效投标处理</w:t>
            </w:r>
            <w:r>
              <w:rPr>
                <w:rFonts w:hint="eastAsia" w:ascii="宋体" w:hAnsi="宋体"/>
                <w:color w:val="auto"/>
                <w:sz w:val="24"/>
                <w:szCs w:val="24"/>
                <w:highlight w:val="none"/>
              </w:rPr>
              <w:t>）</w:t>
            </w:r>
          </w:p>
          <w:p w14:paraId="4196C626">
            <w:pPr>
              <w:pStyle w:val="2"/>
              <w:rPr>
                <w:rFonts w:hint="eastAsia" w:eastAsia="宋体"/>
                <w:color w:val="auto"/>
                <w:highlight w:val="none"/>
                <w:lang w:val="en-US" w:eastAsia="zh-CN"/>
              </w:rPr>
            </w:pPr>
            <w:r>
              <w:rPr>
                <w:rFonts w:hint="eastAsia" w:ascii="宋体" w:hAnsi="宋体"/>
                <w:color w:val="auto"/>
                <w:sz w:val="24"/>
                <w:szCs w:val="24"/>
                <w:highlight w:val="none"/>
                <w:lang w:val="en-US" w:eastAsia="zh-CN"/>
              </w:rPr>
              <w:t>7、</w:t>
            </w:r>
            <w:r>
              <w:rPr>
                <w:rFonts w:hint="eastAsia" w:ascii="宋体" w:hAnsi="宋体" w:cs="宋体"/>
                <w:color w:val="auto"/>
                <w:sz w:val="24"/>
                <w:szCs w:val="24"/>
                <w:highlight w:val="none"/>
              </w:rPr>
              <w:t>中小企业声明函</w:t>
            </w:r>
            <w:r>
              <w:rPr>
                <w:rFonts w:hint="eastAsia" w:ascii="宋体" w:hAnsi="宋体"/>
                <w:color w:val="auto"/>
                <w:sz w:val="24"/>
                <w:szCs w:val="24"/>
                <w:highlight w:val="none"/>
              </w:rPr>
              <w:t>（格式后附）</w:t>
            </w:r>
            <w:r>
              <w:rPr>
                <w:rFonts w:hint="eastAsia" w:ascii="宋体" w:hAnsi="宋体" w:cs="宋体"/>
                <w:color w:val="auto"/>
                <w:sz w:val="24"/>
                <w:szCs w:val="24"/>
                <w:highlight w:val="none"/>
                <w:lang w:eastAsia="zh-CN"/>
              </w:rPr>
              <w:t>（</w:t>
            </w:r>
            <w:r>
              <w:rPr>
                <w:rFonts w:hint="eastAsia" w:ascii="宋体" w:hAnsi="宋体"/>
                <w:b/>
                <w:color w:val="auto"/>
                <w:sz w:val="24"/>
                <w:szCs w:val="24"/>
                <w:highlight w:val="none"/>
              </w:rPr>
              <w:t>必须提供，否则作无效投标处理</w:t>
            </w:r>
            <w:r>
              <w:rPr>
                <w:rFonts w:hint="eastAsia" w:ascii="宋体" w:hAnsi="宋体" w:cs="宋体"/>
                <w:color w:val="auto"/>
                <w:sz w:val="24"/>
                <w:szCs w:val="24"/>
                <w:highlight w:val="none"/>
                <w:lang w:eastAsia="zh-CN"/>
              </w:rPr>
              <w:t>）</w:t>
            </w:r>
          </w:p>
          <w:p w14:paraId="00AF1272">
            <w:pPr>
              <w:snapToGrid w:val="0"/>
              <w:spacing w:line="380" w:lineRule="exact"/>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采购人或采购代理机构根据招标公告对应的特定资格要求及特定条件设置投标人提供的资格证明材料</w:t>
            </w:r>
          </w:p>
          <w:p w14:paraId="7B17E25F">
            <w:pPr>
              <w:snapToGrid w:val="0"/>
              <w:spacing w:line="380" w:lineRule="exact"/>
              <w:jc w:val="left"/>
              <w:rPr>
                <w:rFonts w:hint="eastAsia"/>
                <w:color w:val="auto"/>
                <w:sz w:val="24"/>
                <w:szCs w:val="24"/>
                <w:highlight w:val="none"/>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除</w:t>
            </w:r>
            <w:r>
              <w:rPr>
                <w:rFonts w:hint="eastAsia" w:ascii="宋体" w:hAnsi="宋体"/>
                <w:color w:val="auto"/>
                <w:sz w:val="24"/>
                <w:szCs w:val="24"/>
                <w:highlight w:val="none"/>
                <w:lang w:eastAsia="zh-CN"/>
              </w:rPr>
              <w:t>采购文件</w:t>
            </w:r>
            <w:r>
              <w:rPr>
                <w:rFonts w:hint="eastAsia" w:ascii="宋体" w:hAnsi="宋体"/>
                <w:color w:val="auto"/>
                <w:sz w:val="24"/>
                <w:szCs w:val="24"/>
                <w:highlight w:val="none"/>
              </w:rPr>
              <w:t>规定必须提供以外，投标人认为需要提供的其他证明材料。</w:t>
            </w:r>
          </w:p>
          <w:p w14:paraId="7C808483">
            <w:pPr>
              <w:snapToGrid w:val="0"/>
              <w:spacing w:line="400" w:lineRule="exact"/>
              <w:jc w:val="left"/>
              <w:rPr>
                <w:rFonts w:ascii="宋体" w:hAnsi="宋体" w:cs="宋体"/>
                <w:b/>
                <w:color w:val="auto"/>
                <w:sz w:val="24"/>
                <w:highlight w:val="none"/>
              </w:rPr>
            </w:pPr>
            <w:r>
              <w:rPr>
                <w:rFonts w:hint="eastAsia" w:ascii="宋体" w:hAnsi="宋体"/>
                <w:b/>
                <w:bCs/>
                <w:color w:val="auto"/>
                <w:sz w:val="24"/>
                <w:szCs w:val="24"/>
                <w:highlight w:val="none"/>
              </w:rPr>
              <w:t>注： 以上标明“必须提供”的材料，必须加盖投标人电子公章，否则作无效投标处理。</w:t>
            </w:r>
          </w:p>
        </w:tc>
      </w:tr>
      <w:tr w14:paraId="0E5BF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29" w:type="dxa"/>
            <w:vMerge w:val="restart"/>
            <w:tcBorders>
              <w:top w:val="single" w:color="000000" w:sz="4" w:space="0"/>
              <w:left w:val="single" w:color="000000" w:sz="4" w:space="0"/>
              <w:right w:val="single" w:color="000000" w:sz="4" w:space="0"/>
            </w:tcBorders>
            <w:vAlign w:val="center"/>
          </w:tcPr>
          <w:p w14:paraId="5352FA3D">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12.1.2</w:t>
            </w:r>
          </w:p>
        </w:tc>
        <w:tc>
          <w:tcPr>
            <w:tcW w:w="1926" w:type="dxa"/>
            <w:tcBorders>
              <w:top w:val="single" w:color="000000" w:sz="4" w:space="0"/>
              <w:left w:val="single" w:color="000000" w:sz="4" w:space="0"/>
              <w:bottom w:val="single" w:color="auto" w:sz="4" w:space="0"/>
              <w:right w:val="single" w:color="000000" w:sz="4" w:space="0"/>
            </w:tcBorders>
            <w:vAlign w:val="center"/>
          </w:tcPr>
          <w:p w14:paraId="29C71233">
            <w:pPr>
              <w:spacing w:line="400" w:lineRule="exact"/>
              <w:jc w:val="center"/>
              <w:rPr>
                <w:rFonts w:ascii="宋体" w:hAnsi="宋体" w:cs="宋体"/>
                <w:b/>
                <w:bCs/>
                <w:color w:val="auto"/>
                <w:sz w:val="24"/>
                <w:highlight w:val="none"/>
              </w:rPr>
            </w:pPr>
            <w:r>
              <w:rPr>
                <w:rFonts w:hint="eastAsia" w:ascii="宋体" w:hAnsi="宋体" w:cs="宋体"/>
                <w:b/>
                <w:bCs/>
                <w:color w:val="auto"/>
                <w:sz w:val="24"/>
                <w:highlight w:val="none"/>
              </w:rPr>
              <w:t>商务文件组成</w:t>
            </w:r>
          </w:p>
        </w:tc>
        <w:tc>
          <w:tcPr>
            <w:tcW w:w="6604" w:type="dxa"/>
            <w:tcBorders>
              <w:top w:val="single" w:color="000000" w:sz="4" w:space="0"/>
              <w:left w:val="single" w:color="000000" w:sz="4" w:space="0"/>
              <w:bottom w:val="single" w:color="auto" w:sz="4" w:space="0"/>
              <w:right w:val="single" w:color="000000" w:sz="4" w:space="0"/>
            </w:tcBorders>
            <w:vAlign w:val="center"/>
          </w:tcPr>
          <w:p w14:paraId="52758CFD">
            <w:pPr>
              <w:spacing w:line="380" w:lineRule="exact"/>
              <w:rPr>
                <w:rFonts w:ascii="宋体" w:hAnsi="宋体" w:cs="宋体"/>
                <w:color w:val="auto"/>
                <w:sz w:val="24"/>
                <w:highlight w:val="none"/>
              </w:rPr>
            </w:pPr>
            <w:r>
              <w:rPr>
                <w:rFonts w:hint="eastAsia" w:ascii="宋体" w:hAnsi="宋体" w:cs="宋体"/>
                <w:color w:val="auto"/>
                <w:sz w:val="24"/>
                <w:highlight w:val="none"/>
              </w:rPr>
              <w:t>1.无串通竞标行为的承诺函；（</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487F8EC">
            <w:pPr>
              <w:snapToGrid w:val="0"/>
              <w:spacing w:line="380" w:lineRule="exact"/>
              <w:jc w:val="left"/>
              <w:rPr>
                <w:rFonts w:ascii="宋体" w:hAnsi="宋体" w:cs="宋体"/>
                <w:color w:val="auto"/>
                <w:sz w:val="24"/>
                <w:highlight w:val="none"/>
              </w:rPr>
            </w:pPr>
            <w:r>
              <w:rPr>
                <w:rFonts w:hint="eastAsia" w:ascii="宋体" w:hAnsi="宋体" w:cs="宋体"/>
                <w:color w:val="auto"/>
                <w:sz w:val="24"/>
                <w:highlight w:val="none"/>
              </w:rPr>
              <w:t>2.法定代表人身份证明书及法定代表人有效身份证正反面复印件；（</w:t>
            </w:r>
            <w:r>
              <w:rPr>
                <w:rFonts w:hint="eastAsia" w:ascii="宋体" w:hAnsi="宋体" w:cs="宋体"/>
                <w:b/>
                <w:bCs/>
                <w:color w:val="auto"/>
                <w:sz w:val="24"/>
                <w:highlight w:val="none"/>
              </w:rPr>
              <w:t>除自然人竞标外</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4BECA80">
            <w:pPr>
              <w:spacing w:line="380" w:lineRule="exact"/>
              <w:rPr>
                <w:rFonts w:ascii="宋体" w:hAnsi="宋体" w:cs="宋体"/>
                <w:b/>
                <w:color w:val="auto"/>
                <w:sz w:val="24"/>
                <w:highlight w:val="none"/>
              </w:rPr>
            </w:pPr>
            <w:r>
              <w:rPr>
                <w:rFonts w:hint="eastAsia" w:ascii="宋体" w:hAnsi="宋体" w:cs="宋体"/>
                <w:color w:val="auto"/>
                <w:sz w:val="24"/>
                <w:highlight w:val="none"/>
              </w:rPr>
              <w:t>3.法定代表人授权委托书及委托代理人有效身份证正反面复印件；（</w:t>
            </w:r>
            <w:r>
              <w:rPr>
                <w:rFonts w:hint="eastAsia" w:ascii="宋体" w:hAnsi="宋体" w:cs="宋体"/>
                <w:b/>
                <w:color w:val="auto"/>
                <w:sz w:val="24"/>
                <w:highlight w:val="none"/>
              </w:rPr>
              <w:t>委托时必须提供，否则响应文件按无效响应处理</w:t>
            </w:r>
            <w:r>
              <w:rPr>
                <w:rFonts w:hint="eastAsia" w:ascii="宋体" w:hAnsi="宋体" w:cs="宋体"/>
                <w:color w:val="auto"/>
                <w:sz w:val="24"/>
                <w:highlight w:val="none"/>
              </w:rPr>
              <w:t>）</w:t>
            </w:r>
          </w:p>
          <w:p w14:paraId="4589F554">
            <w:pPr>
              <w:spacing w:line="380" w:lineRule="exac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.商务条款偏离表；（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287DE6D">
            <w:pPr>
              <w:spacing w:line="380" w:lineRule="exact"/>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.竞标人情况介绍；</w:t>
            </w:r>
          </w:p>
          <w:p w14:paraId="47BF9D65">
            <w:pPr>
              <w:spacing w:line="380" w:lineRule="exact"/>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.联合体协议书；</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如接受</w:t>
            </w:r>
            <w:r>
              <w:rPr>
                <w:rFonts w:hint="eastAsia" w:ascii="宋体" w:hAnsi="宋体" w:cs="宋体"/>
                <w:b/>
                <w:bCs/>
                <w:color w:val="auto"/>
                <w:sz w:val="24"/>
                <w:highlight w:val="none"/>
              </w:rPr>
              <w:t>联合体投标时必须提供，否者作无效响应处理）</w:t>
            </w:r>
          </w:p>
          <w:p w14:paraId="0D0F2E2A">
            <w:pPr>
              <w:spacing w:line="380" w:lineRule="exact"/>
              <w:rPr>
                <w:rFonts w:ascii="宋体" w:hAnsi="宋体" w:cs="宋体"/>
                <w:color w:val="auto"/>
                <w:sz w:val="24"/>
                <w:highlight w:val="none"/>
              </w:rPr>
            </w:pPr>
            <w:r>
              <w:rPr>
                <w:rFonts w:hint="eastAsia" w:ascii="宋体" w:hAnsi="宋体" w:cs="宋体"/>
                <w:color w:val="auto"/>
                <w:sz w:val="24"/>
                <w:highlight w:val="none"/>
              </w:rPr>
              <w:t>8.供应商认为需要提供的其他资料。</w:t>
            </w:r>
          </w:p>
          <w:p w14:paraId="162D92D5">
            <w:pPr>
              <w:spacing w:line="380" w:lineRule="exact"/>
              <w:jc w:val="left"/>
              <w:rPr>
                <w:rFonts w:ascii="宋体" w:hAnsi="宋体" w:cs="宋体"/>
                <w:b/>
                <w:color w:val="auto"/>
                <w:sz w:val="24"/>
                <w:highlight w:val="none"/>
              </w:rPr>
            </w:pPr>
            <w:r>
              <w:rPr>
                <w:rFonts w:hint="eastAsia" w:ascii="宋体" w:hAnsi="宋体" w:cs="宋体"/>
                <w:b/>
                <w:color w:val="auto"/>
                <w:sz w:val="24"/>
                <w:highlight w:val="none"/>
              </w:rPr>
              <w:t>注： 1.法定代表人授权委托书必须由法定代表人及委托代理人签字，并加盖供应商公章，否则响应文件按无效响应处理。</w:t>
            </w:r>
          </w:p>
          <w:p w14:paraId="59E68483">
            <w:pPr>
              <w:spacing w:line="380" w:lineRule="exact"/>
              <w:rPr>
                <w:rFonts w:ascii="宋体" w:hAnsi="宋体" w:cs="宋体"/>
                <w:color w:val="auto"/>
                <w:sz w:val="24"/>
                <w:highlight w:val="none"/>
              </w:rPr>
            </w:pPr>
            <w:r>
              <w:rPr>
                <w:rFonts w:hint="eastAsia" w:ascii="宋体" w:hAnsi="宋体" w:cs="宋体"/>
                <w:b/>
                <w:color w:val="auto"/>
                <w:sz w:val="24"/>
                <w:highlight w:val="none"/>
              </w:rPr>
              <w:t>2.以上标明“必须提供”的材料，必须加盖供应商公章，否则响应文件按无效响应处理。</w:t>
            </w:r>
          </w:p>
        </w:tc>
      </w:tr>
      <w:tr w14:paraId="02734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64" w:hRule="atLeast"/>
          <w:jc w:val="center"/>
        </w:trPr>
        <w:tc>
          <w:tcPr>
            <w:tcW w:w="1129" w:type="dxa"/>
            <w:vMerge w:val="continue"/>
            <w:tcBorders>
              <w:left w:val="single" w:color="000000" w:sz="4" w:space="0"/>
              <w:right w:val="single" w:color="000000" w:sz="4" w:space="0"/>
            </w:tcBorders>
            <w:vAlign w:val="center"/>
          </w:tcPr>
          <w:p w14:paraId="2B8FD8FA">
            <w:pPr>
              <w:spacing w:line="400" w:lineRule="exact"/>
              <w:jc w:val="center"/>
              <w:rPr>
                <w:rFonts w:ascii="宋体" w:hAnsi="宋体" w:cs="宋体"/>
                <w:color w:val="auto"/>
                <w:sz w:val="24"/>
                <w:highlight w:val="none"/>
              </w:rPr>
            </w:pPr>
          </w:p>
        </w:tc>
        <w:tc>
          <w:tcPr>
            <w:tcW w:w="1926" w:type="dxa"/>
            <w:tcBorders>
              <w:top w:val="single" w:color="auto" w:sz="4" w:space="0"/>
              <w:left w:val="single" w:color="000000" w:sz="4" w:space="0"/>
              <w:bottom w:val="single" w:color="000000" w:sz="4" w:space="0"/>
              <w:right w:val="single" w:color="000000" w:sz="4" w:space="0"/>
            </w:tcBorders>
            <w:vAlign w:val="center"/>
          </w:tcPr>
          <w:p w14:paraId="6B455E24">
            <w:pPr>
              <w:spacing w:line="400" w:lineRule="exact"/>
              <w:jc w:val="center"/>
              <w:rPr>
                <w:rFonts w:ascii="宋体" w:hAnsi="宋体" w:cs="宋体"/>
                <w:b/>
                <w:bCs/>
                <w:color w:val="auto"/>
                <w:sz w:val="24"/>
                <w:highlight w:val="none"/>
              </w:rPr>
            </w:pPr>
            <w:r>
              <w:rPr>
                <w:rFonts w:hint="eastAsia" w:ascii="宋体" w:hAnsi="宋体" w:cs="宋体"/>
                <w:b/>
                <w:bCs/>
                <w:color w:val="auto"/>
                <w:sz w:val="24"/>
                <w:highlight w:val="none"/>
              </w:rPr>
              <w:t>技术文件组成</w:t>
            </w:r>
          </w:p>
        </w:tc>
        <w:tc>
          <w:tcPr>
            <w:tcW w:w="6604" w:type="dxa"/>
            <w:tcBorders>
              <w:top w:val="single" w:color="auto" w:sz="4" w:space="0"/>
              <w:left w:val="single" w:color="000000" w:sz="4" w:space="0"/>
              <w:bottom w:val="single" w:color="000000" w:sz="4" w:space="0"/>
              <w:right w:val="single" w:color="000000" w:sz="4" w:space="0"/>
            </w:tcBorders>
            <w:vAlign w:val="center"/>
          </w:tcPr>
          <w:p w14:paraId="5B96E69E">
            <w:pPr>
              <w:spacing w:line="400" w:lineRule="exac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技术</w:t>
            </w:r>
            <w:r>
              <w:rPr>
                <w:rFonts w:hint="eastAsia" w:ascii="宋体" w:hAnsi="宋体" w:cs="宋体"/>
                <w:color w:val="auto"/>
                <w:sz w:val="24"/>
                <w:highlight w:val="none"/>
              </w:rPr>
              <w:t>需求偏离表；（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63E4791">
            <w:pPr>
              <w:spacing w:line="420" w:lineRule="exact"/>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.售后服务承诺；（</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2F372A1B">
            <w:pPr>
              <w:spacing w:line="420" w:lineRule="exac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 xml:space="preserve">.项目实施人员一览表；（如有请提供） </w:t>
            </w:r>
          </w:p>
          <w:p w14:paraId="71732B4B">
            <w:pPr>
              <w:spacing w:line="420" w:lineRule="exac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.对应采购需求的货物需求、商务条款提供的其他文件资料；</w:t>
            </w:r>
          </w:p>
          <w:p w14:paraId="566AF47B">
            <w:pPr>
              <w:spacing w:line="420" w:lineRule="exact"/>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.供应商认为需要提供的其他有关资料。</w:t>
            </w:r>
          </w:p>
          <w:p w14:paraId="4D4DC6D0">
            <w:pPr>
              <w:spacing w:line="400" w:lineRule="exact"/>
              <w:rPr>
                <w:rFonts w:ascii="宋体" w:hAnsi="宋体" w:cs="宋体"/>
                <w:b/>
                <w:color w:val="auto"/>
                <w:sz w:val="24"/>
                <w:highlight w:val="none"/>
              </w:rPr>
            </w:pPr>
            <w:r>
              <w:rPr>
                <w:rFonts w:hint="eastAsia" w:ascii="宋体" w:hAnsi="宋体" w:cs="宋体"/>
                <w:b/>
                <w:color w:val="auto"/>
                <w:sz w:val="24"/>
                <w:highlight w:val="none"/>
              </w:rPr>
              <w:t>注：1.以上标明“必须提供”的材料属于复印件的扫描件的，必须加盖供应商电子公章，否则响应文件按无效响应处理。</w:t>
            </w:r>
          </w:p>
        </w:tc>
      </w:tr>
      <w:tr w14:paraId="1A5F5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0D909371">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12.1.3</w:t>
            </w:r>
          </w:p>
        </w:tc>
        <w:tc>
          <w:tcPr>
            <w:tcW w:w="1926" w:type="dxa"/>
            <w:tcBorders>
              <w:top w:val="single" w:color="000000" w:sz="4" w:space="0"/>
              <w:left w:val="single" w:color="000000" w:sz="4" w:space="0"/>
              <w:bottom w:val="single" w:color="000000" w:sz="4" w:space="0"/>
              <w:right w:val="single" w:color="000000" w:sz="4" w:space="0"/>
            </w:tcBorders>
            <w:vAlign w:val="center"/>
          </w:tcPr>
          <w:p w14:paraId="10269219">
            <w:pPr>
              <w:spacing w:line="400" w:lineRule="exact"/>
              <w:jc w:val="center"/>
              <w:rPr>
                <w:rFonts w:ascii="宋体" w:hAnsi="宋体" w:cs="宋体"/>
                <w:color w:val="auto"/>
                <w:sz w:val="24"/>
                <w:highlight w:val="none"/>
              </w:rPr>
            </w:pPr>
            <w:r>
              <w:rPr>
                <w:rFonts w:hint="eastAsia" w:ascii="宋体" w:hAnsi="宋体" w:cs="宋体"/>
                <w:b/>
                <w:bCs/>
                <w:color w:val="auto"/>
                <w:sz w:val="24"/>
                <w:highlight w:val="none"/>
              </w:rPr>
              <w:t>报价文件组成</w:t>
            </w:r>
          </w:p>
        </w:tc>
        <w:tc>
          <w:tcPr>
            <w:tcW w:w="6604" w:type="dxa"/>
            <w:tcBorders>
              <w:top w:val="single" w:color="000000" w:sz="4" w:space="0"/>
              <w:left w:val="single" w:color="000000" w:sz="4" w:space="0"/>
              <w:bottom w:val="single" w:color="000000" w:sz="4" w:space="0"/>
              <w:right w:val="single" w:color="000000" w:sz="4" w:space="0"/>
            </w:tcBorders>
            <w:vAlign w:val="center"/>
          </w:tcPr>
          <w:p w14:paraId="0E859820">
            <w:pPr>
              <w:tabs>
                <w:tab w:val="left" w:pos="459"/>
              </w:tabs>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1.响应函；</w:t>
            </w:r>
            <w:r>
              <w:rPr>
                <w:rFonts w:hint="eastAsia" w:ascii="宋体" w:hAnsi="宋体" w:cs="宋体"/>
                <w:b/>
                <w:color w:val="auto"/>
                <w:sz w:val="24"/>
                <w:highlight w:val="none"/>
              </w:rPr>
              <w:t>（必须提供，否则作无效响应处理）</w:t>
            </w:r>
          </w:p>
          <w:p w14:paraId="1DEBB49E">
            <w:pPr>
              <w:spacing w:line="400" w:lineRule="exact"/>
              <w:rPr>
                <w:rFonts w:ascii="宋体" w:hAnsi="宋体" w:cs="宋体"/>
                <w:color w:val="auto"/>
                <w:sz w:val="24"/>
                <w:highlight w:val="none"/>
              </w:rPr>
            </w:pPr>
            <w:r>
              <w:rPr>
                <w:rFonts w:hint="eastAsia" w:ascii="宋体" w:hAnsi="宋体" w:cs="宋体"/>
                <w:color w:val="auto"/>
                <w:sz w:val="24"/>
                <w:highlight w:val="none"/>
              </w:rPr>
              <w:t>2.响应报价表；（</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F9C0638">
            <w:pPr>
              <w:spacing w:line="400" w:lineRule="exact"/>
              <w:rPr>
                <w:rFonts w:ascii="宋体" w:hAnsi="宋体" w:cs="宋体"/>
                <w:color w:val="auto"/>
                <w:sz w:val="24"/>
                <w:highlight w:val="none"/>
              </w:rPr>
            </w:pPr>
            <w:r>
              <w:rPr>
                <w:rFonts w:hint="eastAsia" w:ascii="宋体" w:hAnsi="宋体" w:cs="宋体"/>
                <w:color w:val="auto"/>
                <w:sz w:val="24"/>
                <w:szCs w:val="24"/>
                <w:highlight w:val="none"/>
              </w:rPr>
              <w:t>3.</w:t>
            </w:r>
            <w:r>
              <w:rPr>
                <w:rFonts w:hint="eastAsia" w:ascii="宋体" w:hAnsi="宋体"/>
                <w:color w:val="auto"/>
                <w:sz w:val="24"/>
                <w:szCs w:val="24"/>
                <w:highlight w:val="none"/>
                <w:lang w:val="en-US" w:eastAsia="zh-CN"/>
              </w:rPr>
              <w:t>竞标</w:t>
            </w:r>
            <w:r>
              <w:rPr>
                <w:rFonts w:hint="eastAsia" w:ascii="宋体" w:hAnsi="宋体"/>
                <w:color w:val="auto"/>
                <w:sz w:val="24"/>
                <w:szCs w:val="24"/>
                <w:highlight w:val="none"/>
              </w:rPr>
              <w:t>人针对报价需要说明的其他文件和说明</w:t>
            </w:r>
            <w:r>
              <w:rPr>
                <w:rFonts w:hint="eastAsia" w:ascii="宋体" w:hAnsi="宋体" w:eastAsia="宋体" w:cs="Times New Roman"/>
                <w:color w:val="auto"/>
                <w:sz w:val="24"/>
                <w:szCs w:val="24"/>
                <w:highlight w:val="none"/>
              </w:rPr>
              <w:t>《关于符合本国产品标准的声明函》</w:t>
            </w:r>
            <w:r>
              <w:rPr>
                <w:rFonts w:hint="eastAsia" w:ascii="宋体" w:hAnsi="宋体" w:eastAsia="宋体" w:cs="Times New Roman"/>
                <w:color w:val="auto"/>
                <w:sz w:val="24"/>
                <w:szCs w:val="24"/>
                <w:highlight w:val="none"/>
                <w:lang w:val="en-US" w:eastAsia="zh-CN"/>
              </w:rPr>
              <w:t>等）</w:t>
            </w:r>
            <w:r>
              <w:rPr>
                <w:rFonts w:hint="eastAsia" w:ascii="宋体" w:hAnsi="宋体" w:eastAsia="宋体" w:cs="Times New Roman"/>
                <w:color w:val="auto"/>
                <w:sz w:val="24"/>
                <w:szCs w:val="24"/>
                <w:highlight w:val="none"/>
              </w:rPr>
              <w:t>。</w:t>
            </w:r>
          </w:p>
        </w:tc>
      </w:tr>
      <w:tr w14:paraId="50002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21C41F4C">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12.2</w:t>
            </w:r>
          </w:p>
        </w:tc>
        <w:tc>
          <w:tcPr>
            <w:tcW w:w="1926" w:type="dxa"/>
            <w:tcBorders>
              <w:top w:val="single" w:color="000000" w:sz="4" w:space="0"/>
              <w:left w:val="single" w:color="000000" w:sz="4" w:space="0"/>
              <w:bottom w:val="single" w:color="000000" w:sz="4" w:space="0"/>
              <w:right w:val="single" w:color="000000" w:sz="4" w:space="0"/>
            </w:tcBorders>
            <w:vAlign w:val="center"/>
          </w:tcPr>
          <w:p w14:paraId="54E94EB6">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响应文件电子版要求</w:t>
            </w:r>
          </w:p>
        </w:tc>
        <w:tc>
          <w:tcPr>
            <w:tcW w:w="6604" w:type="dxa"/>
            <w:tcBorders>
              <w:top w:val="single" w:color="000000" w:sz="4" w:space="0"/>
              <w:left w:val="single" w:color="000000" w:sz="4" w:space="0"/>
              <w:bottom w:val="single" w:color="000000" w:sz="4" w:space="0"/>
              <w:right w:val="single" w:color="000000" w:sz="4" w:space="0"/>
            </w:tcBorders>
            <w:vAlign w:val="center"/>
          </w:tcPr>
          <w:p w14:paraId="1066AF78">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1.响应文件电子版要求：按照本采购文件“第五章 响应文件格式”编写（第五章未附格式的，由供应商自行拟定），不可涂改并在规定加盖公章处加盖电子公章，</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r>
              <w:rPr>
                <w:rFonts w:hint="eastAsia" w:ascii="宋体" w:hAnsi="宋体" w:cs="宋体"/>
                <w:b/>
                <w:bCs/>
                <w:color w:val="auto"/>
                <w:sz w:val="24"/>
                <w:highlight w:val="none"/>
                <w:u w:val="single"/>
              </w:rPr>
              <w:t>在领取成交通知书时，成交单位需打印与电子</w:t>
            </w:r>
            <w:r>
              <w:rPr>
                <w:rFonts w:hint="eastAsia" w:ascii="宋体" w:hAnsi="宋体" w:cs="宋体"/>
                <w:b/>
                <w:bCs/>
                <w:color w:val="auto"/>
                <w:sz w:val="24"/>
                <w:highlight w:val="none"/>
                <w:u w:val="single"/>
                <w:lang w:val="en-US" w:eastAsia="zh-CN"/>
              </w:rPr>
              <w:t>响应</w:t>
            </w:r>
            <w:r>
              <w:rPr>
                <w:rFonts w:hint="eastAsia" w:ascii="宋体" w:hAnsi="宋体" w:cs="宋体"/>
                <w:b/>
                <w:bCs/>
                <w:color w:val="auto"/>
                <w:sz w:val="24"/>
                <w:highlight w:val="none"/>
                <w:u w:val="single"/>
              </w:rPr>
              <w:t>文件一致的纸质文件一式三份供采购人归档</w:t>
            </w:r>
            <w:r>
              <w:rPr>
                <w:rFonts w:hint="eastAsia" w:ascii="宋体" w:hAnsi="宋体" w:cs="宋体"/>
                <w:b/>
                <w:bCs/>
                <w:color w:val="auto"/>
                <w:sz w:val="24"/>
                <w:highlight w:val="none"/>
              </w:rPr>
              <w:t>。</w:t>
            </w:r>
          </w:p>
          <w:p w14:paraId="301CEDAC">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2.响应文件电子版密封方式：电子响应文件通过平台有效CA加密后在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投送。（操作方式见公告附件“电子响应文件制作与投送教程”）</w:t>
            </w:r>
          </w:p>
        </w:tc>
      </w:tr>
      <w:tr w14:paraId="1F34F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75A42EF0">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15.2</w:t>
            </w:r>
          </w:p>
        </w:tc>
        <w:tc>
          <w:tcPr>
            <w:tcW w:w="1926" w:type="dxa"/>
            <w:tcBorders>
              <w:top w:val="single" w:color="000000" w:sz="4" w:space="0"/>
              <w:left w:val="single" w:color="000000" w:sz="4" w:space="0"/>
              <w:bottom w:val="single" w:color="000000" w:sz="4" w:space="0"/>
              <w:right w:val="single" w:color="000000" w:sz="4" w:space="0"/>
            </w:tcBorders>
            <w:vAlign w:val="center"/>
          </w:tcPr>
          <w:p w14:paraId="4DA4D51B">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响应报价要求</w:t>
            </w:r>
          </w:p>
        </w:tc>
        <w:tc>
          <w:tcPr>
            <w:tcW w:w="6604" w:type="dxa"/>
            <w:tcBorders>
              <w:top w:val="single" w:color="000000" w:sz="4" w:space="0"/>
              <w:left w:val="single" w:color="000000" w:sz="4" w:space="0"/>
              <w:bottom w:val="single" w:color="000000" w:sz="4" w:space="0"/>
              <w:right w:val="single" w:color="000000" w:sz="4" w:space="0"/>
            </w:tcBorders>
            <w:vAlign w:val="center"/>
          </w:tcPr>
          <w:p w14:paraId="14538763">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响应报价必须包含满足本次竞标全部采购需求所应提供的货物，以及伴随的货物和工程（如有）的价格；包含竞标货物、货物、工程的成本、运输（含保险）、安装（如有）、调试、检验、技术货物、培训、税费等所有费用。</w:t>
            </w:r>
            <w:r>
              <w:rPr>
                <w:rFonts w:hint="eastAsia" w:ascii="宋体" w:hAnsi="宋体" w:cs="宋体"/>
                <w:b/>
                <w:color w:val="auto"/>
                <w:sz w:val="24"/>
                <w:highlight w:val="none"/>
              </w:rPr>
              <w:t>（采购需求另有约定的，从其约定。）</w:t>
            </w:r>
          </w:p>
        </w:tc>
      </w:tr>
      <w:tr w14:paraId="042B8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6D25ACB7">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16.2</w:t>
            </w:r>
          </w:p>
        </w:tc>
        <w:tc>
          <w:tcPr>
            <w:tcW w:w="1926" w:type="dxa"/>
            <w:tcBorders>
              <w:top w:val="single" w:color="000000" w:sz="4" w:space="0"/>
              <w:left w:val="single" w:color="000000" w:sz="4" w:space="0"/>
              <w:bottom w:val="single" w:color="000000" w:sz="4" w:space="0"/>
              <w:right w:val="single" w:color="000000" w:sz="4" w:space="0"/>
            </w:tcBorders>
            <w:vAlign w:val="center"/>
          </w:tcPr>
          <w:p w14:paraId="3951B872">
            <w:pPr>
              <w:spacing w:line="400" w:lineRule="exact"/>
              <w:jc w:val="left"/>
              <w:rPr>
                <w:rFonts w:ascii="宋体" w:hAnsi="宋体" w:cs="宋体"/>
                <w:color w:val="auto"/>
                <w:sz w:val="24"/>
                <w:highlight w:val="none"/>
              </w:rPr>
            </w:pPr>
            <w:r>
              <w:rPr>
                <w:rFonts w:hint="eastAsia" w:ascii="宋体" w:hAnsi="宋体" w:cs="宋体"/>
                <w:color w:val="auto"/>
                <w:sz w:val="24"/>
                <w:highlight w:val="none"/>
              </w:rPr>
              <w:t>竞标有效期</w:t>
            </w:r>
          </w:p>
        </w:tc>
        <w:tc>
          <w:tcPr>
            <w:tcW w:w="6604" w:type="dxa"/>
            <w:tcBorders>
              <w:top w:val="single" w:color="000000" w:sz="4" w:space="0"/>
              <w:left w:val="single" w:color="000000" w:sz="4" w:space="0"/>
              <w:bottom w:val="single" w:color="000000" w:sz="4" w:space="0"/>
              <w:right w:val="single" w:color="000000" w:sz="4" w:space="0"/>
            </w:tcBorders>
            <w:vAlign w:val="center"/>
          </w:tcPr>
          <w:p w14:paraId="6A96CC90">
            <w:pPr>
              <w:pStyle w:val="11"/>
              <w:widowControl w:val="0"/>
              <w:tabs>
                <w:tab w:val="clear" w:pos="454"/>
              </w:tabs>
              <w:snapToGrid w:val="0"/>
              <w:spacing w:after="120" w:line="400" w:lineRule="exact"/>
              <w:ind w:left="-283" w:leftChars="-135" w:firstLine="0"/>
              <w:rPr>
                <w:rFonts w:ascii="宋体" w:hAnsi="宋体" w:cs="宋体"/>
                <w:color w:val="auto"/>
                <w:kern w:val="2"/>
                <w:szCs w:val="24"/>
                <w:highlight w:val="none"/>
              </w:rPr>
            </w:pPr>
            <w:r>
              <w:rPr>
                <w:rFonts w:hint="eastAsia" w:ascii="宋体" w:hAnsi="宋体" w:cs="宋体"/>
                <w:color w:val="auto"/>
                <w:kern w:val="2"/>
                <w:szCs w:val="24"/>
                <w:highlight w:val="none"/>
              </w:rPr>
              <w:t>自首次响应文件提交截止之日起</w:t>
            </w:r>
            <w:bookmarkStart w:id="54" w:name="PO_3000001871_PM046"/>
            <w:r>
              <w:rPr>
                <w:rFonts w:hint="eastAsia" w:ascii="宋体" w:hAnsi="宋体" w:cs="宋体"/>
                <w:b/>
                <w:bCs/>
                <w:color w:val="auto"/>
                <w:kern w:val="2"/>
                <w:szCs w:val="24"/>
                <w:highlight w:val="none"/>
                <w:u w:val="single"/>
              </w:rPr>
              <w:t>60</w:t>
            </w:r>
            <w:r>
              <w:rPr>
                <w:rFonts w:hint="eastAsia" w:ascii="宋体" w:hAnsi="宋体" w:cs="宋体"/>
                <w:color w:val="auto"/>
                <w:kern w:val="2"/>
                <w:szCs w:val="24"/>
                <w:highlight w:val="none"/>
              </w:rPr>
              <w:t>日历天</w:t>
            </w:r>
            <w:bookmarkEnd w:id="54"/>
            <w:r>
              <w:rPr>
                <w:rFonts w:hint="eastAsia" w:ascii="宋体" w:hAnsi="宋体" w:cs="宋体"/>
                <w:color w:val="auto"/>
                <w:kern w:val="2"/>
                <w:szCs w:val="24"/>
                <w:highlight w:val="none"/>
              </w:rPr>
              <w:t>。</w:t>
            </w:r>
          </w:p>
        </w:tc>
      </w:tr>
      <w:tr w14:paraId="0B93D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652E9322">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17.1</w:t>
            </w:r>
          </w:p>
        </w:tc>
        <w:tc>
          <w:tcPr>
            <w:tcW w:w="1926" w:type="dxa"/>
            <w:tcBorders>
              <w:top w:val="single" w:color="000000" w:sz="4" w:space="0"/>
              <w:left w:val="single" w:color="000000" w:sz="4" w:space="0"/>
              <w:bottom w:val="single" w:color="000000" w:sz="4" w:space="0"/>
              <w:right w:val="single" w:color="000000" w:sz="4" w:space="0"/>
            </w:tcBorders>
            <w:vAlign w:val="center"/>
          </w:tcPr>
          <w:p w14:paraId="0AF25D6C">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谈判保证金</w:t>
            </w:r>
          </w:p>
        </w:tc>
        <w:tc>
          <w:tcPr>
            <w:tcW w:w="6604" w:type="dxa"/>
            <w:tcBorders>
              <w:top w:val="single" w:color="000000" w:sz="4" w:space="0"/>
              <w:left w:val="single" w:color="000000" w:sz="4" w:space="0"/>
              <w:bottom w:val="single" w:color="000000" w:sz="4" w:space="0"/>
              <w:right w:val="single" w:color="000000" w:sz="4" w:space="0"/>
            </w:tcBorders>
            <w:vAlign w:val="center"/>
          </w:tcPr>
          <w:p w14:paraId="0E4125FA">
            <w:pPr>
              <w:snapToGrid w:val="0"/>
              <w:spacing w:line="400" w:lineRule="exact"/>
              <w:rPr>
                <w:rFonts w:ascii="宋体" w:hAnsi="宋体" w:cs="宋体"/>
                <w:b/>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本项目不收取竞谈保证金。</w:t>
            </w:r>
          </w:p>
        </w:tc>
      </w:tr>
      <w:tr w14:paraId="44954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14:paraId="7028D0A2">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20.1</w:t>
            </w:r>
          </w:p>
        </w:tc>
        <w:tc>
          <w:tcPr>
            <w:tcW w:w="1926" w:type="dxa"/>
            <w:tcBorders>
              <w:top w:val="single" w:color="000000" w:sz="4" w:space="0"/>
              <w:left w:val="single" w:color="000000" w:sz="4" w:space="0"/>
              <w:bottom w:val="single" w:color="000000" w:sz="4" w:space="0"/>
              <w:right w:val="single" w:color="000000" w:sz="4" w:space="0"/>
            </w:tcBorders>
            <w:vAlign w:val="center"/>
          </w:tcPr>
          <w:p w14:paraId="63232267">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首次响应文件提交起止时间</w:t>
            </w:r>
          </w:p>
        </w:tc>
        <w:tc>
          <w:tcPr>
            <w:tcW w:w="6604" w:type="dxa"/>
            <w:tcBorders>
              <w:top w:val="single" w:color="000000" w:sz="4" w:space="0"/>
              <w:left w:val="single" w:color="000000" w:sz="4" w:space="0"/>
              <w:bottom w:val="single" w:color="000000" w:sz="4" w:space="0"/>
              <w:right w:val="single" w:color="000000" w:sz="4" w:space="0"/>
            </w:tcBorders>
            <w:vAlign w:val="center"/>
          </w:tcPr>
          <w:p w14:paraId="766AA960">
            <w:pPr>
              <w:snapToGrid w:val="0"/>
              <w:spacing w:line="400" w:lineRule="exact"/>
              <w:jc w:val="left"/>
              <w:rPr>
                <w:rFonts w:ascii="宋体" w:hAnsi="宋体" w:cs="宋体"/>
                <w:color w:val="auto"/>
                <w:sz w:val="24"/>
                <w:highlight w:val="none"/>
                <w:u w:val="single"/>
              </w:rPr>
            </w:pPr>
            <w:r>
              <w:rPr>
                <w:rFonts w:hint="eastAsia" w:ascii="宋体" w:hAnsi="宋体" w:cs="宋体"/>
                <w:color w:val="auto"/>
                <w:sz w:val="24"/>
                <w:highlight w:val="none"/>
              </w:rPr>
              <w:t>详见竞争性谈判公告。</w:t>
            </w:r>
          </w:p>
        </w:tc>
      </w:tr>
      <w:tr w14:paraId="6E804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14:paraId="35DDFB69">
            <w:pPr>
              <w:widowControl/>
              <w:spacing w:line="400" w:lineRule="exact"/>
              <w:jc w:val="left"/>
              <w:rPr>
                <w:rFonts w:ascii="宋体" w:hAnsi="宋体" w:cs="宋体"/>
                <w:color w:val="auto"/>
                <w:sz w:val="24"/>
                <w:highlight w:val="none"/>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BF298C4">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首次响应文件提交地点</w:t>
            </w:r>
          </w:p>
        </w:tc>
        <w:tc>
          <w:tcPr>
            <w:tcW w:w="6604" w:type="dxa"/>
            <w:tcBorders>
              <w:top w:val="single" w:color="000000" w:sz="4" w:space="0"/>
              <w:left w:val="single" w:color="000000" w:sz="4" w:space="0"/>
              <w:bottom w:val="single" w:color="000000" w:sz="4" w:space="0"/>
              <w:right w:val="single" w:color="000000" w:sz="4" w:space="0"/>
            </w:tcBorders>
            <w:vAlign w:val="center"/>
          </w:tcPr>
          <w:p w14:paraId="00BA83EE">
            <w:pPr>
              <w:snapToGrid w:val="0"/>
              <w:spacing w:line="400" w:lineRule="exact"/>
              <w:jc w:val="left"/>
              <w:rPr>
                <w:rFonts w:ascii="宋体" w:hAnsi="宋体" w:cs="宋体"/>
                <w:color w:val="auto"/>
                <w:sz w:val="24"/>
                <w:highlight w:val="none"/>
                <w:u w:val="single"/>
              </w:rPr>
            </w:pPr>
            <w:r>
              <w:rPr>
                <w:rFonts w:hint="eastAsia" w:ascii="宋体" w:hAnsi="宋体" w:cs="宋体"/>
                <w:color w:val="auto"/>
                <w:sz w:val="24"/>
                <w:highlight w:val="none"/>
              </w:rPr>
              <w:t>详见竞争性谈判公告。</w:t>
            </w:r>
          </w:p>
        </w:tc>
      </w:tr>
      <w:tr w14:paraId="3D10A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4FD3B384">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20.6</w:t>
            </w:r>
          </w:p>
        </w:tc>
        <w:tc>
          <w:tcPr>
            <w:tcW w:w="1926" w:type="dxa"/>
            <w:tcBorders>
              <w:top w:val="single" w:color="000000" w:sz="4" w:space="0"/>
              <w:left w:val="single" w:color="000000" w:sz="4" w:space="0"/>
              <w:bottom w:val="single" w:color="000000" w:sz="4" w:space="0"/>
              <w:right w:val="single" w:color="000000" w:sz="4" w:space="0"/>
            </w:tcBorders>
            <w:vAlign w:val="center"/>
          </w:tcPr>
          <w:p w14:paraId="734D81A9">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备份响应文件</w:t>
            </w:r>
          </w:p>
        </w:tc>
        <w:tc>
          <w:tcPr>
            <w:tcW w:w="6604" w:type="dxa"/>
            <w:tcBorders>
              <w:top w:val="single" w:color="000000" w:sz="4" w:space="0"/>
              <w:left w:val="single" w:color="000000" w:sz="4" w:space="0"/>
              <w:bottom w:val="single" w:color="000000" w:sz="4" w:space="0"/>
              <w:right w:val="single" w:color="000000" w:sz="4" w:space="0"/>
            </w:tcBorders>
            <w:vAlign w:val="center"/>
          </w:tcPr>
          <w:p w14:paraId="13A040AF">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本项目不接受备份响应文件。</w:t>
            </w:r>
          </w:p>
        </w:tc>
      </w:tr>
      <w:tr w14:paraId="7B5B8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79C9640B">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21</w:t>
            </w:r>
          </w:p>
        </w:tc>
        <w:tc>
          <w:tcPr>
            <w:tcW w:w="1926" w:type="dxa"/>
            <w:tcBorders>
              <w:top w:val="single" w:color="000000" w:sz="4" w:space="0"/>
              <w:left w:val="single" w:color="000000" w:sz="4" w:space="0"/>
              <w:bottom w:val="single" w:color="000000" w:sz="4" w:space="0"/>
              <w:right w:val="single" w:color="000000" w:sz="4" w:space="0"/>
            </w:tcBorders>
            <w:vAlign w:val="center"/>
          </w:tcPr>
          <w:p w14:paraId="4CF8202B">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首次响应文件的退回</w:t>
            </w:r>
          </w:p>
        </w:tc>
        <w:tc>
          <w:tcPr>
            <w:tcW w:w="6604" w:type="dxa"/>
            <w:tcBorders>
              <w:top w:val="single" w:color="000000" w:sz="4" w:space="0"/>
              <w:left w:val="single" w:color="000000" w:sz="4" w:space="0"/>
              <w:bottom w:val="single" w:color="000000" w:sz="4" w:space="0"/>
              <w:right w:val="single" w:color="000000" w:sz="4" w:space="0"/>
            </w:tcBorders>
            <w:vAlign w:val="center"/>
          </w:tcPr>
          <w:p w14:paraId="211DFEB1">
            <w:pPr>
              <w:snapToGrid w:val="0"/>
              <w:spacing w:line="400" w:lineRule="exact"/>
              <w:jc w:val="left"/>
              <w:rPr>
                <w:rFonts w:ascii="宋体" w:hAnsi="宋体" w:cs="宋体"/>
                <w:color w:val="auto"/>
                <w:sz w:val="24"/>
                <w:highlight w:val="none"/>
              </w:rPr>
            </w:pPr>
            <w:r>
              <w:rPr>
                <w:rFonts w:hint="eastAsia" w:ascii="宋体" w:hAnsi="宋体" w:cs="宋体"/>
                <w:color w:val="auto"/>
                <w:sz w:val="24"/>
                <w:highlight w:val="none"/>
              </w:rPr>
              <w:t>详见竞争性谈判公告。</w:t>
            </w:r>
          </w:p>
        </w:tc>
      </w:tr>
      <w:tr w14:paraId="3AE87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14:paraId="7B0BD561">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26.2</w:t>
            </w:r>
          </w:p>
        </w:tc>
        <w:tc>
          <w:tcPr>
            <w:tcW w:w="1926" w:type="dxa"/>
            <w:tcBorders>
              <w:top w:val="single" w:color="000000" w:sz="4" w:space="0"/>
              <w:left w:val="single" w:color="000000" w:sz="4" w:space="0"/>
              <w:bottom w:val="single" w:color="000000" w:sz="4" w:space="0"/>
              <w:right w:val="single" w:color="000000" w:sz="4" w:space="0"/>
            </w:tcBorders>
            <w:vAlign w:val="center"/>
          </w:tcPr>
          <w:p w14:paraId="51D947A2">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负偏离要求</w:t>
            </w:r>
          </w:p>
        </w:tc>
        <w:tc>
          <w:tcPr>
            <w:tcW w:w="6604" w:type="dxa"/>
            <w:tcBorders>
              <w:top w:val="single" w:color="000000" w:sz="4" w:space="0"/>
              <w:left w:val="single" w:color="000000" w:sz="4" w:space="0"/>
              <w:bottom w:val="single" w:color="000000" w:sz="4" w:space="0"/>
              <w:right w:val="single" w:color="000000" w:sz="4" w:space="0"/>
            </w:tcBorders>
            <w:vAlign w:val="center"/>
          </w:tcPr>
          <w:p w14:paraId="2CCBF018">
            <w:pPr>
              <w:snapToGrid w:val="0"/>
              <w:spacing w:line="400" w:lineRule="exact"/>
              <w:rPr>
                <w:rFonts w:ascii="宋体" w:hAnsi="宋体" w:cs="宋体"/>
                <w:b/>
                <w:bCs/>
                <w:color w:val="auto"/>
                <w:sz w:val="24"/>
                <w:highlight w:val="none"/>
              </w:rPr>
            </w:pPr>
            <w:r>
              <w:rPr>
                <w:rFonts w:hint="eastAsia" w:ascii="宋体" w:hAnsi="宋体" w:cs="宋体"/>
                <w:b/>
                <w:bCs/>
                <w:color w:val="auto"/>
                <w:sz w:val="24"/>
                <w:highlight w:val="none"/>
              </w:rPr>
              <w:t>商务条款评审中允许负偏离的条款数为</w:t>
            </w:r>
            <w:r>
              <w:rPr>
                <w:rFonts w:hint="eastAsia" w:ascii="宋体" w:hAnsi="宋体" w:cs="宋体"/>
                <w:b/>
                <w:bCs/>
                <w:color w:val="auto"/>
                <w:sz w:val="24"/>
                <w:highlight w:val="none"/>
                <w:u w:val="single"/>
              </w:rPr>
              <w:t xml:space="preserve"> </w:t>
            </w:r>
            <w:r>
              <w:rPr>
                <w:rFonts w:hint="eastAsia" w:ascii="宋体" w:hAnsi="宋体" w:cs="宋体"/>
                <w:b/>
                <w:bCs/>
                <w:color w:val="auto"/>
                <w:sz w:val="24"/>
                <w:highlight w:val="none"/>
                <w:u w:val="single"/>
                <w:lang w:val="en-US" w:eastAsia="zh-CN"/>
              </w:rPr>
              <w:t>0</w:t>
            </w:r>
            <w:r>
              <w:rPr>
                <w:rFonts w:hint="eastAsia" w:ascii="宋体" w:hAnsi="宋体" w:cs="宋体"/>
                <w:b/>
                <w:bCs/>
                <w:color w:val="auto"/>
                <w:sz w:val="24"/>
                <w:highlight w:val="none"/>
              </w:rPr>
              <w:t>项。</w:t>
            </w:r>
          </w:p>
          <w:p w14:paraId="7C0F633B">
            <w:pPr>
              <w:snapToGrid w:val="0"/>
              <w:spacing w:line="400" w:lineRule="exact"/>
              <w:rPr>
                <w:rFonts w:ascii="宋体" w:hAnsi="宋体" w:cs="宋体"/>
                <w:color w:val="auto"/>
                <w:sz w:val="24"/>
                <w:highlight w:val="none"/>
              </w:rPr>
            </w:pPr>
            <w:r>
              <w:rPr>
                <w:rFonts w:hint="eastAsia" w:ascii="宋体" w:hAnsi="宋体" w:cs="宋体"/>
                <w:b/>
                <w:bCs/>
                <w:color w:val="auto"/>
                <w:sz w:val="24"/>
                <w:highlight w:val="none"/>
                <w:lang w:val="en-US" w:eastAsia="zh-CN"/>
              </w:rPr>
              <w:t>技术参数要求</w:t>
            </w:r>
            <w:r>
              <w:rPr>
                <w:rFonts w:hint="eastAsia" w:ascii="宋体" w:hAnsi="宋体" w:cs="宋体"/>
                <w:b/>
                <w:bCs/>
                <w:color w:val="auto"/>
                <w:sz w:val="24"/>
                <w:highlight w:val="none"/>
              </w:rPr>
              <w:t>评审中允许负偏离的条款数为</w:t>
            </w:r>
            <w:r>
              <w:rPr>
                <w:rFonts w:hint="eastAsia" w:ascii="宋体" w:hAnsi="宋体" w:cs="宋体"/>
                <w:b/>
                <w:bCs/>
                <w:color w:val="auto"/>
                <w:sz w:val="24"/>
                <w:highlight w:val="none"/>
                <w:u w:val="single"/>
                <w:lang w:val="en-US" w:eastAsia="zh-CN"/>
              </w:rPr>
              <w:t>3</w:t>
            </w:r>
            <w:r>
              <w:rPr>
                <w:rFonts w:hint="eastAsia" w:ascii="宋体" w:hAnsi="宋体" w:cs="宋体"/>
                <w:b/>
                <w:bCs/>
                <w:color w:val="auto"/>
                <w:sz w:val="24"/>
                <w:highlight w:val="none"/>
              </w:rPr>
              <w:t>项。</w:t>
            </w:r>
          </w:p>
        </w:tc>
      </w:tr>
      <w:tr w14:paraId="5F686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1129" w:type="dxa"/>
            <w:vMerge w:val="continue"/>
            <w:tcBorders>
              <w:left w:val="single" w:color="000000" w:sz="4" w:space="0"/>
              <w:right w:val="single" w:color="000000" w:sz="4" w:space="0"/>
            </w:tcBorders>
            <w:vAlign w:val="center"/>
          </w:tcPr>
          <w:p w14:paraId="170FD7D7">
            <w:pPr>
              <w:spacing w:line="400" w:lineRule="exact"/>
              <w:jc w:val="center"/>
              <w:rPr>
                <w:rFonts w:ascii="宋体" w:hAnsi="宋体" w:cs="宋体"/>
                <w:color w:val="auto"/>
                <w:sz w:val="24"/>
                <w:highlight w:val="none"/>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2157085E">
            <w:pPr>
              <w:spacing w:line="400" w:lineRule="exact"/>
              <w:jc w:val="center"/>
              <w:rPr>
                <w:rFonts w:ascii="宋体" w:hAnsi="宋体" w:cs="宋体"/>
                <w:color w:val="auto"/>
                <w:sz w:val="24"/>
                <w:highlight w:val="none"/>
              </w:rPr>
            </w:pPr>
            <w:r>
              <w:rPr>
                <w:rFonts w:hint="eastAsia" w:ascii="宋体" w:hAnsi="宋体" w:cs="宋体"/>
                <w:color w:val="auto"/>
                <w:szCs w:val="21"/>
                <w:highlight w:val="none"/>
              </w:rPr>
              <w:t>谈判的顺序</w:t>
            </w:r>
          </w:p>
        </w:tc>
        <w:tc>
          <w:tcPr>
            <w:tcW w:w="6604" w:type="dxa"/>
            <w:tcBorders>
              <w:top w:val="single" w:color="000000" w:sz="4" w:space="0"/>
              <w:left w:val="single" w:color="000000" w:sz="4" w:space="0"/>
              <w:bottom w:val="single" w:color="000000" w:sz="4" w:space="0"/>
              <w:right w:val="single" w:color="000000" w:sz="4" w:space="0"/>
            </w:tcBorders>
            <w:vAlign w:val="center"/>
          </w:tcPr>
          <w:p w14:paraId="1BCA8D4F">
            <w:pPr>
              <w:snapToGrid w:val="0"/>
              <w:spacing w:line="400" w:lineRule="exact"/>
              <w:rPr>
                <w:rFonts w:ascii="宋体" w:hAnsi="宋体" w:cs="宋体"/>
                <w:color w:val="auto"/>
                <w:sz w:val="24"/>
                <w:highlight w:val="none"/>
              </w:rPr>
            </w:pPr>
            <w:r>
              <w:rPr>
                <w:rFonts w:hint="eastAsia" w:ascii="宋体" w:hAnsi="宋体" w:cs="宋体"/>
                <w:color w:val="auto"/>
                <w:szCs w:val="21"/>
                <w:highlight w:val="none"/>
              </w:rPr>
              <w:t>系统自动提取的顺序</w:t>
            </w:r>
          </w:p>
        </w:tc>
      </w:tr>
      <w:tr w14:paraId="0869C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14:paraId="747C3173">
            <w:pPr>
              <w:widowControl/>
              <w:spacing w:line="400" w:lineRule="exact"/>
              <w:jc w:val="left"/>
              <w:rPr>
                <w:rFonts w:ascii="宋体" w:hAnsi="宋体" w:cs="宋体"/>
                <w:color w:val="auto"/>
                <w:sz w:val="24"/>
                <w:highlight w:val="none"/>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7ED469F0">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评审价相同时成交原则</w:t>
            </w:r>
          </w:p>
        </w:tc>
        <w:tc>
          <w:tcPr>
            <w:tcW w:w="6604" w:type="dxa"/>
            <w:tcBorders>
              <w:top w:val="single" w:color="000000" w:sz="4" w:space="0"/>
              <w:left w:val="single" w:color="000000" w:sz="4" w:space="0"/>
              <w:bottom w:val="single" w:color="000000" w:sz="4" w:space="0"/>
              <w:right w:val="single" w:color="000000" w:sz="4" w:space="0"/>
            </w:tcBorders>
            <w:vAlign w:val="center"/>
          </w:tcPr>
          <w:p w14:paraId="7D193AF5">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评审价相同时，按照最后报价由低到高顺序依次推荐；最后报价相同时，按以下原则确定成交候选人的顺序：</w:t>
            </w:r>
          </w:p>
          <w:p w14:paraId="0DF2E2DB">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sym w:font="Wingdings 2" w:char="0052"/>
            </w:r>
            <w:r>
              <w:rPr>
                <w:rFonts w:hint="eastAsia" w:ascii="宋体" w:hAnsi="宋体" w:cs="宋体"/>
                <w:color w:val="auto"/>
                <w:sz w:val="24"/>
                <w:highlight w:val="none"/>
              </w:rPr>
              <w:t>依次按带“▲”的实质性要求正偏离项数多的优先、均无正偏离或者正偏离项数一致时负偏离项数少的优先、质量保证期长优先、交货期短优先、故障响应时间短优先的顺序排列。</w:t>
            </w:r>
          </w:p>
          <w:p w14:paraId="250F9617">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□由谈判小组推荐代表随机抽取。</w:t>
            </w:r>
          </w:p>
        </w:tc>
      </w:tr>
      <w:tr w14:paraId="36F81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0D8C3509">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28</w:t>
            </w:r>
          </w:p>
        </w:tc>
        <w:tc>
          <w:tcPr>
            <w:tcW w:w="1926" w:type="dxa"/>
            <w:tcBorders>
              <w:top w:val="single" w:color="000000" w:sz="4" w:space="0"/>
              <w:left w:val="single" w:color="000000" w:sz="4" w:space="0"/>
              <w:bottom w:val="single" w:color="000000" w:sz="4" w:space="0"/>
              <w:right w:val="single" w:color="000000" w:sz="4" w:space="0"/>
            </w:tcBorders>
            <w:vAlign w:val="center"/>
          </w:tcPr>
          <w:p w14:paraId="1019B134">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履约保证金</w:t>
            </w:r>
          </w:p>
        </w:tc>
        <w:tc>
          <w:tcPr>
            <w:tcW w:w="6604" w:type="dxa"/>
            <w:tcBorders>
              <w:top w:val="single" w:color="000000" w:sz="4" w:space="0"/>
              <w:left w:val="single" w:color="000000" w:sz="4" w:space="0"/>
              <w:bottom w:val="single" w:color="000000" w:sz="4" w:space="0"/>
              <w:right w:val="single" w:color="000000" w:sz="4" w:space="0"/>
            </w:tcBorders>
            <w:vAlign w:val="center"/>
          </w:tcPr>
          <w:p w14:paraId="76C8B186">
            <w:pPr>
              <w:snapToGrid w:val="0"/>
              <w:spacing w:line="460" w:lineRule="exact"/>
              <w:rPr>
                <w:rFonts w:ascii="宋体" w:hAnsi="宋体" w:cs="微软雅黑"/>
                <w:color w:val="auto"/>
                <w:sz w:val="24"/>
                <w:highlight w:val="none"/>
              </w:rPr>
            </w:pPr>
            <w:r>
              <w:rPr>
                <w:rFonts w:hint="eastAsia" w:ascii="宋体" w:hAnsi="宋体" w:cs="微软雅黑"/>
                <w:color w:val="auto"/>
                <w:kern w:val="0"/>
                <w:sz w:val="24"/>
                <w:highlight w:val="none"/>
                <w:lang w:eastAsia="zh-CN"/>
              </w:rPr>
              <w:t>☑</w:t>
            </w:r>
            <w:r>
              <w:rPr>
                <w:rFonts w:hint="eastAsia" w:ascii="宋体" w:hAnsi="宋体" w:cs="微软雅黑"/>
                <w:color w:val="auto"/>
                <w:kern w:val="0"/>
                <w:sz w:val="24"/>
                <w:highlight w:val="none"/>
              </w:rPr>
              <w:t xml:space="preserve">本项目不收取履约保证金 </w:t>
            </w:r>
          </w:p>
          <w:p w14:paraId="132749AC">
            <w:pPr>
              <w:snapToGrid w:val="0"/>
              <w:spacing w:line="400" w:lineRule="exact"/>
              <w:rPr>
                <w:rFonts w:ascii="宋体" w:hAnsi="宋体" w:cs="宋体"/>
                <w:color w:val="auto"/>
                <w:sz w:val="24"/>
                <w:highlight w:val="none"/>
              </w:rPr>
            </w:pPr>
            <w:r>
              <w:rPr>
                <w:rFonts w:hint="eastAsia" w:ascii="MS Mincho" w:hAnsi="MS Mincho" w:eastAsia="宋体" w:cs="MS Mincho"/>
                <w:color w:val="auto"/>
                <w:sz w:val="24"/>
                <w:highlight w:val="none"/>
                <w:lang w:eastAsia="zh-CN"/>
              </w:rPr>
              <w:t>□</w:t>
            </w:r>
            <w:r>
              <w:rPr>
                <w:rFonts w:hint="eastAsia" w:ascii="宋体" w:hAnsi="宋体" w:cs="宋体"/>
                <w:color w:val="auto"/>
                <w:sz w:val="24"/>
                <w:highlight w:val="none"/>
              </w:rPr>
              <w:t>合同签订前按成交金额的5%向采购人指定账户提交履约保证金，待交货完毕并验收合格后，产品无质量问题、同时供应商无任何违约行为的，采购人接到供应商书面退还申请和收款收据后 5个工作日内办理返还手续（不计息）。</w:t>
            </w:r>
          </w:p>
        </w:tc>
      </w:tr>
      <w:tr w14:paraId="3D90A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48CC33ED">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29.5</w:t>
            </w:r>
          </w:p>
        </w:tc>
        <w:tc>
          <w:tcPr>
            <w:tcW w:w="1926" w:type="dxa"/>
            <w:tcBorders>
              <w:top w:val="single" w:color="000000" w:sz="4" w:space="0"/>
              <w:left w:val="single" w:color="000000" w:sz="4" w:space="0"/>
              <w:bottom w:val="single" w:color="000000" w:sz="4" w:space="0"/>
              <w:right w:val="single" w:color="000000" w:sz="4" w:space="0"/>
            </w:tcBorders>
            <w:vAlign w:val="center"/>
          </w:tcPr>
          <w:p w14:paraId="2F2F3D8B">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签订合同携带的材料</w:t>
            </w:r>
          </w:p>
        </w:tc>
        <w:tc>
          <w:tcPr>
            <w:tcW w:w="6604" w:type="dxa"/>
            <w:tcBorders>
              <w:top w:val="single" w:color="000000" w:sz="4" w:space="0"/>
              <w:left w:val="single" w:color="000000" w:sz="4" w:space="0"/>
              <w:bottom w:val="single" w:color="000000" w:sz="4" w:space="0"/>
              <w:right w:val="single" w:color="000000" w:sz="4" w:space="0"/>
            </w:tcBorders>
            <w:vAlign w:val="center"/>
          </w:tcPr>
          <w:p w14:paraId="335B83F2">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使用的有效CA证书加盖单位电子公章。</w:t>
            </w:r>
          </w:p>
        </w:tc>
      </w:tr>
      <w:tr w14:paraId="0F751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Merge w:val="restart"/>
            <w:tcBorders>
              <w:top w:val="single" w:color="000000" w:sz="4" w:space="0"/>
              <w:left w:val="single" w:color="000000" w:sz="4" w:space="0"/>
              <w:bottom w:val="single" w:color="000000" w:sz="4" w:space="0"/>
              <w:right w:val="single" w:color="000000" w:sz="4" w:space="0"/>
            </w:tcBorders>
            <w:vAlign w:val="center"/>
          </w:tcPr>
          <w:p w14:paraId="5DB295F5">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31.2</w:t>
            </w:r>
          </w:p>
        </w:tc>
        <w:tc>
          <w:tcPr>
            <w:tcW w:w="1926" w:type="dxa"/>
            <w:tcBorders>
              <w:top w:val="single" w:color="000000" w:sz="4" w:space="0"/>
              <w:left w:val="single" w:color="000000" w:sz="4" w:space="0"/>
              <w:bottom w:val="single" w:color="000000" w:sz="4" w:space="0"/>
              <w:right w:val="single" w:color="000000" w:sz="4" w:space="0"/>
            </w:tcBorders>
            <w:vAlign w:val="center"/>
          </w:tcPr>
          <w:p w14:paraId="72B93C79">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接收质疑函方式</w:t>
            </w:r>
          </w:p>
        </w:tc>
        <w:tc>
          <w:tcPr>
            <w:tcW w:w="6604" w:type="dxa"/>
            <w:tcBorders>
              <w:top w:val="single" w:color="000000" w:sz="4" w:space="0"/>
              <w:left w:val="single" w:color="000000" w:sz="4" w:space="0"/>
              <w:bottom w:val="single" w:color="000000" w:sz="4" w:space="0"/>
              <w:right w:val="single" w:color="000000" w:sz="4" w:space="0"/>
            </w:tcBorders>
            <w:vAlign w:val="center"/>
          </w:tcPr>
          <w:p w14:paraId="3C3EC15A">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以书面形式</w:t>
            </w:r>
          </w:p>
        </w:tc>
      </w:tr>
      <w:tr w14:paraId="4CB0B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6" w:hRule="atLeast"/>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14:paraId="542746F2">
            <w:pPr>
              <w:widowControl/>
              <w:spacing w:line="400" w:lineRule="exact"/>
              <w:jc w:val="left"/>
              <w:rPr>
                <w:rFonts w:ascii="宋体" w:hAnsi="宋体" w:cs="宋体"/>
                <w:color w:val="auto"/>
                <w:sz w:val="24"/>
                <w:highlight w:val="none"/>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66840D72">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质疑联系部门及联系方式</w:t>
            </w:r>
          </w:p>
        </w:tc>
        <w:tc>
          <w:tcPr>
            <w:tcW w:w="6604" w:type="dxa"/>
            <w:tcBorders>
              <w:top w:val="single" w:color="000000" w:sz="4" w:space="0"/>
              <w:left w:val="single" w:color="000000" w:sz="4" w:space="0"/>
              <w:bottom w:val="single" w:color="000000" w:sz="4" w:space="0"/>
              <w:right w:val="single" w:color="000000" w:sz="4" w:space="0"/>
            </w:tcBorders>
            <w:vAlign w:val="center"/>
          </w:tcPr>
          <w:p w14:paraId="3E677815">
            <w:pPr>
              <w:snapToGrid w:val="0"/>
              <w:spacing w:line="4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（1）</w:t>
            </w:r>
            <w:r>
              <w:rPr>
                <w:rFonts w:hint="eastAsia" w:ascii="宋体" w:hAnsi="宋体" w:cs="宋体"/>
                <w:color w:val="auto"/>
                <w:sz w:val="24"/>
                <w:szCs w:val="24"/>
                <w:highlight w:val="none"/>
                <w:u w:val="single"/>
                <w:lang w:eastAsia="zh-CN"/>
              </w:rPr>
              <w:t>广西海恒项目管理有限公司</w:t>
            </w:r>
            <w:r>
              <w:rPr>
                <w:rFonts w:hint="eastAsia" w:ascii="宋体" w:hAnsi="宋体" w:eastAsia="宋体" w:cs="宋体"/>
                <w:color w:val="auto"/>
                <w:sz w:val="24"/>
                <w:szCs w:val="24"/>
                <w:highlight w:val="none"/>
                <w:u w:val="single"/>
              </w:rPr>
              <w:t>；</w:t>
            </w:r>
          </w:p>
          <w:p w14:paraId="79ECEFA5">
            <w:pPr>
              <w:snapToGrid w:val="0"/>
              <w:spacing w:line="400" w:lineRule="exact"/>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single"/>
              </w:rPr>
              <w:t>联系电话：</w:t>
            </w:r>
            <w:r>
              <w:rPr>
                <w:rFonts w:hint="eastAsia" w:ascii="宋体" w:hAnsi="宋体" w:cs="宋体"/>
                <w:color w:val="auto"/>
                <w:sz w:val="24"/>
                <w:szCs w:val="24"/>
                <w:highlight w:val="none"/>
                <w:u w:val="single"/>
                <w:lang w:val="en-US" w:eastAsia="zh-CN"/>
              </w:rPr>
              <w:t>0771</w:t>
            </w:r>
            <w:r>
              <w:rPr>
                <w:rFonts w:hint="eastAsia" w:ascii="宋体" w:hAnsi="宋体" w:cs="宋体"/>
                <w:color w:val="auto"/>
                <w:sz w:val="24"/>
                <w:szCs w:val="24"/>
                <w:highlight w:val="none"/>
                <w:u w:val="none"/>
                <w:lang w:val="en-US" w:eastAsia="zh-CN"/>
              </w:rPr>
              <w:t>-</w:t>
            </w:r>
            <w:r>
              <w:rPr>
                <w:rFonts w:hint="eastAsia" w:ascii="宋体" w:hAnsi="宋体" w:eastAsia="宋体" w:cs="宋体"/>
                <w:color w:val="auto"/>
                <w:kern w:val="0"/>
                <w:sz w:val="24"/>
                <w:szCs w:val="24"/>
                <w:highlight w:val="none"/>
                <w:u w:val="none"/>
                <w:lang w:val="en-US" w:eastAsia="zh-CN"/>
              </w:rPr>
              <w:t>2216828</w:t>
            </w:r>
          </w:p>
          <w:p w14:paraId="115ADC01">
            <w:pPr>
              <w:snapToGrid w:val="0"/>
              <w:spacing w:line="400" w:lineRule="exact"/>
              <w:rPr>
                <w:rFonts w:ascii="宋体" w:hAnsi="宋体" w:cs="宋体"/>
                <w:color w:val="auto"/>
                <w:sz w:val="24"/>
                <w:highlight w:val="none"/>
              </w:rPr>
            </w:pPr>
            <w:r>
              <w:rPr>
                <w:rFonts w:hint="eastAsia" w:ascii="宋体" w:hAnsi="宋体" w:eastAsia="宋体" w:cs="宋体"/>
                <w:color w:val="auto"/>
                <w:sz w:val="24"/>
                <w:szCs w:val="24"/>
                <w:highlight w:val="none"/>
                <w:u w:val="single"/>
              </w:rPr>
              <w:t>通讯地址：南宁市青秀区竹溪大道2号荣恒名都A座1</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层</w:t>
            </w:r>
            <w:r>
              <w:rPr>
                <w:rFonts w:hint="eastAsia" w:ascii="宋体" w:hAnsi="宋体" w:cs="宋体"/>
                <w:color w:val="auto"/>
                <w:sz w:val="24"/>
                <w:szCs w:val="24"/>
                <w:highlight w:val="none"/>
                <w:u w:val="single"/>
                <w:lang w:val="en-US" w:eastAsia="zh-CN"/>
              </w:rPr>
              <w:t>1612</w:t>
            </w:r>
            <w:r>
              <w:rPr>
                <w:rFonts w:hint="eastAsia" w:ascii="宋体" w:hAnsi="宋体" w:eastAsia="宋体" w:cs="宋体"/>
                <w:color w:val="auto"/>
                <w:sz w:val="24"/>
                <w:szCs w:val="24"/>
                <w:highlight w:val="none"/>
                <w:u w:val="single"/>
              </w:rPr>
              <w:t>号</w:t>
            </w:r>
          </w:p>
        </w:tc>
      </w:tr>
      <w:tr w14:paraId="4C52F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Merge w:val="continue"/>
            <w:tcBorders>
              <w:top w:val="single" w:color="000000" w:sz="4" w:space="0"/>
              <w:left w:val="single" w:color="000000" w:sz="4" w:space="0"/>
              <w:bottom w:val="single" w:color="000000" w:sz="4" w:space="0"/>
              <w:right w:val="single" w:color="000000" w:sz="4" w:space="0"/>
            </w:tcBorders>
            <w:vAlign w:val="center"/>
          </w:tcPr>
          <w:p w14:paraId="6D5CD7C0">
            <w:pPr>
              <w:widowControl/>
              <w:spacing w:line="400" w:lineRule="exact"/>
              <w:jc w:val="left"/>
              <w:rPr>
                <w:rFonts w:ascii="宋体" w:hAnsi="宋体" w:cs="宋体"/>
                <w:color w:val="auto"/>
                <w:sz w:val="24"/>
                <w:highlight w:val="none"/>
              </w:rPr>
            </w:pPr>
          </w:p>
        </w:tc>
        <w:tc>
          <w:tcPr>
            <w:tcW w:w="1926" w:type="dxa"/>
            <w:tcBorders>
              <w:top w:val="single" w:color="000000" w:sz="4" w:space="0"/>
              <w:left w:val="single" w:color="000000" w:sz="4" w:space="0"/>
              <w:bottom w:val="single" w:color="000000" w:sz="4" w:space="0"/>
              <w:right w:val="single" w:color="000000" w:sz="4" w:space="0"/>
            </w:tcBorders>
            <w:vAlign w:val="center"/>
          </w:tcPr>
          <w:p w14:paraId="542BDA75">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现场提交质疑办理业务时间</w:t>
            </w:r>
          </w:p>
        </w:tc>
        <w:tc>
          <w:tcPr>
            <w:tcW w:w="6604" w:type="dxa"/>
            <w:tcBorders>
              <w:top w:val="single" w:color="000000" w:sz="4" w:space="0"/>
              <w:left w:val="single" w:color="000000" w:sz="4" w:space="0"/>
              <w:bottom w:val="single" w:color="000000" w:sz="4" w:space="0"/>
              <w:right w:val="single" w:color="000000" w:sz="4" w:space="0"/>
            </w:tcBorders>
            <w:vAlign w:val="center"/>
          </w:tcPr>
          <w:p w14:paraId="21FA2B38">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质疑期内每个</w:t>
            </w:r>
            <w:r>
              <w:rPr>
                <w:rFonts w:hint="eastAsia" w:ascii="宋体" w:hAnsi="宋体" w:cs="宋体"/>
                <w:color w:val="auto"/>
                <w:sz w:val="24"/>
                <w:highlight w:val="none"/>
                <w:lang w:val="en-US" w:eastAsia="zh-CN"/>
              </w:rPr>
              <w:t>法定</w:t>
            </w:r>
            <w:r>
              <w:rPr>
                <w:rFonts w:hint="eastAsia" w:ascii="宋体" w:hAnsi="宋体" w:cs="宋体"/>
                <w:color w:val="auto"/>
                <w:sz w:val="24"/>
                <w:highlight w:val="none"/>
              </w:rPr>
              <w:t>工作日</w:t>
            </w:r>
            <w:r>
              <w:rPr>
                <w:rFonts w:hint="eastAsia" w:ascii="宋体" w:hAnsi="宋体" w:cs="宋体"/>
                <w:color w:val="auto"/>
                <w:sz w:val="24"/>
                <w:highlight w:val="none"/>
                <w:u w:val="single"/>
              </w:rPr>
              <w:t xml:space="preserve"> 9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00 </w:t>
            </w:r>
            <w:r>
              <w:rPr>
                <w:rFonts w:hint="eastAsia" w:ascii="宋体" w:hAnsi="宋体" w:cs="宋体"/>
                <w:color w:val="auto"/>
                <w:sz w:val="24"/>
                <w:highlight w:val="none"/>
              </w:rPr>
              <w:t>分到</w:t>
            </w:r>
            <w:r>
              <w:rPr>
                <w:rFonts w:hint="eastAsia" w:ascii="宋体" w:hAnsi="宋体" w:cs="宋体"/>
                <w:color w:val="auto"/>
                <w:sz w:val="24"/>
                <w:highlight w:val="none"/>
                <w:u w:val="single"/>
              </w:rPr>
              <w:t xml:space="preserve"> 12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00 </w:t>
            </w:r>
            <w:r>
              <w:rPr>
                <w:rFonts w:hint="eastAsia" w:ascii="宋体" w:hAnsi="宋体" w:cs="宋体"/>
                <w:color w:val="auto"/>
                <w:sz w:val="24"/>
                <w:highlight w:val="none"/>
              </w:rPr>
              <w:t>分，</w:t>
            </w:r>
            <w:r>
              <w:rPr>
                <w:rFonts w:hint="eastAsia" w:ascii="宋体" w:hAnsi="宋体" w:cs="宋体"/>
                <w:color w:val="auto"/>
                <w:sz w:val="24"/>
                <w:highlight w:val="none"/>
                <w:u w:val="single"/>
              </w:rPr>
              <w:t xml:space="preserve"> 15 </w:t>
            </w:r>
            <w:r>
              <w:rPr>
                <w:rFonts w:hint="eastAsia" w:ascii="宋体" w:hAnsi="宋体" w:cs="宋体"/>
                <w:color w:val="auto"/>
                <w:sz w:val="24"/>
                <w:highlight w:val="none"/>
              </w:rPr>
              <w:t>时</w:t>
            </w:r>
            <w:r>
              <w:rPr>
                <w:rFonts w:hint="eastAsia" w:ascii="宋体" w:hAnsi="宋体" w:cs="宋体"/>
                <w:color w:val="auto"/>
                <w:sz w:val="24"/>
                <w:highlight w:val="none"/>
                <w:u w:val="single"/>
              </w:rPr>
              <w:t>00</w:t>
            </w:r>
            <w:r>
              <w:rPr>
                <w:rFonts w:hint="eastAsia" w:ascii="宋体" w:hAnsi="宋体" w:cs="宋体"/>
                <w:color w:val="auto"/>
                <w:sz w:val="24"/>
                <w:highlight w:val="none"/>
              </w:rPr>
              <w:t>分到</w:t>
            </w:r>
            <w:r>
              <w:rPr>
                <w:rFonts w:hint="eastAsia" w:ascii="宋体" w:hAnsi="宋体" w:cs="宋体"/>
                <w:color w:val="auto"/>
                <w:sz w:val="24"/>
                <w:highlight w:val="none"/>
                <w:u w:val="single"/>
              </w:rPr>
              <w:t xml:space="preserve"> 17 </w:t>
            </w:r>
            <w:r>
              <w:rPr>
                <w:rFonts w:hint="eastAsia" w:ascii="宋体" w:hAnsi="宋体" w:cs="宋体"/>
                <w:color w:val="auto"/>
                <w:sz w:val="24"/>
                <w:highlight w:val="none"/>
              </w:rPr>
              <w:t>时</w:t>
            </w:r>
            <w:r>
              <w:rPr>
                <w:rFonts w:hint="eastAsia" w:ascii="宋体" w:hAnsi="宋体" w:cs="宋体"/>
                <w:color w:val="auto"/>
                <w:sz w:val="24"/>
                <w:highlight w:val="none"/>
                <w:u w:val="single"/>
              </w:rPr>
              <w:t xml:space="preserve"> 30</w:t>
            </w:r>
            <w:r>
              <w:rPr>
                <w:rFonts w:hint="eastAsia" w:ascii="宋体" w:hAnsi="宋体" w:cs="宋体"/>
                <w:color w:val="auto"/>
                <w:sz w:val="24"/>
                <w:highlight w:val="none"/>
              </w:rPr>
              <w:t>分</w:t>
            </w:r>
          </w:p>
        </w:tc>
      </w:tr>
      <w:tr w14:paraId="661EB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2BE515E1">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31.6</w:t>
            </w:r>
          </w:p>
        </w:tc>
        <w:tc>
          <w:tcPr>
            <w:tcW w:w="1926" w:type="dxa"/>
            <w:tcBorders>
              <w:top w:val="single" w:color="000000" w:sz="4" w:space="0"/>
              <w:left w:val="single" w:color="000000" w:sz="4" w:space="0"/>
              <w:bottom w:val="single" w:color="000000" w:sz="4" w:space="0"/>
              <w:right w:val="single" w:color="000000" w:sz="4" w:space="0"/>
            </w:tcBorders>
            <w:vAlign w:val="center"/>
          </w:tcPr>
          <w:p w14:paraId="0CA639FF">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受理投诉方式</w:t>
            </w:r>
          </w:p>
        </w:tc>
        <w:tc>
          <w:tcPr>
            <w:tcW w:w="6604" w:type="dxa"/>
            <w:tcBorders>
              <w:top w:val="single" w:color="000000" w:sz="4" w:space="0"/>
              <w:left w:val="single" w:color="000000" w:sz="4" w:space="0"/>
              <w:bottom w:val="single" w:color="000000" w:sz="4" w:space="0"/>
              <w:right w:val="single" w:color="000000" w:sz="4" w:space="0"/>
            </w:tcBorders>
            <w:vAlign w:val="center"/>
          </w:tcPr>
          <w:p w14:paraId="238B9A6A">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1、受理方式：纸质方式受理，投诉书正、副本（经过质疑的事项才可投诉）。</w:t>
            </w:r>
          </w:p>
          <w:p w14:paraId="17A333F4">
            <w:pPr>
              <w:snapToGrid w:val="0"/>
              <w:spacing w:line="400" w:lineRule="exact"/>
              <w:rPr>
                <w:rFonts w:ascii="宋体" w:hAnsi="宋体" w:cs="宋体"/>
                <w:color w:val="auto"/>
                <w:sz w:val="24"/>
                <w:highlight w:val="none"/>
              </w:rPr>
            </w:pPr>
            <w:r>
              <w:rPr>
                <w:rFonts w:hint="eastAsia" w:ascii="宋体" w:hAnsi="宋体" w:cs="宋体"/>
                <w:color w:val="auto"/>
                <w:sz w:val="24"/>
                <w:highlight w:val="none"/>
              </w:rPr>
              <w:t>2、邮寄地址：</w:t>
            </w:r>
          </w:p>
          <w:p w14:paraId="17483114">
            <w:pPr>
              <w:snapToGrid w:val="0"/>
              <w:spacing w:line="400" w:lineRule="exact"/>
              <w:rPr>
                <w:rFonts w:hint="eastAsia" w:ascii="宋体" w:hAnsi="宋体" w:cs="宋体"/>
                <w:color w:val="auto"/>
                <w:sz w:val="24"/>
                <w:highlight w:val="none"/>
              </w:rPr>
            </w:pPr>
            <w:r>
              <w:rPr>
                <w:rFonts w:hint="eastAsia" w:ascii="宋体" w:hAnsi="宋体" w:cs="宋体"/>
                <w:color w:val="auto"/>
                <w:sz w:val="24"/>
                <w:highlight w:val="none"/>
              </w:rPr>
              <w:t>名称：南宁市邕宁区财政局</w:t>
            </w:r>
          </w:p>
          <w:p w14:paraId="2B78E4A2">
            <w:pPr>
              <w:snapToGrid w:val="0"/>
              <w:spacing w:line="400" w:lineRule="exac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地址：</w:t>
            </w:r>
            <w:r>
              <w:rPr>
                <w:rFonts w:hint="eastAsia" w:ascii="宋体" w:hAnsi="宋体" w:cs="宋体"/>
                <w:color w:val="auto"/>
                <w:sz w:val="24"/>
                <w:highlight w:val="none"/>
                <w:lang w:val="en-US" w:eastAsia="zh-CN"/>
              </w:rPr>
              <w:t>南宁市青秀区彩虹路41号</w:t>
            </w:r>
          </w:p>
          <w:p w14:paraId="4F4A730C">
            <w:pPr>
              <w:pStyle w:val="18"/>
              <w:snapToGrid w:val="0"/>
              <w:spacing w:line="400" w:lineRule="exact"/>
              <w:rPr>
                <w:rFonts w:hAnsi="宋体" w:cs="宋体"/>
                <w:color w:val="auto"/>
                <w:sz w:val="24"/>
                <w:szCs w:val="24"/>
                <w:highlight w:val="none"/>
              </w:rPr>
            </w:pPr>
            <w:r>
              <w:rPr>
                <w:rFonts w:hint="eastAsia" w:hAnsi="宋体" w:cs="宋体"/>
                <w:color w:val="auto"/>
                <w:kern w:val="2"/>
                <w:sz w:val="24"/>
                <w:szCs w:val="24"/>
                <w:highlight w:val="none"/>
              </w:rPr>
              <w:t>联系电话：</w:t>
            </w:r>
            <w:r>
              <w:rPr>
                <w:rFonts w:hint="eastAsia" w:ascii="宋体" w:hAnsi="宋体" w:eastAsia="宋体" w:cs="宋体"/>
                <w:color w:val="auto"/>
                <w:sz w:val="24"/>
                <w:szCs w:val="24"/>
                <w:highlight w:val="none"/>
              </w:rPr>
              <w:t>0771-4790503</w:t>
            </w:r>
          </w:p>
        </w:tc>
      </w:tr>
      <w:tr w14:paraId="13445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33497F4C">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33</w:t>
            </w:r>
          </w:p>
        </w:tc>
        <w:tc>
          <w:tcPr>
            <w:tcW w:w="1926" w:type="dxa"/>
            <w:tcBorders>
              <w:top w:val="single" w:color="000000" w:sz="4" w:space="0"/>
              <w:left w:val="single" w:color="000000" w:sz="4" w:space="0"/>
              <w:bottom w:val="single" w:color="000000" w:sz="4" w:space="0"/>
              <w:right w:val="single" w:color="000000" w:sz="4" w:space="0"/>
            </w:tcBorders>
            <w:vAlign w:val="center"/>
          </w:tcPr>
          <w:p w14:paraId="543D432B">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采购代理费</w:t>
            </w:r>
          </w:p>
        </w:tc>
        <w:tc>
          <w:tcPr>
            <w:tcW w:w="6604" w:type="dxa"/>
            <w:tcBorders>
              <w:top w:val="single" w:color="000000" w:sz="4" w:space="0"/>
              <w:left w:val="single" w:color="000000" w:sz="4" w:space="0"/>
              <w:bottom w:val="single" w:color="000000" w:sz="4" w:space="0"/>
              <w:right w:val="single" w:color="000000" w:sz="4" w:space="0"/>
            </w:tcBorders>
            <w:vAlign w:val="center"/>
          </w:tcPr>
          <w:p w14:paraId="1F624A02">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1. 是否收取采购代理费：</w:t>
            </w:r>
          </w:p>
          <w:p w14:paraId="085B30A3">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☑是    □ 否</w:t>
            </w:r>
          </w:p>
          <w:p w14:paraId="6CA43B72">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2.采购代理费支付方式：</w:t>
            </w:r>
          </w:p>
          <w:p w14:paraId="60BDA606">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☑本项目代理服务费由成交供应商一次性向采购代理机构支付。</w:t>
            </w:r>
          </w:p>
          <w:p w14:paraId="2AED5198">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□采购人支付。</w:t>
            </w:r>
          </w:p>
          <w:p w14:paraId="106E2C28">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3.采购代理费收取标准：</w:t>
            </w:r>
          </w:p>
          <w:p w14:paraId="72424F7E">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☑以分标（□中标金额/☑采购预算/□暂定成交金额/□其他   ）为计费额，</w:t>
            </w:r>
            <w:r>
              <w:rPr>
                <w:rFonts w:hint="eastAsia" w:ascii="宋体" w:hAnsi="宋体" w:eastAsia="宋体" w:cs="宋体"/>
                <w:color w:val="auto"/>
                <w:sz w:val="24"/>
                <w:szCs w:val="24"/>
                <w:highlight w:val="none"/>
              </w:rPr>
              <w:t>参照《广西壮族自治区物价局转发国家发展改革委关于降低部分建设项目收费标准规范收费行为等有关问题的通知》（桂价费〔2011〕55号）（</w:t>
            </w: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 xml:space="preserve">类） </w:t>
            </w:r>
            <w:r>
              <w:rPr>
                <w:rFonts w:hint="eastAsia" w:hAnsi="宋体" w:cs="宋体"/>
                <w:color w:val="auto"/>
                <w:sz w:val="24"/>
                <w:szCs w:val="24"/>
                <w:highlight w:val="none"/>
              </w:rPr>
              <w:t>收费标准计取（☑收费基准价格/□收费基准价格下浮  %/□收费基准价格上浮   %）收取。单个项目代理费不足5000.00的，按5000.00收取。</w:t>
            </w:r>
          </w:p>
          <w:p w14:paraId="09E96DED">
            <w:pPr>
              <w:pStyle w:val="18"/>
              <w:snapToGrid w:val="0"/>
              <w:spacing w:line="400" w:lineRule="exact"/>
              <w:rPr>
                <w:rFonts w:hint="eastAsia" w:hAnsi="宋体" w:cs="宋体"/>
                <w:color w:val="auto"/>
                <w:sz w:val="24"/>
                <w:szCs w:val="24"/>
                <w:highlight w:val="none"/>
              </w:rPr>
            </w:pPr>
            <w:r>
              <w:rPr>
                <w:rFonts w:hint="eastAsia" w:hAnsi="宋体" w:cs="宋体"/>
                <w:color w:val="auto"/>
                <w:sz w:val="24"/>
                <w:szCs w:val="24"/>
                <w:highlight w:val="none"/>
              </w:rPr>
              <w:t>□固定采购代理收费     。</w:t>
            </w:r>
          </w:p>
          <w:p w14:paraId="53DFCF4D">
            <w:pPr>
              <w:pStyle w:val="18"/>
              <w:snapToGrid w:val="0"/>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代理服务费收款账户信息</w:t>
            </w:r>
          </w:p>
          <w:p w14:paraId="44007A31">
            <w:pPr>
              <w:rPr>
                <w:b/>
                <w:color w:val="auto"/>
                <w:highlight w:val="none"/>
              </w:rPr>
            </w:pPr>
            <w:r>
              <w:rPr>
                <w:rFonts w:hint="eastAsia"/>
                <w:b/>
                <w:color w:val="auto"/>
                <w:highlight w:val="none"/>
              </w:rPr>
              <w:t>开户名称：广西海恒项目管理有限公司，</w:t>
            </w:r>
          </w:p>
          <w:p w14:paraId="47DE33FE">
            <w:pPr>
              <w:snapToGrid w:val="0"/>
              <w:spacing w:line="400" w:lineRule="exact"/>
              <w:rPr>
                <w:rFonts w:ascii="宋体" w:hAnsi="宋体" w:cs="宋体"/>
                <w:b/>
                <w:color w:val="auto"/>
                <w:kern w:val="0"/>
                <w:szCs w:val="21"/>
                <w:highlight w:val="none"/>
              </w:rPr>
            </w:pPr>
            <w:r>
              <w:rPr>
                <w:rFonts w:hint="eastAsia" w:ascii="宋体" w:hAnsi="宋体" w:cs="宋体"/>
                <w:b/>
                <w:color w:val="auto"/>
                <w:kern w:val="0"/>
                <w:szCs w:val="21"/>
                <w:highlight w:val="none"/>
              </w:rPr>
              <w:t>开户银行：中国民生银行广西自贸试验区南宁片区支行</w:t>
            </w:r>
          </w:p>
          <w:p w14:paraId="48C49DCB">
            <w:pPr>
              <w:rPr>
                <w:rFonts w:hint="eastAsia" w:hAnsi="宋体" w:cs="宋体"/>
                <w:color w:val="auto"/>
                <w:highlight w:val="none"/>
              </w:rPr>
            </w:pPr>
            <w:r>
              <w:rPr>
                <w:rFonts w:hint="eastAsia" w:ascii="宋体" w:hAnsi="宋体" w:cs="宋体"/>
                <w:b/>
                <w:color w:val="auto"/>
                <w:kern w:val="0"/>
                <w:szCs w:val="21"/>
                <w:highlight w:val="none"/>
              </w:rPr>
              <w:t>银行账号：171941518</w:t>
            </w:r>
          </w:p>
        </w:tc>
      </w:tr>
      <w:tr w14:paraId="66450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248226E9">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34.1</w:t>
            </w:r>
          </w:p>
        </w:tc>
        <w:tc>
          <w:tcPr>
            <w:tcW w:w="1926" w:type="dxa"/>
            <w:tcBorders>
              <w:top w:val="single" w:color="000000" w:sz="4" w:space="0"/>
              <w:left w:val="single" w:color="000000" w:sz="4" w:space="0"/>
              <w:bottom w:val="single" w:color="000000" w:sz="4" w:space="0"/>
              <w:right w:val="single" w:color="000000" w:sz="4" w:space="0"/>
            </w:tcBorders>
            <w:vAlign w:val="center"/>
          </w:tcPr>
          <w:p w14:paraId="34A8DF75">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解释</w:t>
            </w:r>
          </w:p>
        </w:tc>
        <w:tc>
          <w:tcPr>
            <w:tcW w:w="6604" w:type="dxa"/>
            <w:tcBorders>
              <w:top w:val="single" w:color="000000" w:sz="4" w:space="0"/>
              <w:left w:val="single" w:color="000000" w:sz="4" w:space="0"/>
              <w:bottom w:val="single" w:color="000000" w:sz="4" w:space="0"/>
              <w:right w:val="single" w:color="000000" w:sz="4" w:space="0"/>
            </w:tcBorders>
            <w:vAlign w:val="center"/>
          </w:tcPr>
          <w:p w14:paraId="271B7F70">
            <w:pPr>
              <w:pStyle w:val="18"/>
              <w:snapToGrid w:val="0"/>
              <w:spacing w:line="400" w:lineRule="exact"/>
              <w:rPr>
                <w:rFonts w:hAnsi="宋体" w:cs="宋体"/>
                <w:b/>
                <w:color w:val="auto"/>
                <w:sz w:val="24"/>
                <w:szCs w:val="24"/>
                <w:highlight w:val="none"/>
              </w:rPr>
            </w:pPr>
            <w:r>
              <w:rPr>
                <w:rFonts w:hint="eastAsia" w:hAnsi="宋体" w:cs="宋体"/>
                <w:b/>
                <w:color w:val="auto"/>
                <w:sz w:val="24"/>
                <w:szCs w:val="24"/>
                <w:highlight w:val="none"/>
              </w:rPr>
              <w:t>解释权：</w:t>
            </w:r>
            <w:r>
              <w:rPr>
                <w:rFonts w:hint="eastAsia" w:hAnsi="宋体" w:cs="宋体"/>
                <w:color w:val="auto"/>
                <w:sz w:val="24"/>
                <w:szCs w:val="24"/>
                <w:highlight w:val="none"/>
              </w:rPr>
              <w:t>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hAnsi="宋体" w:cs="宋体"/>
                <w:b/>
                <w:color w:val="auto"/>
                <w:sz w:val="24"/>
                <w:szCs w:val="24"/>
                <w:highlight w:val="none"/>
              </w:rPr>
              <w:t>由采购人或者采购代理机构负责解释。</w:t>
            </w:r>
          </w:p>
          <w:p w14:paraId="58E3A608">
            <w:pPr>
              <w:tabs>
                <w:tab w:val="left" w:pos="1080"/>
              </w:tabs>
              <w:spacing w:line="400" w:lineRule="exact"/>
              <w:rPr>
                <w:rFonts w:ascii="宋体" w:hAnsi="宋体" w:cs="宋体"/>
                <w:color w:val="auto"/>
                <w:kern w:val="0"/>
                <w:sz w:val="24"/>
                <w:highlight w:val="none"/>
              </w:rPr>
            </w:pPr>
            <w:r>
              <w:rPr>
                <w:rFonts w:hint="eastAsia" w:ascii="宋体" w:hAnsi="宋体" w:cs="宋体"/>
                <w:b/>
                <w:color w:val="auto"/>
                <w:kern w:val="0"/>
                <w:sz w:val="24"/>
                <w:highlight w:val="none"/>
              </w:rPr>
              <w:t>法律责任：</w:t>
            </w:r>
          </w:p>
          <w:p w14:paraId="3FF49CEB">
            <w:pPr>
              <w:tabs>
                <w:tab w:val="left" w:pos="1080"/>
              </w:tabs>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14E45D4C">
            <w:pPr>
              <w:spacing w:line="400" w:lineRule="exact"/>
              <w:rPr>
                <w:rFonts w:ascii="宋体" w:hAnsi="宋体" w:cs="宋体"/>
                <w:color w:val="auto"/>
                <w:sz w:val="24"/>
                <w:highlight w:val="none"/>
              </w:rPr>
            </w:pPr>
            <w:r>
              <w:rPr>
                <w:rFonts w:hint="eastAsia" w:ascii="宋体" w:hAnsi="宋体" w:cs="宋体"/>
                <w:b/>
                <w:color w:val="auto"/>
                <w:sz w:val="24"/>
                <w:highlight w:val="none"/>
              </w:rPr>
              <w:t>2.本项目采购代理机构应严格按照</w:t>
            </w:r>
            <w:r>
              <w:rPr>
                <w:rFonts w:hint="eastAsia" w:ascii="宋体" w:hAnsi="宋体" w:cs="宋体"/>
                <w:b/>
                <w:color w:val="auto"/>
                <w:sz w:val="24"/>
                <w:highlight w:val="none"/>
                <w:lang w:eastAsia="zh-CN"/>
              </w:rPr>
              <w:t>“广西政府采购云平台”</w:t>
            </w:r>
            <w:r>
              <w:rPr>
                <w:rFonts w:hint="eastAsia" w:ascii="宋体" w:hAnsi="宋体" w:cs="宋体"/>
                <w:b/>
                <w:color w:val="auto"/>
                <w:sz w:val="24"/>
                <w:highlight w:val="none"/>
              </w:rPr>
              <w:t>项目采购全流程电子化电子开评标规程执行项目采购活动，代理机构在</w:t>
            </w:r>
            <w:r>
              <w:rPr>
                <w:rFonts w:hint="eastAsia" w:ascii="宋体" w:hAnsi="宋体" w:cs="宋体"/>
                <w:b/>
                <w:color w:val="auto"/>
                <w:sz w:val="24"/>
                <w:highlight w:val="none"/>
                <w:lang w:eastAsia="zh-CN"/>
              </w:rPr>
              <w:t>“广西政府采购云平台”</w:t>
            </w:r>
            <w:r>
              <w:rPr>
                <w:rFonts w:hint="eastAsia" w:ascii="宋体" w:hAnsi="宋体" w:cs="宋体"/>
                <w:b/>
                <w:color w:val="auto"/>
                <w:sz w:val="24"/>
                <w:highlight w:val="none"/>
              </w:rPr>
              <w:t>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A396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15EA77EA">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34.2</w:t>
            </w:r>
          </w:p>
        </w:tc>
        <w:tc>
          <w:tcPr>
            <w:tcW w:w="1926" w:type="dxa"/>
            <w:tcBorders>
              <w:top w:val="single" w:color="000000" w:sz="4" w:space="0"/>
              <w:left w:val="single" w:color="000000" w:sz="4" w:space="0"/>
              <w:bottom w:val="single" w:color="000000" w:sz="4" w:space="0"/>
              <w:right w:val="single" w:color="000000" w:sz="4" w:space="0"/>
            </w:tcBorders>
            <w:vAlign w:val="center"/>
          </w:tcPr>
          <w:p w14:paraId="4D6E42A0">
            <w:pPr>
              <w:spacing w:line="400" w:lineRule="exact"/>
              <w:jc w:val="center"/>
              <w:rPr>
                <w:rFonts w:ascii="宋体" w:hAnsi="宋体" w:cs="宋体"/>
                <w:color w:val="auto"/>
                <w:sz w:val="24"/>
                <w:highlight w:val="none"/>
              </w:rPr>
            </w:pPr>
            <w:r>
              <w:rPr>
                <w:rFonts w:hint="eastAsia" w:ascii="宋体" w:hAnsi="宋体" w:cs="宋体"/>
                <w:color w:val="auto"/>
                <w:sz w:val="24"/>
                <w:highlight w:val="none"/>
              </w:rPr>
              <w:t>其他</w:t>
            </w:r>
          </w:p>
        </w:tc>
        <w:tc>
          <w:tcPr>
            <w:tcW w:w="6604" w:type="dxa"/>
            <w:tcBorders>
              <w:top w:val="single" w:color="000000" w:sz="4" w:space="0"/>
              <w:left w:val="single" w:color="000000" w:sz="4" w:space="0"/>
              <w:bottom w:val="single" w:color="000000" w:sz="4" w:space="0"/>
              <w:right w:val="single" w:color="000000" w:sz="4" w:space="0"/>
            </w:tcBorders>
            <w:vAlign w:val="center"/>
          </w:tcPr>
          <w:p w14:paraId="59B5D889">
            <w:pPr>
              <w:snapToGrid w:val="0"/>
              <w:spacing w:line="380" w:lineRule="exact"/>
              <w:rPr>
                <w:rFonts w:hint="eastAsia" w:hAnsi="宋体" w:eastAsia="宋体" w:cs="宋体"/>
                <w:color w:val="auto"/>
                <w:sz w:val="24"/>
                <w:szCs w:val="24"/>
                <w:highlight w:val="none"/>
              </w:rPr>
            </w:pPr>
            <w:r>
              <w:rPr>
                <w:rFonts w:hint="eastAsia" w:hAnsi="宋体" w:cs="宋体"/>
                <w:color w:val="auto"/>
                <w:sz w:val="24"/>
                <w:szCs w:val="24"/>
                <w:highlight w:val="none"/>
              </w:rPr>
              <w:t>1.本谈判文件中描述供应商的“公章”是指</w:t>
            </w:r>
            <w:r>
              <w:rPr>
                <w:rFonts w:hint="eastAsia" w:hAnsi="宋体" w:eastAsia="宋体" w:cs="宋体"/>
                <w:color w:val="auto"/>
                <w:sz w:val="24"/>
                <w:szCs w:val="24"/>
                <w:highlight w:val="none"/>
              </w:rPr>
              <w:t>根据我国对公章的管理规定，用</w:t>
            </w:r>
            <w:r>
              <w:rPr>
                <w:rFonts w:hint="eastAsia" w:hAnsi="宋体" w:eastAsia="宋体" w:cs="宋体"/>
                <w:color w:val="auto"/>
                <w:sz w:val="24"/>
                <w:szCs w:val="24"/>
                <w:highlight w:val="none"/>
                <w:lang w:val="en-US" w:eastAsia="zh-CN"/>
              </w:rPr>
              <w:t>供应商</w:t>
            </w:r>
            <w:r>
              <w:rPr>
                <w:rFonts w:hint="eastAsia" w:hAnsi="宋体" w:eastAsia="宋体" w:cs="宋体"/>
                <w:color w:val="auto"/>
                <w:sz w:val="24"/>
                <w:szCs w:val="24"/>
                <w:highlight w:val="none"/>
              </w:rPr>
              <w:t>法定主体行为名称制作的印章</w:t>
            </w:r>
            <w:r>
              <w:rPr>
                <w:rFonts w:hint="eastAsia" w:hAnsi="宋体" w:eastAsia="宋体" w:cs="宋体"/>
                <w:color w:val="auto"/>
                <w:sz w:val="24"/>
                <w:szCs w:val="24"/>
                <w:highlight w:val="none"/>
                <w:lang w:val="en-US" w:eastAsia="zh-CN"/>
              </w:rPr>
              <w:t>或</w:t>
            </w:r>
            <w:r>
              <w:rPr>
                <w:rFonts w:hint="eastAsia" w:hAnsi="宋体" w:cs="宋体"/>
                <w:color w:val="auto"/>
                <w:sz w:val="24"/>
                <w:szCs w:val="24"/>
                <w:highlight w:val="none"/>
              </w:rPr>
              <w:t>供应商通过指定电子化政府采购平台办理数字证书（CA认证）获得的以法定主体行为名称制作的电子印章。</w:t>
            </w:r>
            <w:r>
              <w:rPr>
                <w:rFonts w:hint="eastAsia" w:hAnsi="宋体" w:eastAsia="宋体" w:cs="宋体"/>
                <w:color w:val="auto"/>
                <w:sz w:val="24"/>
                <w:szCs w:val="24"/>
                <w:highlight w:val="none"/>
              </w:rPr>
              <w:t>除本</w:t>
            </w:r>
            <w:r>
              <w:rPr>
                <w:rFonts w:hint="eastAsia" w:hAnsi="宋体" w:eastAsia="宋体" w:cs="宋体"/>
                <w:color w:val="auto"/>
                <w:sz w:val="24"/>
                <w:szCs w:val="24"/>
                <w:highlight w:val="none"/>
                <w:lang w:val="en-US" w:eastAsia="zh-CN"/>
              </w:rPr>
              <w:t>采购</w:t>
            </w:r>
            <w:r>
              <w:rPr>
                <w:rFonts w:hint="eastAsia" w:hAnsi="宋体" w:eastAsia="宋体" w:cs="宋体"/>
                <w:color w:val="auto"/>
                <w:sz w:val="24"/>
                <w:szCs w:val="24"/>
                <w:highlight w:val="none"/>
              </w:rPr>
              <w:t>文件有特殊规定外，</w:t>
            </w:r>
            <w:r>
              <w:rPr>
                <w:rFonts w:hint="eastAsia" w:hAnsi="宋体" w:cs="宋体"/>
                <w:color w:val="auto"/>
                <w:sz w:val="24"/>
                <w:szCs w:val="24"/>
                <w:highlight w:val="none"/>
                <w:lang w:val="en-US" w:eastAsia="zh-CN"/>
              </w:rPr>
              <w:t>竞标</w:t>
            </w:r>
            <w:r>
              <w:rPr>
                <w:rFonts w:hint="eastAsia" w:hAnsi="宋体" w:eastAsia="宋体" w:cs="宋体"/>
                <w:color w:val="auto"/>
                <w:sz w:val="24"/>
                <w:szCs w:val="24"/>
                <w:highlight w:val="none"/>
              </w:rPr>
              <w:t>人的财务章、部门章、分公司章、工会章、合同章、投标专用章、业务专用章及银行的转账章、现金收讫章、现金付讫章等其他形式印章均不能代替公章。</w:t>
            </w:r>
          </w:p>
          <w:p w14:paraId="4638311F">
            <w:pPr>
              <w:pStyle w:val="18"/>
              <w:snapToGrid w:val="0"/>
              <w:spacing w:line="400" w:lineRule="exact"/>
              <w:rPr>
                <w:rFonts w:hAnsi="宋体" w:cs="宋体"/>
                <w:color w:val="auto"/>
                <w:sz w:val="24"/>
                <w:szCs w:val="24"/>
                <w:highlight w:val="none"/>
              </w:rPr>
            </w:pPr>
            <w:r>
              <w:rPr>
                <w:rFonts w:hint="eastAsia" w:hAnsi="宋体" w:cs="宋体"/>
                <w:color w:val="auto"/>
                <w:sz w:val="24"/>
                <w:szCs w:val="24"/>
                <w:highlight w:val="none"/>
              </w:rPr>
              <w:t>2.本谈判文件中描述供应商的“签字”是指供应商通过指定电子化政府采购平台办理数字证书（CA认证）获得的以供应商法定代表人或者委托代理人姓名制作的电子印章或手写签字。</w:t>
            </w:r>
          </w:p>
          <w:p w14:paraId="263C7203">
            <w:pPr>
              <w:pStyle w:val="18"/>
              <w:snapToGrid w:val="0"/>
              <w:spacing w:line="400" w:lineRule="exact"/>
              <w:rPr>
                <w:rFonts w:hAnsi="宋体" w:cs="宋体"/>
                <w:color w:val="auto"/>
                <w:sz w:val="24"/>
                <w:szCs w:val="24"/>
                <w:highlight w:val="none"/>
              </w:rPr>
            </w:pPr>
            <w:r>
              <w:rPr>
                <w:rFonts w:hint="eastAsia" w:hAnsi="宋体" w:cs="宋体"/>
                <w:color w:val="auto"/>
                <w:sz w:val="24"/>
                <w:szCs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040E1B76">
            <w:pPr>
              <w:pStyle w:val="18"/>
              <w:snapToGrid w:val="0"/>
              <w:spacing w:line="400" w:lineRule="exact"/>
              <w:rPr>
                <w:rFonts w:hAnsi="宋体" w:cs="宋体"/>
                <w:color w:val="auto"/>
                <w:sz w:val="24"/>
                <w:szCs w:val="24"/>
                <w:highlight w:val="none"/>
              </w:rPr>
            </w:pPr>
            <w:r>
              <w:rPr>
                <w:rFonts w:hint="eastAsia" w:hAnsi="宋体" w:cs="宋体"/>
                <w:color w:val="auto"/>
                <w:sz w:val="24"/>
                <w:szCs w:val="24"/>
                <w:highlight w:val="none"/>
              </w:rPr>
              <w:t>4.自然人竞标的，谈判文件规定盖公章处由自然人摁手指指印。</w:t>
            </w:r>
          </w:p>
          <w:p w14:paraId="1A5D05F9">
            <w:pPr>
              <w:pStyle w:val="18"/>
              <w:snapToGrid w:val="0"/>
              <w:spacing w:line="400" w:lineRule="exact"/>
              <w:rPr>
                <w:rFonts w:hAnsi="宋体" w:cs="宋体"/>
                <w:color w:val="auto"/>
                <w:sz w:val="24"/>
                <w:szCs w:val="24"/>
                <w:highlight w:val="none"/>
              </w:rPr>
            </w:pPr>
            <w:r>
              <w:rPr>
                <w:rFonts w:hint="eastAsia" w:hAnsi="宋体" w:cs="宋体"/>
                <w:color w:val="auto"/>
                <w:sz w:val="24"/>
                <w:szCs w:val="24"/>
                <w:highlight w:val="none"/>
              </w:rPr>
              <w:t>5.本项目合同签订不接受除公章以外的其他形式印章。</w:t>
            </w:r>
          </w:p>
          <w:p w14:paraId="29F36340">
            <w:pPr>
              <w:pStyle w:val="18"/>
              <w:snapToGrid w:val="0"/>
              <w:spacing w:line="400" w:lineRule="exact"/>
              <w:rPr>
                <w:rFonts w:hAnsi="宋体" w:cs="宋体"/>
                <w:color w:val="auto"/>
                <w:sz w:val="24"/>
                <w:szCs w:val="24"/>
                <w:highlight w:val="none"/>
              </w:rPr>
            </w:pPr>
            <w:r>
              <w:rPr>
                <w:rFonts w:hint="eastAsia" w:hAnsi="宋体" w:cs="宋体"/>
                <w:color w:val="auto"/>
                <w:sz w:val="24"/>
                <w:szCs w:val="24"/>
                <w:highlight w:val="none"/>
              </w:rPr>
              <w:t>6.本谈判文件所称的“以上”“以下”“以内”“届满”，包括本数；所称的“不满”“超过”“以外”，不包括本数。</w:t>
            </w:r>
          </w:p>
        </w:tc>
      </w:tr>
    </w:tbl>
    <w:p w14:paraId="60BADDA7">
      <w:pPr>
        <w:pStyle w:val="4"/>
        <w:spacing w:line="400" w:lineRule="exact"/>
        <w:jc w:val="center"/>
        <w:rPr>
          <w:rFonts w:ascii="宋体" w:hAnsi="宋体" w:cs="宋体"/>
          <w:b w:val="0"/>
          <w:color w:val="auto"/>
          <w:sz w:val="24"/>
          <w:szCs w:val="24"/>
          <w:highlight w:val="none"/>
        </w:rPr>
      </w:pPr>
      <w:r>
        <w:rPr>
          <w:rFonts w:hint="eastAsia" w:ascii="宋体" w:hAnsi="宋体" w:cs="宋体"/>
          <w:b w:val="0"/>
          <w:color w:val="auto"/>
          <w:sz w:val="24"/>
          <w:szCs w:val="24"/>
          <w:highlight w:val="none"/>
        </w:rPr>
        <w:br w:type="page"/>
      </w:r>
      <w:bookmarkStart w:id="55" w:name="_Toc97909554"/>
      <w:r>
        <w:rPr>
          <w:rFonts w:hint="eastAsia" w:ascii="宋体" w:hAnsi="宋体" w:cs="宋体"/>
          <w:color w:val="auto"/>
          <w:highlight w:val="none"/>
        </w:rPr>
        <w:t>第二节 供应商须知正文</w:t>
      </w:r>
      <w:bookmarkEnd w:id="55"/>
    </w:p>
    <w:p w14:paraId="72AC61A7">
      <w:pPr>
        <w:pStyle w:val="5"/>
        <w:spacing w:before="0" w:after="0" w:line="440" w:lineRule="exact"/>
        <w:ind w:firstLine="562" w:firstLineChars="200"/>
        <w:rPr>
          <w:rFonts w:ascii="宋体" w:hAnsi="宋体" w:cs="宋体"/>
          <w:bCs w:val="0"/>
          <w:color w:val="auto"/>
          <w:sz w:val="28"/>
          <w:szCs w:val="28"/>
          <w:highlight w:val="none"/>
        </w:rPr>
      </w:pPr>
      <w:bookmarkStart w:id="56" w:name="_Toc11727"/>
      <w:bookmarkStart w:id="57" w:name="_Toc21882"/>
      <w:bookmarkStart w:id="58" w:name="_Toc161"/>
      <w:bookmarkStart w:id="59" w:name="_Toc4554"/>
      <w:bookmarkStart w:id="60" w:name="_Toc80205925"/>
      <w:r>
        <w:rPr>
          <w:rFonts w:hint="eastAsia" w:ascii="宋体" w:hAnsi="宋体" w:cs="宋体"/>
          <w:bCs w:val="0"/>
          <w:color w:val="auto"/>
          <w:sz w:val="28"/>
          <w:szCs w:val="28"/>
          <w:highlight w:val="none"/>
        </w:rPr>
        <w:t>一、总则</w:t>
      </w:r>
      <w:bookmarkEnd w:id="56"/>
      <w:bookmarkEnd w:id="57"/>
      <w:bookmarkEnd w:id="58"/>
      <w:bookmarkEnd w:id="59"/>
      <w:bookmarkEnd w:id="60"/>
    </w:p>
    <w:p w14:paraId="4B3CB254">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1.适用范围</w:t>
      </w:r>
    </w:p>
    <w:p w14:paraId="4F32F26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579E07E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本竞争性谈判文件（以下简称谈判文件）适用于本项目的所有采购程序和环节（法律、法规另有规定的，从其规定）。</w:t>
      </w:r>
    </w:p>
    <w:p w14:paraId="067856E2">
      <w:pPr>
        <w:spacing w:line="440" w:lineRule="exact"/>
        <w:ind w:firstLine="482" w:firstLineChars="200"/>
        <w:rPr>
          <w:rFonts w:ascii="宋体" w:hAnsi="宋体" w:cs="宋体"/>
          <w:color w:val="auto"/>
          <w:sz w:val="24"/>
          <w:highlight w:val="none"/>
        </w:rPr>
      </w:pPr>
      <w:r>
        <w:rPr>
          <w:rFonts w:hint="eastAsia" w:ascii="宋体" w:hAnsi="宋体" w:cs="宋体"/>
          <w:b/>
          <w:bCs/>
          <w:color w:val="auto"/>
          <w:sz w:val="24"/>
          <w:highlight w:val="none"/>
        </w:rPr>
        <w:t>2.定义</w:t>
      </w:r>
    </w:p>
    <w:p w14:paraId="125534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2.1“采购人”是指依法进行采购的国家机关、事业单位、团体组织。</w:t>
      </w:r>
    </w:p>
    <w:p w14:paraId="58A2C014">
      <w:pPr>
        <w:spacing w:line="44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2.2“采购代理机构”是指政府采购集中采购机构和集中采购机构以外的采购代理机构。</w:t>
      </w:r>
    </w:p>
    <w:p w14:paraId="3973081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1AA7686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2.4“货物”是指各种形态和种类的物品，包括原材料、燃料、设备、产品等。</w:t>
      </w:r>
    </w:p>
    <w:p w14:paraId="148002E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2.5“竞标”是指按照本项目竞争性谈判公告或者邀请函规定的方式供应商获取谈判文件、提交响应文件并希望获得标的的行为。</w:t>
      </w:r>
    </w:p>
    <w:p w14:paraId="076701F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2.6“售后服务”是指包含但不限于供应商须承担的备品备件、包装、运输、装卸、保险、货到就位以及安装、调试、培训、保修和其他类似的义务。</w:t>
      </w:r>
    </w:p>
    <w:p w14:paraId="1C5A8CB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2.7“书面形式”是指合同书、信件和数据电文（包括电报、电传、传真、电子数据交换和电子邮件）等可以有形地表现所载内容的形式。</w:t>
      </w:r>
    </w:p>
    <w:p w14:paraId="6ABF102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2.8“响应文件”</w:t>
      </w:r>
      <w:r>
        <w:rPr>
          <w:rFonts w:hint="eastAsia" w:ascii="宋体" w:hAnsi="宋体" w:cs="宋体"/>
          <w:color w:val="auto"/>
          <w:spacing w:val="-6"/>
          <w:sz w:val="24"/>
          <w:highlight w:val="none"/>
        </w:rPr>
        <w:t>是指：供应商根据本文件要求，编制包含报价、技术和货物等所有内容的文件。</w:t>
      </w:r>
    </w:p>
    <w:p w14:paraId="7D81F4F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 “实质性要求”是指采购需求中带“▲”的条款或者不能负偏离的条款或者已经指明不满足按响应文件作无效处理的条款。</w:t>
      </w:r>
    </w:p>
    <w:p w14:paraId="0BCECCB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2.10“正偏离”，是指响应文件对谈判文件“采购需求”中有关条款作出优于条款要求并有利于采购人的响应情形；</w:t>
      </w:r>
    </w:p>
    <w:p w14:paraId="15DB530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2.11“负偏离”，是指响应文件对谈判文件“采购需求”中有关条款作出的响应不满足条款要求，导致采购人要求不能得到满足的情形。</w:t>
      </w:r>
    </w:p>
    <w:p w14:paraId="146E798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2.12“允许负偏离的条款”是指采购需求中的不属于“实质性要求”的条款。</w:t>
      </w:r>
    </w:p>
    <w:p w14:paraId="16ABBD3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2.13“首次报价”是指供应商提交的首次响应文件中的竞标报价。</w:t>
      </w:r>
    </w:p>
    <w:p w14:paraId="6CAE57C5">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3.供应商的资格条件</w:t>
      </w:r>
    </w:p>
    <w:p w14:paraId="75FAF3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06151F8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4.谈判费用</w:t>
      </w:r>
    </w:p>
    <w:p w14:paraId="3D9502B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供应商应承担参与本次采购活动有关的所有费用，包括但不限于、勘查现场、编制和提交响应文件、参加谈判与应答、签订合同等，不论竞标结果如何，均应自行承担。</w:t>
      </w:r>
    </w:p>
    <w:p w14:paraId="2336B066">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5.联合体竞标</w:t>
      </w:r>
    </w:p>
    <w:p w14:paraId="4E6F027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5.1本项目是否接受联合体竞标，详见“供应商须知前附表”。</w:t>
      </w:r>
    </w:p>
    <w:p w14:paraId="15757B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5.2如接受联合体竞标，联合体竞标要求详见“供应商须知前附表”。</w:t>
      </w:r>
    </w:p>
    <w:p w14:paraId="21AE6BE1">
      <w:pPr>
        <w:spacing w:line="440" w:lineRule="exact"/>
        <w:ind w:firstLine="480" w:firstLineChars="200"/>
        <w:rPr>
          <w:rFonts w:ascii="宋体" w:hAnsi="宋体" w:cs="宋体"/>
          <w:bCs/>
          <w:color w:val="auto"/>
          <w:sz w:val="24"/>
          <w:highlight w:val="none"/>
        </w:rPr>
      </w:pPr>
      <w:r>
        <w:rPr>
          <w:rFonts w:hint="eastAsia" w:ascii="宋体" w:hAnsi="宋体" w:cs="宋体"/>
          <w:color w:val="auto"/>
          <w:sz w:val="24"/>
          <w:highlight w:val="none"/>
        </w:rPr>
        <w:t>5.3</w:t>
      </w:r>
      <w:r>
        <w:rPr>
          <w:rFonts w:hint="eastAsia" w:ascii="宋体" w:hAnsi="宋体" w:cs="宋体"/>
          <w:bCs/>
          <w:color w:val="auto"/>
          <w:sz w:val="24"/>
          <w:highlight w:val="none"/>
        </w:rPr>
        <w:t>根据《政府采购促进中小企业发展管理办法》（财库[2020]46号）第九条、《广西壮族自治区财政厅关于进一步发挥政府采购政策功能促进企业发展的通知》（桂财采〔2022〕30号）及《广西壮族自治区财政厅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15BA0EE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6.转包与分包</w:t>
      </w:r>
    </w:p>
    <w:p w14:paraId="5A1F5B8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6.1本项目是否允许分包详见“供应商须知前附表”，本项目不允许违法分包。</w:t>
      </w:r>
    </w:p>
    <w:p w14:paraId="359FD89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6.2</w:t>
      </w:r>
      <w:r>
        <w:rPr>
          <w:rFonts w:hint="eastAsia" w:ascii="宋体" w:hAnsi="宋体" w:cs="宋体"/>
          <w:bCs/>
          <w:color w:val="auto"/>
          <w:sz w:val="24"/>
          <w:highlight w:val="none"/>
        </w:rPr>
        <w:t>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579E5303">
      <w:pPr>
        <w:spacing w:line="440" w:lineRule="exact"/>
        <w:ind w:firstLine="482" w:firstLineChars="200"/>
        <w:rPr>
          <w:rFonts w:ascii="宋体" w:hAnsi="宋体" w:cs="宋体"/>
          <w:b/>
          <w:bCs/>
          <w:color w:val="auto"/>
          <w:sz w:val="24"/>
          <w:highlight w:val="none"/>
        </w:rPr>
      </w:pPr>
      <w:bookmarkStart w:id="61" w:name="_Toc254970673"/>
      <w:bookmarkStart w:id="62" w:name="_Toc254970532"/>
      <w:r>
        <w:rPr>
          <w:rFonts w:hint="eastAsia" w:ascii="宋体" w:hAnsi="宋体" w:cs="宋体"/>
          <w:b/>
          <w:bCs/>
          <w:color w:val="auto"/>
          <w:sz w:val="24"/>
          <w:highlight w:val="none"/>
        </w:rPr>
        <w:t>7.特别说明</w:t>
      </w:r>
      <w:bookmarkEnd w:id="61"/>
      <w:bookmarkEnd w:id="62"/>
    </w:p>
    <w:p w14:paraId="589081F1">
      <w:pPr>
        <w:spacing w:line="440" w:lineRule="exact"/>
        <w:ind w:firstLine="480" w:firstLineChars="200"/>
        <w:rPr>
          <w:rFonts w:ascii="宋体" w:hAnsi="宋体" w:cs="宋体"/>
          <w:color w:val="auto"/>
          <w:sz w:val="24"/>
          <w:highlight w:val="none"/>
        </w:rPr>
      </w:pPr>
      <w:bookmarkStart w:id="63" w:name="_8.1提供相同品牌产品且通过资格审查、符合性审查的不同投标人参加同一合"/>
      <w:bookmarkEnd w:id="63"/>
      <w:r>
        <w:rPr>
          <w:rFonts w:hint="eastAsia" w:ascii="宋体" w:hAnsi="宋体" w:cs="宋体"/>
          <w:color w:val="auto"/>
          <w:sz w:val="24"/>
          <w:highlight w:val="none"/>
        </w:rPr>
        <w:t>7.1如果本谈判文件要求提供供应商或制造商的资格、信誉、荣誉、业绩与企业认证等材料的，资格、信誉、荣誉、业绩与企业认证等必须为供应商或者制造商所拥有或自身获得 。</w:t>
      </w:r>
    </w:p>
    <w:p w14:paraId="1520602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7.2供应商应仔细阅读谈判文件的所有内容，按照谈判文件的要求提交响应文件，并对所提供的全部资料的真实性承担法律责任。</w:t>
      </w:r>
    </w:p>
    <w:p w14:paraId="255E7A5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供应商在竞标活动中提供任何虚假材料,其响应文件作无效处理，并报监管部门查处；签订合同后发现的,成交供应商须依照《中华人民共和国消费者权益保护法》规定赔偿采购人，且民事赔偿并不免除违法供应商的行政与刑事责任。</w:t>
      </w:r>
    </w:p>
    <w:p w14:paraId="2B131E4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7.4在政府采购活动中，采购人员及相关人员与供应商有下列利害关系之一的，应当回避：</w:t>
      </w:r>
    </w:p>
    <w:p w14:paraId="2C24A96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241D09D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7DCB1E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5634161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301223B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6832ECF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6587B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7.5有下列情形之一的视为供应商相互串通竞标，响应文件将被视为无效：</w:t>
      </w:r>
    </w:p>
    <w:p w14:paraId="17FBA56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（1）不同供应商的响应文件由同一单位或者个人编制；或者不同供应商报名的IP地址一致的；或者编制响应文件硬件设备CPU编号、硬盘编号、网卡地址一致的情况。</w:t>
      </w:r>
    </w:p>
    <w:p w14:paraId="6823455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4D17407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45E947F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（4）不同供应商的响应文件异常一致或者报价呈规律性差异；</w:t>
      </w:r>
    </w:p>
    <w:p w14:paraId="68802C5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48E04A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4B8849F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7.6供应商有下列情形之一的，属于恶意串通行为</w:t>
      </w:r>
      <w:bookmarkStart w:id="64" w:name="_Hlk54682620"/>
      <w:r>
        <w:rPr>
          <w:rFonts w:hint="eastAsia" w:ascii="宋体" w:hAnsi="宋体" w:cs="宋体"/>
          <w:color w:val="auto"/>
          <w:sz w:val="24"/>
          <w:highlight w:val="none"/>
        </w:rPr>
        <w:t>，将报同级监督管理部门</w:t>
      </w:r>
      <w:bookmarkEnd w:id="64"/>
      <w:r>
        <w:rPr>
          <w:rFonts w:hint="eastAsia" w:ascii="宋体" w:hAnsi="宋体" w:cs="宋体"/>
          <w:color w:val="auto"/>
          <w:sz w:val="24"/>
          <w:highlight w:val="none"/>
        </w:rPr>
        <w:t>：</w:t>
      </w:r>
    </w:p>
    <w:p w14:paraId="66FDCA5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479AB94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2E265E9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（3）供应商之间协商报价、技术方案等响应文件或者响应文件的实质性内容；</w:t>
      </w:r>
    </w:p>
    <w:p w14:paraId="2FCA109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7B1ECB4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（5）供应商之间事先约定一致抬高或者压低报价,或者在政府采购活动中事先约定轮流以高价位或者低价位成交,或者事先约定由某一特定供应商成交,然后再参加竞标；</w:t>
      </w:r>
    </w:p>
    <w:p w14:paraId="6FCEB9D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BA268A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（7）供应商与采购人或者采购代理机构之间、供应商相互之间，为谋求特定供应商成交或者排斥其他供应商的其他串通行为。</w:t>
      </w:r>
      <w:bookmarkStart w:id="65" w:name="_Toc254970675"/>
      <w:bookmarkStart w:id="66" w:name="_Toc254970534"/>
    </w:p>
    <w:p w14:paraId="3C65588D">
      <w:pPr>
        <w:pStyle w:val="5"/>
        <w:spacing w:before="0" w:after="0" w:line="440" w:lineRule="exact"/>
        <w:ind w:firstLine="562" w:firstLineChars="200"/>
        <w:rPr>
          <w:rFonts w:ascii="宋体" w:hAnsi="宋体" w:cs="宋体"/>
          <w:color w:val="auto"/>
          <w:sz w:val="28"/>
          <w:szCs w:val="28"/>
          <w:highlight w:val="none"/>
        </w:rPr>
      </w:pPr>
      <w:bookmarkStart w:id="67" w:name="_Toc18094"/>
      <w:bookmarkStart w:id="68" w:name="_Toc2142"/>
      <w:bookmarkStart w:id="69" w:name="_Toc80205926"/>
      <w:bookmarkStart w:id="70" w:name="_Toc21776"/>
      <w:bookmarkStart w:id="71" w:name="_Toc31277"/>
      <w:r>
        <w:rPr>
          <w:rFonts w:hint="eastAsia" w:ascii="宋体" w:hAnsi="宋体" w:cs="宋体"/>
          <w:color w:val="auto"/>
          <w:sz w:val="28"/>
          <w:szCs w:val="28"/>
          <w:highlight w:val="none"/>
        </w:rPr>
        <w:t>二、谈判文件</w:t>
      </w:r>
      <w:bookmarkEnd w:id="65"/>
      <w:bookmarkEnd w:id="66"/>
      <w:bookmarkEnd w:id="67"/>
      <w:bookmarkEnd w:id="68"/>
      <w:bookmarkEnd w:id="69"/>
      <w:bookmarkEnd w:id="70"/>
      <w:bookmarkEnd w:id="71"/>
    </w:p>
    <w:p w14:paraId="7CE1E1A9">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8.谈判文件的构成</w:t>
      </w:r>
    </w:p>
    <w:p w14:paraId="501B5D6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第一章 竞争性谈判公告；</w:t>
      </w:r>
    </w:p>
    <w:p w14:paraId="3176CEBB">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第二章 采购需求；</w:t>
      </w:r>
    </w:p>
    <w:p w14:paraId="58E625F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第三章 供应商须知； </w:t>
      </w:r>
    </w:p>
    <w:p w14:paraId="1B805F53">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第四章 评审程序、评审方法和成交标准；</w:t>
      </w:r>
    </w:p>
    <w:p w14:paraId="7BE81662">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第五章 响应文件格式；</w:t>
      </w:r>
    </w:p>
    <w:p w14:paraId="43D39BEE">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第六章 合同文本；</w:t>
      </w:r>
    </w:p>
    <w:p w14:paraId="5E3891E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第七章 质疑、投诉材料格式。</w:t>
      </w:r>
    </w:p>
    <w:p w14:paraId="4FFC782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9.供应商的询问</w:t>
      </w:r>
    </w:p>
    <w:p w14:paraId="389A41C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2659F3E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10.谈判文件的澄清和修改</w:t>
      </w:r>
    </w:p>
    <w:p w14:paraId="6D6778D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72BF6A61">
      <w:pPr>
        <w:spacing w:line="44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19A766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221A69F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10.4</w:t>
      </w:r>
      <w:r>
        <w:rPr>
          <w:rFonts w:hint="eastAsia" w:ascii="宋体" w:hAnsi="宋体" w:cs="宋体"/>
          <w:color w:val="auto"/>
          <w:sz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4AA798E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10.5采购人和采购代理机构可以视采购具体情况，变更提交首次响应文件截止时间和竞谈时间，将变更时间将在“采购文件公告”中“七、其他补充事宜3.网上查询地址”规定的政府采购信息发布媒体上发布更正公告。</w:t>
      </w:r>
    </w:p>
    <w:p w14:paraId="1523B994">
      <w:pPr>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b/>
          <w:color w:val="auto"/>
          <w:kern w:val="0"/>
          <w:sz w:val="24"/>
          <w:highlight w:val="none"/>
        </w:rPr>
        <w:t>响应文件未按谈判文件的澄清、修改的内容编制，又不符合实质性要求的，其响应文件作无效处理。</w:t>
      </w:r>
    </w:p>
    <w:p w14:paraId="23636DD5">
      <w:pPr>
        <w:pStyle w:val="5"/>
        <w:spacing w:before="0" w:after="0" w:line="440" w:lineRule="exact"/>
        <w:ind w:firstLine="562" w:firstLineChars="200"/>
        <w:rPr>
          <w:rFonts w:ascii="宋体" w:hAnsi="宋体" w:cs="宋体"/>
          <w:color w:val="auto"/>
          <w:sz w:val="28"/>
          <w:szCs w:val="28"/>
          <w:highlight w:val="none"/>
        </w:rPr>
      </w:pPr>
      <w:bookmarkStart w:id="72" w:name="_Toc3607"/>
      <w:bookmarkStart w:id="73" w:name="_Toc8335"/>
      <w:bookmarkStart w:id="74" w:name="_Toc80205927"/>
      <w:bookmarkStart w:id="75" w:name="_Toc16364"/>
      <w:bookmarkStart w:id="76" w:name="_Toc31726"/>
      <w:r>
        <w:rPr>
          <w:rFonts w:hint="eastAsia" w:ascii="宋体" w:hAnsi="宋体" w:cs="宋体"/>
          <w:color w:val="auto"/>
          <w:sz w:val="28"/>
          <w:szCs w:val="28"/>
          <w:highlight w:val="none"/>
        </w:rPr>
        <w:t>三、响应文件的编制</w:t>
      </w:r>
      <w:bookmarkEnd w:id="72"/>
      <w:bookmarkEnd w:id="73"/>
      <w:bookmarkEnd w:id="74"/>
      <w:bookmarkEnd w:id="75"/>
      <w:bookmarkEnd w:id="76"/>
    </w:p>
    <w:p w14:paraId="250A9019">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7F70C5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供应商必须按照谈判文件的要求编制响应文件，并对其提交的响应文件的真实性、合法性承担法律责任。响应文件必须对谈判文件作出实质性响应。</w:t>
      </w:r>
    </w:p>
    <w:p w14:paraId="06044A72">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12.响应文件的组成</w:t>
      </w:r>
    </w:p>
    <w:p w14:paraId="56935C4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12.1响应文件由资格证明文件、报价文件、商务和技术文件三部分组成。</w:t>
      </w:r>
    </w:p>
    <w:p w14:paraId="13E53E7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12.1.1资格证明文件：详见须知前附表</w:t>
      </w:r>
    </w:p>
    <w:p w14:paraId="5DE1667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12.1.2商务技术文件：详见须知前附表</w:t>
      </w:r>
    </w:p>
    <w:p w14:paraId="4D73D53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12.1.3报价文件：详见须知前附表</w:t>
      </w:r>
    </w:p>
    <w:p w14:paraId="6D6DA56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12.2响应文件电子版：详见须知前附表</w:t>
      </w:r>
    </w:p>
    <w:p w14:paraId="307301C4">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13.计量单位</w:t>
      </w:r>
    </w:p>
    <w:p w14:paraId="776989E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谈判文件已有明确规定的，使用谈判文件规定的计量单位；谈判文件没有规定的，应采用中华人民共和国法定计量单位，货币种类为人民币，否则视同未响应。</w:t>
      </w:r>
    </w:p>
    <w:p w14:paraId="23EEF524">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14.竞标的风险</w:t>
      </w:r>
    </w:p>
    <w:p w14:paraId="2C9D176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供应商没有按照谈判文件要求提供全部资料，或者供应商没有对谈判文件在各方面作出实质性响应可能导致其响应无效，是供应商应当考虑的风险。</w:t>
      </w:r>
    </w:p>
    <w:p w14:paraId="315EC8F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15.响应报价要求和构成</w:t>
      </w:r>
    </w:p>
    <w:p w14:paraId="210819FF">
      <w:pPr>
        <w:tabs>
          <w:tab w:val="left" w:pos="2492"/>
        </w:tabs>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15.1响应报价应按“第五章 响应文件格式”中“响应报价表”格式填写。</w:t>
      </w:r>
    </w:p>
    <w:p w14:paraId="4D3799E1">
      <w:pPr>
        <w:tabs>
          <w:tab w:val="left" w:pos="2492"/>
        </w:tabs>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15.2响应报价的价格构成见“供应商须知前附表”。</w:t>
      </w:r>
    </w:p>
    <w:p w14:paraId="139EDDB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15.3响应报价要求</w:t>
      </w:r>
    </w:p>
    <w:p w14:paraId="56BFD6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15.3.1供应商的响应报价应符合以下要求，否则响应文件按无效响应处理：</w:t>
      </w:r>
    </w:p>
    <w:p w14:paraId="3328BC0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（1）供应商必须就“采购需求”中所竞标的每个分标的全部内容分别作完整唯一总价报价，不得存在漏项报价；</w:t>
      </w:r>
    </w:p>
    <w:p w14:paraId="7633819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（2）供应商必须就所竞标的分标的单项内容作唯一报价。</w:t>
      </w:r>
    </w:p>
    <w:p w14:paraId="2BF82B6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15.3.2响应报价（包含首次报价、最后报价）超过所竞标分标规定的采购预算金额或者最高限价的，其响应文件将作无效处理。</w:t>
      </w:r>
    </w:p>
    <w:p w14:paraId="26AEADF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15.3.3</w:t>
      </w:r>
      <w:bookmarkStart w:id="77" w:name="_Hlk42592874"/>
      <w:r>
        <w:rPr>
          <w:rFonts w:hint="eastAsia" w:ascii="宋体" w:hAnsi="宋体" w:cs="宋体"/>
          <w:color w:val="auto"/>
          <w:sz w:val="24"/>
          <w:highlight w:val="none"/>
        </w:rPr>
        <w:t>响应报价（包含首次报价、最后报价）超过分项采购预算金额或者最高限价的，其响应文件将作无效处理。</w:t>
      </w:r>
    </w:p>
    <w:bookmarkEnd w:id="77"/>
    <w:p w14:paraId="21092C3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16.竞标有效期</w:t>
      </w:r>
    </w:p>
    <w:p w14:paraId="4222EF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16.1竞标有效期是指为保证采购人有足够的时间在提交响应文件后完成评审、确定成交供应商、合同签订等工作而要求供应商提交的响应文件在一定时间内保持有效的期限。</w:t>
      </w:r>
    </w:p>
    <w:p w14:paraId="1DD205D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竞标有效期应由供应商按“供应商须知前附表”规定的期限作出响应。</w:t>
      </w:r>
    </w:p>
    <w:p w14:paraId="3AFDC1C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16.3供应商的响应文件在竞标有效期内均保持有效。</w:t>
      </w:r>
    </w:p>
    <w:p w14:paraId="6C6460E1">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17.谈判保证金</w:t>
      </w:r>
    </w:p>
    <w:p w14:paraId="654DD37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详见“供应商须知前附表”。</w:t>
      </w:r>
    </w:p>
    <w:p w14:paraId="4E16463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2FDA699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由此引发的后果由供应商承担。</w:t>
      </w:r>
    </w:p>
    <w:p w14:paraId="0A6883A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18.2响应文件应按资格证明、报价分别编制，商务技术文件合并编制，本谈判只接收电子版响应文件，要求见本章“12.2响应文件电子版要求”。</w:t>
      </w:r>
    </w:p>
    <w:p w14:paraId="3FA5E1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w:t>
      </w:r>
      <w:bookmarkStart w:id="78" w:name="_Hlk65832699"/>
      <w:r>
        <w:rPr>
          <w:rFonts w:hint="eastAsia" w:ascii="宋体" w:hAnsi="宋体" w:cs="宋体"/>
          <w:color w:val="auto"/>
          <w:sz w:val="24"/>
          <w:highlight w:val="none"/>
        </w:rPr>
        <w:t>3响应文件须由供应商在</w:t>
      </w:r>
      <w:r>
        <w:rPr>
          <w:rFonts w:hint="eastAsia" w:ascii="宋体" w:hAnsi="宋体" w:cs="宋体"/>
          <w:color w:val="auto"/>
          <w:kern w:val="0"/>
          <w:sz w:val="24"/>
          <w:highlight w:val="none"/>
          <w:lang w:val="zh-CN"/>
        </w:rPr>
        <w:t>“</w:t>
      </w:r>
      <w:r>
        <w:rPr>
          <w:rFonts w:hint="eastAsia" w:ascii="宋体" w:hAnsi="宋体" w:cs="宋体"/>
          <w:color w:val="auto"/>
          <w:sz w:val="24"/>
          <w:highlight w:val="none"/>
        </w:rPr>
        <w:t>第五章 响应文件格式</w:t>
      </w:r>
      <w:r>
        <w:rPr>
          <w:rFonts w:hint="eastAsia" w:ascii="宋体" w:hAnsi="宋体" w:cs="宋体"/>
          <w:color w:val="auto"/>
          <w:kern w:val="0"/>
          <w:sz w:val="24"/>
          <w:highlight w:val="none"/>
          <w:lang w:val="zh-CN"/>
        </w:rPr>
        <w:t>”</w:t>
      </w:r>
      <w:r>
        <w:rPr>
          <w:rFonts w:hint="eastAsia" w:ascii="宋体" w:hAnsi="宋体" w:cs="宋体"/>
          <w:color w:val="auto"/>
          <w:sz w:val="24"/>
          <w:highlight w:val="none"/>
        </w:rPr>
        <w:t>规定位置进行签署、盖章</w:t>
      </w:r>
      <w:bookmarkEnd w:id="78"/>
      <w:r>
        <w:rPr>
          <w:rFonts w:hint="eastAsia" w:ascii="宋体" w:hAnsi="宋体" w:cs="宋体"/>
          <w:color w:val="auto"/>
          <w:sz w:val="24"/>
          <w:highlight w:val="none"/>
        </w:rPr>
        <w:t>，否则其响应文件按无效响应处理。骑缝盖公章不视为在规定位置盖章。</w:t>
      </w:r>
    </w:p>
    <w:p w14:paraId="18C0C6F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18.4响应文件中标注的供应商名称应与营业执照（事业单位法人证书、执业许可证、自然人身份证）及电子公章一致，否则其响应文件按无效响应处理。</w:t>
      </w:r>
    </w:p>
    <w:p w14:paraId="658228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18.5响应文件应避免涂改、行间插字或者删除，否则其响应文件按无效响应处理。</w:t>
      </w:r>
    </w:p>
    <w:p w14:paraId="32E6C347">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19.响应文件的密封和标记</w:t>
      </w:r>
    </w:p>
    <w:p w14:paraId="30D645FD">
      <w:pPr>
        <w:spacing w:line="44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19.1供应商进行电子交易应安装客户端软件—“政采云电子交易客户端”，并按照谈判文件和电子交易平台的要求编制并加密响应文件。供应商未按规定加密的响应文件，电子交易平台将拒收并提示。</w:t>
      </w:r>
    </w:p>
    <w:p w14:paraId="39F06488">
      <w:pPr>
        <w:spacing w:line="440" w:lineRule="exact"/>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19.2使用“政采云电子交易客户端”需要提前申领CA数字证书，申领流程见该项目采购公告附件。</w:t>
      </w:r>
    </w:p>
    <w:p w14:paraId="62FC71DF">
      <w:pPr>
        <w:pStyle w:val="18"/>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018BAD7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20.响应文件的提交</w:t>
      </w:r>
    </w:p>
    <w:p w14:paraId="01716E7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20.1供应商必须在“供应商须知前附表”规定的时间和地点提交响应文件。</w:t>
      </w:r>
    </w:p>
    <w:p w14:paraId="6F0140B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20.2 在响应文件提交截止时间以后，不能补充、修改响应文件。</w:t>
      </w:r>
    </w:p>
    <w:p w14:paraId="4CDF26E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20.3 在提交“最后报价”后，供应商不能退出谈判。</w:t>
      </w:r>
    </w:p>
    <w:p w14:paraId="5173DAE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4105080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20.5 采购机构不可视情况延长提交响应文件的截止时间。</w:t>
      </w:r>
    </w:p>
    <w:p w14:paraId="3DF9E41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20.6备份响应文件。</w:t>
      </w:r>
      <w:r>
        <w:rPr>
          <w:rFonts w:hint="eastAsia" w:ascii="宋体" w:hAnsi="宋体" w:cs="宋体"/>
          <w:bCs/>
          <w:color w:val="auto"/>
          <w:sz w:val="24"/>
          <w:highlight w:val="none"/>
        </w:rPr>
        <w:t>详见在“供应商须知前附表”。</w:t>
      </w:r>
    </w:p>
    <w:p w14:paraId="06F372C4">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413B5D27">
      <w:pPr>
        <w:pStyle w:val="86"/>
        <w:spacing w:before="0" w:line="440" w:lineRule="exact"/>
        <w:ind w:firstLine="480"/>
        <w:rPr>
          <w:rFonts w:ascii="宋体" w:hAnsi="宋体" w:cs="宋体"/>
          <w:color w:val="auto"/>
          <w:szCs w:val="24"/>
          <w:highlight w:val="none"/>
        </w:rPr>
      </w:pPr>
      <w:r>
        <w:rPr>
          <w:rFonts w:hint="eastAsia" w:ascii="宋体" w:hAnsi="宋体" w:cs="宋体"/>
          <w:color w:val="auto"/>
          <w:szCs w:val="24"/>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9B99F86">
      <w:pPr>
        <w:spacing w:line="440" w:lineRule="exact"/>
        <w:ind w:firstLine="482" w:firstLineChars="200"/>
        <w:rPr>
          <w:rFonts w:ascii="宋体" w:hAnsi="宋体" w:cs="宋体"/>
          <w:b/>
          <w:bCs/>
          <w:color w:val="auto"/>
          <w:sz w:val="24"/>
          <w:highlight w:val="none"/>
        </w:rPr>
      </w:pPr>
      <w:bookmarkStart w:id="79" w:name="_Hlk45702405"/>
      <w:r>
        <w:rPr>
          <w:rFonts w:hint="eastAsia" w:ascii="宋体" w:hAnsi="宋体" w:cs="宋体"/>
          <w:b/>
          <w:bCs/>
          <w:color w:val="auto"/>
          <w:sz w:val="24"/>
          <w:highlight w:val="none"/>
        </w:rPr>
        <w:t>22. 首次响应文件的退回</w:t>
      </w:r>
    </w:p>
    <w:p w14:paraId="5CAADC8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详见“供应商须知前附表”。</w:t>
      </w:r>
    </w:p>
    <w:p w14:paraId="30836410">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23. 截止时间后的撤回</w:t>
      </w:r>
    </w:p>
    <w:p w14:paraId="6E61C68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本项目收取谈判保证金，供应商在首次响应文件提交截止时间后可向采购人、采购代理机构书面申请撤回响应文件。</w:t>
      </w:r>
      <w:bookmarkEnd w:id="79"/>
    </w:p>
    <w:p w14:paraId="058D525E">
      <w:pPr>
        <w:pStyle w:val="5"/>
        <w:spacing w:before="0" w:after="0" w:line="440" w:lineRule="exact"/>
        <w:ind w:firstLine="562" w:firstLineChars="200"/>
        <w:rPr>
          <w:rFonts w:ascii="宋体" w:hAnsi="宋体" w:cs="宋体"/>
          <w:b w:val="0"/>
          <w:bCs w:val="0"/>
          <w:color w:val="auto"/>
          <w:sz w:val="24"/>
          <w:szCs w:val="24"/>
          <w:highlight w:val="none"/>
        </w:rPr>
      </w:pPr>
      <w:bookmarkStart w:id="80" w:name="_Toc80205928"/>
      <w:bookmarkStart w:id="81" w:name="_Toc30296"/>
      <w:bookmarkStart w:id="82" w:name="_Toc23210"/>
      <w:bookmarkStart w:id="83" w:name="_Toc13451"/>
      <w:bookmarkStart w:id="84" w:name="_Toc6509"/>
      <w:r>
        <w:rPr>
          <w:rFonts w:hint="eastAsia" w:ascii="宋体" w:hAnsi="宋体" w:cs="宋体"/>
          <w:color w:val="auto"/>
          <w:sz w:val="28"/>
          <w:szCs w:val="28"/>
          <w:highlight w:val="none"/>
        </w:rPr>
        <w:t>四、评审及谈判</w:t>
      </w:r>
      <w:bookmarkEnd w:id="80"/>
      <w:bookmarkEnd w:id="81"/>
      <w:bookmarkEnd w:id="82"/>
      <w:bookmarkEnd w:id="83"/>
      <w:bookmarkEnd w:id="84"/>
    </w:p>
    <w:p w14:paraId="01218DDC">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24.谈判小组成立</w:t>
      </w:r>
    </w:p>
    <w:p w14:paraId="5E128E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1E1A29B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24.2评审专家应当从政府采购评审专家库内相关专业的专家名单中随机抽取。技术复杂、专业性强的竞争性谈判采购项目，评审专家中应当包含1名法律专家。</w:t>
      </w:r>
    </w:p>
    <w:p w14:paraId="45F8182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25.首次响应文件的开启</w:t>
      </w:r>
    </w:p>
    <w:p w14:paraId="669A5D7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25.1首次响应文件由谈判小组或者采购代理机构在“供应商须知前附表”规定的时间开启。</w:t>
      </w:r>
    </w:p>
    <w:p w14:paraId="277A8CE1">
      <w:pPr>
        <w:pStyle w:val="18"/>
        <w:spacing w:line="440" w:lineRule="exact"/>
        <w:ind w:firstLine="480" w:firstLineChars="200"/>
        <w:rPr>
          <w:rFonts w:hAnsi="宋体" w:cs="宋体"/>
          <w:bCs/>
          <w:color w:val="auto"/>
          <w:sz w:val="24"/>
          <w:szCs w:val="24"/>
          <w:highlight w:val="none"/>
        </w:rPr>
      </w:pPr>
      <w:r>
        <w:rPr>
          <w:rFonts w:hint="eastAsia" w:hAnsi="宋体" w:cs="宋体"/>
          <w:color w:val="auto"/>
          <w:sz w:val="24"/>
          <w:szCs w:val="24"/>
          <w:highlight w:val="none"/>
        </w:rPr>
        <w:t xml:space="preserve">25.2 </w:t>
      </w:r>
      <w:r>
        <w:rPr>
          <w:rFonts w:hint="eastAsia" w:hAnsi="宋体" w:cs="宋体"/>
          <w:bCs/>
          <w:color w:val="auto"/>
          <w:sz w:val="24"/>
          <w:szCs w:val="24"/>
          <w:highlight w:val="none"/>
        </w:rPr>
        <w:t>响应文件解密</w:t>
      </w:r>
    </w:p>
    <w:p w14:paraId="2D6E5047">
      <w:pPr>
        <w:pStyle w:val="18"/>
        <w:snapToGrid w:val="0"/>
        <w:spacing w:line="440" w:lineRule="exact"/>
        <w:ind w:firstLine="480" w:firstLineChars="200"/>
        <w:rPr>
          <w:rFonts w:hAnsi="宋体" w:cs="宋体"/>
          <w:color w:val="auto"/>
          <w:sz w:val="24"/>
          <w:szCs w:val="24"/>
          <w:highlight w:val="none"/>
        </w:rPr>
      </w:pPr>
      <w:r>
        <w:rPr>
          <w:rFonts w:hint="eastAsia" w:hAnsi="宋体" w:cs="宋体"/>
          <w:bCs/>
          <w:color w:val="auto"/>
          <w:sz w:val="24"/>
          <w:szCs w:val="24"/>
          <w:highlight w:val="none"/>
        </w:rPr>
        <w:t>采购代理机构将在“供应商须知前附表”规定的时</w:t>
      </w:r>
      <w:r>
        <w:rPr>
          <w:rFonts w:hint="eastAsia" w:hAnsi="宋体" w:cs="宋体"/>
          <w:color w:val="auto"/>
          <w:sz w:val="24"/>
          <w:szCs w:val="24"/>
          <w:highlight w:val="none"/>
        </w:rPr>
        <w:t>间通过电子交易平台组织响应文件开启，采购机构依托电子交易平台发起开始解密指令，供应商的法定代表人或其委托代理人</w:t>
      </w:r>
      <w:r>
        <w:rPr>
          <w:rFonts w:hint="eastAsia" w:hAnsi="宋体" w:cs="宋体"/>
          <w:b/>
          <w:color w:val="auto"/>
          <w:sz w:val="24"/>
          <w:szCs w:val="24"/>
          <w:highlight w:val="none"/>
        </w:rPr>
        <w:t>须携带加密时所用的CA锁按平台提示和采购文件的规定登录到</w:t>
      </w:r>
      <w:r>
        <w:rPr>
          <w:rFonts w:hint="eastAsia" w:hAnsi="宋体" w:cs="宋体"/>
          <w:b/>
          <w:color w:val="auto"/>
          <w:sz w:val="24"/>
          <w:szCs w:val="24"/>
          <w:highlight w:val="none"/>
          <w:lang w:eastAsia="zh-CN"/>
        </w:rPr>
        <w:t>“广西政府采购云平台”</w:t>
      </w:r>
      <w:r>
        <w:rPr>
          <w:rFonts w:hint="eastAsia" w:hAnsi="宋体" w:cs="宋体"/>
          <w:b/>
          <w:color w:val="auto"/>
          <w:sz w:val="24"/>
          <w:szCs w:val="24"/>
          <w:highlight w:val="none"/>
        </w:rPr>
        <w:t>电子开标大厅签到并在发起解密指令之时起30分钟内完成对电子响应文件在线解密</w:t>
      </w:r>
      <w:r>
        <w:rPr>
          <w:rFonts w:hint="eastAsia" w:hAnsi="宋体" w:cs="宋体"/>
          <w:color w:val="auto"/>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cs="宋体"/>
          <w:b/>
          <w:color w:val="auto"/>
          <w:sz w:val="24"/>
          <w:szCs w:val="24"/>
          <w:highlight w:val="none"/>
        </w:rPr>
        <w:t>视为响应文件无效。</w:t>
      </w:r>
      <w:r>
        <w:rPr>
          <w:rFonts w:hint="eastAsia" w:hAnsi="宋体" w:cs="宋体"/>
          <w:color w:val="auto"/>
          <w:sz w:val="24"/>
          <w:szCs w:val="24"/>
          <w:highlight w:val="none"/>
        </w:rPr>
        <w:t>（解密</w:t>
      </w:r>
      <w:r>
        <w:rPr>
          <w:rFonts w:hint="eastAsia" w:hAnsi="宋体" w:cs="宋体"/>
          <w:bCs/>
          <w:color w:val="auto"/>
          <w:sz w:val="24"/>
          <w:szCs w:val="24"/>
          <w:highlight w:val="none"/>
        </w:rPr>
        <w:t>异常情况处理：详见本章</w:t>
      </w:r>
      <w:r>
        <w:rPr>
          <w:rFonts w:hint="eastAsia" w:hAnsi="宋体" w:cs="宋体"/>
          <w:color w:val="auto"/>
          <w:sz w:val="24"/>
          <w:szCs w:val="24"/>
          <w:highlight w:val="none"/>
        </w:rPr>
        <w:t>26.3 电子交易活动的中止。）</w:t>
      </w:r>
    </w:p>
    <w:p w14:paraId="39886F0D">
      <w:pPr>
        <w:pStyle w:val="18"/>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如</w:t>
      </w:r>
      <w:r>
        <w:rPr>
          <w:rFonts w:hint="eastAsia" w:hAnsi="宋体" w:cs="宋体"/>
          <w:bCs/>
          <w:color w:val="auto"/>
          <w:sz w:val="24"/>
          <w:szCs w:val="24"/>
          <w:highlight w:val="none"/>
        </w:rPr>
        <w:t>供应商成功解密响应文件，但未在“政采云”电子开标大厅参加谈判的，视同认可谈判过程和结果，</w:t>
      </w:r>
      <w:r>
        <w:rPr>
          <w:rFonts w:hint="eastAsia" w:hAnsi="宋体" w:cs="宋体"/>
          <w:color w:val="auto"/>
          <w:sz w:val="24"/>
          <w:szCs w:val="24"/>
          <w:highlight w:val="none"/>
        </w:rPr>
        <w:t>由此产生的后果由供应商自行负责。 参与谈判的供应商不足3家的，不得谈判。</w:t>
      </w:r>
    </w:p>
    <w:p w14:paraId="309D0FF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26.评审程序、评审方法和成交标准</w:t>
      </w:r>
    </w:p>
    <w:p w14:paraId="557140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26.1谈判小组按照“第四章 评审程序、评审方法和成交标准”规定的方法、评审因素、标准和程序对响应文件进行评审。</w:t>
      </w:r>
    </w:p>
    <w:p w14:paraId="746309D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26.2采购需求负偏离要求及谈判顺序详见 “供应商须知前附表”。</w:t>
      </w:r>
    </w:p>
    <w:p w14:paraId="0E89DEA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26.3电子交易活动的中止。采购过程中出现以下情形，导致电子交易平台无法正常运行，或者无法保证电子交易的公平、公正和安全时，采购机构可中止电子交易活动：</w:t>
      </w:r>
    </w:p>
    <w:p w14:paraId="0AC973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（1）电子交易平台发生故障而无法登录访问的； </w:t>
      </w:r>
    </w:p>
    <w:p w14:paraId="2A60B38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70BBDA0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3FB1DAC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（4）病毒发作导致不能进行正常操作的； </w:t>
      </w:r>
    </w:p>
    <w:p w14:paraId="1D10E6F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（4）其他无法保证电子交易的公平、公正和安全的情况。</w:t>
      </w:r>
    </w:p>
    <w:p w14:paraId="3C4B84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BE51B38">
      <w:pPr>
        <w:pStyle w:val="5"/>
        <w:spacing w:before="0" w:after="0" w:line="440" w:lineRule="exact"/>
        <w:ind w:firstLine="562" w:firstLineChars="200"/>
        <w:rPr>
          <w:rFonts w:ascii="宋体" w:hAnsi="宋体" w:cs="宋体"/>
          <w:b w:val="0"/>
          <w:bCs w:val="0"/>
          <w:color w:val="auto"/>
          <w:sz w:val="24"/>
          <w:szCs w:val="24"/>
          <w:highlight w:val="none"/>
        </w:rPr>
      </w:pPr>
      <w:bookmarkStart w:id="85" w:name="_Toc80205929"/>
      <w:bookmarkStart w:id="86" w:name="_Toc12039"/>
      <w:bookmarkStart w:id="87" w:name="_Toc9355"/>
      <w:bookmarkStart w:id="88" w:name="_Toc19162"/>
      <w:bookmarkStart w:id="89" w:name="_Toc14029"/>
      <w:r>
        <w:rPr>
          <w:rFonts w:hint="eastAsia" w:ascii="宋体" w:hAnsi="宋体" w:cs="宋体"/>
          <w:color w:val="auto"/>
          <w:sz w:val="28"/>
          <w:szCs w:val="28"/>
          <w:highlight w:val="none"/>
        </w:rPr>
        <w:t>五、成交及合同</w:t>
      </w:r>
      <w:bookmarkEnd w:id="85"/>
      <w:bookmarkEnd w:id="86"/>
      <w:bookmarkEnd w:id="87"/>
      <w:bookmarkEnd w:id="88"/>
      <w:bookmarkEnd w:id="89"/>
    </w:p>
    <w:p w14:paraId="50C7BA96">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1F255E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27.1确定成交供应商。</w:t>
      </w:r>
      <w:r>
        <w:rPr>
          <w:rFonts w:hint="eastAsia" w:ascii="宋体" w:hAnsi="宋体" w:cs="宋体"/>
          <w:color w:val="auto"/>
          <w:kern w:val="0"/>
          <w:sz w:val="24"/>
          <w:highlight w:val="none"/>
          <w:u w:val="single"/>
        </w:rPr>
        <w:t>由采购人直接委托评审专家确定</w:t>
      </w:r>
      <w:r>
        <w:rPr>
          <w:rFonts w:hint="eastAsia" w:ascii="宋体" w:hAnsi="宋体" w:cs="宋体"/>
          <w:color w:val="auto"/>
          <w:sz w:val="24"/>
          <w:highlight w:val="none"/>
          <w:u w:val="single"/>
        </w:rPr>
        <w:t>，评审报告提出的排序第一的供应商为成交供应商。</w:t>
      </w:r>
    </w:p>
    <w:p w14:paraId="0F67BB5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27.2成交通知及成交结果公告。</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确定后2个工作日内，在省级以上财政部门指定的媒体上公告成交结果（成交通知及成交结果公告内容除包含《政府采购公告和公示信息格式规范（2020年版）》要求内容外，还应包含采购人专门面向中小企业预留份额情况及成交供应商评审价格、优惠率等内容），同时向成交供应商发出成交通知书，成交通知书规定签订合同的时间不得超过25日。</w:t>
      </w:r>
    </w:p>
    <w:p w14:paraId="368F31A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27.3采购人或者采购代理机构发出成交通知书前，应当对成交供应商信用进行查询核实，对列入失信被执行人、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w:t>
      </w:r>
      <w:bookmarkStart w:id="90" w:name="_Hlk66782294"/>
      <w:r>
        <w:rPr>
          <w:rFonts w:hint="eastAsia" w:ascii="宋体" w:hAnsi="宋体" w:cs="宋体"/>
          <w:color w:val="auto"/>
          <w:sz w:val="24"/>
          <w:highlight w:val="none"/>
        </w:rPr>
        <w:t>成交供应商享受《政府采购促进中小企业发展管理办法》（财库〔2020〕46号）规定的中小企业扶持政策的，采购人、采购代理机构应当随成交结果公开成交供应商的《中小企业声明函》。</w:t>
      </w:r>
      <w:bookmarkEnd w:id="90"/>
    </w:p>
    <w:p w14:paraId="1C83DD2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13A7289">
      <w:pPr>
        <w:spacing w:line="440" w:lineRule="exact"/>
        <w:ind w:firstLine="480" w:firstLineChars="200"/>
        <w:rPr>
          <w:rFonts w:ascii="宋体" w:hAnsi="宋体" w:cs="宋体"/>
          <w:color w:val="auto"/>
          <w:sz w:val="24"/>
          <w:highlight w:val="none"/>
        </w:rPr>
      </w:pPr>
      <w:r>
        <w:rPr>
          <w:rFonts w:hint="eastAsia" w:ascii="宋体" w:hAnsi="宋体" w:cs="宋体"/>
          <w:bCs/>
          <w:color w:val="auto"/>
          <w:sz w:val="24"/>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59BC1627">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28.履约保证金</w:t>
      </w:r>
    </w:p>
    <w:p w14:paraId="1A6CA39C">
      <w:pPr>
        <w:spacing w:line="44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rPr>
        <w:t>详见 “供应商须知前附表”。</w:t>
      </w:r>
    </w:p>
    <w:p w14:paraId="0AFF0BE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29.签订合同</w:t>
      </w:r>
    </w:p>
    <w:p w14:paraId="11D8DE7C">
      <w:pPr>
        <w:pStyle w:val="86"/>
        <w:snapToGrid w:val="0"/>
        <w:spacing w:before="0" w:line="440" w:lineRule="exact"/>
        <w:ind w:firstLine="480"/>
        <w:rPr>
          <w:rFonts w:ascii="宋体" w:hAnsi="宋体" w:cs="宋体"/>
          <w:color w:val="auto"/>
          <w:szCs w:val="24"/>
          <w:highlight w:val="none"/>
          <w:lang w:val="zh-CN"/>
        </w:rPr>
      </w:pPr>
      <w:r>
        <w:rPr>
          <w:rFonts w:hint="eastAsia" w:ascii="宋体" w:hAnsi="宋体" w:cs="宋体"/>
          <w:color w:val="auto"/>
          <w:szCs w:val="24"/>
          <w:highlight w:val="none"/>
        </w:rPr>
        <w:t>29.1采购人与成交供应商应当在成交通知书规定的时间内，按照谈判文件确定的合同文本以及采购标的、货物技术、采购金额、采购数量、技术和货物要求等事项签订政府采购合同。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cs="宋体"/>
          <w:color w:val="auto"/>
          <w:szCs w:val="24"/>
          <w:highlight w:val="none"/>
          <w:lang w:val="zh-CN"/>
        </w:rPr>
        <w:t>如成交供应商为联合体的，由联合体成员各方法定代表人或其授权代表与采购人代表签订合同。</w:t>
      </w:r>
    </w:p>
    <w:p w14:paraId="19CD58A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3266BE6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099F3D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29.4如签订合同并生效后，供应商无故拒绝或延期，除按照合同条款处理外，列入不良行为记录，并给予通报。</w:t>
      </w:r>
    </w:p>
    <w:p w14:paraId="4E47D979">
      <w:pPr>
        <w:pStyle w:val="86"/>
        <w:spacing w:before="0" w:line="440" w:lineRule="exact"/>
        <w:ind w:firstLine="480"/>
        <w:rPr>
          <w:rFonts w:ascii="宋体" w:hAnsi="宋体" w:cs="宋体"/>
          <w:color w:val="auto"/>
          <w:szCs w:val="24"/>
          <w:highlight w:val="none"/>
        </w:rPr>
      </w:pPr>
      <w:r>
        <w:rPr>
          <w:rFonts w:hint="eastAsia" w:ascii="宋体" w:hAnsi="宋体" w:cs="宋体"/>
          <w:color w:val="auto"/>
          <w:szCs w:val="24"/>
          <w:highlight w:val="none"/>
        </w:rPr>
        <w:t>29.5采购合同由采购人与成交供应商根据谈判文件、响应文件等内容通过政府采购电子交易平台在线签订，自动备案，在线签订须携带的材料见“ 供应商须知前附表”。</w:t>
      </w:r>
    </w:p>
    <w:p w14:paraId="75741A1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30.政府采购合同公告</w:t>
      </w:r>
    </w:p>
    <w:p w14:paraId="0F79B6E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284E502">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31. 询问、质疑和投诉</w:t>
      </w:r>
    </w:p>
    <w:p w14:paraId="02F0F3E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31.1供应商对政府采购活动事项有疑问的，可以向采购人、采购代理机构提出询问，采购人或者采购代理机构应当在3个工作日内对供应商依法提出的询问作出答复。</w:t>
      </w:r>
    </w:p>
    <w:p w14:paraId="327EFB05">
      <w:pPr>
        <w:spacing w:line="44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 w:val="24"/>
          <w:highlight w:val="none"/>
          <w:shd w:val="clear" w:color="auto" w:fill="FFFFFF"/>
        </w:rPr>
        <w:t>接收质疑函的方式、联系部门、联系电话和通讯地址等信息详见</w:t>
      </w:r>
      <w:r>
        <w:rPr>
          <w:rFonts w:hint="eastAsia" w:ascii="宋体" w:hAnsi="宋体" w:cs="宋体"/>
          <w:color w:val="auto"/>
          <w:sz w:val="24"/>
          <w:highlight w:val="none"/>
        </w:rPr>
        <w:t>“供应商须知前附表”。</w:t>
      </w:r>
      <w:r>
        <w:rPr>
          <w:rFonts w:hint="eastAsia" w:ascii="宋体" w:hAnsi="宋体" w:cs="宋体"/>
          <w:b/>
          <w:color w:val="auto"/>
          <w:sz w:val="24"/>
          <w:highlight w:val="none"/>
        </w:rPr>
        <w:t xml:space="preserve">具体质疑起算时间及处理方式如下： </w:t>
      </w:r>
    </w:p>
    <w:p w14:paraId="742AED5D">
      <w:pPr>
        <w:spacing w:line="44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（1）潜在供应商依法获取采购文件后，认为采购文件使自己的权益受到损害的，应当在竞争性谈判采购文件公告期限届满之日起7个工作日内提出质疑。</w:t>
      </w:r>
      <w:r>
        <w:rPr>
          <w:rFonts w:hint="eastAsia" w:ascii="宋体" w:hAnsi="宋体" w:cs="宋体"/>
          <w:color w:val="auto"/>
          <w:sz w:val="24"/>
          <w:highlight w:val="none"/>
        </w:rPr>
        <w:t>委托代理协议无特殊约定的，</w:t>
      </w:r>
      <w:r>
        <w:rPr>
          <w:rFonts w:hint="eastAsia" w:ascii="宋体" w:hAnsi="宋体" w:cs="宋体"/>
          <w:bCs/>
          <w:color w:val="auto"/>
          <w:sz w:val="24"/>
          <w:highlight w:val="none"/>
        </w:rPr>
        <w:t>对竞争性谈判文件中采购需求（含资格要求、采购预算和评分办法）的质疑由采购人受理并负责答复；对竞争性谈判文件中的采购执行程序的质疑由采购代理机构受理并负责答复。</w:t>
      </w:r>
    </w:p>
    <w:p w14:paraId="48FBFA5A">
      <w:pPr>
        <w:spacing w:line="44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48267A2">
      <w:pPr>
        <w:spacing w:line="44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（3）供应商认为成交结果使自己的权益受到损害的，应当在成交结果公告期限届满之日起7个工作日内提出质疑，由采购人受理并负责答复。</w:t>
      </w:r>
    </w:p>
    <w:p w14:paraId="2589F03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1FF33DB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highlight w:val="none"/>
        </w:rPr>
        <w:t>（质疑函格式后附）</w:t>
      </w:r>
      <w:r>
        <w:rPr>
          <w:rFonts w:hint="eastAsia" w:ascii="宋体" w:hAnsi="宋体" w:cs="宋体"/>
          <w:color w:val="auto"/>
          <w:sz w:val="24"/>
          <w:highlight w:val="none"/>
        </w:rPr>
        <w:t>：</w:t>
      </w:r>
    </w:p>
    <w:p w14:paraId="342FAE7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（1）供应商的姓名或者名称、地址、邮编、联系人及联系电话；</w:t>
      </w:r>
    </w:p>
    <w:p w14:paraId="4DCA38A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（2）质疑项目的名称、编号；</w:t>
      </w:r>
    </w:p>
    <w:p w14:paraId="5D675A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（3）具体、明确的质疑事项和与质疑事项相关的请求；</w:t>
      </w:r>
    </w:p>
    <w:p w14:paraId="73DF763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（4）事实依据；</w:t>
      </w:r>
    </w:p>
    <w:p w14:paraId="7EB49C4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（5）必要的法律依据；</w:t>
      </w:r>
    </w:p>
    <w:p w14:paraId="19C4FC5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（6）提出质疑的日期。</w:t>
      </w:r>
    </w:p>
    <w:p w14:paraId="7130785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供应商为自然人的，应当由本人签字；供应商为法人或者其他组织的，应当由法定代表人、主要负责人，或者其委托代理人签字或者盖章，并加盖公章。</w:t>
      </w:r>
    </w:p>
    <w:p w14:paraId="17FB261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19BD0BA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（一）对采购文件提出的质疑，依法通过澄清或者修改可以继续开展采购活动的，澄清或者修改采购文件后继续开展采购活动；否则应当修改采购文件后重新开展采购活动。</w:t>
      </w:r>
    </w:p>
    <w:p w14:paraId="43D876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3FDDF79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质疑答复导致成交结果改变的，采购人或者采购代理机构应当将有关情况书面报告本级财政部门。</w:t>
      </w:r>
    </w:p>
    <w:p w14:paraId="6928D9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5BA35E2F">
      <w:pPr>
        <w:pStyle w:val="5"/>
        <w:spacing w:before="0" w:after="0" w:line="440" w:lineRule="exact"/>
        <w:ind w:firstLine="562" w:firstLineChars="200"/>
        <w:rPr>
          <w:rFonts w:ascii="宋体" w:hAnsi="宋体" w:cs="宋体"/>
          <w:color w:val="auto"/>
          <w:sz w:val="28"/>
          <w:szCs w:val="28"/>
          <w:highlight w:val="none"/>
        </w:rPr>
      </w:pPr>
      <w:bookmarkStart w:id="91" w:name="_Toc6196"/>
      <w:bookmarkStart w:id="92" w:name="_Toc80205930"/>
      <w:bookmarkStart w:id="93" w:name="_Toc11205"/>
      <w:bookmarkStart w:id="94" w:name="_Toc7808"/>
      <w:bookmarkStart w:id="95" w:name="_Toc30714"/>
      <w:r>
        <w:rPr>
          <w:rFonts w:hint="eastAsia" w:ascii="宋体" w:hAnsi="宋体" w:cs="宋体"/>
          <w:color w:val="auto"/>
          <w:sz w:val="28"/>
          <w:szCs w:val="28"/>
          <w:highlight w:val="none"/>
        </w:rPr>
        <w:t>六、验收</w:t>
      </w:r>
      <w:bookmarkEnd w:id="91"/>
      <w:bookmarkEnd w:id="92"/>
      <w:bookmarkEnd w:id="93"/>
      <w:bookmarkEnd w:id="94"/>
      <w:bookmarkEnd w:id="95"/>
    </w:p>
    <w:p w14:paraId="21E29572">
      <w:pPr>
        <w:tabs>
          <w:tab w:val="left" w:pos="0"/>
        </w:tabs>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32.验收</w:t>
      </w:r>
    </w:p>
    <w:p w14:paraId="548282BC">
      <w:pPr>
        <w:tabs>
          <w:tab w:val="left" w:pos="0"/>
        </w:tabs>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027D26C">
      <w:pPr>
        <w:tabs>
          <w:tab w:val="left" w:pos="0"/>
        </w:tabs>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32.2采购人可以邀请参加本项目的其他供应商或者第三方机构参与验收。参与验收的供应商或者第三方机构的意见作为验收书的参考资料一并存档。</w:t>
      </w:r>
    </w:p>
    <w:p w14:paraId="56118484">
      <w:pPr>
        <w:tabs>
          <w:tab w:val="left" w:pos="0"/>
        </w:tabs>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95F6014">
      <w:pPr>
        <w:tabs>
          <w:tab w:val="left" w:pos="0"/>
        </w:tabs>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1E6D54E">
      <w:pPr>
        <w:pStyle w:val="5"/>
        <w:spacing w:before="0" w:after="0" w:line="440" w:lineRule="exact"/>
        <w:ind w:firstLine="562" w:firstLineChars="200"/>
        <w:rPr>
          <w:rFonts w:ascii="宋体" w:hAnsi="宋体" w:cs="宋体"/>
          <w:bCs w:val="0"/>
          <w:color w:val="auto"/>
          <w:sz w:val="28"/>
          <w:szCs w:val="28"/>
          <w:highlight w:val="none"/>
        </w:rPr>
      </w:pPr>
      <w:bookmarkStart w:id="96" w:name="_Toc6533"/>
      <w:bookmarkStart w:id="97" w:name="_Toc11799"/>
      <w:bookmarkStart w:id="98" w:name="_Toc80205931"/>
      <w:bookmarkStart w:id="99" w:name="_Toc10566"/>
      <w:bookmarkStart w:id="100" w:name="_Toc30968"/>
      <w:r>
        <w:rPr>
          <w:rFonts w:hint="eastAsia" w:ascii="宋体" w:hAnsi="宋体" w:cs="宋体"/>
          <w:bCs w:val="0"/>
          <w:color w:val="auto"/>
          <w:sz w:val="28"/>
          <w:szCs w:val="28"/>
          <w:highlight w:val="none"/>
        </w:rPr>
        <w:t>七、其他事项</w:t>
      </w:r>
      <w:bookmarkEnd w:id="96"/>
      <w:bookmarkEnd w:id="97"/>
      <w:bookmarkEnd w:id="98"/>
      <w:bookmarkEnd w:id="99"/>
      <w:bookmarkEnd w:id="100"/>
    </w:p>
    <w:p w14:paraId="3CE9F02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33.招标代理费</w:t>
      </w:r>
    </w:p>
    <w:p w14:paraId="4E460195">
      <w:pPr>
        <w:tabs>
          <w:tab w:val="left" w:pos="2835"/>
        </w:tabs>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代理收费标准（货物）及缴费账户详见“供应商须知前附表”，供应商为联合体的，可以由联合体中的一方或者多方共同交纳代理</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费。</w:t>
      </w:r>
    </w:p>
    <w:p w14:paraId="65CBAD0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34.需要补充的其他内容</w:t>
      </w:r>
    </w:p>
    <w:p w14:paraId="6B06477C">
      <w:pPr>
        <w:pStyle w:val="18"/>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34.1本谈判文件解释规则详见“供应商须知前附表”。</w:t>
      </w:r>
    </w:p>
    <w:p w14:paraId="566CCCA4">
      <w:pPr>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34.2其他事</w:t>
      </w:r>
      <w:r>
        <w:rPr>
          <w:rFonts w:hint="eastAsia" w:ascii="宋体" w:hAnsi="宋体" w:cs="宋体"/>
          <w:color w:val="auto"/>
          <w:sz w:val="24"/>
          <w:highlight w:val="none"/>
        </w:rPr>
        <w:t>项详见“供应商须知前附表”。</w:t>
      </w:r>
    </w:p>
    <w:p w14:paraId="42FDC7E9">
      <w:pPr>
        <w:pStyle w:val="18"/>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34.3</w:t>
      </w:r>
      <w:bookmarkStart w:id="101" w:name="_Hlk65857140"/>
      <w:r>
        <w:rPr>
          <w:rFonts w:hint="eastAsia" w:hAnsi="宋体" w:cs="宋体"/>
          <w:color w:val="auto"/>
          <w:sz w:val="24"/>
          <w:szCs w:val="24"/>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4699409F">
      <w:pPr>
        <w:pStyle w:val="18"/>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在货物采购项目中，货物由中小企业制造，即货物由中小企业生产且使用该中小企业商号或者注册商标，不对其中涉及的工程承建商和货物的承接商作出要求；</w:t>
      </w:r>
    </w:p>
    <w:p w14:paraId="5B65DFD1">
      <w:pPr>
        <w:pStyle w:val="18"/>
        <w:spacing w:line="44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248BDF40">
      <w:pPr>
        <w:pStyle w:val="18"/>
        <w:spacing w:line="440" w:lineRule="exact"/>
        <w:ind w:firstLine="480" w:firstLineChars="200"/>
        <w:textAlignment w:val="center"/>
        <w:rPr>
          <w:rFonts w:hint="eastAsia" w:hAnsi="宋体" w:cs="宋体"/>
          <w:color w:val="auto"/>
          <w:sz w:val="24"/>
          <w:szCs w:val="24"/>
          <w:highlight w:val="none"/>
        </w:rPr>
      </w:pPr>
      <w:r>
        <w:rPr>
          <w:rFonts w:hint="eastAsia" w:hAnsi="宋体" w:cs="宋体"/>
          <w:color w:val="auto"/>
          <w:sz w:val="24"/>
          <w:szCs w:val="24"/>
          <w:highlight w:val="none"/>
        </w:rPr>
        <w:t>依据本文件规定享受扶持政策获得政府采购合同的，小微企业不得将合同分包给大中型企业，中型企业不得将合同分包给大型企业。</w:t>
      </w:r>
      <w:bookmarkEnd w:id="101"/>
    </w:p>
    <w:p w14:paraId="45524398">
      <w:pPr>
        <w:rPr>
          <w:color w:val="auto"/>
          <w:highlight w:val="none"/>
        </w:rPr>
      </w:pPr>
    </w:p>
    <w:p w14:paraId="729214AC">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lang w:val="en-US" w:eastAsia="zh-CN"/>
        </w:rPr>
        <w:t>35</w:t>
      </w:r>
      <w:r>
        <w:rPr>
          <w:rFonts w:hint="eastAsia" w:ascii="黑体" w:hAnsi="黑体" w:eastAsia="黑体"/>
          <w:color w:val="auto"/>
          <w:sz w:val="24"/>
          <w:highlight w:val="none"/>
        </w:rPr>
        <w:t>. 政采贷相关说明</w:t>
      </w:r>
    </w:p>
    <w:p w14:paraId="05850BD2">
      <w:pPr>
        <w:spacing w:line="360" w:lineRule="auto"/>
        <w:ind w:firstLine="420" w:firstLineChars="200"/>
        <w:jc w:val="left"/>
        <w:rPr>
          <w:rFonts w:hAnsi="宋体"/>
          <w:color w:val="auto"/>
          <w:highlight w:val="none"/>
        </w:rPr>
      </w:pPr>
      <w:r>
        <w:rPr>
          <w:rFonts w:hint="eastAsia" w:hAnsi="宋体"/>
          <w:color w:val="auto"/>
          <w:highlight w:val="none"/>
        </w:rPr>
        <w:t>为优化政府采购营商环境，缓解供应商资金难题，南宁市政府采购试行政府采购信用融资制度，</w:t>
      </w:r>
      <w:r>
        <w:rPr>
          <w:rFonts w:hint="eastAsia" w:hAnsi="宋体"/>
          <w:color w:val="auto"/>
          <w:highlight w:val="none"/>
          <w:lang w:val="en-US" w:eastAsia="zh-CN"/>
        </w:rPr>
        <w:t>成交</w:t>
      </w:r>
      <w:r>
        <w:rPr>
          <w:rFonts w:hint="eastAsia" w:hAnsi="宋体"/>
          <w:color w:val="auto"/>
          <w:highlight w:val="none"/>
        </w:rPr>
        <w:t>供应商如有融资需求，可凭政府采购合同通过以下方式申请政府采购信用融资贷款：</w:t>
      </w:r>
    </w:p>
    <w:p w14:paraId="4C7B00B5">
      <w:pPr>
        <w:spacing w:line="360" w:lineRule="auto"/>
        <w:ind w:firstLine="420" w:firstLineChars="200"/>
        <w:jc w:val="left"/>
        <w:rPr>
          <w:rFonts w:hAnsi="宋体"/>
          <w:color w:val="auto"/>
          <w:highlight w:val="none"/>
        </w:rPr>
      </w:pPr>
      <w:r>
        <w:rPr>
          <w:rFonts w:hint="eastAsia" w:hAnsi="宋体"/>
          <w:color w:val="auto"/>
          <w:highlight w:val="none"/>
        </w:rPr>
        <w:t>（1）线下渠道：在“南宁市公共资源交易中心”官网（网址：http://www.nnggzy.org.cn）“交易信息-政府采购-政府采购信用融资”中融资银行和南宁市企业融资货物中心专栏信息申请政府采购信用融资。</w:t>
      </w:r>
    </w:p>
    <w:p w14:paraId="13C82F85">
      <w:pPr>
        <w:pStyle w:val="18"/>
        <w:spacing w:line="480" w:lineRule="exact"/>
        <w:ind w:firstLine="400" w:firstLineChars="200"/>
        <w:jc w:val="center"/>
        <w:rPr>
          <w:rFonts w:hAnsi="宋体" w:cs="宋体"/>
          <w:b/>
          <w:bCs/>
          <w:color w:val="auto"/>
          <w:sz w:val="36"/>
          <w:szCs w:val="36"/>
          <w:highlight w:val="none"/>
        </w:rPr>
      </w:pPr>
      <w:r>
        <w:rPr>
          <w:rFonts w:hint="eastAsia" w:hAnsi="宋体"/>
          <w:color w:val="auto"/>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w:t>
      </w:r>
      <w:r>
        <w:rPr>
          <w:rFonts w:hint="eastAsia" w:hAnsi="宋体"/>
          <w:color w:val="auto"/>
          <w:highlight w:val="none"/>
          <w:lang w:eastAsia="zh-CN"/>
        </w:rPr>
        <w:t>*</w:t>
      </w:r>
      <w:r>
        <w:rPr>
          <w:rFonts w:hint="eastAsia" w:hAnsi="宋体"/>
          <w:color w:val="auto"/>
          <w:highlight w:val="none"/>
        </w:rPr>
        <w:t>i.gov.cn/AdministrativeRegulations/AutonomousRegion/9830442.html）。</w:t>
      </w:r>
      <w:r>
        <w:rPr>
          <w:rFonts w:hint="eastAsia" w:hAnsi="宋体"/>
          <w:color w:val="auto"/>
          <w:highlight w:val="none"/>
        </w:rPr>
        <w:br w:type="page"/>
      </w:r>
      <w:bookmarkStart w:id="102" w:name="_Toc24756"/>
      <w:bookmarkStart w:id="103" w:name="_Toc80205932"/>
      <w:bookmarkStart w:id="104" w:name="_Toc29481"/>
      <w:bookmarkStart w:id="105" w:name="_Toc23357"/>
      <w:bookmarkStart w:id="106" w:name="_Toc27217"/>
      <w:r>
        <w:rPr>
          <w:rFonts w:hint="eastAsia" w:hAnsi="宋体" w:cs="宋体"/>
          <w:b/>
          <w:bCs/>
          <w:color w:val="auto"/>
          <w:sz w:val="36"/>
          <w:szCs w:val="36"/>
          <w:highlight w:val="none"/>
        </w:rPr>
        <w:t>第四章  评审程序、评审方法和成交标准</w:t>
      </w:r>
      <w:bookmarkEnd w:id="102"/>
      <w:bookmarkEnd w:id="103"/>
      <w:bookmarkEnd w:id="104"/>
      <w:bookmarkEnd w:id="105"/>
      <w:bookmarkEnd w:id="106"/>
    </w:p>
    <w:p w14:paraId="099C7C7E">
      <w:pPr>
        <w:pStyle w:val="4"/>
        <w:spacing w:before="0" w:after="0" w:line="440" w:lineRule="exact"/>
        <w:ind w:firstLine="562" w:firstLineChars="200"/>
        <w:jc w:val="center"/>
        <w:rPr>
          <w:rFonts w:ascii="宋体" w:hAnsi="宋体" w:cs="宋体"/>
          <w:bCs w:val="0"/>
          <w:color w:val="auto"/>
          <w:sz w:val="28"/>
          <w:szCs w:val="28"/>
          <w:highlight w:val="none"/>
        </w:rPr>
      </w:pPr>
      <w:bookmarkStart w:id="107" w:name="_Toc9636"/>
      <w:bookmarkStart w:id="108" w:name="_Toc2639"/>
      <w:bookmarkStart w:id="109" w:name="_Toc25176"/>
      <w:bookmarkStart w:id="110" w:name="_Toc11797"/>
      <w:bookmarkStart w:id="111" w:name="_Toc80205933"/>
      <w:r>
        <w:rPr>
          <w:rFonts w:hint="eastAsia" w:ascii="宋体" w:hAnsi="宋体" w:cs="宋体"/>
          <w:bCs w:val="0"/>
          <w:color w:val="auto"/>
          <w:sz w:val="28"/>
          <w:szCs w:val="28"/>
          <w:highlight w:val="none"/>
        </w:rPr>
        <w:t>第一节 评审程序和评审方法</w:t>
      </w:r>
      <w:bookmarkEnd w:id="107"/>
      <w:bookmarkEnd w:id="108"/>
      <w:bookmarkEnd w:id="109"/>
      <w:bookmarkEnd w:id="110"/>
      <w:bookmarkEnd w:id="111"/>
    </w:p>
    <w:p w14:paraId="6350F2D8">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☑最低评标价法，是指</w:t>
      </w:r>
      <w:r>
        <w:rPr>
          <w:rFonts w:hint="eastAsia" w:ascii="宋体" w:hAnsi="宋体" w:cs="宋体"/>
          <w:b/>
          <w:bCs/>
          <w:color w:val="auto"/>
          <w:sz w:val="24"/>
          <w:highlight w:val="none"/>
          <w:lang w:eastAsia="zh-CN"/>
        </w:rPr>
        <w:t>竞</w:t>
      </w:r>
      <w:r>
        <w:rPr>
          <w:rFonts w:hint="eastAsia" w:ascii="宋体" w:hAnsi="宋体" w:cs="宋体"/>
          <w:b/>
          <w:bCs/>
          <w:color w:val="auto"/>
          <w:sz w:val="24"/>
          <w:highlight w:val="none"/>
        </w:rPr>
        <w:t>标文件满足</w:t>
      </w:r>
      <w:r>
        <w:rPr>
          <w:rFonts w:hint="eastAsia" w:ascii="宋体" w:hAnsi="宋体" w:cs="宋体"/>
          <w:b/>
          <w:bCs/>
          <w:color w:val="auto"/>
          <w:sz w:val="24"/>
          <w:highlight w:val="none"/>
          <w:lang w:eastAsia="zh-CN"/>
        </w:rPr>
        <w:t>采购</w:t>
      </w:r>
      <w:r>
        <w:rPr>
          <w:rFonts w:hint="eastAsia" w:ascii="宋体" w:hAnsi="宋体" w:cs="宋体"/>
          <w:b/>
          <w:bCs/>
          <w:color w:val="auto"/>
          <w:sz w:val="24"/>
          <w:highlight w:val="none"/>
        </w:rPr>
        <w:t>文件全部实质性要求，且</w:t>
      </w:r>
      <w:r>
        <w:rPr>
          <w:rFonts w:hint="eastAsia" w:ascii="宋体" w:hAnsi="宋体" w:cs="宋体"/>
          <w:b/>
          <w:bCs/>
          <w:color w:val="auto"/>
          <w:sz w:val="24"/>
          <w:highlight w:val="none"/>
          <w:lang w:eastAsia="zh-CN"/>
        </w:rPr>
        <w:t>评标价</w:t>
      </w:r>
      <w:r>
        <w:rPr>
          <w:rFonts w:hint="eastAsia" w:ascii="宋体" w:hAnsi="宋体" w:cs="宋体"/>
          <w:b/>
          <w:bCs/>
          <w:color w:val="auto"/>
          <w:sz w:val="24"/>
          <w:highlight w:val="none"/>
        </w:rPr>
        <w:t>最低的</w:t>
      </w:r>
      <w:r>
        <w:rPr>
          <w:rFonts w:hint="eastAsia" w:ascii="宋体" w:hAnsi="宋体" w:cs="宋体"/>
          <w:b/>
          <w:bCs/>
          <w:color w:val="auto"/>
          <w:sz w:val="24"/>
          <w:highlight w:val="none"/>
          <w:lang w:eastAsia="zh-CN"/>
        </w:rPr>
        <w:t>竞</w:t>
      </w:r>
      <w:r>
        <w:rPr>
          <w:rFonts w:hint="eastAsia" w:ascii="宋体" w:hAnsi="宋体" w:cs="宋体"/>
          <w:b/>
          <w:bCs/>
          <w:color w:val="auto"/>
          <w:sz w:val="24"/>
          <w:highlight w:val="none"/>
        </w:rPr>
        <w:t>标人为</w:t>
      </w:r>
      <w:r>
        <w:rPr>
          <w:rFonts w:hint="eastAsia" w:ascii="宋体" w:hAnsi="宋体" w:cs="宋体"/>
          <w:b/>
          <w:bCs/>
          <w:color w:val="auto"/>
          <w:sz w:val="24"/>
          <w:highlight w:val="none"/>
          <w:lang w:eastAsia="zh-CN"/>
        </w:rPr>
        <w:t>成交</w:t>
      </w:r>
      <w:r>
        <w:rPr>
          <w:rFonts w:hint="eastAsia" w:ascii="宋体" w:hAnsi="宋体" w:cs="宋体"/>
          <w:b/>
          <w:bCs/>
          <w:color w:val="auto"/>
          <w:sz w:val="24"/>
          <w:highlight w:val="none"/>
        </w:rPr>
        <w:t>候选人的评标方法。</w:t>
      </w:r>
    </w:p>
    <w:p w14:paraId="1EC2EAB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1.确认谈判文件</w:t>
      </w:r>
    </w:p>
    <w:p w14:paraId="2D0E23C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由谈判小组确认谈判文件。</w:t>
      </w:r>
    </w:p>
    <w:p w14:paraId="66FCCDCC">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07B5FFD0">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2.1响应文件开启后，谈判小组依法对供应商的资格证明文件进行审查。</w:t>
      </w:r>
    </w:p>
    <w:p w14:paraId="52A0E657">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注：采购人代表或者采购代理机构在资格审查结束前，对供应商进行信用查询。</w:t>
      </w:r>
    </w:p>
    <w:p w14:paraId="199E1232">
      <w:pPr>
        <w:snapToGri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（1）查询渠道：</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38"/>
          <w:rFonts w:hint="eastAsia" w:ascii="宋体" w:hAnsi="宋体" w:cs="宋体"/>
          <w:color w:val="auto"/>
          <w:sz w:val="24"/>
          <w:highlight w:val="none"/>
        </w:rPr>
        <w:t>www.creditchina.gov.cn</w:t>
      </w:r>
      <w:r>
        <w:rPr>
          <w:rStyle w:val="38"/>
          <w:rFonts w:hint="eastAsia" w:ascii="宋体" w:hAnsi="宋体" w:cs="宋体"/>
          <w:color w:val="auto"/>
          <w:sz w:val="24"/>
          <w:highlight w:val="none"/>
        </w:rPr>
        <w:fldChar w:fldCharType="end"/>
      </w:r>
      <w:r>
        <w:rPr>
          <w:rFonts w:hint="eastAsia" w:ascii="宋体" w:hAnsi="宋体" w:cs="宋体"/>
          <w:color w:val="auto"/>
          <w:sz w:val="24"/>
          <w:highlight w:val="none"/>
        </w:rPr>
        <w:t>)、中国政府采购网(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Style w:val="38"/>
          <w:rFonts w:hint="eastAsia" w:ascii="宋体" w:hAnsi="宋体" w:cs="宋体"/>
          <w:color w:val="auto"/>
          <w:sz w:val="24"/>
          <w:highlight w:val="none"/>
        </w:rPr>
        <w:t>www.ccgp.gov.cn</w:t>
      </w:r>
      <w:r>
        <w:rPr>
          <w:rStyle w:val="38"/>
          <w:rFonts w:hint="eastAsia" w:ascii="宋体" w:hAnsi="宋体" w:cs="宋体"/>
          <w:color w:val="auto"/>
          <w:sz w:val="24"/>
          <w:highlight w:val="none"/>
        </w:rPr>
        <w:fldChar w:fldCharType="end"/>
      </w:r>
      <w:r>
        <w:rPr>
          <w:rFonts w:hint="eastAsia" w:ascii="宋体" w:hAnsi="宋体" w:cs="宋体"/>
          <w:color w:val="auto"/>
          <w:sz w:val="24"/>
          <w:highlight w:val="none"/>
        </w:rPr>
        <w:t>)链接入口。</w:t>
      </w:r>
    </w:p>
    <w:p w14:paraId="08475E36">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62549D20">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查询记录和证据留存方式：在查询网站中直接打印查询记录，截图另存为电子文档作为评审资料保存。</w:t>
      </w:r>
    </w:p>
    <w:p w14:paraId="1669B79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（3）信用信息使用规则：对在“信用中国”网站(www.creditchina.gov.cn) 、中国政府采购网(www.ccgp.gov.cn)被列入失信被执行人、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6B8E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2.2资格审查标准为本谈判文件中载明对供应商资格要求的条件。资格审查采用合格制，凡符合谈判文件规定的供应商资格要求的响应文件均通过资格审查。</w:t>
      </w:r>
    </w:p>
    <w:p w14:paraId="6696817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2.3供应商有下列情形之一的，资格审查不通过，其响应文件按无效响应处理：</w:t>
      </w:r>
    </w:p>
    <w:p w14:paraId="7AB40FA3">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（1）不具备谈判文件中规定的资格要求的；</w:t>
      </w:r>
    </w:p>
    <w:p w14:paraId="394A1FC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（2）响应文件未提供任一项“供应商须知前附表”资格证明文件规定的“必须提供”的文件资料的；</w:t>
      </w:r>
    </w:p>
    <w:p w14:paraId="2D97BA6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（3）响应文件提供的资格证明文件出现任一项不符合“供应商须知前附表”资格证明文件规定的“必须提供”的文件资料要求或者无效的。</w:t>
      </w:r>
    </w:p>
    <w:p w14:paraId="2C736CF4">
      <w:pPr>
        <w:spacing w:line="440" w:lineRule="exact"/>
        <w:ind w:firstLine="480" w:firstLineChars="200"/>
        <w:rPr>
          <w:rFonts w:ascii="宋体" w:hAnsi="宋体" w:cs="宋体"/>
          <w:color w:val="auto"/>
          <w:sz w:val="24"/>
          <w:highlight w:val="none"/>
        </w:rPr>
      </w:pPr>
      <w:bookmarkStart w:id="112" w:name="_Hlk68601553"/>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（4）同一合同项下的不同供应商，单位负责人为同一人或者存在直接控股、管理关系的；为本项目提供过整体设计、规范编制或者项目管理、监理、检测等货物的。</w:t>
      </w:r>
      <w:bookmarkEnd w:id="112"/>
    </w:p>
    <w:p w14:paraId="0B9AC06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2.4通过资格审查的合格供应商不足3家的，不得进入符合性审查环节，采购人或者采购代理机构应当重新开展采购活动。</w:t>
      </w:r>
    </w:p>
    <w:p w14:paraId="384AAF0B">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1EE7C8B1">
      <w:pPr>
        <w:spacing w:line="440" w:lineRule="exact"/>
        <w:ind w:firstLine="480" w:firstLineChars="200"/>
        <w:rPr>
          <w:rFonts w:ascii="宋体" w:hAnsi="宋体" w:cs="宋体"/>
          <w:color w:val="auto"/>
          <w:sz w:val="24"/>
          <w:highlight w:val="none"/>
        </w:rPr>
      </w:pPr>
      <w:bookmarkStart w:id="113" w:name="_Hlk42528882"/>
      <w:r>
        <w:rPr>
          <w:rFonts w:hint="eastAsia" w:ascii="宋体" w:hAnsi="宋体" w:cs="宋体"/>
          <w:color w:val="auto"/>
          <w:sz w:val="24"/>
          <w:highlight w:val="none"/>
        </w:rPr>
        <w:t>3.1由谈判小组对通过资格审查的合格供应商的响应文件的响应报价、商务、技术等实质性要求进行符合性审查，以确定其是否满足谈判文件的实质性要求。</w:t>
      </w:r>
    </w:p>
    <w:bookmarkEnd w:id="113"/>
    <w:p w14:paraId="44F1DB9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539B73A">
      <w:pPr>
        <w:spacing w:line="440" w:lineRule="exact"/>
        <w:ind w:firstLine="480" w:firstLineChars="200"/>
        <w:rPr>
          <w:rFonts w:ascii="宋体" w:hAnsi="宋体" w:cs="宋体"/>
          <w:color w:val="auto"/>
          <w:spacing w:val="-6"/>
          <w:sz w:val="24"/>
          <w:highlight w:val="none"/>
        </w:rPr>
      </w:pPr>
      <w:r>
        <w:rPr>
          <w:rFonts w:hint="eastAsia" w:ascii="宋体" w:hAnsi="宋体" w:cs="宋体"/>
          <w:color w:val="auto"/>
          <w:sz w:val="24"/>
          <w:highlight w:val="none"/>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cs="宋体"/>
          <w:color w:val="auto"/>
          <w:spacing w:val="-6"/>
          <w:sz w:val="24"/>
          <w:highlight w:val="none"/>
        </w:rPr>
        <w:t>。供应商为自然人的，必须由本人签字并附身份证明。</w:t>
      </w:r>
    </w:p>
    <w:p w14:paraId="470A9009">
      <w:pPr>
        <w:spacing w:line="440" w:lineRule="exact"/>
        <w:ind w:firstLine="456" w:firstLineChars="200"/>
        <w:rPr>
          <w:rFonts w:ascii="宋体" w:hAnsi="宋体" w:cs="宋体"/>
          <w:color w:val="auto"/>
          <w:sz w:val="24"/>
          <w:highlight w:val="none"/>
        </w:rPr>
      </w:pPr>
      <w:r>
        <w:rPr>
          <w:rFonts w:hint="eastAsia" w:ascii="宋体" w:hAnsi="宋体" w:cs="宋体"/>
          <w:color w:val="auto"/>
          <w:spacing w:val="-6"/>
          <w:sz w:val="24"/>
          <w:highlight w:val="none"/>
        </w:rPr>
        <w:t>3.4</w:t>
      </w:r>
      <w:r>
        <w:rPr>
          <w:rFonts w:hint="eastAsia" w:ascii="宋体" w:hAnsi="宋体" w:cs="宋体"/>
          <w:color w:val="auto"/>
          <w:sz w:val="24"/>
          <w:highlight w:val="none"/>
        </w:rPr>
        <w:t>首次响应文件报价出现前后不一致的，按照下列规定修正：</w:t>
      </w:r>
    </w:p>
    <w:p w14:paraId="2095A69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745BB6B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53E9455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743BB4E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5B93D3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24F1EB7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3.5商务技术、报价评审</w:t>
      </w:r>
    </w:p>
    <w:p w14:paraId="3C0B781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在评审时，如发现下列情形之一的，将被视为响应文件无效处理：</w:t>
      </w:r>
    </w:p>
    <w:p w14:paraId="54084E3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（1）商务技术评审</w:t>
      </w:r>
    </w:p>
    <w:p w14:paraId="1C781E4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1）响应文件未按谈判文件要求签署、盖章；</w:t>
      </w:r>
    </w:p>
    <w:p w14:paraId="70FEB0C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2）委托代理人未能出具有效身份证明或者出具的身份证明与授权委托书中的信息不符； </w:t>
      </w:r>
    </w:p>
    <w:p w14:paraId="2D3717F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C7DEFE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4）商务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技术</w:t>
      </w:r>
      <w:r>
        <w:rPr>
          <w:rFonts w:hint="eastAsia" w:ascii="宋体" w:hAnsi="宋体" w:cs="宋体"/>
          <w:color w:val="auto"/>
          <w:sz w:val="24"/>
          <w:highlight w:val="none"/>
        </w:rPr>
        <w:t>条款中标“▲”的条款发生负偏离的或者允许负偏离的条款数超过“供应商须知前附表”规定项数的或者标明实质性的要求发生负偏离；</w:t>
      </w:r>
    </w:p>
    <w:p w14:paraId="1760D44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5）未对竞标有效期作出响应或者响应文件承诺的竞标有效期不满足谈判文件要求；</w:t>
      </w:r>
    </w:p>
    <w:p w14:paraId="4DD74D3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6）响应文件的实质性内容未使用中文表述、使用计量单位不符合谈判文件要求；</w:t>
      </w:r>
    </w:p>
    <w:p w14:paraId="22FBB40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7）响应文件中的文件资料因填写不齐全或者内容虚假或者出现其他情形而导致被谈判小组认定无效；</w:t>
      </w:r>
    </w:p>
    <w:p w14:paraId="0398E2C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8）响应文件含有采购人不能接受的附加条件；</w:t>
      </w:r>
    </w:p>
    <w:p w14:paraId="3D797AA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9）属于“供应商须知正文”第7.5条情形；</w:t>
      </w:r>
    </w:p>
    <w:p w14:paraId="4B17A10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10）技术需求允许负偏离的条款数超过“供应商须知前附表”规定项数；</w:t>
      </w:r>
    </w:p>
    <w:p w14:paraId="6E462B4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11）虚假竞标，或者出现其他情形而导致被谈判小组认定无效；</w:t>
      </w:r>
    </w:p>
    <w:p w14:paraId="1ACADD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12）竞标技术方案不明确，谈判文件未允许但响应文件中存在一个或者一个以上备选（替代）竞标方案；</w:t>
      </w:r>
    </w:p>
    <w:p w14:paraId="4CA6E9D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13）响应文件标注的项目名称或者项目编号与竞争性谈判文件标注的项目名称或者项目编号不一致的；</w:t>
      </w:r>
    </w:p>
    <w:p w14:paraId="3AA2E97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14）未响应谈判文件实质性要求；</w:t>
      </w:r>
    </w:p>
    <w:p w14:paraId="08EE420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15）法律、法规和谈判文件规定的其他无效情形。</w:t>
      </w:r>
    </w:p>
    <w:p w14:paraId="56FDD03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（2）报价评审</w:t>
      </w:r>
    </w:p>
    <w:p w14:paraId="1034428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1)响应文件未提供“供应商须知前附表”报价文件中规定的“响应报价表”；</w:t>
      </w:r>
    </w:p>
    <w:p w14:paraId="748C67D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2）未采用人民币报价或者未按照谈判文件标明的币种报价；</w:t>
      </w:r>
    </w:p>
    <w:p w14:paraId="602919B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38F0E75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4）响应报价（包含首次报价、最后报价）超过所竞标分标规定的采购预算金额或者最高限价的（如本项目公布了最高限价）；</w:t>
      </w:r>
      <w:bookmarkStart w:id="114" w:name="_Hlk42596405"/>
      <w:r>
        <w:rPr>
          <w:rFonts w:hint="eastAsia" w:ascii="宋体" w:hAnsi="宋体" w:cs="宋体"/>
          <w:color w:val="auto"/>
          <w:sz w:val="24"/>
          <w:highlight w:val="none"/>
        </w:rPr>
        <w:t>响应报价（包含首次报价、最后报价）</w:t>
      </w:r>
      <w:bookmarkEnd w:id="114"/>
      <w:bookmarkStart w:id="115" w:name="_Hlk42596276"/>
      <w:r>
        <w:rPr>
          <w:rFonts w:hint="eastAsia" w:ascii="宋体" w:hAnsi="宋体" w:cs="宋体"/>
          <w:color w:val="auto"/>
          <w:sz w:val="24"/>
          <w:highlight w:val="none"/>
        </w:rPr>
        <w:t>超过谈判文件分项采购预算金额或者最高限价的</w:t>
      </w:r>
      <w:bookmarkEnd w:id="115"/>
      <w:r>
        <w:rPr>
          <w:rFonts w:hint="eastAsia" w:ascii="宋体" w:hAnsi="宋体" w:cs="宋体"/>
          <w:color w:val="auto"/>
          <w:sz w:val="24"/>
          <w:highlight w:val="none"/>
        </w:rPr>
        <w:t>（如本项目公布了最高限价）；</w:t>
      </w:r>
    </w:p>
    <w:p w14:paraId="4232B81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5B78394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6）响应文件响应的标的数量及单位与竞争性谈判采购文件要求实质性不一致的。</w:t>
      </w:r>
    </w:p>
    <w:p w14:paraId="5117E0F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FAF264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3.7通过符合性审查的合格供应商不足3家的，不得进入谈判环节，应当重新开展采购活动。</w:t>
      </w:r>
    </w:p>
    <w:p w14:paraId="79AB6CC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4.谈判程序</w:t>
      </w:r>
    </w:p>
    <w:p w14:paraId="5B67A606">
      <w:pPr>
        <w:spacing w:line="440" w:lineRule="exact"/>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4.1谈判小组按照“供应商须知前附表”确定的</w:t>
      </w:r>
      <w:r>
        <w:rPr>
          <w:rFonts w:hint="eastAsia" w:ascii="宋体" w:hAnsi="宋体" w:cs="宋体"/>
          <w:color w:val="auto"/>
          <w:sz w:val="24"/>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auto"/>
          <w:sz w:val="24"/>
          <w:highlight w:val="none"/>
        </w:rPr>
        <w:t>其响应文件按无效响应处理。</w:t>
      </w:r>
    </w:p>
    <w:p w14:paraId="0E1A0D4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5EF4C2D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4.3对谈判文件作出的实质性变动是谈判文件的有效组成部分，由谈判小组及时以电子澄清函形式同时通知所有参加谈判的供应商。</w:t>
      </w:r>
    </w:p>
    <w:p w14:paraId="66391A7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3881D62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4.5谈判中，</w:t>
      </w:r>
      <w:r>
        <w:rPr>
          <w:rFonts w:hint="eastAsia" w:ascii="宋体" w:hAnsi="宋体" w:cs="宋体"/>
          <w:color w:val="auto"/>
          <w:spacing w:val="-6"/>
          <w:sz w:val="24"/>
          <w:highlight w:val="none"/>
        </w:rPr>
        <w:t>谈判的任何一方不得透露与谈判有关的其他供应商的技术资料、价格和其他信息。</w:t>
      </w:r>
    </w:p>
    <w:p w14:paraId="3A6B27FC">
      <w:pPr>
        <w:widowControl/>
        <w:tabs>
          <w:tab w:val="left" w:pos="540"/>
        </w:tabs>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4.6谈判小组应对谈判过程和重要谈判内容进行记录，作为评标报告一部分，谈判小组在记录上签字确认。</w:t>
      </w:r>
      <w:r>
        <w:rPr>
          <w:rFonts w:hint="eastAsia" w:ascii="宋体" w:hAnsi="宋体" w:cs="宋体"/>
          <w:b/>
          <w:color w:val="auto"/>
          <w:sz w:val="24"/>
          <w:highlight w:val="none"/>
        </w:rPr>
        <w:t>主要内容包括：</w:t>
      </w:r>
    </w:p>
    <w:p w14:paraId="76F68AAE">
      <w:pPr>
        <w:pStyle w:val="86"/>
        <w:spacing w:before="0" w:line="440" w:lineRule="exact"/>
        <w:ind w:firstLine="456"/>
        <w:rPr>
          <w:rFonts w:ascii="宋体" w:hAnsi="宋体" w:cs="宋体"/>
          <w:color w:val="auto"/>
          <w:spacing w:val="-6"/>
          <w:kern w:val="2"/>
          <w:szCs w:val="24"/>
          <w:highlight w:val="none"/>
        </w:rPr>
      </w:pPr>
      <w:r>
        <w:rPr>
          <w:rFonts w:hint="eastAsia" w:ascii="宋体" w:hAnsi="宋体" w:cs="宋体"/>
          <w:color w:val="auto"/>
          <w:spacing w:val="-6"/>
          <w:kern w:val="2"/>
          <w:szCs w:val="24"/>
          <w:highlight w:val="none"/>
        </w:rPr>
        <w:t>（1）按照相关规定进行公示的，公示情况说明；</w:t>
      </w:r>
    </w:p>
    <w:p w14:paraId="5319A536">
      <w:pPr>
        <w:pStyle w:val="86"/>
        <w:spacing w:before="0" w:line="440" w:lineRule="exact"/>
        <w:ind w:firstLine="456"/>
        <w:rPr>
          <w:rFonts w:ascii="宋体" w:hAnsi="宋体" w:cs="宋体"/>
          <w:color w:val="auto"/>
          <w:spacing w:val="-6"/>
          <w:kern w:val="2"/>
          <w:szCs w:val="24"/>
          <w:highlight w:val="none"/>
        </w:rPr>
      </w:pPr>
      <w:r>
        <w:rPr>
          <w:rFonts w:hint="eastAsia" w:ascii="宋体" w:hAnsi="宋体" w:cs="宋体"/>
          <w:color w:val="auto"/>
          <w:spacing w:val="-6"/>
          <w:kern w:val="2"/>
          <w:szCs w:val="24"/>
          <w:highlight w:val="none"/>
        </w:rPr>
        <w:t>（2）谈判日期和地点，谈判人员名单；</w:t>
      </w:r>
    </w:p>
    <w:p w14:paraId="74936B14">
      <w:pPr>
        <w:pStyle w:val="86"/>
        <w:spacing w:before="0" w:line="440" w:lineRule="exact"/>
        <w:ind w:firstLine="456"/>
        <w:rPr>
          <w:rFonts w:ascii="宋体" w:hAnsi="宋体" w:cs="宋体"/>
          <w:color w:val="auto"/>
          <w:spacing w:val="-6"/>
          <w:kern w:val="2"/>
          <w:szCs w:val="24"/>
          <w:highlight w:val="none"/>
        </w:rPr>
      </w:pPr>
      <w:r>
        <w:rPr>
          <w:rFonts w:hint="eastAsia" w:ascii="宋体" w:hAnsi="宋体" w:cs="宋体"/>
          <w:color w:val="auto"/>
          <w:spacing w:val="-6"/>
          <w:kern w:val="2"/>
          <w:szCs w:val="24"/>
          <w:highlight w:val="none"/>
        </w:rPr>
        <w:t>（3）合同主要条款及价格商定情况。</w:t>
      </w:r>
    </w:p>
    <w:p w14:paraId="197014D8">
      <w:pPr>
        <w:widowControl/>
        <w:tabs>
          <w:tab w:val="left" w:pos="540"/>
        </w:tabs>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4.7谈判过程中重新提交的响应文件，供应商可以在开启前补充、修改。</w:t>
      </w:r>
    </w:p>
    <w:p w14:paraId="566EF5F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4.8对谈判过程提交的响应文件进行有效性、完整性和响应程度审查，通过审查的合格供应商不足3家的，采购人或者采购代理机构应当重新开展采购活动。</w:t>
      </w:r>
    </w:p>
    <w:p w14:paraId="53E4F484">
      <w:pPr>
        <w:spacing w:line="440" w:lineRule="exact"/>
        <w:ind w:firstLine="482" w:firstLineChars="200"/>
        <w:rPr>
          <w:rFonts w:ascii="宋体" w:hAnsi="宋体" w:cs="宋体"/>
          <w:color w:val="auto"/>
          <w:sz w:val="24"/>
          <w:highlight w:val="none"/>
        </w:rPr>
      </w:pPr>
      <w:r>
        <w:rPr>
          <w:rFonts w:hint="eastAsia" w:ascii="宋体" w:hAnsi="宋体" w:cs="宋体"/>
          <w:b/>
          <w:bCs/>
          <w:color w:val="auto"/>
          <w:sz w:val="24"/>
          <w:highlight w:val="none"/>
        </w:rPr>
        <w:t>5.最后报价</w:t>
      </w:r>
    </w:p>
    <w:p w14:paraId="3400057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0C3EF9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远程不见面开标大厅响应最后报价。</w:t>
      </w:r>
    </w:p>
    <w:p w14:paraId="7A2156D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5.3 最后报价是供应商响应文件的有效组成部分。</w:t>
      </w:r>
    </w:p>
    <w:p w14:paraId="2ED5A8D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5.4已经提交响应文件的供应商，在提交最后报价之前，可以根据谈判情况退出谈判，退出谈判的供应商的响应文件按无效响应处理。</w:t>
      </w:r>
    </w:p>
    <w:p w14:paraId="3212E1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5.5供应商未在规定时间内提交最后报价的</w:t>
      </w:r>
      <w:r>
        <w:rPr>
          <w:rFonts w:hint="eastAsia" w:ascii="宋体" w:hAnsi="宋体" w:cs="宋体"/>
          <w:b/>
          <w:color w:val="auto"/>
          <w:sz w:val="24"/>
          <w:highlight w:val="none"/>
        </w:rPr>
        <w:t>，视同放弃报价权利退出谈判。</w:t>
      </w:r>
    </w:p>
    <w:p w14:paraId="35447F4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5.6最终响应文件的报价出现前后不一致的，按照本章第3.4条的规定修正。</w:t>
      </w:r>
    </w:p>
    <w:p w14:paraId="5BAD243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5.7修正后的最终报价出现下列情形的，按无效响应处理：</w:t>
      </w:r>
    </w:p>
    <w:p w14:paraId="497A651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（1）供应商不确认的（全流程电子化评标采取在线确认）；</w:t>
      </w:r>
    </w:p>
    <w:p w14:paraId="7579207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经供应商确认修正后的响应报价（包含首次报价、最后报价）超过所竞标分标规定的采购预算金额或者最高限价的（如本项目公布了最高限价）（全流程电子化评标多轮报价设置了上线控制价，即预算价）；</w:t>
      </w:r>
    </w:p>
    <w:p w14:paraId="363658D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（3）经供应商确认修正后的响应报价（包含首次报价、最后报价）超过分项采购预算金额或者最高限价的（如本项目公布了最高限价）。</w:t>
      </w:r>
    </w:p>
    <w:p w14:paraId="56AFB35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5.8经供应商确认修正后的最后报价作为评审及签订合同的依据。</w:t>
      </w:r>
    </w:p>
    <w:p w14:paraId="3FD3E00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5.9供应商出现最后报价按无效响应处理或者响应文件按无效处理时，谈判小组应当告知有关供应商。</w:t>
      </w:r>
    </w:p>
    <w:p w14:paraId="7824238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5.10最后报价结束后，谈判小组不得再与供应商进行任何形式的商谈。</w:t>
      </w:r>
    </w:p>
    <w:p w14:paraId="5815E6AB">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6.最后报价政府采购政策性扣除</w:t>
      </w:r>
    </w:p>
    <w:p w14:paraId="630761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6.1评审价为供应商的最后报价进行政策性扣除后的价格，评审价只是作为评审时使用。最终成交供应商的成交金额等于最后报价（如有修正，以确认修正后的最后报价为准）。</w:t>
      </w:r>
    </w:p>
    <w:p w14:paraId="4053AA88">
      <w:pPr>
        <w:spacing w:line="44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6.2政策性扣除计算方法。</w:t>
      </w:r>
    </w:p>
    <w:p w14:paraId="4D0263B6">
      <w:pPr>
        <w:spacing w:line="44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6.2.1.本项目</w:t>
      </w:r>
      <w:r>
        <w:rPr>
          <w:rFonts w:hint="eastAsia" w:ascii="宋体" w:hAnsi="宋体" w:eastAsia="宋体" w:cs="宋体"/>
          <w:b/>
          <w:bCs/>
          <w:color w:val="auto"/>
          <w:sz w:val="24"/>
          <w:highlight w:val="none"/>
        </w:rPr>
        <w:t>为专门面向</w:t>
      </w:r>
      <w:r>
        <w:rPr>
          <w:rFonts w:hint="eastAsia" w:ascii="宋体" w:hAnsi="宋体" w:eastAsia="宋体" w:cs="宋体"/>
          <w:b/>
          <w:bCs/>
          <w:color w:val="auto"/>
          <w:sz w:val="24"/>
          <w:highlight w:val="none"/>
          <w:lang w:val="en-US" w:eastAsia="zh-CN"/>
        </w:rPr>
        <w:t>小微</w:t>
      </w:r>
      <w:r>
        <w:rPr>
          <w:rFonts w:hint="eastAsia" w:ascii="宋体" w:hAnsi="宋体" w:eastAsia="宋体" w:cs="宋体"/>
          <w:b/>
          <w:bCs/>
          <w:color w:val="auto"/>
          <w:sz w:val="24"/>
          <w:highlight w:val="none"/>
        </w:rPr>
        <w:t>企业采购项目，投标人不再享受</w:t>
      </w:r>
      <w:r>
        <w:rPr>
          <w:rFonts w:hint="eastAsia" w:ascii="宋体" w:hAnsi="宋体" w:eastAsia="宋体" w:cs="宋体"/>
          <w:b/>
          <w:bCs/>
          <w:color w:val="auto"/>
          <w:sz w:val="24"/>
          <w:highlight w:val="none"/>
          <w:lang w:val="en-US" w:eastAsia="zh-CN"/>
        </w:rPr>
        <w:t>小微</w:t>
      </w:r>
      <w:r>
        <w:rPr>
          <w:rFonts w:hint="eastAsia" w:ascii="宋体" w:hAnsi="宋体" w:eastAsia="宋体" w:cs="宋体"/>
          <w:b/>
          <w:bCs/>
          <w:color w:val="auto"/>
          <w:sz w:val="24"/>
          <w:highlight w:val="none"/>
        </w:rPr>
        <w:t>企业</w:t>
      </w:r>
      <w:r>
        <w:rPr>
          <w:rFonts w:hint="eastAsia" w:ascii="宋体" w:hAnsi="宋体" w:eastAsia="宋体" w:cs="宋体"/>
          <w:b/>
          <w:bCs/>
          <w:color w:val="auto"/>
          <w:sz w:val="24"/>
          <w:highlight w:val="none"/>
          <w:lang w:val="en-US" w:eastAsia="zh-CN"/>
        </w:rPr>
        <w:t>价格</w:t>
      </w:r>
      <w:r>
        <w:rPr>
          <w:rFonts w:hint="eastAsia" w:ascii="宋体" w:hAnsi="宋体" w:eastAsia="宋体" w:cs="宋体"/>
          <w:b/>
          <w:bCs/>
          <w:color w:val="auto"/>
          <w:sz w:val="24"/>
          <w:highlight w:val="none"/>
        </w:rPr>
        <w:t>扣除。</w:t>
      </w:r>
    </w:p>
    <w:p w14:paraId="664B6842">
      <w:pPr>
        <w:spacing w:line="44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6.2.2如本项目中涉及货物的本国产品政策性扣除计算方法。</w:t>
      </w:r>
    </w:p>
    <w:p w14:paraId="5F32DD0B">
      <w:pPr>
        <w:spacing w:line="44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 20%的价格扣除，用扣除后的价格参与评审。</w:t>
      </w:r>
    </w:p>
    <w:p w14:paraId="796B56C0">
      <w:pPr>
        <w:spacing w:line="44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当采购项目或者采购包中含有多种产品，供应商为该采购项目或者采购包提供的符合本国产品标准的产品成本之和占该供应商提供的全部产品成本之和的比例达到 80%以上时，依法对该供应商提供的全部产品给予价格评审优惠，即对该供应商提供的全部产品的总报价给予 20%的价格扣除，用扣除后的价格参与评审。未达到 80%，不享受价格评审优惠。</w:t>
      </w:r>
    </w:p>
    <w:p w14:paraId="4F25064C">
      <w:pPr>
        <w:spacing w:line="44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供应商在其响应文件中提供《关于符合本国产品标准的声明函》或财政部会同有关部门规定的有关证明文件，出具符合要求的《声明函》或有关证明文件的，该产品视为本国产品。</w:t>
      </w:r>
    </w:p>
    <w:p w14:paraId="027C1326">
      <w:pPr>
        <w:keepNext w:val="0"/>
        <w:keepLines w:val="0"/>
        <w:pageBreakBefore w:val="0"/>
        <w:kinsoku/>
        <w:wordWrap/>
        <w:overflowPunct/>
        <w:topLinePunct w:val="0"/>
        <w:autoSpaceDE/>
        <w:autoSpaceDN/>
        <w:bidi w:val="0"/>
        <w:adjustRightInd/>
        <w:snapToGrid w:val="0"/>
        <w:spacing w:line="380" w:lineRule="exact"/>
        <w:ind w:firstLine="234" w:firstLineChars="111"/>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val="0"/>
          <w:color w:val="auto"/>
          <w:kern w:val="0"/>
          <w:sz w:val="21"/>
          <w:szCs w:val="21"/>
          <w:highlight w:val="none"/>
        </w:rPr>
        <w:t>如果所有参与竞争的供应商均可享受本国产品价格评审优惠，则统一不进行价格扣除。</w:t>
      </w:r>
    </w:p>
    <w:p w14:paraId="72D2D026">
      <w:pPr>
        <w:spacing w:line="44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6.</w:t>
      </w:r>
      <w:r>
        <w:rPr>
          <w:rFonts w:hint="eastAsia" w:ascii="宋体" w:hAnsi="宋体" w:cs="宋体"/>
          <w:b/>
          <w:bCs/>
          <w:color w:val="auto"/>
          <w:sz w:val="24"/>
          <w:highlight w:val="none"/>
          <w:lang w:val="en-US" w:eastAsia="zh-CN"/>
        </w:rPr>
        <w:t>3</w:t>
      </w:r>
      <w:r>
        <w:rPr>
          <w:rFonts w:hint="eastAsia" w:ascii="宋体" w:hAnsi="宋体" w:eastAsia="宋体" w:cs="宋体"/>
          <w:b w:val="0"/>
          <w:bCs w:val="0"/>
          <w:color w:val="auto"/>
          <w:sz w:val="24"/>
          <w:highlight w:val="none"/>
        </w:rPr>
        <w:t>用扣除后的价格参加评审。即评审报价=最终响应报价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rPr>
        <w:t>本国产品折扣</w:t>
      </w:r>
      <w:r>
        <w:rPr>
          <w:rFonts w:hint="eastAsia" w:ascii="宋体" w:hAnsi="宋体" w:eastAsia="宋体" w:cs="宋体"/>
          <w:b/>
          <w:bCs/>
          <w:color w:val="auto"/>
          <w:sz w:val="24"/>
          <w:highlight w:val="none"/>
        </w:rPr>
        <w:t>，</w:t>
      </w:r>
      <w:r>
        <w:rPr>
          <w:rFonts w:hint="eastAsia" w:ascii="宋体" w:hAnsi="宋体" w:cs="宋体"/>
          <w:b/>
          <w:bCs/>
          <w:color w:val="auto"/>
          <w:sz w:val="24"/>
          <w:highlight w:val="none"/>
        </w:rPr>
        <w:t>除上述情况外，评审价＝最后报价。</w:t>
      </w:r>
    </w:p>
    <w:p w14:paraId="08C773BC">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lang w:eastAsia="zh-CN"/>
        </w:rPr>
        <w:t>评审小组</w:t>
      </w:r>
      <w:r>
        <w:rPr>
          <w:rFonts w:hint="eastAsia" w:ascii="宋体" w:hAnsi="宋体" w:eastAsia="宋体" w:cs="宋体"/>
          <w:b/>
          <w:bCs/>
          <w:color w:val="auto"/>
          <w:sz w:val="24"/>
          <w:szCs w:val="24"/>
          <w:highlight w:val="none"/>
        </w:rPr>
        <w:t>在评审中发现下列情形之一的，应当启动异常低价响应审查程序：</w:t>
      </w:r>
    </w:p>
    <w:p w14:paraId="7951FD96">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（指供应商的最终报价，下同）低于全部通过符合性审查供应商</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平均值50%的，即</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 xml:space="preserve"> &lt; 全部通过符合性审查供应商投标（响应）报价平均值×50%；</w:t>
      </w:r>
    </w:p>
    <w:p w14:paraId="2E00759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低于通过符合性审查的次低报价供应商</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50%的，即</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&lt;通过符合性审查的次低报价供应商</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×50%；</w:t>
      </w:r>
    </w:p>
    <w:p w14:paraId="6FDC92A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低于采购项目最高限价45%的，即</w:t>
      </w:r>
      <w:r>
        <w:rPr>
          <w:rFonts w:hint="eastAsia" w:ascii="宋体" w:hAnsi="宋体" w:eastAsia="宋体" w:cs="宋体"/>
          <w:b/>
          <w:bCs/>
          <w:color w:val="auto"/>
          <w:sz w:val="24"/>
          <w:szCs w:val="24"/>
          <w:highlight w:val="none"/>
          <w:lang w:eastAsia="zh-CN"/>
        </w:rPr>
        <w:t>投标报价</w:t>
      </w:r>
      <w:r>
        <w:rPr>
          <w:rFonts w:hint="eastAsia" w:ascii="宋体" w:hAnsi="宋体" w:eastAsia="宋体" w:cs="宋体"/>
          <w:b/>
          <w:bCs/>
          <w:color w:val="auto"/>
          <w:sz w:val="24"/>
          <w:szCs w:val="24"/>
          <w:highlight w:val="none"/>
        </w:rPr>
        <w:t>&lt;采购项目最高限价×45%；</w:t>
      </w:r>
    </w:p>
    <w:p w14:paraId="3D3927C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eastAsia="zh-CN"/>
        </w:rPr>
        <w:t>）评审小组</w:t>
      </w:r>
      <w:r>
        <w:rPr>
          <w:rFonts w:hint="eastAsia" w:ascii="宋体" w:hAnsi="宋体" w:eastAsia="宋体" w:cs="宋体"/>
          <w:b/>
          <w:bCs/>
          <w:color w:val="auto"/>
          <w:sz w:val="24"/>
          <w:szCs w:val="24"/>
          <w:highlight w:val="none"/>
        </w:rPr>
        <w:t>基于专业判断，认为供应商报价过低，有可能影响产品质量或者不能诚信履约的其他情形。</w:t>
      </w:r>
    </w:p>
    <w:p w14:paraId="35D49000">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评审小组</w:t>
      </w:r>
      <w:r>
        <w:rPr>
          <w:rFonts w:hint="eastAsia" w:ascii="宋体" w:hAnsi="宋体" w:eastAsia="宋体" w:cs="宋体"/>
          <w:b/>
          <w:bCs/>
          <w:color w:val="auto"/>
          <w:sz w:val="24"/>
          <w:szCs w:val="24"/>
          <w:highlight w:val="none"/>
        </w:rPr>
        <w:t>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64BB67A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评审小组</w:t>
      </w:r>
      <w:r>
        <w:rPr>
          <w:rFonts w:hint="eastAsia" w:ascii="宋体" w:hAnsi="宋体" w:eastAsia="宋体" w:cs="宋体"/>
          <w:b/>
          <w:bCs/>
          <w:color w:val="auto"/>
          <w:sz w:val="24"/>
          <w:szCs w:val="24"/>
          <w:highlight w:val="none"/>
        </w:rPr>
        <w:t>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审委员会应当将其作为无效响应处理。</w:t>
      </w:r>
    </w:p>
    <w:p w14:paraId="386F89A0">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采购人、采购代理机构应当为</w:t>
      </w:r>
      <w:r>
        <w:rPr>
          <w:rFonts w:hint="eastAsia" w:ascii="宋体" w:hAnsi="宋体" w:eastAsia="宋体" w:cs="宋体"/>
          <w:b/>
          <w:bCs/>
          <w:color w:val="auto"/>
          <w:sz w:val="24"/>
          <w:szCs w:val="24"/>
          <w:highlight w:val="none"/>
          <w:lang w:eastAsia="zh-CN"/>
        </w:rPr>
        <w:t>评审小组</w:t>
      </w:r>
      <w:r>
        <w:rPr>
          <w:rFonts w:hint="eastAsia" w:ascii="宋体" w:hAnsi="宋体" w:eastAsia="宋体" w:cs="宋体"/>
          <w:b/>
          <w:bCs/>
          <w:color w:val="auto"/>
          <w:sz w:val="24"/>
          <w:szCs w:val="24"/>
          <w:highlight w:val="none"/>
        </w:rPr>
        <w:t>在评审现场及时获取同类项目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00C021F">
      <w:pPr>
        <w:spacing w:line="440" w:lineRule="exact"/>
        <w:ind w:firstLine="482" w:firstLineChars="200"/>
        <w:rPr>
          <w:rFonts w:hint="eastAsia" w:ascii="宋体" w:hAnsi="宋体" w:cs="宋体"/>
          <w:b/>
          <w:bCs/>
          <w:color w:val="auto"/>
          <w:sz w:val="24"/>
          <w:highlight w:val="none"/>
        </w:rPr>
      </w:pPr>
      <w:r>
        <w:rPr>
          <w:rFonts w:hint="eastAsia" w:ascii="宋体" w:hAnsi="宋体" w:eastAsia="宋体" w:cs="宋体"/>
          <w:b/>
          <w:bCs/>
          <w:color w:val="auto"/>
          <w:sz w:val="24"/>
          <w:szCs w:val="24"/>
          <w:highlight w:val="none"/>
        </w:rPr>
        <w:t>异常低价响应审查的启动原因、审查意见和审查结果应当在评审报告中记录，并随供应商提供的相关书面说明及证明材料，以及</w:t>
      </w:r>
      <w:r>
        <w:rPr>
          <w:rFonts w:hint="eastAsia" w:ascii="宋体" w:hAnsi="宋体" w:eastAsia="宋体" w:cs="宋体"/>
          <w:b/>
          <w:bCs/>
          <w:color w:val="auto"/>
          <w:sz w:val="24"/>
          <w:szCs w:val="24"/>
          <w:highlight w:val="none"/>
          <w:lang w:eastAsia="zh-CN"/>
        </w:rPr>
        <w:t>评审小组</w:t>
      </w:r>
      <w:r>
        <w:rPr>
          <w:rFonts w:hint="eastAsia" w:ascii="宋体" w:hAnsi="宋体" w:eastAsia="宋体" w:cs="宋体"/>
          <w:b/>
          <w:bCs/>
          <w:color w:val="auto"/>
          <w:sz w:val="24"/>
          <w:szCs w:val="24"/>
          <w:highlight w:val="none"/>
        </w:rPr>
        <w:t>有关互联网浏览、查询历史一并归档。</w:t>
      </w:r>
    </w:p>
    <w:p w14:paraId="35ED1FD9">
      <w:pPr>
        <w:spacing w:line="440" w:lineRule="exact"/>
        <w:ind w:firstLine="436" w:firstLineChars="181"/>
        <w:rPr>
          <w:rFonts w:ascii="宋体" w:hAnsi="宋体" w:cs="宋体"/>
          <w:b/>
          <w:bCs/>
          <w:color w:val="auto"/>
          <w:sz w:val="24"/>
          <w:highlight w:val="none"/>
        </w:rPr>
      </w:pPr>
      <w:r>
        <w:rPr>
          <w:rFonts w:hint="eastAsia" w:ascii="宋体" w:hAnsi="宋体" w:cs="宋体"/>
          <w:b/>
          <w:bCs/>
          <w:color w:val="auto"/>
          <w:sz w:val="24"/>
          <w:highlight w:val="none"/>
          <w:lang w:val="en-US" w:eastAsia="zh-CN"/>
        </w:rPr>
        <w:t>8</w:t>
      </w:r>
      <w:r>
        <w:rPr>
          <w:rFonts w:hint="eastAsia" w:ascii="宋体" w:hAnsi="宋体" w:cs="宋体"/>
          <w:b/>
          <w:bCs/>
          <w:color w:val="auto"/>
          <w:sz w:val="24"/>
          <w:highlight w:val="none"/>
        </w:rPr>
        <w:t>.评审复核</w:t>
      </w:r>
    </w:p>
    <w:p w14:paraId="1932845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.1评审报告签署前，评审委员会要对评审结果进行复核，复核意见要体现在评审报告中。</w:t>
      </w:r>
    </w:p>
    <w:p w14:paraId="0AE44C46">
      <w:pPr>
        <w:widowControl/>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.2除资格性审查认定错误和价格计算错误外，采购人或者采购代理机构不得以任何理由组织重新评审。</w:t>
      </w:r>
    </w:p>
    <w:p w14:paraId="1B9D60CD">
      <w:pPr>
        <w:pStyle w:val="4"/>
        <w:spacing w:before="0" w:after="0" w:line="440" w:lineRule="exact"/>
        <w:ind w:firstLine="562" w:firstLineChars="200"/>
        <w:jc w:val="center"/>
        <w:rPr>
          <w:rFonts w:ascii="宋体" w:hAnsi="宋体" w:cs="宋体"/>
          <w:bCs w:val="0"/>
          <w:color w:val="auto"/>
          <w:sz w:val="28"/>
          <w:szCs w:val="28"/>
          <w:highlight w:val="none"/>
        </w:rPr>
      </w:pPr>
      <w:bookmarkStart w:id="116" w:name="_Toc80205934"/>
      <w:bookmarkStart w:id="117" w:name="_Toc16534"/>
      <w:bookmarkStart w:id="118" w:name="_Toc25122"/>
      <w:bookmarkStart w:id="119" w:name="_Toc24749"/>
      <w:bookmarkStart w:id="120" w:name="_Toc14886"/>
      <w:r>
        <w:rPr>
          <w:rFonts w:hint="eastAsia" w:ascii="宋体" w:hAnsi="宋体" w:cs="宋体"/>
          <w:bCs w:val="0"/>
          <w:color w:val="auto"/>
          <w:sz w:val="28"/>
          <w:szCs w:val="28"/>
          <w:highlight w:val="none"/>
        </w:rPr>
        <w:t>第二节 评审原则</w:t>
      </w:r>
      <w:bookmarkEnd w:id="116"/>
      <w:bookmarkEnd w:id="117"/>
      <w:bookmarkEnd w:id="118"/>
      <w:bookmarkEnd w:id="119"/>
      <w:bookmarkEnd w:id="120"/>
    </w:p>
    <w:p w14:paraId="6BBB21ED">
      <w:pPr>
        <w:spacing w:line="44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1.评审原则</w:t>
      </w:r>
    </w:p>
    <w:p w14:paraId="15094482">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3842228F">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bookmarkStart w:id="121" w:name="_Toc432194885"/>
      <w:bookmarkStart w:id="122" w:name="_Toc321836413"/>
      <w:bookmarkStart w:id="123" w:name="_Toc432106535"/>
    </w:p>
    <w:bookmarkEnd w:id="121"/>
    <w:bookmarkEnd w:id="122"/>
    <w:bookmarkEnd w:id="123"/>
    <w:p w14:paraId="0E8F6B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21EF7B1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2.终止竞争性谈判采购活动</w:t>
      </w:r>
    </w:p>
    <w:p w14:paraId="08DE1B5A">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出现下列情形之一的，采购人或者采购代理机构应当终止竞争性谈判采购活动，发布项目终止公告并说明原因，重新开展采购活动：</w:t>
      </w:r>
    </w:p>
    <w:p w14:paraId="430D4572">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（1）因情况变化，不再符合规定的竞争性谈判采购方式适用情形的； </w:t>
      </w:r>
    </w:p>
    <w:p w14:paraId="1D961F98">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（2）出现影响采购公正的违法、违规行为的；</w:t>
      </w:r>
    </w:p>
    <w:p w14:paraId="00AE0C66">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（3）在采购过程中符合竞争要求的供应商或者报价未超过采购预算的供应商不足3家的，但《政府采购非招标采购方式管理办法》第二十七条第二款规定的情形除外。</w:t>
      </w:r>
    </w:p>
    <w:p w14:paraId="25BEEF6D">
      <w:pPr>
        <w:pStyle w:val="4"/>
        <w:spacing w:before="0" w:after="0" w:line="440" w:lineRule="exact"/>
        <w:ind w:firstLine="562" w:firstLineChars="200"/>
        <w:jc w:val="center"/>
        <w:rPr>
          <w:rFonts w:ascii="宋体" w:hAnsi="宋体" w:cs="宋体"/>
          <w:b w:val="0"/>
          <w:color w:val="auto"/>
          <w:sz w:val="24"/>
          <w:szCs w:val="24"/>
          <w:highlight w:val="none"/>
        </w:rPr>
      </w:pPr>
      <w:bookmarkStart w:id="124" w:name="_Toc29238"/>
      <w:bookmarkStart w:id="125" w:name="_Toc14215"/>
      <w:bookmarkStart w:id="126" w:name="_Toc365"/>
      <w:bookmarkStart w:id="127" w:name="_Toc3021"/>
      <w:bookmarkStart w:id="128" w:name="_Toc80205935"/>
      <w:r>
        <w:rPr>
          <w:rFonts w:hint="eastAsia" w:ascii="宋体" w:hAnsi="宋体" w:cs="宋体"/>
          <w:bCs w:val="0"/>
          <w:color w:val="auto"/>
          <w:sz w:val="28"/>
          <w:szCs w:val="28"/>
          <w:highlight w:val="none"/>
        </w:rPr>
        <w:t>第三节 评标报告</w:t>
      </w:r>
      <w:bookmarkEnd w:id="124"/>
      <w:bookmarkEnd w:id="125"/>
      <w:bookmarkEnd w:id="126"/>
      <w:bookmarkEnd w:id="127"/>
      <w:bookmarkEnd w:id="128"/>
    </w:p>
    <w:p w14:paraId="6B886A7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1.成交标准</w:t>
      </w:r>
    </w:p>
    <w:p w14:paraId="05189B1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并在线编写电子评审报告。</w:t>
      </w:r>
    </w:p>
    <w:p w14:paraId="3E279AB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2.评标争议事项处理</w:t>
      </w:r>
    </w:p>
    <w:p w14:paraId="41E4104F">
      <w:pPr>
        <w:pStyle w:val="86"/>
        <w:spacing w:before="0" w:line="440" w:lineRule="exact"/>
        <w:ind w:firstLine="480"/>
        <w:rPr>
          <w:rFonts w:ascii="宋体" w:hAnsi="宋体" w:cs="宋体"/>
          <w:color w:val="auto"/>
          <w:kern w:val="2"/>
          <w:szCs w:val="24"/>
          <w:highlight w:val="none"/>
        </w:rPr>
      </w:pPr>
      <w:r>
        <w:rPr>
          <w:rFonts w:hint="eastAsia" w:ascii="宋体" w:hAnsi="宋体" w:cs="宋体"/>
          <w:color w:val="auto"/>
          <w:kern w:val="2"/>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4876DB15">
      <w:pPr>
        <w:pStyle w:val="4"/>
        <w:spacing w:before="0" w:after="0" w:line="440" w:lineRule="exact"/>
        <w:ind w:firstLine="562" w:firstLineChars="200"/>
        <w:jc w:val="center"/>
        <w:rPr>
          <w:rFonts w:ascii="宋体" w:hAnsi="宋体" w:cs="宋体"/>
          <w:bCs w:val="0"/>
          <w:color w:val="auto"/>
          <w:sz w:val="28"/>
          <w:szCs w:val="28"/>
          <w:highlight w:val="none"/>
        </w:rPr>
      </w:pPr>
      <w:bookmarkStart w:id="129" w:name="_Toc32247"/>
      <w:bookmarkStart w:id="130" w:name="_Toc80205936"/>
      <w:bookmarkStart w:id="131" w:name="_Toc17067"/>
      <w:bookmarkStart w:id="132" w:name="_Toc23138"/>
      <w:bookmarkStart w:id="133" w:name="_Toc2020"/>
      <w:r>
        <w:rPr>
          <w:rFonts w:hint="eastAsia" w:ascii="宋体" w:hAnsi="宋体" w:cs="宋体"/>
          <w:bCs w:val="0"/>
          <w:color w:val="auto"/>
          <w:sz w:val="28"/>
          <w:szCs w:val="28"/>
          <w:highlight w:val="none"/>
        </w:rPr>
        <w:t>第四节 评审过程的保密与录像</w:t>
      </w:r>
      <w:bookmarkEnd w:id="129"/>
      <w:bookmarkEnd w:id="130"/>
      <w:bookmarkEnd w:id="131"/>
      <w:bookmarkEnd w:id="132"/>
      <w:bookmarkEnd w:id="133"/>
    </w:p>
    <w:p w14:paraId="7935097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1.保密。</w:t>
      </w:r>
    </w:p>
    <w:p w14:paraId="4E53F1F3">
      <w:pPr>
        <w:widowControl/>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评审活动在严格保密的情况下进行。评审过程中凡是与采购响应文件评审和比较、</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成交供应商推荐等评审有关的情况，以及涉及国家秘密和商业秘密等信息，评审委员会成员、采购人和采购机构工作人员、相关监督人员等与评审有关的人员应当予以保密。</w:t>
      </w:r>
    </w:p>
    <w:p w14:paraId="0CA79650">
      <w:pPr>
        <w:widowControl/>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2.录音录像。</w:t>
      </w:r>
    </w:p>
    <w:p w14:paraId="6D8AA009">
      <w:pPr>
        <w:spacing w:line="440" w:lineRule="exact"/>
        <w:ind w:firstLine="480" w:firstLineChars="200"/>
        <w:rPr>
          <w:color w:val="auto"/>
          <w:highlight w:val="none"/>
        </w:rPr>
      </w:pPr>
      <w:r>
        <w:rPr>
          <w:rFonts w:hint="eastAsia" w:ascii="宋体" w:hAnsi="宋体" w:cs="宋体"/>
          <w:color w:val="auto"/>
          <w:sz w:val="24"/>
          <w:highlight w:val="none"/>
        </w:rPr>
        <w:t>采购代理机构对评审工作现场及操作屏幕进行全过程录音录像，录音录像资料作为采购项目文件随其他文件一并存档。</w:t>
      </w:r>
      <w:r>
        <w:rPr>
          <w:rFonts w:hint="eastAsia" w:ascii="宋体" w:hAnsi="宋体" w:cs="宋体"/>
          <w:color w:val="auto"/>
          <w:sz w:val="24"/>
          <w:highlight w:val="none"/>
        </w:rPr>
        <w:br w:type="page"/>
      </w:r>
    </w:p>
    <w:p w14:paraId="3512772F">
      <w:pPr>
        <w:rPr>
          <w:color w:val="auto"/>
          <w:highlight w:val="none"/>
        </w:rPr>
      </w:pPr>
    </w:p>
    <w:p w14:paraId="2D7AF119">
      <w:pPr>
        <w:rPr>
          <w:color w:val="auto"/>
          <w:highlight w:val="none"/>
        </w:rPr>
      </w:pPr>
    </w:p>
    <w:p w14:paraId="579F65EB">
      <w:pPr>
        <w:rPr>
          <w:color w:val="auto"/>
          <w:highlight w:val="none"/>
        </w:rPr>
      </w:pPr>
    </w:p>
    <w:p w14:paraId="5F017A29">
      <w:pPr>
        <w:rPr>
          <w:color w:val="auto"/>
          <w:highlight w:val="none"/>
        </w:rPr>
      </w:pPr>
    </w:p>
    <w:p w14:paraId="56DD4B23">
      <w:pPr>
        <w:rPr>
          <w:color w:val="auto"/>
          <w:highlight w:val="none"/>
        </w:rPr>
      </w:pPr>
    </w:p>
    <w:p w14:paraId="56B5E8D7">
      <w:pPr>
        <w:rPr>
          <w:color w:val="auto"/>
          <w:highlight w:val="none"/>
        </w:rPr>
      </w:pPr>
    </w:p>
    <w:p w14:paraId="2D7BD4FB">
      <w:pPr>
        <w:rPr>
          <w:color w:val="auto"/>
          <w:highlight w:val="none"/>
        </w:rPr>
      </w:pPr>
    </w:p>
    <w:p w14:paraId="5ADC51D7">
      <w:pPr>
        <w:pStyle w:val="3"/>
        <w:jc w:val="center"/>
        <w:rPr>
          <w:rFonts w:ascii="宋体" w:hAnsi="宋体" w:cs="宋体"/>
          <w:b w:val="0"/>
          <w:color w:val="auto"/>
          <w:highlight w:val="none"/>
        </w:rPr>
      </w:pPr>
      <w:bookmarkStart w:id="134" w:name="_Toc80205937"/>
      <w:bookmarkStart w:id="135" w:name="_Toc18061"/>
      <w:bookmarkStart w:id="136" w:name="_Toc22534"/>
      <w:bookmarkStart w:id="137" w:name="_Toc22907"/>
      <w:bookmarkStart w:id="138" w:name="_Toc23910"/>
      <w:r>
        <w:rPr>
          <w:rFonts w:hint="eastAsia" w:ascii="宋体" w:hAnsi="宋体" w:cs="宋体"/>
          <w:color w:val="auto"/>
          <w:kern w:val="0"/>
          <w:sz w:val="36"/>
          <w:szCs w:val="36"/>
          <w:highlight w:val="none"/>
        </w:rPr>
        <w:t>第五章 响应文件格式</w:t>
      </w:r>
      <w:bookmarkEnd w:id="134"/>
      <w:r>
        <w:rPr>
          <w:rFonts w:hint="eastAsia" w:ascii="宋体" w:hAnsi="宋体" w:cs="宋体"/>
          <w:color w:val="auto"/>
          <w:highlight w:val="none"/>
        </w:rPr>
        <w:br w:type="page"/>
      </w:r>
      <w:bookmarkEnd w:id="135"/>
      <w:bookmarkEnd w:id="136"/>
      <w:bookmarkEnd w:id="137"/>
      <w:bookmarkEnd w:id="138"/>
      <w:bookmarkStart w:id="139" w:name="_Toc18016"/>
      <w:bookmarkStart w:id="140" w:name="_Toc12242"/>
      <w:bookmarkStart w:id="141" w:name="_Toc7617"/>
      <w:bookmarkStart w:id="142" w:name="_Toc80205938"/>
      <w:bookmarkStart w:id="143" w:name="_Toc18863"/>
      <w:r>
        <w:rPr>
          <w:rFonts w:hint="eastAsia" w:ascii="宋体" w:hAnsi="宋体" w:cs="宋体"/>
          <w:b w:val="0"/>
          <w:color w:val="auto"/>
          <w:highlight w:val="none"/>
        </w:rPr>
        <w:t>第一节 封面格式</w:t>
      </w:r>
      <w:bookmarkEnd w:id="139"/>
      <w:bookmarkEnd w:id="140"/>
      <w:bookmarkEnd w:id="141"/>
      <w:bookmarkEnd w:id="142"/>
      <w:bookmarkEnd w:id="143"/>
    </w:p>
    <w:p w14:paraId="46873E75">
      <w:pPr>
        <w:snapToGrid w:val="0"/>
        <w:spacing w:before="120" w:beforeLines="50" w:after="50"/>
        <w:rPr>
          <w:rFonts w:ascii="宋体" w:hAnsi="宋体" w:cs="宋体"/>
          <w:color w:val="auto"/>
          <w:sz w:val="24"/>
          <w:szCs w:val="20"/>
          <w:highlight w:val="none"/>
        </w:rPr>
      </w:pPr>
    </w:p>
    <w:p w14:paraId="385091F9">
      <w:pPr>
        <w:snapToGrid w:val="0"/>
        <w:spacing w:before="120" w:beforeLines="50" w:after="50"/>
        <w:jc w:val="center"/>
        <w:rPr>
          <w:rFonts w:ascii="宋体" w:hAnsi="宋体" w:cs="宋体"/>
          <w:bCs/>
          <w:color w:val="auto"/>
          <w:sz w:val="24"/>
          <w:szCs w:val="20"/>
          <w:highlight w:val="none"/>
        </w:rPr>
      </w:pPr>
    </w:p>
    <w:p w14:paraId="778699F1">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5F674200">
      <w:pPr>
        <w:snapToGrid w:val="0"/>
        <w:spacing w:before="120" w:beforeLines="50" w:after="50"/>
        <w:rPr>
          <w:rFonts w:ascii="宋体" w:hAnsi="宋体" w:cs="宋体"/>
          <w:bCs/>
          <w:color w:val="auto"/>
          <w:sz w:val="24"/>
          <w:szCs w:val="20"/>
          <w:highlight w:val="none"/>
        </w:rPr>
      </w:pPr>
    </w:p>
    <w:p w14:paraId="473D2875">
      <w:pPr>
        <w:snapToGrid w:val="0"/>
        <w:spacing w:before="120" w:beforeLines="50" w:after="50"/>
        <w:rPr>
          <w:rFonts w:ascii="宋体" w:hAnsi="宋体" w:cs="宋体"/>
          <w:bCs/>
          <w:color w:val="auto"/>
          <w:sz w:val="24"/>
          <w:szCs w:val="20"/>
          <w:highlight w:val="none"/>
        </w:rPr>
      </w:pPr>
    </w:p>
    <w:p w14:paraId="277B4176">
      <w:pPr>
        <w:snapToGrid w:val="0"/>
        <w:spacing w:before="120" w:beforeLines="50" w:after="50"/>
        <w:rPr>
          <w:rFonts w:ascii="宋体" w:hAnsi="宋体" w:cs="宋体"/>
          <w:bCs/>
          <w:color w:val="auto"/>
          <w:sz w:val="32"/>
          <w:szCs w:val="32"/>
          <w:highlight w:val="none"/>
        </w:rPr>
      </w:pPr>
    </w:p>
    <w:p w14:paraId="72B8B960">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项目名称： </w:t>
      </w:r>
    </w:p>
    <w:p w14:paraId="679279D4">
      <w:pPr>
        <w:snapToGrid w:val="0"/>
        <w:spacing w:before="120" w:beforeLines="50" w:after="50"/>
        <w:ind w:firstLine="480" w:firstLineChars="150"/>
        <w:rPr>
          <w:rFonts w:ascii="宋体" w:hAnsi="宋体" w:cs="宋体"/>
          <w:bCs/>
          <w:color w:val="auto"/>
          <w:sz w:val="32"/>
          <w:szCs w:val="32"/>
          <w:highlight w:val="none"/>
        </w:rPr>
      </w:pPr>
    </w:p>
    <w:p w14:paraId="63DBEAAA">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48245AB9">
      <w:pPr>
        <w:snapToGrid w:val="0"/>
        <w:spacing w:before="120" w:beforeLines="50" w:after="50"/>
        <w:ind w:firstLine="480" w:firstLineChars="150"/>
        <w:rPr>
          <w:rFonts w:ascii="宋体" w:hAnsi="宋体" w:cs="宋体"/>
          <w:bCs/>
          <w:color w:val="auto"/>
          <w:sz w:val="32"/>
          <w:szCs w:val="32"/>
          <w:highlight w:val="none"/>
        </w:rPr>
      </w:pPr>
    </w:p>
    <w:p w14:paraId="01BA5A1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262A78DA">
      <w:pPr>
        <w:snapToGrid w:val="0"/>
        <w:spacing w:before="120" w:beforeLines="50" w:after="50"/>
        <w:rPr>
          <w:rFonts w:ascii="宋体" w:hAnsi="宋体" w:cs="宋体"/>
          <w:bCs/>
          <w:color w:val="auto"/>
          <w:sz w:val="32"/>
          <w:szCs w:val="32"/>
          <w:highlight w:val="none"/>
        </w:rPr>
      </w:pPr>
    </w:p>
    <w:p w14:paraId="514455B3">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349CCC2">
      <w:pPr>
        <w:snapToGrid w:val="0"/>
        <w:spacing w:before="120" w:beforeLines="50" w:after="50"/>
        <w:rPr>
          <w:rFonts w:ascii="宋体" w:hAnsi="宋体" w:cs="宋体"/>
          <w:bCs/>
          <w:color w:val="auto"/>
          <w:sz w:val="32"/>
          <w:szCs w:val="32"/>
          <w:highlight w:val="none"/>
        </w:rPr>
      </w:pPr>
    </w:p>
    <w:p w14:paraId="11B6161B">
      <w:pPr>
        <w:snapToGrid w:val="0"/>
        <w:spacing w:before="120"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首次响应文件提交截止时间前不得解密</w:t>
      </w:r>
    </w:p>
    <w:p w14:paraId="69F1A92D">
      <w:pPr>
        <w:snapToGrid w:val="0"/>
        <w:spacing w:before="120" w:beforeLines="50" w:after="50"/>
        <w:ind w:firstLine="5440" w:firstLineChars="1700"/>
        <w:jc w:val="center"/>
        <w:rPr>
          <w:rFonts w:ascii="宋体" w:hAnsi="宋体" w:cs="宋体"/>
          <w:bCs/>
          <w:color w:val="auto"/>
          <w:sz w:val="32"/>
          <w:szCs w:val="32"/>
          <w:highlight w:val="none"/>
        </w:rPr>
      </w:pPr>
    </w:p>
    <w:p w14:paraId="001CDBFD">
      <w:pPr>
        <w:snapToGrid w:val="0"/>
        <w:spacing w:before="120" w:beforeLines="50" w:after="50"/>
        <w:ind w:firstLine="645"/>
        <w:jc w:val="center"/>
        <w:rPr>
          <w:rFonts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406E7011">
      <w:pPr>
        <w:spacing w:line="240" w:lineRule="atLeast"/>
        <w:rPr>
          <w:rFonts w:ascii="宋体" w:hAnsi="宋体" w:cs="宋体"/>
          <w:b/>
          <w:bCs/>
          <w:color w:val="auto"/>
          <w:highlight w:val="none"/>
        </w:rPr>
      </w:pPr>
      <w:r>
        <w:rPr>
          <w:rFonts w:hint="eastAsia" w:ascii="宋体" w:hAnsi="宋体" w:cs="宋体"/>
          <w:bCs/>
          <w:color w:val="auto"/>
          <w:sz w:val="24"/>
          <w:highlight w:val="none"/>
        </w:rPr>
        <w:br w:type="page"/>
      </w:r>
    </w:p>
    <w:p w14:paraId="1E3805E3">
      <w:pPr>
        <w:snapToGrid w:val="0"/>
        <w:spacing w:before="120" w:beforeLines="50" w:after="50" w:line="360" w:lineRule="auto"/>
        <w:jc w:val="center"/>
        <w:outlineLvl w:val="1"/>
        <w:rPr>
          <w:rFonts w:ascii="宋体" w:hAnsi="宋体" w:cs="宋体"/>
          <w:bCs/>
          <w:color w:val="auto"/>
          <w:sz w:val="32"/>
          <w:szCs w:val="32"/>
          <w:highlight w:val="none"/>
        </w:rPr>
      </w:pPr>
      <w:bookmarkStart w:id="144" w:name="_Toc29173"/>
      <w:bookmarkStart w:id="145" w:name="_Toc6958"/>
      <w:bookmarkStart w:id="146" w:name="_Toc27911"/>
      <w:bookmarkStart w:id="147" w:name="_Toc25211"/>
      <w:bookmarkStart w:id="148" w:name="_Toc80205939"/>
      <w:r>
        <w:rPr>
          <w:rFonts w:hint="eastAsia" w:ascii="宋体" w:hAnsi="宋体" w:cs="宋体"/>
          <w:bCs/>
          <w:color w:val="auto"/>
          <w:sz w:val="32"/>
          <w:szCs w:val="32"/>
          <w:highlight w:val="none"/>
        </w:rPr>
        <w:t>第二节 资格证明文件格式</w:t>
      </w:r>
      <w:bookmarkEnd w:id="144"/>
      <w:bookmarkEnd w:id="145"/>
      <w:bookmarkEnd w:id="146"/>
      <w:bookmarkEnd w:id="147"/>
      <w:bookmarkEnd w:id="148"/>
    </w:p>
    <w:p w14:paraId="00D3BDF3">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5F980A65">
      <w:pPr>
        <w:snapToGrid w:val="0"/>
        <w:spacing w:before="120" w:beforeLines="50" w:after="50"/>
        <w:rPr>
          <w:rFonts w:ascii="宋体" w:hAnsi="宋体" w:cs="宋体"/>
          <w:color w:val="auto"/>
          <w:sz w:val="24"/>
          <w:szCs w:val="20"/>
          <w:highlight w:val="none"/>
        </w:rPr>
      </w:pPr>
    </w:p>
    <w:p w14:paraId="554268C4">
      <w:pPr>
        <w:snapToGrid w:val="0"/>
        <w:spacing w:before="120" w:beforeLines="50" w:after="50"/>
        <w:rPr>
          <w:rFonts w:ascii="宋体" w:hAnsi="宋体" w:cs="宋体"/>
          <w:color w:val="auto"/>
          <w:sz w:val="24"/>
          <w:szCs w:val="20"/>
          <w:highlight w:val="none"/>
        </w:rPr>
      </w:pPr>
    </w:p>
    <w:p w14:paraId="0E6054B2">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件（封面）</w:t>
      </w:r>
    </w:p>
    <w:p w14:paraId="6155687F">
      <w:pPr>
        <w:snapToGrid w:val="0"/>
        <w:spacing w:before="120" w:beforeLines="50" w:after="50"/>
        <w:rPr>
          <w:rFonts w:ascii="宋体" w:hAnsi="宋体" w:cs="宋体"/>
          <w:bCs/>
          <w:color w:val="auto"/>
          <w:sz w:val="24"/>
          <w:szCs w:val="20"/>
          <w:highlight w:val="none"/>
        </w:rPr>
      </w:pPr>
    </w:p>
    <w:p w14:paraId="2C481B96">
      <w:pPr>
        <w:snapToGrid w:val="0"/>
        <w:spacing w:before="120" w:beforeLines="50" w:after="50"/>
        <w:rPr>
          <w:rFonts w:ascii="宋体" w:hAnsi="宋体" w:cs="宋体"/>
          <w:bCs/>
          <w:color w:val="auto"/>
          <w:sz w:val="24"/>
          <w:szCs w:val="20"/>
          <w:highlight w:val="none"/>
        </w:rPr>
      </w:pPr>
    </w:p>
    <w:p w14:paraId="0841A525">
      <w:pPr>
        <w:snapToGrid w:val="0"/>
        <w:spacing w:before="120" w:beforeLines="50" w:after="50"/>
        <w:rPr>
          <w:rFonts w:ascii="宋体" w:hAnsi="宋体" w:cs="宋体"/>
          <w:bCs/>
          <w:color w:val="auto"/>
          <w:sz w:val="24"/>
          <w:szCs w:val="20"/>
          <w:highlight w:val="none"/>
        </w:rPr>
      </w:pPr>
    </w:p>
    <w:p w14:paraId="5670FABF">
      <w:pPr>
        <w:pStyle w:val="31"/>
        <w:ind w:firstLine="480"/>
        <w:rPr>
          <w:rFonts w:ascii="宋体" w:hAnsi="宋体" w:cs="宋体"/>
          <w:bCs/>
          <w:color w:val="auto"/>
          <w:sz w:val="24"/>
          <w:szCs w:val="20"/>
          <w:highlight w:val="none"/>
        </w:rPr>
      </w:pPr>
    </w:p>
    <w:p w14:paraId="3EF2FF97">
      <w:pPr>
        <w:pStyle w:val="30"/>
        <w:ind w:firstLine="210"/>
        <w:rPr>
          <w:color w:val="auto"/>
          <w:highlight w:val="none"/>
        </w:rPr>
      </w:pPr>
    </w:p>
    <w:p w14:paraId="1A7886FC">
      <w:pPr>
        <w:snapToGrid w:val="0"/>
        <w:spacing w:before="120" w:beforeLines="50" w:after="50"/>
        <w:rPr>
          <w:rFonts w:ascii="宋体" w:hAnsi="宋体" w:cs="宋体"/>
          <w:bCs/>
          <w:color w:val="auto"/>
          <w:sz w:val="24"/>
          <w:szCs w:val="20"/>
          <w:highlight w:val="none"/>
        </w:rPr>
      </w:pPr>
    </w:p>
    <w:p w14:paraId="36CB287B">
      <w:pPr>
        <w:snapToGrid w:val="0"/>
        <w:spacing w:before="120" w:beforeLines="50" w:after="50"/>
        <w:rPr>
          <w:rFonts w:ascii="宋体" w:hAnsi="宋体" w:cs="宋体"/>
          <w:bCs/>
          <w:color w:val="auto"/>
          <w:sz w:val="24"/>
          <w:szCs w:val="20"/>
          <w:highlight w:val="none"/>
        </w:rPr>
      </w:pPr>
    </w:p>
    <w:p w14:paraId="4299213E">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项目名称： </w:t>
      </w:r>
    </w:p>
    <w:p w14:paraId="3D67B36F">
      <w:pPr>
        <w:snapToGrid w:val="0"/>
        <w:spacing w:before="120" w:beforeLines="50" w:after="50"/>
        <w:ind w:firstLine="720" w:firstLineChars="225"/>
        <w:rPr>
          <w:rFonts w:ascii="宋体" w:hAnsi="宋体" w:cs="宋体"/>
          <w:bCs/>
          <w:color w:val="auto"/>
          <w:sz w:val="32"/>
          <w:szCs w:val="32"/>
          <w:highlight w:val="none"/>
        </w:rPr>
      </w:pPr>
    </w:p>
    <w:p w14:paraId="104313E3">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01ECCB60">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C832607">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9B443DD">
      <w:pPr>
        <w:snapToGrid w:val="0"/>
        <w:spacing w:before="120" w:beforeLines="50" w:after="50"/>
        <w:ind w:firstLine="720" w:firstLineChars="225"/>
        <w:rPr>
          <w:rFonts w:ascii="宋体" w:hAnsi="宋体" w:cs="宋体"/>
          <w:bCs/>
          <w:color w:val="auto"/>
          <w:sz w:val="32"/>
          <w:szCs w:val="32"/>
          <w:highlight w:val="none"/>
        </w:rPr>
      </w:pPr>
    </w:p>
    <w:p w14:paraId="4BABFE08">
      <w:pPr>
        <w:pStyle w:val="8"/>
        <w:snapToGrid w:val="0"/>
        <w:spacing w:before="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467B4FDD">
      <w:pPr>
        <w:pStyle w:val="8"/>
        <w:snapToGrid w:val="0"/>
        <w:spacing w:before="50" w:after="50"/>
        <w:ind w:firstLine="720" w:firstLineChars="225"/>
        <w:rPr>
          <w:rFonts w:ascii="宋体" w:hAnsi="宋体" w:cs="宋体"/>
          <w:bCs/>
          <w:color w:val="auto"/>
          <w:sz w:val="32"/>
          <w:szCs w:val="32"/>
          <w:highlight w:val="none"/>
        </w:rPr>
      </w:pPr>
    </w:p>
    <w:p w14:paraId="756B6B03">
      <w:pPr>
        <w:pStyle w:val="8"/>
        <w:snapToGrid w:val="0"/>
        <w:spacing w:before="50" w:after="50"/>
        <w:ind w:firstLine="720" w:firstLineChars="225"/>
        <w:rPr>
          <w:rFonts w:ascii="宋体" w:hAnsi="宋体" w:cs="宋体"/>
          <w:bCs/>
          <w:color w:val="auto"/>
          <w:sz w:val="32"/>
          <w:szCs w:val="32"/>
          <w:highlight w:val="none"/>
        </w:rPr>
      </w:pPr>
    </w:p>
    <w:p w14:paraId="61FD8C6C">
      <w:pPr>
        <w:pStyle w:val="8"/>
        <w:snapToGrid w:val="0"/>
        <w:spacing w:before="50" w:after="50"/>
        <w:ind w:firstLine="720" w:firstLineChars="225"/>
        <w:rPr>
          <w:rFonts w:ascii="宋体" w:hAnsi="宋体" w:cs="宋体"/>
          <w:bCs/>
          <w:color w:val="auto"/>
          <w:sz w:val="32"/>
          <w:szCs w:val="32"/>
          <w:highlight w:val="none"/>
        </w:rPr>
      </w:pPr>
    </w:p>
    <w:p w14:paraId="2E5B871A">
      <w:pPr>
        <w:pStyle w:val="8"/>
        <w:snapToGrid w:val="0"/>
        <w:spacing w:before="50" w:after="50"/>
        <w:ind w:firstLine="1280" w:firstLineChars="400"/>
        <w:rPr>
          <w:rFonts w:ascii="宋体" w:hAnsi="宋体" w:cs="宋体"/>
          <w:bCs/>
          <w:color w:val="auto"/>
          <w:sz w:val="32"/>
          <w:szCs w:val="32"/>
          <w:highlight w:val="none"/>
        </w:rPr>
      </w:pPr>
    </w:p>
    <w:p w14:paraId="18D76652">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3AD2B357">
      <w:pPr>
        <w:snapToGrid w:val="0"/>
        <w:spacing w:before="120" w:beforeLines="50" w:after="50" w:line="360" w:lineRule="auto"/>
        <w:ind w:left="142" w:firstLine="480" w:firstLineChars="200"/>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二、资格证明文件目录</w:t>
      </w:r>
    </w:p>
    <w:p w14:paraId="1E1F3D89">
      <w:pPr>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6462A832">
      <w:pPr>
        <w:snapToGrid w:val="0"/>
        <w:spacing w:line="360" w:lineRule="auto"/>
        <w:rPr>
          <w:rFonts w:ascii="宋体" w:hAnsi="宋体" w:cs="宋体"/>
          <w:color w:val="auto"/>
          <w:kern w:val="0"/>
          <w:sz w:val="24"/>
          <w:highlight w:val="none"/>
        </w:rPr>
      </w:pPr>
    </w:p>
    <w:p w14:paraId="5A96B8D0">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营业执照(或事业法人登记证或其他工商等登记证明材料)复印件（供应商为自然人的，须提供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4EFD0E28">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76553433">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3B32F83B">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cs="宋体"/>
          <w:color w:val="auto"/>
          <w:kern w:val="0"/>
          <w:sz w:val="24"/>
          <w:highlight w:val="none"/>
        </w:rPr>
      </w:pPr>
      <w:r>
        <w:rPr>
          <w:rFonts w:hint="eastAsia" w:ascii="宋体" w:hAnsi="宋体" w:cs="宋体"/>
          <w:color w:val="auto"/>
          <w:sz w:val="24"/>
          <w:highlight w:val="none"/>
        </w:rPr>
        <w:t>四、供应商直接控股股东信息</w:t>
      </w:r>
      <w:r>
        <w:rPr>
          <w:rFonts w:hint="eastAsia" w:ascii="宋体" w:hAnsi="宋体" w:cs="宋体"/>
          <w:color w:val="auto"/>
          <w:kern w:val="0"/>
          <w:sz w:val="24"/>
          <w:highlight w:val="none"/>
        </w:rPr>
        <w:t>…………………………………………………（页码）</w:t>
      </w:r>
    </w:p>
    <w:p w14:paraId="7EA33575">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cs="宋体"/>
          <w:color w:val="auto"/>
          <w:kern w:val="0"/>
          <w:sz w:val="24"/>
          <w:highlight w:val="none"/>
        </w:rPr>
      </w:pPr>
      <w:r>
        <w:rPr>
          <w:rFonts w:hint="eastAsia" w:ascii="宋体" w:hAnsi="宋体" w:cs="宋体"/>
          <w:color w:val="auto"/>
          <w:sz w:val="24"/>
          <w:highlight w:val="none"/>
        </w:rPr>
        <w:t>五、供应商直接</w:t>
      </w:r>
      <w:r>
        <w:rPr>
          <w:rFonts w:hint="eastAsia" w:ascii="宋体" w:hAnsi="宋体" w:cs="宋体"/>
          <w:color w:val="auto"/>
          <w:sz w:val="24"/>
          <w:highlight w:val="none"/>
          <w:lang w:val="en-US" w:eastAsia="zh-CN"/>
        </w:rPr>
        <w:t>管理</w:t>
      </w:r>
      <w:r>
        <w:rPr>
          <w:rFonts w:hint="eastAsia" w:ascii="宋体" w:hAnsi="宋体" w:cs="宋体"/>
          <w:color w:val="auto"/>
          <w:sz w:val="24"/>
          <w:highlight w:val="none"/>
        </w:rPr>
        <w:t>关系信息表</w:t>
      </w:r>
      <w:r>
        <w:rPr>
          <w:rFonts w:hint="eastAsia" w:ascii="宋体" w:hAnsi="宋体" w:cs="宋体"/>
          <w:color w:val="auto"/>
          <w:kern w:val="0"/>
          <w:sz w:val="24"/>
          <w:highlight w:val="none"/>
        </w:rPr>
        <w:t>………………………………………………（页码）</w:t>
      </w:r>
    </w:p>
    <w:p w14:paraId="4AE1198B">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六、资格声明函…………………………………………………………………（页码）</w:t>
      </w:r>
    </w:p>
    <w:p w14:paraId="3C3D0F63">
      <w:pPr>
        <w:keepNext w:val="0"/>
        <w:keepLines w:val="0"/>
        <w:pageBreakBefore w:val="0"/>
        <w:widowControl w:val="0"/>
        <w:kinsoku/>
        <w:wordWrap/>
        <w:overflowPunct/>
        <w:topLinePunct w:val="0"/>
        <w:autoSpaceDE/>
        <w:autoSpaceDN/>
        <w:bidi w:val="0"/>
        <w:adjustRightInd/>
        <w:snapToGrid w:val="0"/>
        <w:spacing w:line="480" w:lineRule="exact"/>
        <w:textAlignment w:val="auto"/>
        <w:rPr>
          <w:color w:val="auto"/>
          <w:highlight w:val="none"/>
        </w:rPr>
      </w:pPr>
      <w:r>
        <w:rPr>
          <w:rFonts w:hint="eastAsia" w:ascii="宋体" w:hAnsi="宋体" w:cs="宋体"/>
          <w:color w:val="auto"/>
          <w:kern w:val="0"/>
          <w:sz w:val="24"/>
          <w:highlight w:val="none"/>
          <w:lang w:val="en-US" w:eastAsia="zh-CN"/>
        </w:rPr>
        <w:t>七、</w:t>
      </w:r>
      <w:r>
        <w:rPr>
          <w:rFonts w:hint="eastAsia" w:ascii="宋体" w:hAnsi="宋体" w:cs="宋体"/>
          <w:color w:val="auto"/>
          <w:kern w:val="0"/>
          <w:sz w:val="24"/>
          <w:highlight w:val="none"/>
        </w:rPr>
        <w:t>资格声明函…………………………………………………………………（页码）</w:t>
      </w:r>
    </w:p>
    <w:p w14:paraId="5FDBA890">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八</w:t>
      </w:r>
      <w:r>
        <w:rPr>
          <w:rFonts w:hint="eastAsia" w:ascii="宋体" w:hAnsi="宋体" w:cs="宋体"/>
          <w:color w:val="auto"/>
          <w:sz w:val="24"/>
          <w:highlight w:val="none"/>
          <w:lang w:eastAsia="zh-CN"/>
        </w:rPr>
        <w:t>、符合特定资格条件（如有）的有关证明材料（复印件）………………（页码）</w:t>
      </w:r>
    </w:p>
    <w:p w14:paraId="49EE0F9E">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宋体" w:hAnsi="宋体" w:cs="宋体"/>
          <w:color w:val="auto"/>
          <w:kern w:val="0"/>
          <w:sz w:val="24"/>
          <w:highlight w:val="none"/>
        </w:rPr>
      </w:pPr>
      <w:r>
        <w:rPr>
          <w:rFonts w:hint="eastAsia" w:ascii="宋体" w:hAnsi="宋体" w:cs="宋体"/>
          <w:color w:val="auto"/>
          <w:sz w:val="24"/>
          <w:highlight w:val="none"/>
          <w:lang w:val="en-US" w:eastAsia="zh-CN"/>
        </w:rPr>
        <w:t>九</w:t>
      </w:r>
      <w:r>
        <w:rPr>
          <w:rFonts w:hint="eastAsia" w:ascii="宋体" w:hAnsi="宋体" w:cs="宋体"/>
          <w:color w:val="auto"/>
          <w:sz w:val="24"/>
          <w:highlight w:val="none"/>
          <w:lang w:eastAsia="zh-CN"/>
        </w:rPr>
        <w:t>、除谈判文件规定必须提供以外，供应商认为需要</w:t>
      </w:r>
      <w:r>
        <w:rPr>
          <w:rFonts w:hint="eastAsia" w:ascii="宋体" w:hAnsi="宋体" w:cs="宋体"/>
          <w:color w:val="auto"/>
          <w:sz w:val="24"/>
          <w:highlight w:val="none"/>
        </w:rPr>
        <w:t>提供的其他证明材料</w:t>
      </w:r>
      <w:r>
        <w:rPr>
          <w:rFonts w:hint="eastAsia" w:ascii="宋体" w:hAnsi="宋体" w:cs="宋体"/>
          <w:color w:val="auto"/>
          <w:kern w:val="0"/>
          <w:sz w:val="24"/>
          <w:highlight w:val="none"/>
        </w:rPr>
        <w:t>…（页码）</w:t>
      </w:r>
    </w:p>
    <w:p w14:paraId="0534D695">
      <w:pPr>
        <w:snapToGrid w:val="0"/>
        <w:spacing w:line="360" w:lineRule="auto"/>
        <w:rPr>
          <w:rFonts w:ascii="宋体" w:hAnsi="宋体" w:cs="宋体"/>
          <w:color w:val="auto"/>
          <w:sz w:val="24"/>
          <w:highlight w:val="none"/>
        </w:rPr>
      </w:pPr>
    </w:p>
    <w:p w14:paraId="05808849">
      <w:pPr>
        <w:spacing w:line="360" w:lineRule="auto"/>
        <w:rPr>
          <w:rFonts w:ascii="宋体" w:hAnsi="宋体" w:cs="宋体"/>
          <w:b/>
          <w:bCs/>
          <w:color w:val="auto"/>
          <w:sz w:val="24"/>
          <w:highlight w:val="none"/>
        </w:rPr>
      </w:pPr>
    </w:p>
    <w:p w14:paraId="1E70DE74">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注：以上目录是编制供应商响应文件的基本格式要求，各供应商可根据自身情况进一步细化。</w:t>
      </w:r>
    </w:p>
    <w:p w14:paraId="2FB0FBC9">
      <w:pPr>
        <w:widowControl/>
        <w:jc w:val="left"/>
        <w:rPr>
          <w:rFonts w:ascii="宋体" w:hAnsi="宋体" w:cs="宋体"/>
          <w:color w:val="auto"/>
          <w:sz w:val="24"/>
          <w:szCs w:val="20"/>
          <w:highlight w:val="none"/>
        </w:rPr>
        <w:sectPr>
          <w:pgSz w:w="11910" w:h="16840"/>
          <w:pgMar w:top="1451" w:right="1219" w:bottom="1185" w:left="1395" w:header="720" w:footer="720" w:gutter="0"/>
          <w:cols w:space="720" w:num="1"/>
        </w:sectPr>
      </w:pPr>
    </w:p>
    <w:p w14:paraId="2BB6C0D5">
      <w:pPr>
        <w:pStyle w:val="18"/>
        <w:spacing w:line="360" w:lineRule="auto"/>
        <w:ind w:firstLine="602" w:firstLineChars="200"/>
        <w:rPr>
          <w:rFonts w:hAnsi="宋体" w:cs="宋体"/>
          <w:b/>
          <w:color w:val="auto"/>
          <w:sz w:val="30"/>
          <w:szCs w:val="30"/>
          <w:highlight w:val="none"/>
        </w:rPr>
      </w:pPr>
      <w:r>
        <w:rPr>
          <w:rFonts w:hint="eastAsia" w:hAnsi="宋体" w:cs="宋体"/>
          <w:b/>
          <w:color w:val="auto"/>
          <w:sz w:val="30"/>
          <w:szCs w:val="30"/>
          <w:highlight w:val="none"/>
        </w:rPr>
        <w:t>一、营业执照(或事业法人登记证或其他工商等登记证明材料)复印件（供应商为自然人的，提供自然人的身份证明）</w:t>
      </w:r>
    </w:p>
    <w:p w14:paraId="35CD0EDA">
      <w:pPr>
        <w:pStyle w:val="18"/>
        <w:spacing w:line="360" w:lineRule="auto"/>
        <w:ind w:firstLine="602" w:firstLineChars="200"/>
        <w:rPr>
          <w:rFonts w:hAnsi="宋体" w:cs="宋体"/>
          <w:b/>
          <w:color w:val="auto"/>
          <w:sz w:val="30"/>
          <w:szCs w:val="30"/>
          <w:highlight w:val="none"/>
        </w:rPr>
      </w:pPr>
    </w:p>
    <w:p w14:paraId="3857A567">
      <w:pPr>
        <w:pStyle w:val="6"/>
        <w:rPr>
          <w:rFonts w:ascii="宋体" w:hAnsi="宋体" w:eastAsia="宋体" w:cs="宋体"/>
          <w:b/>
          <w:color w:val="auto"/>
          <w:sz w:val="30"/>
          <w:szCs w:val="30"/>
          <w:highlight w:val="none"/>
        </w:rPr>
      </w:pPr>
    </w:p>
    <w:p w14:paraId="6BECCC3C">
      <w:pPr>
        <w:rPr>
          <w:rFonts w:ascii="宋体" w:hAnsi="宋体" w:cs="宋体"/>
          <w:b/>
          <w:color w:val="auto"/>
          <w:sz w:val="30"/>
          <w:szCs w:val="30"/>
          <w:highlight w:val="none"/>
        </w:rPr>
      </w:pPr>
    </w:p>
    <w:p w14:paraId="71AA5D6B">
      <w:pPr>
        <w:pStyle w:val="31"/>
        <w:ind w:firstLine="602"/>
        <w:rPr>
          <w:rFonts w:ascii="宋体" w:hAnsi="宋体" w:cs="宋体"/>
          <w:b/>
          <w:color w:val="auto"/>
          <w:sz w:val="30"/>
          <w:szCs w:val="30"/>
          <w:highlight w:val="none"/>
        </w:rPr>
      </w:pPr>
    </w:p>
    <w:p w14:paraId="745C465D">
      <w:pPr>
        <w:pStyle w:val="30"/>
        <w:ind w:firstLine="210"/>
        <w:rPr>
          <w:color w:val="auto"/>
          <w:highlight w:val="none"/>
        </w:rPr>
      </w:pPr>
    </w:p>
    <w:p w14:paraId="01E81417">
      <w:pPr>
        <w:rPr>
          <w:color w:val="auto"/>
          <w:highlight w:val="none"/>
        </w:rPr>
      </w:pPr>
    </w:p>
    <w:p w14:paraId="2A76A8EC">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FDD0B31">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11CC10F">
      <w:pPr>
        <w:snapToGrid w:val="0"/>
        <w:spacing w:before="120" w:beforeLines="50" w:after="50"/>
        <w:rPr>
          <w:rFonts w:ascii="宋体" w:hAnsi="宋体" w:cs="宋体"/>
          <w:color w:val="auto"/>
          <w:sz w:val="24"/>
          <w:szCs w:val="20"/>
          <w:highlight w:val="none"/>
        </w:rPr>
      </w:pPr>
    </w:p>
    <w:p w14:paraId="5146B721">
      <w:pPr>
        <w:pStyle w:val="18"/>
        <w:spacing w:line="360" w:lineRule="auto"/>
        <w:ind w:firstLine="602" w:firstLineChars="200"/>
        <w:rPr>
          <w:rFonts w:hAnsi="宋体" w:cs="宋体"/>
          <w:b/>
          <w:color w:val="auto"/>
          <w:sz w:val="30"/>
          <w:szCs w:val="30"/>
          <w:highlight w:val="none"/>
        </w:rPr>
      </w:pPr>
      <w:r>
        <w:rPr>
          <w:rFonts w:hint="eastAsia" w:hAnsi="宋体" w:cs="宋体"/>
          <w:b/>
          <w:color w:val="auto"/>
          <w:sz w:val="30"/>
          <w:szCs w:val="30"/>
          <w:highlight w:val="none"/>
        </w:rPr>
        <w:t>二、符合参与政府采购活动的资格条件依法缴纳税收、社会保障资金等方面的材料</w:t>
      </w:r>
    </w:p>
    <w:p w14:paraId="45526336">
      <w:pPr>
        <w:spacing w:line="300" w:lineRule="auto"/>
        <w:rPr>
          <w:rFonts w:ascii="宋体" w:hAnsi="宋体" w:cs="宋体"/>
          <w:color w:val="auto"/>
          <w:szCs w:val="21"/>
          <w:highlight w:val="none"/>
        </w:rPr>
      </w:pPr>
    </w:p>
    <w:p w14:paraId="4414B03D">
      <w:pPr>
        <w:pStyle w:val="31"/>
        <w:rPr>
          <w:rFonts w:ascii="宋体" w:hAnsi="宋体" w:cs="宋体"/>
          <w:color w:val="auto"/>
          <w:szCs w:val="21"/>
          <w:highlight w:val="none"/>
        </w:rPr>
      </w:pPr>
    </w:p>
    <w:p w14:paraId="17DBB0E1">
      <w:pPr>
        <w:pStyle w:val="30"/>
        <w:ind w:firstLine="210"/>
        <w:rPr>
          <w:color w:val="auto"/>
          <w:highlight w:val="none"/>
        </w:rPr>
      </w:pPr>
    </w:p>
    <w:p w14:paraId="4CA23E82">
      <w:pPr>
        <w:pStyle w:val="30"/>
        <w:ind w:firstLine="210"/>
        <w:rPr>
          <w:color w:val="auto"/>
          <w:highlight w:val="none"/>
        </w:rPr>
      </w:pPr>
    </w:p>
    <w:p w14:paraId="13C20E8D">
      <w:pPr>
        <w:pStyle w:val="30"/>
        <w:ind w:firstLine="210"/>
        <w:rPr>
          <w:color w:val="auto"/>
          <w:highlight w:val="none"/>
        </w:rPr>
      </w:pPr>
    </w:p>
    <w:p w14:paraId="0BA0A8C0">
      <w:pPr>
        <w:pStyle w:val="30"/>
        <w:ind w:firstLine="210"/>
        <w:rPr>
          <w:color w:val="auto"/>
          <w:highlight w:val="none"/>
        </w:rPr>
      </w:pPr>
    </w:p>
    <w:p w14:paraId="63DD1F41">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F3BE606">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77FB806E">
      <w:pPr>
        <w:spacing w:line="300" w:lineRule="auto"/>
        <w:rPr>
          <w:rFonts w:ascii="宋体" w:hAnsi="宋体" w:cs="宋体"/>
          <w:color w:val="auto"/>
          <w:szCs w:val="21"/>
          <w:highlight w:val="none"/>
        </w:rPr>
      </w:pPr>
    </w:p>
    <w:p w14:paraId="78ACD510">
      <w:pPr>
        <w:spacing w:line="30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三、财务状况报告方面的材料</w:t>
      </w:r>
    </w:p>
    <w:p w14:paraId="6D620265">
      <w:pPr>
        <w:spacing w:line="300" w:lineRule="auto"/>
        <w:rPr>
          <w:rFonts w:ascii="宋体" w:hAnsi="宋体" w:cs="宋体"/>
          <w:color w:val="auto"/>
          <w:szCs w:val="21"/>
          <w:highlight w:val="none"/>
        </w:rPr>
      </w:pPr>
    </w:p>
    <w:p w14:paraId="767695CC">
      <w:pPr>
        <w:pStyle w:val="31"/>
        <w:rPr>
          <w:rFonts w:ascii="宋体" w:hAnsi="宋体" w:cs="宋体"/>
          <w:color w:val="auto"/>
          <w:szCs w:val="21"/>
          <w:highlight w:val="none"/>
        </w:rPr>
      </w:pPr>
    </w:p>
    <w:p w14:paraId="0F0E0AF0">
      <w:pPr>
        <w:pStyle w:val="30"/>
        <w:ind w:firstLine="210"/>
        <w:rPr>
          <w:color w:val="auto"/>
          <w:highlight w:val="none"/>
        </w:rPr>
      </w:pPr>
    </w:p>
    <w:p w14:paraId="584DC03C">
      <w:pPr>
        <w:pStyle w:val="30"/>
        <w:ind w:firstLine="210"/>
        <w:rPr>
          <w:color w:val="auto"/>
          <w:highlight w:val="none"/>
        </w:rPr>
      </w:pPr>
    </w:p>
    <w:p w14:paraId="4125BE48">
      <w:pPr>
        <w:pStyle w:val="30"/>
        <w:ind w:firstLine="210"/>
        <w:rPr>
          <w:color w:val="auto"/>
          <w:highlight w:val="none"/>
        </w:rPr>
      </w:pPr>
    </w:p>
    <w:p w14:paraId="0219B595">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E54E3BB">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6A75BDC">
      <w:pPr>
        <w:spacing w:line="320" w:lineRule="exact"/>
        <w:jc w:val="left"/>
        <w:rPr>
          <w:rFonts w:ascii="宋体" w:hAnsi="宋体" w:cs="宋体"/>
          <w:color w:val="auto"/>
          <w:szCs w:val="21"/>
          <w:highlight w:val="none"/>
        </w:rPr>
      </w:pPr>
      <w:r>
        <w:rPr>
          <w:rFonts w:hint="eastAsia" w:ascii="宋体" w:hAnsi="宋体" w:cs="宋体"/>
          <w:color w:val="auto"/>
          <w:szCs w:val="21"/>
          <w:highlight w:val="none"/>
        </w:rPr>
        <w:t xml:space="preserve"> </w:t>
      </w:r>
    </w:p>
    <w:p w14:paraId="4B7B3C80">
      <w:pPr>
        <w:snapToGrid w:val="0"/>
        <w:spacing w:before="120" w:beforeLines="50" w:after="50" w:line="360" w:lineRule="auto"/>
        <w:jc w:val="center"/>
        <w:rPr>
          <w:rFonts w:ascii="宋体" w:hAnsi="宋体" w:cs="宋体"/>
          <w:b/>
          <w:color w:val="auto"/>
          <w:sz w:val="24"/>
          <w:highlight w:val="none"/>
        </w:rPr>
      </w:pPr>
    </w:p>
    <w:p w14:paraId="4A10EB0A">
      <w:pPr>
        <w:spacing w:line="360" w:lineRule="auto"/>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四、供应商直接控股股东信息</w:t>
      </w:r>
    </w:p>
    <w:p w14:paraId="6AE9BBE0">
      <w:pPr>
        <w:spacing w:line="360" w:lineRule="auto"/>
        <w:jc w:val="center"/>
        <w:rPr>
          <w:rFonts w:ascii="宋体" w:hAnsi="宋体" w:cs="宋体"/>
          <w:b/>
          <w:color w:val="auto"/>
          <w:sz w:val="24"/>
          <w:highlight w:val="none"/>
        </w:rPr>
      </w:pPr>
    </w:p>
    <w:tbl>
      <w:tblPr>
        <w:tblStyle w:val="3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41A763C0">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94B01E">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22861D">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A135A3">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1D6F78">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45AF21">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0BB9990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A6B34C">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2623D2">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B1DF51">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7528215">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BD3157C">
            <w:pPr>
              <w:widowControl/>
              <w:spacing w:line="360" w:lineRule="auto"/>
              <w:jc w:val="center"/>
              <w:rPr>
                <w:rFonts w:ascii="宋体" w:hAnsi="宋体" w:cs="宋体"/>
                <w:color w:val="auto"/>
                <w:kern w:val="0"/>
                <w:sz w:val="24"/>
                <w:highlight w:val="none"/>
              </w:rPr>
            </w:pPr>
          </w:p>
        </w:tc>
      </w:tr>
      <w:tr w14:paraId="35AC1C5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6EA0EC4">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6B8C55">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4C116E">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C33204">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2F1B40">
            <w:pPr>
              <w:widowControl/>
              <w:spacing w:line="360" w:lineRule="auto"/>
              <w:jc w:val="center"/>
              <w:rPr>
                <w:rFonts w:ascii="宋体" w:hAnsi="宋体" w:cs="宋体"/>
                <w:color w:val="auto"/>
                <w:kern w:val="0"/>
                <w:sz w:val="24"/>
                <w:highlight w:val="none"/>
              </w:rPr>
            </w:pPr>
          </w:p>
        </w:tc>
      </w:tr>
      <w:tr w14:paraId="34B1D82F">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948AA98">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88AF5E">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6F57BB">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68F9D5">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0AF23A">
            <w:pPr>
              <w:widowControl/>
              <w:spacing w:line="360" w:lineRule="auto"/>
              <w:jc w:val="center"/>
              <w:rPr>
                <w:rFonts w:ascii="宋体" w:hAnsi="宋体" w:cs="宋体"/>
                <w:color w:val="auto"/>
                <w:kern w:val="0"/>
                <w:sz w:val="24"/>
                <w:highlight w:val="none"/>
              </w:rPr>
            </w:pPr>
          </w:p>
        </w:tc>
      </w:tr>
      <w:tr w14:paraId="0ACB996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00A5B3">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B96177">
            <w:pPr>
              <w:widowControl/>
              <w:spacing w:line="360" w:lineRule="auto"/>
              <w:jc w:val="center"/>
              <w:rPr>
                <w:rFonts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CF8335">
            <w:pPr>
              <w:widowControl/>
              <w:spacing w:line="360" w:lineRule="auto"/>
              <w:jc w:val="center"/>
              <w:rPr>
                <w:rFonts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5FE142">
            <w:pPr>
              <w:widowControl/>
              <w:spacing w:line="360" w:lineRule="auto"/>
              <w:jc w:val="center"/>
              <w:rPr>
                <w:rFonts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D92E27D">
            <w:pPr>
              <w:widowControl/>
              <w:spacing w:line="360" w:lineRule="auto"/>
              <w:jc w:val="center"/>
              <w:rPr>
                <w:rFonts w:ascii="宋体" w:hAnsi="宋体" w:cs="宋体"/>
                <w:color w:val="auto"/>
                <w:kern w:val="0"/>
                <w:sz w:val="24"/>
                <w:highlight w:val="none"/>
              </w:rPr>
            </w:pPr>
          </w:p>
        </w:tc>
      </w:tr>
    </w:tbl>
    <w:p w14:paraId="132B6558">
      <w:pPr>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5C67D334">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D5B6C67">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2.本表所指的控股关系仅限于直接控股关系，不包括间接的控股关系。公司实际控制人与公司之间的关系不属于本表所指的直接控股关系。</w:t>
      </w:r>
    </w:p>
    <w:p w14:paraId="1AD9FF26">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3.供应商不存在直接控股股东的，则填“无”。</w:t>
      </w:r>
    </w:p>
    <w:p w14:paraId="5F2436CC">
      <w:pPr>
        <w:snapToGrid w:val="0"/>
        <w:spacing w:line="360" w:lineRule="auto"/>
        <w:jc w:val="left"/>
        <w:rPr>
          <w:rFonts w:ascii="宋体" w:hAnsi="宋体" w:cs="宋体"/>
          <w:color w:val="auto"/>
          <w:sz w:val="24"/>
          <w:highlight w:val="none"/>
        </w:rPr>
      </w:pPr>
    </w:p>
    <w:p w14:paraId="10E7FD1D">
      <w:pPr>
        <w:snapToGrid w:val="0"/>
        <w:spacing w:line="360" w:lineRule="auto"/>
        <w:jc w:val="left"/>
        <w:rPr>
          <w:rFonts w:ascii="宋体" w:hAnsi="宋体" w:cs="宋体"/>
          <w:color w:val="auto"/>
          <w:sz w:val="24"/>
          <w:highlight w:val="none"/>
        </w:rPr>
      </w:pPr>
    </w:p>
    <w:p w14:paraId="2984F76C">
      <w:pPr>
        <w:snapToGrid w:val="0"/>
        <w:spacing w:line="360" w:lineRule="auto"/>
        <w:jc w:val="left"/>
        <w:rPr>
          <w:rFonts w:ascii="宋体" w:hAnsi="宋体" w:cs="宋体"/>
          <w:color w:val="auto"/>
          <w:sz w:val="24"/>
          <w:highlight w:val="none"/>
        </w:rPr>
      </w:pPr>
    </w:p>
    <w:p w14:paraId="2C61AF83">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C2532D5">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684F16CB">
      <w:pPr>
        <w:snapToGrid w:val="0"/>
        <w:rPr>
          <w:rFonts w:ascii="宋体" w:hAnsi="宋体" w:cs="宋体"/>
          <w:b/>
          <w:color w:val="auto"/>
          <w:kern w:val="0"/>
          <w:sz w:val="30"/>
          <w:szCs w:val="30"/>
          <w:highlight w:val="none"/>
        </w:rPr>
      </w:pPr>
    </w:p>
    <w:p w14:paraId="5824F9DB">
      <w:pPr>
        <w:pageBreakBefore/>
        <w:snapToGrid w:val="0"/>
        <w:ind w:firstLine="596" w:firstLineChars="198"/>
        <w:rPr>
          <w:rFonts w:ascii="宋体" w:hAnsi="宋体" w:cs="宋体"/>
          <w:b/>
          <w:color w:val="auto"/>
          <w:kern w:val="0"/>
          <w:sz w:val="30"/>
          <w:szCs w:val="30"/>
          <w:highlight w:val="none"/>
        </w:rPr>
      </w:pPr>
      <w:r>
        <w:rPr>
          <w:rFonts w:hint="eastAsia" w:ascii="宋体" w:hAnsi="宋体" w:cs="宋体"/>
          <w:b/>
          <w:color w:val="auto"/>
          <w:kern w:val="0"/>
          <w:sz w:val="30"/>
          <w:szCs w:val="30"/>
          <w:highlight w:val="none"/>
        </w:rPr>
        <w:t>五、供应商直接管理关系信息表</w:t>
      </w:r>
    </w:p>
    <w:p w14:paraId="45BDBBBC">
      <w:pPr>
        <w:snapToGrid w:val="0"/>
        <w:spacing w:line="360" w:lineRule="auto"/>
        <w:jc w:val="center"/>
        <w:rPr>
          <w:rFonts w:ascii="宋体" w:hAnsi="宋体" w:cs="宋体"/>
          <w:b/>
          <w:color w:val="auto"/>
          <w:sz w:val="24"/>
          <w:highlight w:val="none"/>
        </w:rPr>
      </w:pPr>
    </w:p>
    <w:tbl>
      <w:tblPr>
        <w:tblStyle w:val="3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6791FD5">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894399">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F2FEC4">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E0E738">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52C909">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65A7E3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DFE667">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DB53AC">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4A8462">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9374479">
            <w:pPr>
              <w:widowControl/>
              <w:spacing w:line="360" w:lineRule="auto"/>
              <w:jc w:val="center"/>
              <w:rPr>
                <w:rFonts w:ascii="宋体" w:hAnsi="宋体" w:cs="宋体"/>
                <w:color w:val="auto"/>
                <w:kern w:val="0"/>
                <w:sz w:val="24"/>
                <w:highlight w:val="none"/>
              </w:rPr>
            </w:pPr>
          </w:p>
        </w:tc>
      </w:tr>
      <w:tr w14:paraId="2B69363F">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EB1966">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AFF9785">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0DAA74">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303B149">
            <w:pPr>
              <w:widowControl/>
              <w:spacing w:line="360" w:lineRule="auto"/>
              <w:jc w:val="center"/>
              <w:rPr>
                <w:rFonts w:ascii="宋体" w:hAnsi="宋体" w:cs="宋体"/>
                <w:color w:val="auto"/>
                <w:kern w:val="0"/>
                <w:sz w:val="24"/>
                <w:highlight w:val="none"/>
              </w:rPr>
            </w:pPr>
          </w:p>
        </w:tc>
      </w:tr>
      <w:tr w14:paraId="62E8862A">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BA3EB1">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32715D">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30ECDA">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D329E">
            <w:pPr>
              <w:widowControl/>
              <w:spacing w:line="360" w:lineRule="auto"/>
              <w:jc w:val="center"/>
              <w:rPr>
                <w:rFonts w:ascii="宋体" w:hAnsi="宋体" w:cs="宋体"/>
                <w:color w:val="auto"/>
                <w:kern w:val="0"/>
                <w:sz w:val="24"/>
                <w:highlight w:val="none"/>
              </w:rPr>
            </w:pPr>
          </w:p>
        </w:tc>
      </w:tr>
      <w:tr w14:paraId="54082CBE">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2F3976">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C625C63">
            <w:pPr>
              <w:widowControl/>
              <w:spacing w:line="360" w:lineRule="auto"/>
              <w:jc w:val="center"/>
              <w:rPr>
                <w:rFonts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314ECFA">
            <w:pPr>
              <w:widowControl/>
              <w:spacing w:line="360" w:lineRule="auto"/>
              <w:jc w:val="center"/>
              <w:rPr>
                <w:rFonts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94821F">
            <w:pPr>
              <w:widowControl/>
              <w:spacing w:line="360" w:lineRule="auto"/>
              <w:jc w:val="center"/>
              <w:rPr>
                <w:rFonts w:ascii="宋体" w:hAnsi="宋体" w:cs="宋体"/>
                <w:color w:val="auto"/>
                <w:kern w:val="0"/>
                <w:sz w:val="24"/>
                <w:highlight w:val="none"/>
              </w:rPr>
            </w:pPr>
          </w:p>
        </w:tc>
      </w:tr>
    </w:tbl>
    <w:p w14:paraId="63581F20">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7A4214FD">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1.管理关系：是指不具有出资持股关系的其他单位之间存在的管理与被管理关系，如一些上下级关系的事业单位和团体组织。</w:t>
      </w:r>
    </w:p>
    <w:p w14:paraId="75FFBD50">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2.本表所指的管理关系仅限于直接管理关系，不包括间接的管理关系。</w:t>
      </w:r>
    </w:p>
    <w:p w14:paraId="45700C9B">
      <w:p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3.供应商不存在直接管理关系的，则填“无”。</w:t>
      </w:r>
    </w:p>
    <w:p w14:paraId="770F23C1">
      <w:pPr>
        <w:spacing w:line="360" w:lineRule="auto"/>
        <w:jc w:val="left"/>
        <w:rPr>
          <w:rFonts w:ascii="宋体" w:hAnsi="宋体" w:cs="宋体"/>
          <w:color w:val="auto"/>
          <w:sz w:val="24"/>
          <w:highlight w:val="none"/>
        </w:rPr>
      </w:pPr>
    </w:p>
    <w:p w14:paraId="41EC0AE5">
      <w:pPr>
        <w:pStyle w:val="31"/>
        <w:ind w:firstLine="480"/>
        <w:rPr>
          <w:rFonts w:ascii="宋体" w:hAnsi="宋体" w:cs="宋体"/>
          <w:color w:val="auto"/>
          <w:sz w:val="24"/>
          <w:highlight w:val="none"/>
        </w:rPr>
      </w:pPr>
    </w:p>
    <w:p w14:paraId="01811096">
      <w:pPr>
        <w:pStyle w:val="30"/>
        <w:ind w:firstLine="240"/>
        <w:rPr>
          <w:rFonts w:ascii="宋体" w:hAnsi="宋体" w:cs="宋体"/>
          <w:color w:val="auto"/>
          <w:sz w:val="24"/>
          <w:highlight w:val="none"/>
        </w:rPr>
      </w:pPr>
    </w:p>
    <w:p w14:paraId="2C09657A">
      <w:pPr>
        <w:pStyle w:val="30"/>
        <w:ind w:firstLine="240"/>
        <w:rPr>
          <w:rFonts w:ascii="宋体" w:hAnsi="宋体" w:cs="宋体"/>
          <w:color w:val="auto"/>
          <w:sz w:val="24"/>
          <w:highlight w:val="none"/>
        </w:rPr>
      </w:pPr>
    </w:p>
    <w:p w14:paraId="77FA4C5D">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EE9C4A3">
      <w:pPr>
        <w:autoSpaceDE w:val="0"/>
        <w:autoSpaceDN w:val="0"/>
        <w:spacing w:line="360" w:lineRule="auto"/>
        <w:ind w:firstLine="6120" w:firstLineChars="255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5A50892">
      <w:pPr>
        <w:spacing w:line="360" w:lineRule="auto"/>
        <w:ind w:right="480"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w:t>
      </w:r>
    </w:p>
    <w:p w14:paraId="5BCDF277">
      <w:pPr>
        <w:spacing w:line="320" w:lineRule="exact"/>
        <w:ind w:firstLine="560" w:firstLineChars="200"/>
        <w:jc w:val="left"/>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kern w:val="0"/>
          <w:sz w:val="30"/>
          <w:szCs w:val="30"/>
          <w:highlight w:val="none"/>
        </w:rPr>
        <w:t>六、资格声明函</w:t>
      </w:r>
    </w:p>
    <w:p w14:paraId="216D56B9">
      <w:pPr>
        <w:spacing w:line="320" w:lineRule="exact"/>
        <w:jc w:val="center"/>
        <w:rPr>
          <w:rFonts w:ascii="宋体" w:hAnsi="宋体" w:cs="宋体"/>
          <w:b/>
          <w:color w:val="auto"/>
          <w:sz w:val="32"/>
          <w:szCs w:val="32"/>
          <w:highlight w:val="none"/>
        </w:rPr>
      </w:pPr>
    </w:p>
    <w:p w14:paraId="672B431B">
      <w:pPr>
        <w:spacing w:line="3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资格声明函</w:t>
      </w:r>
    </w:p>
    <w:p w14:paraId="194BA5BA">
      <w:pPr>
        <w:spacing w:line="320" w:lineRule="exact"/>
        <w:jc w:val="center"/>
        <w:rPr>
          <w:rFonts w:ascii="宋体" w:hAnsi="宋体" w:cs="宋体"/>
          <w:color w:val="auto"/>
          <w:sz w:val="24"/>
          <w:szCs w:val="20"/>
          <w:highlight w:val="none"/>
        </w:rPr>
      </w:pPr>
    </w:p>
    <w:p w14:paraId="686B60BF">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  </w:t>
      </w:r>
      <w:r>
        <w:rPr>
          <w:rFonts w:hint="eastAsia" w:ascii="宋体" w:hAnsi="宋体" w:cs="宋体"/>
          <w:color w:val="auto"/>
          <w:sz w:val="24"/>
          <w:highlight w:val="none"/>
        </w:rPr>
        <w:t>：</w:t>
      </w:r>
    </w:p>
    <w:p w14:paraId="29ED0A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8ADDCD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项目的竞标，为便于贵方公正、择优地确定成交供应商及其竞标产品和货物，我方就本次竞标有关事项郑重声明如下：</w:t>
      </w:r>
    </w:p>
    <w:p w14:paraId="6721ACD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3B28935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575B166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3.在此，我方宣布同意如下：</w:t>
      </w:r>
    </w:p>
    <w:p w14:paraId="7F0CFB7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044827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（2）已详细审查全部谈判文件，包括澄清或者更正公告（如有）；</w:t>
      </w:r>
    </w:p>
    <w:p w14:paraId="4101EEA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0A5EE4A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（4）响应谈判文件规定的竞标有效期。</w:t>
      </w:r>
    </w:p>
    <w:p w14:paraId="5F93D57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5B78E4C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、政府采购严重违法失信行为记录名单，完全符合《中华人民共和国政府采购法》第二十二条规定的供应商资格条件，我方对此声明负全部法律责任。</w:t>
      </w:r>
    </w:p>
    <w:p w14:paraId="3A84BE2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186E9D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56F82F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4E94A12B">
      <w:pPr>
        <w:pStyle w:val="18"/>
        <w:spacing w:line="360" w:lineRule="auto"/>
        <w:ind w:firstLine="480" w:firstLineChars="200"/>
        <w:rPr>
          <w:rFonts w:hAnsi="宋体" w:cs="宋体"/>
          <w:color w:val="auto"/>
          <w:sz w:val="24"/>
          <w:szCs w:val="24"/>
          <w:highlight w:val="none"/>
          <w:u w:val="singl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713CBD68">
      <w:pPr>
        <w:pStyle w:val="18"/>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655E67C">
      <w:pPr>
        <w:pStyle w:val="1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58CACE64">
      <w:pPr>
        <w:pStyle w:val="16"/>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1F4CB98C">
      <w:pPr>
        <w:pStyle w:val="1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01AD93FC">
      <w:pPr>
        <w:pStyle w:val="16"/>
        <w:tabs>
          <w:tab w:val="left" w:pos="939"/>
        </w:tabs>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注：如为联合体竞标，盖章处须加盖联合体各方公章并由联合体各方法定代表人签署，否则其响应文件按无效响应处理。</w:t>
      </w:r>
    </w:p>
    <w:p w14:paraId="64BB6955">
      <w:pPr>
        <w:pStyle w:val="16"/>
        <w:tabs>
          <w:tab w:val="left" w:pos="939"/>
        </w:tabs>
        <w:spacing w:line="360" w:lineRule="auto"/>
        <w:ind w:left="0" w:leftChars="0" w:firstLine="480" w:firstLineChars="200"/>
        <w:rPr>
          <w:rFonts w:ascii="宋体" w:hAnsi="宋体" w:cs="宋体"/>
          <w:color w:val="auto"/>
          <w:sz w:val="24"/>
          <w:highlight w:val="none"/>
        </w:rPr>
      </w:pPr>
    </w:p>
    <w:p w14:paraId="504FB871">
      <w:pPr>
        <w:autoSpaceDE w:val="0"/>
        <w:autoSpaceDN w:val="0"/>
        <w:spacing w:line="360" w:lineRule="auto"/>
        <w:ind w:left="4365" w:leftChars="1850" w:hanging="480" w:hangingChars="2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5EF3EEC2">
      <w:pPr>
        <w:autoSpaceDE w:val="0"/>
        <w:autoSpaceDN w:val="0"/>
        <w:spacing w:line="360" w:lineRule="auto"/>
        <w:ind w:firstLine="6120" w:firstLineChars="25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C07993A">
      <w:pPr>
        <w:widowControl/>
        <w:spacing w:line="360" w:lineRule="auto"/>
        <w:jc w:val="left"/>
        <w:rPr>
          <w:rFonts w:ascii="宋体" w:hAnsi="宋体" w:cs="宋体"/>
          <w:color w:val="auto"/>
          <w:kern w:val="0"/>
          <w:sz w:val="24"/>
          <w:highlight w:val="none"/>
          <w:lang w:val="zh-CN"/>
        </w:rPr>
        <w:sectPr>
          <w:pgSz w:w="11910" w:h="16840"/>
          <w:pgMar w:top="1340" w:right="1500" w:bottom="280" w:left="1680" w:header="720" w:footer="720" w:gutter="0"/>
          <w:cols w:space="720" w:num="1"/>
        </w:sectPr>
      </w:pPr>
    </w:p>
    <w:p w14:paraId="0F465E0A">
      <w:pPr>
        <w:pStyle w:val="18"/>
        <w:jc w:val="left"/>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val="en-US" w:eastAsia="zh-CN"/>
        </w:rPr>
        <w:t>七</w:t>
      </w:r>
      <w:r>
        <w:rPr>
          <w:rFonts w:hint="eastAsia" w:ascii="宋体" w:hAnsi="宋体" w:cs="宋体"/>
          <w:b/>
          <w:color w:val="auto"/>
          <w:sz w:val="30"/>
          <w:szCs w:val="30"/>
          <w:highlight w:val="none"/>
          <w:lang w:eastAsia="zh-CN"/>
        </w:rPr>
        <w:t>、</w:t>
      </w:r>
      <w:r>
        <w:rPr>
          <w:rFonts w:hint="eastAsia" w:ascii="Times New Roman" w:hAnsi="Times New Roman"/>
          <w:b/>
          <w:color w:val="auto"/>
          <w:sz w:val="30"/>
          <w:szCs w:val="30"/>
          <w:highlight w:val="none"/>
        </w:rPr>
        <w:t>中小企业声明函</w:t>
      </w:r>
    </w:p>
    <w:p w14:paraId="50445021">
      <w:pPr>
        <w:pStyle w:val="18"/>
        <w:jc w:val="center"/>
        <w:rPr>
          <w:rFonts w:ascii="Times New Roman" w:hAnsi="Times New Roman"/>
          <w:b/>
          <w:color w:val="auto"/>
          <w:sz w:val="30"/>
          <w:szCs w:val="30"/>
          <w:highlight w:val="none"/>
        </w:rPr>
      </w:pPr>
      <w:r>
        <w:rPr>
          <w:rFonts w:hint="eastAsia" w:ascii="Times New Roman" w:hAnsi="Times New Roman"/>
          <w:b/>
          <w:color w:val="auto"/>
          <w:sz w:val="30"/>
          <w:szCs w:val="30"/>
          <w:highlight w:val="none"/>
        </w:rPr>
        <w:t>中小企业声明函</w:t>
      </w:r>
    </w:p>
    <w:p w14:paraId="2D751F60">
      <w:pPr>
        <w:pStyle w:val="15"/>
        <w:spacing w:line="240" w:lineRule="auto"/>
        <w:ind w:firstLine="0"/>
        <w:rPr>
          <w:rFonts w:ascii="Times New Roman" w:hAnsi="Times New Roman"/>
          <w:color w:val="auto"/>
          <w:sz w:val="21"/>
          <w:szCs w:val="21"/>
          <w:highlight w:val="none"/>
        </w:rPr>
      </w:pPr>
      <w:r>
        <w:rPr>
          <w:rFonts w:hint="eastAsia" w:ascii="Times New Roman" w:hAnsi="宋体"/>
          <w:color w:val="auto"/>
          <w:sz w:val="21"/>
          <w:szCs w:val="21"/>
          <w:highlight w:val="none"/>
        </w:rPr>
        <w:t>说明：</w:t>
      </w:r>
    </w:p>
    <w:p w14:paraId="3FEA1B90">
      <w:pPr>
        <w:pStyle w:val="15"/>
        <w:spacing w:line="240" w:lineRule="auto"/>
        <w:ind w:firstLine="420" w:firstLineChars="200"/>
        <w:rPr>
          <w:rFonts w:ascii="Times New Roman" w:hAnsi="Times New Roman"/>
          <w:color w:val="auto"/>
          <w:sz w:val="21"/>
          <w:szCs w:val="21"/>
          <w:highlight w:val="none"/>
        </w:rPr>
      </w:pPr>
      <w:r>
        <w:rPr>
          <w:rFonts w:ascii="Times New Roman" w:hAnsi="Times New Roman"/>
          <w:color w:val="auto"/>
          <w:sz w:val="21"/>
          <w:szCs w:val="21"/>
          <w:highlight w:val="none"/>
        </w:rPr>
        <w:t>1</w:t>
      </w:r>
      <w:r>
        <w:rPr>
          <w:rFonts w:hint="eastAsia" w:ascii="Times New Roman" w:hAnsi="宋体"/>
          <w:color w:val="auto"/>
          <w:sz w:val="21"/>
          <w:szCs w:val="21"/>
          <w:highlight w:val="none"/>
        </w:rPr>
        <w:t>、本声明函主要供参加政府采购活动的中小企业填写，非中小企业无需填写。</w:t>
      </w:r>
    </w:p>
    <w:p w14:paraId="4BC53E31">
      <w:pPr>
        <w:pStyle w:val="15"/>
        <w:spacing w:line="240" w:lineRule="auto"/>
        <w:ind w:firstLine="420" w:firstLineChars="200"/>
        <w:rPr>
          <w:rFonts w:ascii="Times New Roman" w:hAnsi="宋体"/>
          <w:color w:val="auto"/>
          <w:sz w:val="21"/>
          <w:szCs w:val="21"/>
          <w:highlight w:val="none"/>
        </w:rPr>
      </w:pPr>
      <w:r>
        <w:rPr>
          <w:rFonts w:ascii="Times New Roman" w:hAnsi="Times New Roman"/>
          <w:color w:val="auto"/>
          <w:sz w:val="21"/>
          <w:szCs w:val="21"/>
          <w:highlight w:val="none"/>
        </w:rPr>
        <w:t>2</w:t>
      </w:r>
      <w:r>
        <w:rPr>
          <w:rFonts w:hint="eastAsia" w:ascii="Times New Roman" w:hAnsi="宋体"/>
          <w:color w:val="auto"/>
          <w:sz w:val="21"/>
          <w:szCs w:val="21"/>
          <w:highlight w:val="none"/>
        </w:rPr>
        <w:t>、小型、微型企业提供中型企业提供的货物的，视同为中型企业。</w:t>
      </w:r>
    </w:p>
    <w:p w14:paraId="7DD211CD">
      <w:pPr>
        <w:pStyle w:val="15"/>
        <w:spacing w:line="240" w:lineRule="auto"/>
        <w:ind w:firstLine="420" w:firstLineChars="200"/>
        <w:rPr>
          <w:rFonts w:ascii="Times New Roman" w:hAnsi="宋体"/>
          <w:color w:val="auto"/>
          <w:sz w:val="21"/>
          <w:szCs w:val="21"/>
          <w:highlight w:val="none"/>
        </w:rPr>
      </w:pPr>
    </w:p>
    <w:p w14:paraId="20A3FB56">
      <w:pPr>
        <w:pStyle w:val="2"/>
        <w:spacing w:line="360" w:lineRule="auto"/>
        <w:ind w:left="-426" w:leftChars="-203" w:right="142" w:firstLine="420" w:firstLineChars="200"/>
        <w:contextualSpacing/>
        <w:rPr>
          <w:rFonts w:ascii="宋体" w:hAnsi="宋体"/>
          <w:color w:val="auto"/>
          <w:kern w:val="24"/>
          <w:highlight w:val="none"/>
        </w:rPr>
      </w:pPr>
      <w:r>
        <w:rPr>
          <w:rFonts w:ascii="宋体" w:hAnsi="宋体"/>
          <w:color w:val="auto"/>
          <w:kern w:val="24"/>
          <w:highlight w:val="none"/>
        </w:rPr>
        <w:t>本公司（联合体）郑重声明，根据《政府采购促进中小企业发展管理办法》（财库﹝2020﹞46号）的规定，本公司（联合体）参加</w:t>
      </w:r>
      <w:r>
        <w:rPr>
          <w:rFonts w:ascii="宋体" w:hAnsi="宋体"/>
          <w:color w:val="auto"/>
          <w:kern w:val="24"/>
          <w:highlight w:val="none"/>
          <w:u w:val="single"/>
        </w:rPr>
        <w:t>（单位名称）</w:t>
      </w:r>
      <w:r>
        <w:rPr>
          <w:rFonts w:ascii="宋体" w:hAnsi="宋体"/>
          <w:color w:val="auto"/>
          <w:kern w:val="24"/>
          <w:highlight w:val="none"/>
        </w:rPr>
        <w:t>的</w:t>
      </w:r>
      <w:r>
        <w:rPr>
          <w:rFonts w:ascii="宋体" w:hAnsi="宋体"/>
          <w:color w:val="auto"/>
          <w:kern w:val="24"/>
          <w:highlight w:val="none"/>
          <w:u w:val="single"/>
        </w:rPr>
        <w:t>（项目名称）</w:t>
      </w:r>
      <w:r>
        <w:rPr>
          <w:rFonts w:ascii="宋体" w:hAnsi="宋体"/>
          <w:color w:val="auto"/>
          <w:kern w:val="24"/>
          <w:highlight w:val="none"/>
        </w:rPr>
        <w:t>采购活动，提供的货物全部由符合政策要求的中小企业制造。相关企业（含联合体中的中小企业、签订分包意向协议的中小企业）的具体情况如下：</w:t>
      </w:r>
    </w:p>
    <w:p w14:paraId="30284C83">
      <w:pPr>
        <w:tabs>
          <w:tab w:val="left" w:pos="1384"/>
          <w:tab w:val="left" w:pos="4562"/>
          <w:tab w:val="left" w:pos="6803"/>
        </w:tabs>
        <w:spacing w:line="360" w:lineRule="auto"/>
        <w:ind w:left="-426" w:right="-58" w:firstLine="655"/>
        <w:contextualSpacing/>
        <w:rPr>
          <w:rFonts w:ascii="宋体" w:hAnsi="宋体"/>
          <w:color w:val="auto"/>
          <w:kern w:val="24"/>
          <w:sz w:val="24"/>
          <w:highlight w:val="none"/>
        </w:rPr>
      </w:pPr>
      <w:r>
        <w:rPr>
          <w:rFonts w:ascii="宋体" w:hAnsi="宋体"/>
          <w:color w:val="auto"/>
          <w:kern w:val="24"/>
          <w:sz w:val="24"/>
          <w:highlight w:val="none"/>
        </w:rPr>
        <w:t>1.</w:t>
      </w:r>
      <w:r>
        <w:rPr>
          <w:rFonts w:ascii="宋体" w:hAnsi="宋体"/>
          <w:color w:val="auto"/>
          <w:kern w:val="24"/>
          <w:sz w:val="24"/>
          <w:highlight w:val="none"/>
          <w:u w:val="single"/>
        </w:rPr>
        <w:t>（标的名称）</w:t>
      </w:r>
      <w:r>
        <w:rPr>
          <w:rFonts w:ascii="宋体" w:hAnsi="宋体"/>
          <w:color w:val="auto"/>
          <w:kern w:val="24"/>
          <w:sz w:val="24"/>
          <w:highlight w:val="none"/>
        </w:rPr>
        <w:t>，属于</w:t>
      </w:r>
      <w:r>
        <w:rPr>
          <w:rFonts w:ascii="宋体" w:hAnsi="宋体"/>
          <w:color w:val="auto"/>
          <w:kern w:val="24"/>
          <w:sz w:val="24"/>
          <w:highlight w:val="none"/>
          <w:u w:val="single"/>
        </w:rPr>
        <w:t>（采购文件中明确的所属行业）</w:t>
      </w:r>
      <w:r>
        <w:rPr>
          <w:rFonts w:ascii="宋体" w:hAnsi="宋体"/>
          <w:color w:val="auto"/>
          <w:kern w:val="24"/>
          <w:sz w:val="24"/>
          <w:highlight w:val="none"/>
        </w:rPr>
        <w:t>行业；制造商为</w:t>
      </w:r>
      <w:r>
        <w:rPr>
          <w:rFonts w:ascii="宋体" w:hAnsi="宋体"/>
          <w:color w:val="auto"/>
          <w:kern w:val="24"/>
          <w:sz w:val="24"/>
          <w:highlight w:val="none"/>
          <w:u w:val="single"/>
        </w:rPr>
        <w:t>（企业名称）</w:t>
      </w:r>
      <w:r>
        <w:rPr>
          <w:rFonts w:ascii="宋体" w:hAnsi="宋体"/>
          <w:color w:val="auto"/>
          <w:kern w:val="24"/>
          <w:sz w:val="24"/>
          <w:highlight w:val="none"/>
        </w:rPr>
        <w:t>，从业人员</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人，营业收入为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万元，资产总额为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万元，属于</w:t>
      </w:r>
      <w:r>
        <w:rPr>
          <w:rFonts w:ascii="宋体" w:hAnsi="宋体"/>
          <w:color w:val="auto"/>
          <w:kern w:val="24"/>
          <w:sz w:val="24"/>
          <w:highlight w:val="none"/>
          <w:u w:val="single"/>
        </w:rPr>
        <w:t>（中型企业、小型企业、微型企业）</w:t>
      </w:r>
      <w:r>
        <w:rPr>
          <w:rFonts w:ascii="宋体" w:hAnsi="宋体"/>
          <w:color w:val="auto"/>
          <w:kern w:val="24"/>
          <w:sz w:val="24"/>
          <w:highlight w:val="none"/>
        </w:rPr>
        <w:t>；</w:t>
      </w:r>
    </w:p>
    <w:p w14:paraId="5EFD4695">
      <w:pPr>
        <w:tabs>
          <w:tab w:val="left" w:pos="1065"/>
          <w:tab w:val="left" w:pos="6477"/>
        </w:tabs>
        <w:spacing w:line="360" w:lineRule="auto"/>
        <w:ind w:left="-426" w:right="-58" w:firstLine="655"/>
        <w:contextualSpacing/>
        <w:rPr>
          <w:rFonts w:ascii="宋体" w:hAnsi="宋体"/>
          <w:color w:val="auto"/>
          <w:kern w:val="24"/>
          <w:sz w:val="24"/>
          <w:highlight w:val="none"/>
        </w:rPr>
      </w:pPr>
      <w:r>
        <w:rPr>
          <w:rFonts w:ascii="宋体" w:hAnsi="宋体"/>
          <w:color w:val="auto"/>
          <w:kern w:val="24"/>
          <w:sz w:val="24"/>
          <w:highlight w:val="none"/>
        </w:rPr>
        <w:t>2.</w:t>
      </w:r>
      <w:r>
        <w:rPr>
          <w:rFonts w:ascii="宋体" w:hAnsi="宋体"/>
          <w:color w:val="auto"/>
          <w:kern w:val="24"/>
          <w:sz w:val="24"/>
          <w:highlight w:val="none"/>
          <w:u w:val="single"/>
        </w:rPr>
        <w:t>（标的名称）</w:t>
      </w:r>
      <w:r>
        <w:rPr>
          <w:rFonts w:ascii="宋体" w:hAnsi="宋体"/>
          <w:color w:val="auto"/>
          <w:kern w:val="24"/>
          <w:sz w:val="24"/>
          <w:highlight w:val="none"/>
        </w:rPr>
        <w:t>，属于</w:t>
      </w:r>
      <w:r>
        <w:rPr>
          <w:rFonts w:ascii="宋体" w:hAnsi="宋体"/>
          <w:color w:val="auto"/>
          <w:kern w:val="24"/>
          <w:sz w:val="24"/>
          <w:highlight w:val="none"/>
          <w:u w:val="single"/>
        </w:rPr>
        <w:t>（采购文件中明确的所属行业）</w:t>
      </w:r>
      <w:r>
        <w:rPr>
          <w:rFonts w:ascii="宋体" w:hAnsi="宋体"/>
          <w:color w:val="auto"/>
          <w:kern w:val="24"/>
          <w:sz w:val="24"/>
          <w:highlight w:val="none"/>
        </w:rPr>
        <w:t>行业；制造商为</w:t>
      </w:r>
      <w:r>
        <w:rPr>
          <w:rFonts w:ascii="宋体" w:hAnsi="宋体"/>
          <w:color w:val="auto"/>
          <w:kern w:val="24"/>
          <w:sz w:val="24"/>
          <w:highlight w:val="none"/>
          <w:u w:val="single"/>
        </w:rPr>
        <w:t>（企业名称）</w:t>
      </w:r>
      <w:r>
        <w:rPr>
          <w:rFonts w:ascii="宋体" w:hAnsi="宋体"/>
          <w:color w:val="auto"/>
          <w:kern w:val="24"/>
          <w:sz w:val="24"/>
          <w:highlight w:val="none"/>
        </w:rPr>
        <w:t>，从业人员</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人，营业收入为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万元，资产总额为</w:t>
      </w:r>
      <w:r>
        <w:rPr>
          <w:rFonts w:hint="eastAsia" w:ascii="宋体" w:hAnsi="宋体"/>
          <w:color w:val="auto"/>
          <w:kern w:val="24"/>
          <w:sz w:val="24"/>
          <w:highlight w:val="none"/>
          <w:u w:val="single"/>
        </w:rPr>
        <w:t xml:space="preserve"> </w:t>
      </w:r>
      <w:r>
        <w:rPr>
          <w:rFonts w:ascii="宋体" w:hAnsi="宋体"/>
          <w:color w:val="auto"/>
          <w:kern w:val="24"/>
          <w:sz w:val="24"/>
          <w:highlight w:val="none"/>
          <w:u w:val="single"/>
        </w:rPr>
        <w:t xml:space="preserve">     </w:t>
      </w:r>
      <w:r>
        <w:rPr>
          <w:rFonts w:ascii="宋体" w:hAnsi="宋体"/>
          <w:color w:val="auto"/>
          <w:kern w:val="24"/>
          <w:sz w:val="24"/>
          <w:highlight w:val="none"/>
        </w:rPr>
        <w:t>万元，属于</w:t>
      </w:r>
      <w:r>
        <w:rPr>
          <w:rFonts w:ascii="宋体" w:hAnsi="宋体"/>
          <w:color w:val="auto"/>
          <w:kern w:val="24"/>
          <w:sz w:val="24"/>
          <w:highlight w:val="none"/>
          <w:u w:val="single"/>
        </w:rPr>
        <w:t>（中型企业、小型企业、微型企业）</w:t>
      </w:r>
      <w:r>
        <w:rPr>
          <w:rFonts w:ascii="宋体" w:hAnsi="宋体"/>
          <w:color w:val="auto"/>
          <w:kern w:val="24"/>
          <w:sz w:val="24"/>
          <w:highlight w:val="none"/>
        </w:rPr>
        <w:t>；</w:t>
      </w:r>
    </w:p>
    <w:p w14:paraId="7C93091D">
      <w:pPr>
        <w:pStyle w:val="2"/>
        <w:spacing w:line="360" w:lineRule="auto"/>
        <w:ind w:left="142" w:right="142"/>
        <w:contextualSpacing/>
        <w:rPr>
          <w:rFonts w:ascii="宋体" w:hAnsi="宋体"/>
          <w:color w:val="auto"/>
          <w:kern w:val="24"/>
          <w:highlight w:val="none"/>
        </w:rPr>
      </w:pPr>
      <w:r>
        <w:rPr>
          <w:rFonts w:ascii="宋体" w:hAnsi="宋体"/>
          <w:color w:val="auto"/>
          <w:kern w:val="24"/>
          <w:highlight w:val="none"/>
        </w:rPr>
        <w:t xml:space="preserve">…… </w:t>
      </w:r>
    </w:p>
    <w:p w14:paraId="3E9115E3">
      <w:pPr>
        <w:pStyle w:val="2"/>
        <w:spacing w:line="360" w:lineRule="auto"/>
        <w:ind w:left="-405" w:leftChars="-193" w:right="142" w:firstLine="396" w:firstLineChars="189"/>
        <w:contextualSpacing/>
        <w:rPr>
          <w:rFonts w:ascii="宋体" w:hAnsi="宋体"/>
          <w:color w:val="auto"/>
          <w:kern w:val="24"/>
          <w:highlight w:val="none"/>
        </w:rPr>
      </w:pPr>
      <w:r>
        <w:rPr>
          <w:rFonts w:ascii="宋体" w:hAnsi="宋体"/>
          <w:color w:val="auto"/>
          <w:kern w:val="24"/>
          <w:highlight w:val="none"/>
        </w:rPr>
        <w:t>以上企业，不属于大企业的分支机构，不存在控股股东为大企业的情形，也不存在与大企业的负责人为同一人的情形。</w:t>
      </w:r>
    </w:p>
    <w:p w14:paraId="7CE1A6E2">
      <w:pPr>
        <w:pStyle w:val="2"/>
        <w:spacing w:line="360" w:lineRule="auto"/>
        <w:ind w:left="-426" w:right="142" w:firstLine="567"/>
        <w:contextualSpacing/>
        <w:rPr>
          <w:rFonts w:ascii="宋体" w:hAnsi="宋体"/>
          <w:color w:val="auto"/>
          <w:kern w:val="24"/>
          <w:highlight w:val="none"/>
        </w:rPr>
      </w:pPr>
      <w:r>
        <w:rPr>
          <w:rFonts w:ascii="宋体" w:hAnsi="宋体"/>
          <w:color w:val="auto"/>
          <w:kern w:val="24"/>
          <w:highlight w:val="none"/>
        </w:rPr>
        <w:t>本企业对上述声明内容的真实性负责。如有虚假，将依法承担相应责任。</w:t>
      </w:r>
    </w:p>
    <w:p w14:paraId="0331433C">
      <w:pPr>
        <w:pStyle w:val="18"/>
        <w:spacing w:line="360" w:lineRule="auto"/>
        <w:ind w:firstLine="400" w:firstLineChars="200"/>
        <w:rPr>
          <w:rFonts w:hAnsi="宋体"/>
          <w:color w:val="auto"/>
          <w:szCs w:val="21"/>
          <w:highlight w:val="none"/>
        </w:rPr>
      </w:pPr>
    </w:p>
    <w:p w14:paraId="0642775F">
      <w:pPr>
        <w:pStyle w:val="18"/>
        <w:spacing w:line="360" w:lineRule="auto"/>
        <w:ind w:firstLine="400" w:firstLineChars="200"/>
        <w:rPr>
          <w:rFonts w:hAnsi="宋体"/>
          <w:color w:val="auto"/>
          <w:szCs w:val="21"/>
          <w:highlight w:val="none"/>
        </w:rPr>
      </w:pPr>
    </w:p>
    <w:p w14:paraId="476768F6">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22BC4EA4">
      <w:pPr>
        <w:snapToGrid w:val="0"/>
        <w:spacing w:line="360" w:lineRule="auto"/>
        <w:ind w:firstLine="5160" w:firstLineChars="2150"/>
        <w:rPr>
          <w:rFonts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064CC550">
      <w:pPr>
        <w:pStyle w:val="18"/>
        <w:spacing w:line="360" w:lineRule="auto"/>
        <w:ind w:firstLine="400" w:firstLineChars="200"/>
        <w:rPr>
          <w:rFonts w:hAnsi="宋体"/>
          <w:color w:val="auto"/>
          <w:szCs w:val="21"/>
          <w:highlight w:val="none"/>
        </w:rPr>
      </w:pPr>
    </w:p>
    <w:p w14:paraId="7001EA0F">
      <w:pPr>
        <w:snapToGrid w:val="0"/>
        <w:spacing w:before="50" w:after="165" w:afterLines="50" w:line="360" w:lineRule="auto"/>
        <w:jc w:val="left"/>
        <w:rPr>
          <w:rFonts w:hAnsi="宋体" w:cs="宋体"/>
          <w:color w:val="auto"/>
          <w:sz w:val="20"/>
          <w:highlight w:val="none"/>
        </w:rPr>
      </w:pPr>
      <w:r>
        <w:rPr>
          <w:rFonts w:hint="eastAsia" w:hAnsi="宋体" w:cs="宋体"/>
          <w:color w:val="auto"/>
          <w:sz w:val="20"/>
          <w:highlight w:val="none"/>
        </w:rPr>
        <w:t>注：</w:t>
      </w:r>
    </w:p>
    <w:p w14:paraId="2C2E3CAA">
      <w:pPr>
        <w:numPr>
          <w:ilvl w:val="0"/>
          <w:numId w:val="3"/>
        </w:numPr>
        <w:snapToGrid w:val="0"/>
        <w:spacing w:before="50" w:after="165" w:afterLines="50" w:line="360" w:lineRule="auto"/>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169208D0">
      <w:pPr>
        <w:snapToGrid w:val="0"/>
        <w:spacing w:before="50" w:after="165" w:afterLines="50" w:line="360" w:lineRule="auto"/>
        <w:ind w:firstLine="300" w:firstLineChars="150"/>
        <w:jc w:val="left"/>
        <w:rPr>
          <w:color w:val="auto"/>
          <w:sz w:val="20"/>
          <w:highlight w:val="none"/>
        </w:rPr>
        <w:sectPr>
          <w:pgSz w:w="11906" w:h="16838"/>
          <w:pgMar w:top="1134" w:right="1134" w:bottom="1134" w:left="1134" w:header="720" w:footer="720" w:gutter="0"/>
          <w:cols w:space="720" w:num="1"/>
          <w:docGrid w:type="lines" w:linePitch="331" w:charSpace="0"/>
        </w:sectPr>
      </w:pPr>
      <w:r>
        <w:rPr>
          <w:rFonts w:hint="eastAsia"/>
          <w:color w:val="auto"/>
          <w:sz w:val="20"/>
          <w:highlight w:val="none"/>
        </w:rPr>
        <w:t>2、请根据自己的真实情况出具《中小企业声明函》。依法享受中小企业优惠政策的，采购人或者采购代理机构在公告中标结果时，同时公告其《中小企业声明函》，接受社会监督</w:t>
      </w:r>
    </w:p>
    <w:p w14:paraId="6475271F">
      <w:pPr>
        <w:keepNext w:val="0"/>
        <w:keepLines w:val="0"/>
        <w:pageBreakBefore/>
        <w:widowControl w:val="0"/>
        <w:numPr>
          <w:ilvl w:val="0"/>
          <w:numId w:val="0"/>
        </w:numPr>
        <w:kinsoku/>
        <w:wordWrap/>
        <w:overflowPunct/>
        <w:topLinePunct w:val="0"/>
        <w:autoSpaceDE/>
        <w:autoSpaceDN/>
        <w:bidi w:val="0"/>
        <w:adjustRightInd/>
        <w:snapToGrid w:val="0"/>
        <w:spacing w:line="360" w:lineRule="auto"/>
        <w:textAlignment w:val="auto"/>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符合特定资格条件（如果项目要求）的有关证明材料</w:t>
      </w:r>
    </w:p>
    <w:p w14:paraId="59AF8599">
      <w:pPr>
        <w:snapToGrid w:val="0"/>
        <w:spacing w:line="360" w:lineRule="auto"/>
        <w:ind w:firstLine="2409" w:firstLineChars="800"/>
        <w:rPr>
          <w:rFonts w:ascii="宋体" w:hAnsi="宋体" w:cs="宋体"/>
          <w:b/>
          <w:color w:val="auto"/>
          <w:sz w:val="30"/>
          <w:szCs w:val="30"/>
          <w:highlight w:val="none"/>
        </w:rPr>
      </w:pPr>
      <w:r>
        <w:rPr>
          <w:rFonts w:hint="eastAsia" w:ascii="宋体" w:hAnsi="宋体" w:cs="宋体"/>
          <w:b/>
          <w:color w:val="auto"/>
          <w:sz w:val="30"/>
          <w:szCs w:val="30"/>
          <w:highlight w:val="none"/>
        </w:rPr>
        <w:t>（复印件）</w:t>
      </w:r>
    </w:p>
    <w:p w14:paraId="28BE2AF3">
      <w:pPr>
        <w:pStyle w:val="31"/>
        <w:ind w:left="0" w:leftChars="0" w:firstLine="0" w:firstLineChars="0"/>
        <w:rPr>
          <w:color w:val="auto"/>
          <w:highlight w:val="none"/>
        </w:rPr>
      </w:pPr>
    </w:p>
    <w:p w14:paraId="503B8749">
      <w:pPr>
        <w:pStyle w:val="30"/>
        <w:ind w:firstLine="210"/>
        <w:rPr>
          <w:color w:val="auto"/>
          <w:highlight w:val="none"/>
        </w:rPr>
      </w:pPr>
      <w:r>
        <w:rPr>
          <w:rFonts w:hint="eastAsia"/>
          <w:color w:val="auto"/>
          <w:highlight w:val="none"/>
        </w:rPr>
        <w:t xml:space="preserve"> </w:t>
      </w:r>
    </w:p>
    <w:p w14:paraId="57B567CA">
      <w:pPr>
        <w:snapToGrid w:val="0"/>
        <w:spacing w:line="360" w:lineRule="auto"/>
        <w:ind w:firstLine="602" w:firstLineChars="200"/>
        <w:rPr>
          <w:rFonts w:ascii="宋体" w:hAnsi="宋体" w:cs="宋体"/>
          <w:b/>
          <w:color w:val="auto"/>
          <w:sz w:val="30"/>
          <w:szCs w:val="30"/>
          <w:highlight w:val="none"/>
        </w:rPr>
      </w:pPr>
    </w:p>
    <w:p w14:paraId="4F11569C">
      <w:pPr>
        <w:autoSpaceDE w:val="0"/>
        <w:autoSpaceDN w:val="0"/>
        <w:spacing w:line="360" w:lineRule="auto"/>
        <w:ind w:left="4334" w:leftChars="2064" w:firstLine="1440" w:firstLineChars="6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5149D02">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59522D07">
      <w:pPr>
        <w:widowControl/>
        <w:spacing w:line="360" w:lineRule="auto"/>
        <w:jc w:val="left"/>
        <w:rPr>
          <w:rFonts w:ascii="宋体" w:hAnsi="宋体" w:cs="宋体"/>
          <w:color w:val="auto"/>
          <w:highlight w:val="none"/>
        </w:rPr>
      </w:pPr>
    </w:p>
    <w:p w14:paraId="74277F2B">
      <w:pPr>
        <w:pStyle w:val="31"/>
        <w:rPr>
          <w:rFonts w:ascii="宋体" w:hAnsi="宋体" w:cs="宋体"/>
          <w:color w:val="auto"/>
          <w:highlight w:val="none"/>
        </w:rPr>
      </w:pPr>
    </w:p>
    <w:p w14:paraId="742372FD">
      <w:pPr>
        <w:pStyle w:val="30"/>
        <w:ind w:firstLine="210"/>
        <w:rPr>
          <w:rFonts w:ascii="宋体" w:hAnsi="宋体" w:cs="宋体"/>
          <w:color w:val="auto"/>
          <w:highlight w:val="none"/>
        </w:rPr>
      </w:pPr>
      <w:r>
        <w:rPr>
          <w:rFonts w:hint="eastAsia" w:ascii="宋体" w:hAnsi="宋体" w:cs="宋体"/>
          <w:color w:val="auto"/>
          <w:highlight w:val="none"/>
        </w:rPr>
        <w:t xml:space="preserve">  </w:t>
      </w:r>
    </w:p>
    <w:p w14:paraId="2341C06F">
      <w:pPr>
        <w:pStyle w:val="30"/>
        <w:ind w:firstLine="210"/>
        <w:rPr>
          <w:rFonts w:ascii="宋体" w:hAnsi="宋体" w:cs="宋体"/>
          <w:color w:val="auto"/>
          <w:highlight w:val="none"/>
        </w:rPr>
      </w:pPr>
    </w:p>
    <w:p w14:paraId="143C945D">
      <w:pPr>
        <w:pStyle w:val="30"/>
        <w:ind w:firstLine="210"/>
        <w:rPr>
          <w:rFonts w:ascii="宋体" w:hAnsi="宋体" w:cs="宋体"/>
          <w:color w:val="auto"/>
          <w:highlight w:val="none"/>
        </w:rPr>
      </w:pPr>
    </w:p>
    <w:p w14:paraId="2F6462F9">
      <w:pPr>
        <w:pStyle w:val="30"/>
        <w:ind w:firstLine="210"/>
        <w:rPr>
          <w:rFonts w:ascii="宋体" w:hAnsi="宋体" w:cs="宋体"/>
          <w:color w:val="auto"/>
          <w:highlight w:val="none"/>
        </w:rPr>
      </w:pPr>
    </w:p>
    <w:p w14:paraId="7B190858">
      <w:pPr>
        <w:snapToGrid w:val="0"/>
        <w:spacing w:line="360" w:lineRule="auto"/>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、除谈判文件规定必须提供以外，供应商认为需要提供的其他证明材料</w:t>
      </w:r>
    </w:p>
    <w:p w14:paraId="23D6A48C">
      <w:pPr>
        <w:snapToGrid w:val="0"/>
        <w:spacing w:line="360" w:lineRule="auto"/>
        <w:ind w:firstLine="602" w:firstLineChars="200"/>
        <w:rPr>
          <w:rFonts w:ascii="宋体" w:hAnsi="宋体" w:cs="宋体"/>
          <w:b/>
          <w:color w:val="auto"/>
          <w:sz w:val="30"/>
          <w:szCs w:val="30"/>
          <w:highlight w:val="none"/>
        </w:rPr>
      </w:pPr>
    </w:p>
    <w:p w14:paraId="1EA27D51">
      <w:pPr>
        <w:pStyle w:val="23"/>
        <w:ind w:firstLine="422"/>
        <w:rPr>
          <w:rFonts w:hAnsi="宋体" w:cs="宋体"/>
          <w:color w:val="auto"/>
          <w:highlight w:val="none"/>
        </w:rPr>
      </w:pPr>
    </w:p>
    <w:p w14:paraId="0FF7D6ED">
      <w:pPr>
        <w:rPr>
          <w:rFonts w:ascii="宋体" w:hAnsi="宋体" w:cs="宋体"/>
          <w:color w:val="auto"/>
          <w:highlight w:val="none"/>
        </w:rPr>
      </w:pPr>
    </w:p>
    <w:p w14:paraId="63A01DA3">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3EB2D46">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72399A05">
      <w:pPr>
        <w:pStyle w:val="23"/>
        <w:ind w:firstLine="422"/>
        <w:rPr>
          <w:rFonts w:hAnsi="宋体" w:cs="宋体"/>
          <w:color w:val="auto"/>
          <w:highlight w:val="none"/>
        </w:rPr>
        <w:sectPr>
          <w:pgSz w:w="11910" w:h="16840"/>
          <w:pgMar w:top="1340" w:right="1500" w:bottom="280" w:left="1680" w:header="720" w:footer="720" w:gutter="0"/>
          <w:cols w:space="720" w:num="1"/>
        </w:sectPr>
      </w:pPr>
    </w:p>
    <w:p w14:paraId="6C2D4784">
      <w:pPr>
        <w:pStyle w:val="4"/>
        <w:jc w:val="center"/>
        <w:rPr>
          <w:rFonts w:ascii="宋体" w:hAnsi="宋体" w:cs="宋体"/>
          <w:b w:val="0"/>
          <w:color w:val="auto"/>
          <w:highlight w:val="none"/>
        </w:rPr>
      </w:pPr>
      <w:bookmarkStart w:id="149" w:name="_Toc12756"/>
      <w:bookmarkStart w:id="150" w:name="_Toc80205940"/>
      <w:bookmarkStart w:id="151" w:name="_Toc7326"/>
      <w:bookmarkStart w:id="152" w:name="_Toc15584"/>
      <w:bookmarkStart w:id="153" w:name="_Toc10407"/>
      <w:r>
        <w:rPr>
          <w:rFonts w:hint="eastAsia" w:ascii="宋体" w:hAnsi="宋体" w:cs="宋体"/>
          <w:b w:val="0"/>
          <w:bCs w:val="0"/>
          <w:color w:val="auto"/>
          <w:highlight w:val="none"/>
        </w:rPr>
        <w:t xml:space="preserve">第三节 </w:t>
      </w:r>
      <w:r>
        <w:rPr>
          <w:rFonts w:hint="eastAsia" w:ascii="宋体" w:hAnsi="宋体" w:cs="宋体"/>
          <w:b w:val="0"/>
          <w:color w:val="auto"/>
          <w:highlight w:val="none"/>
        </w:rPr>
        <w:t>商务技术文件格式</w:t>
      </w:r>
      <w:bookmarkEnd w:id="149"/>
      <w:bookmarkEnd w:id="150"/>
      <w:bookmarkEnd w:id="151"/>
      <w:bookmarkEnd w:id="152"/>
      <w:bookmarkEnd w:id="153"/>
    </w:p>
    <w:p w14:paraId="4E79896F">
      <w:pPr>
        <w:snapToGrid w:val="0"/>
        <w:spacing w:before="120"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3839652B">
      <w:pPr>
        <w:snapToGrid w:val="0"/>
        <w:spacing w:before="120" w:beforeLines="50" w:after="50"/>
        <w:rPr>
          <w:rFonts w:ascii="宋体" w:hAnsi="宋体" w:cs="宋体"/>
          <w:color w:val="auto"/>
          <w:sz w:val="24"/>
          <w:szCs w:val="20"/>
          <w:highlight w:val="none"/>
        </w:rPr>
      </w:pPr>
    </w:p>
    <w:p w14:paraId="7D01C66E">
      <w:pPr>
        <w:snapToGrid w:val="0"/>
        <w:spacing w:before="120" w:beforeLines="50" w:after="50"/>
        <w:rPr>
          <w:rFonts w:ascii="宋体" w:hAnsi="宋体" w:cs="宋体"/>
          <w:color w:val="auto"/>
          <w:sz w:val="24"/>
          <w:szCs w:val="20"/>
          <w:highlight w:val="none"/>
        </w:rPr>
      </w:pPr>
    </w:p>
    <w:p w14:paraId="65F92CB5">
      <w:pPr>
        <w:snapToGrid w:val="0"/>
        <w:spacing w:before="120" w:beforeLines="50" w:after="50"/>
        <w:rPr>
          <w:rFonts w:ascii="宋体" w:hAnsi="宋体" w:cs="宋体"/>
          <w:color w:val="auto"/>
          <w:sz w:val="24"/>
          <w:szCs w:val="20"/>
          <w:highlight w:val="none"/>
        </w:rPr>
      </w:pPr>
    </w:p>
    <w:p w14:paraId="19AAD79A">
      <w:pPr>
        <w:snapToGrid w:val="0"/>
        <w:spacing w:before="120"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商  务  技  术  文  件（封面）</w:t>
      </w:r>
    </w:p>
    <w:p w14:paraId="09CECFAB">
      <w:pPr>
        <w:snapToGrid w:val="0"/>
        <w:spacing w:before="120" w:beforeLines="50" w:after="50"/>
        <w:rPr>
          <w:rFonts w:ascii="宋体" w:hAnsi="宋体" w:cs="宋体"/>
          <w:bCs/>
          <w:color w:val="auto"/>
          <w:sz w:val="24"/>
          <w:szCs w:val="20"/>
          <w:highlight w:val="none"/>
        </w:rPr>
      </w:pPr>
    </w:p>
    <w:p w14:paraId="52F95CA7">
      <w:pPr>
        <w:snapToGrid w:val="0"/>
        <w:spacing w:before="120" w:beforeLines="50" w:after="50"/>
        <w:rPr>
          <w:rFonts w:ascii="宋体" w:hAnsi="宋体" w:cs="宋体"/>
          <w:bCs/>
          <w:color w:val="auto"/>
          <w:sz w:val="24"/>
          <w:szCs w:val="20"/>
          <w:highlight w:val="none"/>
        </w:rPr>
      </w:pPr>
    </w:p>
    <w:p w14:paraId="1F42B747">
      <w:pPr>
        <w:snapToGrid w:val="0"/>
        <w:spacing w:before="120" w:beforeLines="50" w:after="50"/>
        <w:rPr>
          <w:rFonts w:ascii="宋体" w:hAnsi="宋体" w:cs="宋体"/>
          <w:bCs/>
          <w:color w:val="auto"/>
          <w:sz w:val="24"/>
          <w:szCs w:val="20"/>
          <w:highlight w:val="none"/>
        </w:rPr>
      </w:pPr>
    </w:p>
    <w:p w14:paraId="2B5A7D3E">
      <w:pPr>
        <w:snapToGrid w:val="0"/>
        <w:spacing w:before="120" w:beforeLines="50" w:after="50"/>
        <w:rPr>
          <w:rFonts w:ascii="宋体" w:hAnsi="宋体" w:cs="宋体"/>
          <w:bCs/>
          <w:color w:val="auto"/>
          <w:sz w:val="24"/>
          <w:szCs w:val="20"/>
          <w:highlight w:val="none"/>
        </w:rPr>
      </w:pPr>
    </w:p>
    <w:p w14:paraId="656089F1">
      <w:pPr>
        <w:snapToGrid w:val="0"/>
        <w:spacing w:before="120" w:beforeLines="50" w:after="50"/>
        <w:rPr>
          <w:rFonts w:ascii="宋体" w:hAnsi="宋体" w:cs="宋体"/>
          <w:bCs/>
          <w:color w:val="auto"/>
          <w:sz w:val="24"/>
          <w:szCs w:val="20"/>
          <w:highlight w:val="none"/>
        </w:rPr>
      </w:pPr>
    </w:p>
    <w:p w14:paraId="02A51B4F">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项目名称： </w:t>
      </w:r>
    </w:p>
    <w:p w14:paraId="394AFA5B">
      <w:pPr>
        <w:snapToGrid w:val="0"/>
        <w:spacing w:before="120" w:beforeLines="50" w:after="50"/>
        <w:ind w:firstLine="720" w:firstLineChars="225"/>
        <w:rPr>
          <w:rFonts w:ascii="宋体" w:hAnsi="宋体" w:cs="宋体"/>
          <w:bCs/>
          <w:color w:val="auto"/>
          <w:sz w:val="32"/>
          <w:szCs w:val="32"/>
          <w:highlight w:val="none"/>
        </w:rPr>
      </w:pPr>
    </w:p>
    <w:p w14:paraId="6A4E7865">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3D40479C">
      <w:pPr>
        <w:snapToGrid w:val="0"/>
        <w:spacing w:before="120"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A1D2F99">
      <w:pPr>
        <w:snapToGrid w:val="0"/>
        <w:spacing w:before="120"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769271CD">
      <w:pPr>
        <w:snapToGrid w:val="0"/>
        <w:spacing w:before="120" w:beforeLines="50" w:after="50"/>
        <w:ind w:firstLine="720" w:firstLineChars="225"/>
        <w:rPr>
          <w:rFonts w:ascii="宋体" w:hAnsi="宋体" w:cs="宋体"/>
          <w:bCs/>
          <w:color w:val="auto"/>
          <w:sz w:val="32"/>
          <w:szCs w:val="32"/>
          <w:highlight w:val="none"/>
        </w:rPr>
      </w:pPr>
    </w:p>
    <w:p w14:paraId="57BE67CE">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DF287E7">
      <w:pPr>
        <w:pStyle w:val="8"/>
        <w:snapToGrid w:val="0"/>
        <w:spacing w:before="50" w:after="50"/>
        <w:ind w:firstLine="720" w:firstLineChars="225"/>
        <w:rPr>
          <w:rFonts w:ascii="宋体" w:hAnsi="宋体" w:cs="宋体"/>
          <w:bCs/>
          <w:color w:val="auto"/>
          <w:sz w:val="32"/>
          <w:szCs w:val="32"/>
          <w:highlight w:val="none"/>
        </w:rPr>
      </w:pPr>
    </w:p>
    <w:p w14:paraId="7536DD24">
      <w:pPr>
        <w:pStyle w:val="8"/>
        <w:snapToGrid w:val="0"/>
        <w:spacing w:before="50" w:after="50"/>
        <w:ind w:firstLine="720" w:firstLineChars="225"/>
        <w:rPr>
          <w:rFonts w:ascii="宋体" w:hAnsi="宋体" w:cs="宋体"/>
          <w:bCs/>
          <w:color w:val="auto"/>
          <w:sz w:val="32"/>
          <w:szCs w:val="32"/>
          <w:highlight w:val="none"/>
        </w:rPr>
      </w:pPr>
    </w:p>
    <w:p w14:paraId="4F97630C">
      <w:pPr>
        <w:pStyle w:val="8"/>
        <w:snapToGrid w:val="0"/>
        <w:spacing w:before="50" w:after="50"/>
        <w:ind w:firstLine="1280" w:firstLineChars="400"/>
        <w:rPr>
          <w:rFonts w:ascii="宋体" w:hAnsi="宋体" w:cs="宋体"/>
          <w:bCs/>
          <w:color w:val="auto"/>
          <w:sz w:val="32"/>
          <w:szCs w:val="32"/>
          <w:highlight w:val="none"/>
        </w:rPr>
      </w:pPr>
    </w:p>
    <w:p w14:paraId="6E8D55CC">
      <w:pPr>
        <w:snapToGrid w:val="0"/>
        <w:spacing w:before="120"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2C33569B">
      <w:pPr>
        <w:jc w:val="center"/>
        <w:rPr>
          <w:rFonts w:ascii="宋体" w:hAnsi="宋体" w:cs="宋体"/>
          <w:b/>
          <w:color w:val="auto"/>
          <w:kern w:val="0"/>
          <w:sz w:val="28"/>
          <w:szCs w:val="28"/>
          <w:highlight w:val="none"/>
        </w:rPr>
      </w:pPr>
      <w:r>
        <w:rPr>
          <w:rFonts w:hint="eastAsia" w:ascii="宋体" w:hAnsi="宋体" w:cs="宋体"/>
          <w:color w:val="auto"/>
          <w:sz w:val="24"/>
          <w:highlight w:val="none"/>
        </w:rPr>
        <w:br w:type="page"/>
      </w:r>
      <w:r>
        <w:rPr>
          <w:rFonts w:hint="eastAsia" w:ascii="宋体" w:hAnsi="宋体" w:cs="宋体"/>
          <w:b/>
          <w:color w:val="auto"/>
          <w:kern w:val="0"/>
          <w:sz w:val="28"/>
          <w:szCs w:val="28"/>
          <w:highlight w:val="none"/>
        </w:rPr>
        <w:t>商务技术文件目录</w:t>
      </w:r>
    </w:p>
    <w:p w14:paraId="359CCCE3">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rPr>
        <w:t>一、无串标行为承诺函………………………………………………………（页码）</w:t>
      </w:r>
    </w:p>
    <w:p w14:paraId="57BFD930">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0A816966">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三、法定代表人授权委托书（如有委托时）………………………………（页码）</w:t>
      </w:r>
    </w:p>
    <w:p w14:paraId="2301AD05">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393F5B0E">
      <w:pPr>
        <w:pStyle w:val="89"/>
        <w:spacing w:line="360" w:lineRule="auto"/>
        <w:rPr>
          <w:rFonts w:ascii="宋体" w:hAnsi="宋体" w:eastAsia="宋体" w:cs="宋体"/>
          <w:color w:val="auto"/>
          <w:highlight w:val="none"/>
        </w:rPr>
      </w:pPr>
      <w:bookmarkStart w:id="154" w:name="OLE_LINK7"/>
      <w:bookmarkStart w:id="155" w:name="OLE_LINK6"/>
      <w:bookmarkStart w:id="156" w:name="OLE_LINK5"/>
      <w:r>
        <w:rPr>
          <w:rFonts w:hint="eastAsia" w:ascii="宋体" w:hAnsi="宋体" w:eastAsia="宋体" w:cs="宋体"/>
          <w:color w:val="auto"/>
          <w:highlight w:val="none"/>
        </w:rPr>
        <w:t>五、竞标人情况介绍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9CA045E">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rPr>
        <w:t>六、供应商类似业绩的证明文件（如有要求）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154"/>
      <w:bookmarkEnd w:id="155"/>
    </w:p>
    <w:bookmarkEnd w:id="156"/>
    <w:p w14:paraId="7EB7C803">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rPr>
        <w:t>七、</w:t>
      </w:r>
      <w:r>
        <w:rPr>
          <w:rFonts w:hint="eastAsia" w:ascii="宋体" w:hAnsi="宋体" w:eastAsia="宋体" w:cs="宋体"/>
          <w:color w:val="auto"/>
          <w:highlight w:val="none"/>
          <w:lang w:val="en-US" w:eastAsia="zh-CN"/>
        </w:rPr>
        <w:t>技术</w:t>
      </w:r>
      <w:r>
        <w:rPr>
          <w:rFonts w:hint="eastAsia" w:ascii="宋体" w:hAnsi="宋体" w:eastAsia="宋体" w:cs="宋体"/>
          <w:color w:val="auto"/>
          <w:highlight w:val="none"/>
        </w:rPr>
        <w:t>需求偏离表…………………………………………………………（页码）</w:t>
      </w:r>
    </w:p>
    <w:p w14:paraId="5CA5271F">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八</w:t>
      </w:r>
      <w:r>
        <w:rPr>
          <w:rFonts w:hint="eastAsia" w:ascii="宋体" w:hAnsi="宋体" w:eastAsia="宋体" w:cs="宋体"/>
          <w:color w:val="auto"/>
          <w:highlight w:val="none"/>
        </w:rPr>
        <w:t>、售后服务承诺………………………………</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41ABE67">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lang w:val="en-US" w:eastAsia="zh-CN"/>
        </w:rPr>
        <w:t>九</w:t>
      </w:r>
      <w:r>
        <w:rPr>
          <w:rFonts w:hint="eastAsia" w:ascii="宋体" w:hAnsi="宋体" w:eastAsia="宋体" w:cs="宋体"/>
          <w:color w:val="auto"/>
          <w:highlight w:val="none"/>
        </w:rPr>
        <w:t>、</w:t>
      </w:r>
      <w:r>
        <w:rPr>
          <w:rFonts w:hint="eastAsia" w:ascii="宋体" w:hAnsi="宋体" w:eastAsia="宋体" w:cs="宋体"/>
          <w:color w:val="auto"/>
          <w:highlight w:val="none"/>
          <w:lang w:val="zh-CN"/>
        </w:rPr>
        <w:t>项目实施人员一览表（如有要求）…………………………</w:t>
      </w:r>
      <w:r>
        <w:rPr>
          <w:rFonts w:hint="eastAsia" w:ascii="宋体" w:hAnsi="宋体" w:eastAsia="宋体" w:cs="宋体"/>
          <w:color w:val="auto"/>
          <w:highlight w:val="none"/>
        </w:rPr>
        <w:t>…………（页码）</w:t>
      </w:r>
    </w:p>
    <w:p w14:paraId="2180B061">
      <w:pPr>
        <w:pStyle w:val="89"/>
        <w:spacing w:line="360" w:lineRule="auto"/>
        <w:rPr>
          <w:rFonts w:ascii="宋体" w:hAnsi="宋体" w:eastAsia="宋体" w:cs="宋体"/>
          <w:color w:val="auto"/>
          <w:highlight w:val="none"/>
        </w:rPr>
      </w:pPr>
      <w:r>
        <w:rPr>
          <w:rFonts w:hint="eastAsia" w:ascii="宋体" w:hAnsi="宋体" w:eastAsia="宋体" w:cs="宋体"/>
          <w:color w:val="auto"/>
          <w:highlight w:val="none"/>
        </w:rPr>
        <w:t>十、货物需求、商务条款要求提供的其他材料</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2CCE97A">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注：以上目录是基本格式要求，各供应商可根据自身情况进一步向下增加内容或细化。</w:t>
      </w:r>
    </w:p>
    <w:p w14:paraId="308224B9">
      <w:pPr>
        <w:snapToGrid w:val="0"/>
        <w:spacing w:before="120" w:beforeLines="50" w:after="50" w:line="360" w:lineRule="auto"/>
        <w:ind w:left="142" w:firstLine="640" w:firstLineChars="200"/>
        <w:jc w:val="left"/>
        <w:rPr>
          <w:rFonts w:ascii="宋体" w:hAnsi="宋体" w:cs="宋体"/>
          <w:color w:val="auto"/>
          <w:sz w:val="32"/>
          <w:szCs w:val="32"/>
          <w:highlight w:val="none"/>
        </w:rPr>
      </w:pPr>
    </w:p>
    <w:p w14:paraId="298900A0">
      <w:pPr>
        <w:spacing w:line="800" w:lineRule="exact"/>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一、无串标行为承诺函</w:t>
      </w:r>
    </w:p>
    <w:p w14:paraId="6B74AEA9">
      <w:pPr>
        <w:spacing w:line="600" w:lineRule="exact"/>
        <w:ind w:firstLine="880"/>
        <w:jc w:val="center"/>
        <w:rPr>
          <w:rFonts w:ascii="宋体" w:hAnsi="宋体" w:cs="宋体"/>
          <w:b/>
          <w:color w:val="auto"/>
          <w:sz w:val="32"/>
          <w:szCs w:val="32"/>
          <w:highlight w:val="none"/>
        </w:rPr>
      </w:pPr>
      <w:r>
        <w:rPr>
          <w:rFonts w:hint="eastAsia" w:ascii="宋体" w:hAnsi="宋体" w:cs="宋体"/>
          <w:b/>
          <w:color w:val="auto"/>
          <w:sz w:val="32"/>
          <w:szCs w:val="32"/>
          <w:highlight w:val="none"/>
        </w:rPr>
        <w:t>无串通竞标行为的承诺函</w:t>
      </w:r>
    </w:p>
    <w:p w14:paraId="3F6B9BC7">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5554E7B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1.不同供应商的响应文件由同一单位或者个人编制；或者不同供应商报名的IP地址一致的；或者编制响应文件硬件设备CPU编号、硬盘编号、网卡地址一致的情况。</w:t>
      </w:r>
    </w:p>
    <w:p w14:paraId="60768B6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7A4E483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0CCC61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307A653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34C97F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7C00888F">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2A70B46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00FB56C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47E5344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11E25BE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A76CDB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5325986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121F3C4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39484668">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以上情形一经核查属实，接受政府采购监管部门对我方认定存在围标串标行为，我方愿意承担一切后果，并不再寻求任何旨在减轻或者免除法律责任的辩解。</w:t>
      </w:r>
    </w:p>
    <w:p w14:paraId="5FD36D55">
      <w:pPr>
        <w:autoSpaceDE w:val="0"/>
        <w:autoSpaceDN w:val="0"/>
        <w:spacing w:line="360" w:lineRule="auto"/>
        <w:ind w:left="4335" w:leftChars="1950" w:hanging="240" w:hangingChars="100"/>
        <w:rPr>
          <w:rFonts w:ascii="宋体" w:hAnsi="宋体" w:cs="宋体"/>
          <w:color w:val="auto"/>
          <w:kern w:val="0"/>
          <w:sz w:val="24"/>
          <w:highlight w:val="none"/>
        </w:rPr>
      </w:pPr>
    </w:p>
    <w:p w14:paraId="0EE5A54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0D63B3A5">
      <w:pPr>
        <w:spacing w:line="520" w:lineRule="exact"/>
        <w:ind w:firstLine="6360" w:firstLineChars="2650"/>
        <w:jc w:val="left"/>
        <w:rPr>
          <w:rFonts w:ascii="宋体" w:hAnsi="宋体" w:cs="宋体"/>
          <w:bCs/>
          <w:color w:val="auto"/>
          <w:sz w:val="44"/>
          <w:szCs w:val="44"/>
          <w:highlight w:val="none"/>
        </w:rPr>
      </w:pPr>
      <w:r>
        <w:rPr>
          <w:rFonts w:hint="eastAsia" w:ascii="宋体" w:hAnsi="宋体" w:cs="宋体"/>
          <w:color w:val="auto"/>
          <w:kern w:val="0"/>
          <w:sz w:val="24"/>
          <w:highlight w:val="none"/>
          <w:lang w:val="zh-CN"/>
        </w:rPr>
        <w:t xml:space="preserve">日期：  年  月   日        </w:t>
      </w:r>
      <w:r>
        <w:rPr>
          <w:rFonts w:hint="eastAsia" w:ascii="宋体" w:hAnsi="宋体" w:cs="宋体"/>
          <w:b/>
          <w:bCs/>
          <w:color w:val="auto"/>
          <w:sz w:val="32"/>
          <w:szCs w:val="32"/>
          <w:highlight w:val="none"/>
        </w:rPr>
        <w:br w:type="page"/>
      </w:r>
      <w:r>
        <w:rPr>
          <w:rFonts w:hint="eastAsia" w:ascii="宋体" w:hAnsi="宋体" w:cs="宋体"/>
          <w:b/>
          <w:color w:val="auto"/>
          <w:sz w:val="30"/>
          <w:szCs w:val="30"/>
          <w:highlight w:val="none"/>
        </w:rPr>
        <w:t>二、法定代表人身份证明及法定代表人有效身份证正反面复印件</w:t>
      </w:r>
    </w:p>
    <w:p w14:paraId="3772D360">
      <w:pPr>
        <w:spacing w:line="520" w:lineRule="exact"/>
        <w:jc w:val="center"/>
        <w:rPr>
          <w:rFonts w:ascii="宋体" w:hAnsi="宋体" w:cs="宋体"/>
          <w:bCs/>
          <w:color w:val="auto"/>
          <w:sz w:val="44"/>
          <w:szCs w:val="44"/>
          <w:highlight w:val="none"/>
        </w:rPr>
      </w:pPr>
    </w:p>
    <w:p w14:paraId="6607966C">
      <w:pPr>
        <w:spacing w:line="600" w:lineRule="exact"/>
        <w:ind w:firstLine="880"/>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法定代表人证明书</w:t>
      </w:r>
    </w:p>
    <w:p w14:paraId="18776400">
      <w:pPr>
        <w:spacing w:line="360" w:lineRule="auto"/>
        <w:ind w:left="540"/>
        <w:contextualSpacing/>
        <w:rPr>
          <w:rFonts w:ascii="宋体" w:hAnsi="宋体" w:cs="宋体"/>
          <w:color w:val="auto"/>
          <w:sz w:val="32"/>
          <w:szCs w:val="32"/>
          <w:highlight w:val="none"/>
        </w:rPr>
      </w:pPr>
    </w:p>
    <w:p w14:paraId="33FFDB1C">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35D9683A">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CA4F872">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68D338ED">
      <w:pPr>
        <w:spacing w:line="360" w:lineRule="auto"/>
        <w:ind w:left="540"/>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1DD90229">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E0CDF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C2CB5DE">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特此证明。</w:t>
      </w:r>
    </w:p>
    <w:p w14:paraId="50881877">
      <w:pPr>
        <w:spacing w:line="360" w:lineRule="auto"/>
        <w:ind w:left="540"/>
        <w:contextualSpacing/>
        <w:rPr>
          <w:rFonts w:ascii="宋体" w:hAnsi="宋体" w:cs="宋体"/>
          <w:color w:val="auto"/>
          <w:sz w:val="24"/>
          <w:highlight w:val="none"/>
        </w:rPr>
      </w:pPr>
    </w:p>
    <w:p w14:paraId="78E91727">
      <w:pPr>
        <w:spacing w:line="360" w:lineRule="auto"/>
        <w:ind w:left="540"/>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4A87640E">
      <w:pPr>
        <w:spacing w:line="360" w:lineRule="auto"/>
        <w:ind w:left="540"/>
        <w:contextualSpacing/>
        <w:rPr>
          <w:rFonts w:ascii="宋体" w:hAnsi="宋体" w:cs="宋体"/>
          <w:color w:val="auto"/>
          <w:sz w:val="24"/>
          <w:highlight w:val="none"/>
        </w:rPr>
      </w:pPr>
    </w:p>
    <w:p w14:paraId="083DB2A4">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BBF7137">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4ED30266">
      <w:pPr>
        <w:spacing w:line="360" w:lineRule="auto"/>
        <w:jc w:val="left"/>
        <w:rPr>
          <w:rFonts w:ascii="宋体" w:hAnsi="宋体" w:cs="宋体"/>
          <w:color w:val="auto"/>
          <w:sz w:val="24"/>
          <w:highlight w:val="none"/>
        </w:rPr>
      </w:pPr>
    </w:p>
    <w:p w14:paraId="6D87E786">
      <w:pPr>
        <w:spacing w:line="360" w:lineRule="auto"/>
        <w:jc w:val="left"/>
        <w:rPr>
          <w:rFonts w:ascii="宋体" w:hAnsi="宋体" w:cs="宋体"/>
          <w:color w:val="auto"/>
          <w:sz w:val="24"/>
          <w:highlight w:val="none"/>
        </w:rPr>
      </w:pPr>
      <w:r>
        <w:rPr>
          <w:rFonts w:hint="eastAsia" w:ascii="宋体" w:hAnsi="宋体" w:cs="宋体"/>
          <w:color w:val="auto"/>
          <w:sz w:val="24"/>
          <w:highlight w:val="none"/>
        </w:rPr>
        <w:t>注：1.自然人竞标的无需提供，联合体竞标的只需牵头人出具。</w:t>
      </w:r>
    </w:p>
    <w:p w14:paraId="6E2B2B5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73F1757">
      <w:pPr>
        <w:widowControl/>
        <w:spacing w:line="360" w:lineRule="auto"/>
        <w:jc w:val="left"/>
        <w:rPr>
          <w:rFonts w:ascii="宋体" w:hAnsi="宋体" w:cs="宋体"/>
          <w:color w:val="auto"/>
          <w:sz w:val="24"/>
          <w:highlight w:val="none"/>
        </w:rPr>
        <w:sectPr>
          <w:pgSz w:w="11910" w:h="16840"/>
          <w:pgMar w:top="1340" w:right="1500" w:bottom="280" w:left="1680" w:header="720" w:footer="720" w:gutter="0"/>
          <w:cols w:space="720" w:num="1"/>
        </w:sectPr>
      </w:pPr>
    </w:p>
    <w:tbl>
      <w:tblPr>
        <w:tblStyle w:val="32"/>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0BD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7C1308B5">
            <w:pPr>
              <w:spacing w:line="360" w:lineRule="auto"/>
              <w:rPr>
                <w:rFonts w:ascii="宋体" w:hAnsi="宋体" w:cs="宋体"/>
                <w:b/>
                <w:color w:val="auto"/>
                <w:sz w:val="24"/>
                <w:highlight w:val="none"/>
              </w:rPr>
            </w:pPr>
          </w:p>
          <w:p w14:paraId="2C23C29E">
            <w:pPr>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法定代表身份证复印件粘帖处（正、反面）</w:t>
            </w:r>
          </w:p>
        </w:tc>
      </w:tr>
    </w:tbl>
    <w:p w14:paraId="4C86D219">
      <w:pPr>
        <w:spacing w:line="360" w:lineRule="auto"/>
        <w:ind w:firstLine="482" w:firstLineChars="200"/>
        <w:jc w:val="left"/>
        <w:rPr>
          <w:rFonts w:ascii="宋体" w:hAnsi="宋体" w:cs="宋体"/>
          <w:b/>
          <w:color w:val="auto"/>
          <w:sz w:val="32"/>
          <w:szCs w:val="32"/>
          <w:highlight w:val="none"/>
        </w:rPr>
      </w:pPr>
      <w:r>
        <w:rPr>
          <w:rFonts w:hint="eastAsia" w:ascii="宋体" w:hAnsi="宋体" w:cs="宋体"/>
          <w:b/>
          <w:color w:val="auto"/>
          <w:sz w:val="24"/>
          <w:highlight w:val="none"/>
        </w:rPr>
        <w:t>附件：</w:t>
      </w:r>
    </w:p>
    <w:p w14:paraId="4FF2E012">
      <w:pPr>
        <w:adjustRightInd w:val="0"/>
        <w:snapToGrid w:val="0"/>
        <w:spacing w:line="300" w:lineRule="auto"/>
        <w:jc w:val="left"/>
        <w:rPr>
          <w:rFonts w:ascii="宋体" w:hAnsi="宋体" w:cs="宋体"/>
          <w:b/>
          <w:color w:val="auto"/>
          <w:szCs w:val="21"/>
          <w:highlight w:val="none"/>
        </w:rPr>
      </w:pPr>
    </w:p>
    <w:p w14:paraId="2126AF42">
      <w:pPr>
        <w:snapToGrid w:val="0"/>
        <w:spacing w:line="360" w:lineRule="auto"/>
        <w:ind w:firstLine="880" w:firstLineChars="200"/>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b/>
          <w:color w:val="auto"/>
          <w:sz w:val="30"/>
          <w:szCs w:val="30"/>
          <w:highlight w:val="none"/>
        </w:rPr>
        <w:t>三、法定代表人授权委托书</w:t>
      </w:r>
    </w:p>
    <w:p w14:paraId="3914937E">
      <w:pPr>
        <w:spacing w:line="600" w:lineRule="exact"/>
        <w:ind w:firstLine="880"/>
        <w:jc w:val="center"/>
        <w:rPr>
          <w:rFonts w:ascii="宋体" w:hAnsi="宋体" w:cs="宋体"/>
          <w:b/>
          <w:color w:val="auto"/>
          <w:sz w:val="32"/>
          <w:szCs w:val="32"/>
          <w:highlight w:val="none"/>
        </w:rPr>
      </w:pPr>
      <w:r>
        <w:rPr>
          <w:rFonts w:hint="eastAsia" w:ascii="宋体" w:hAnsi="宋体" w:cs="宋体"/>
          <w:b/>
          <w:color w:val="auto"/>
          <w:sz w:val="32"/>
          <w:szCs w:val="32"/>
          <w:highlight w:val="none"/>
        </w:rPr>
        <w:t>授权委托书（非联合体竞标格式）</w:t>
      </w:r>
    </w:p>
    <w:p w14:paraId="31EBD8D9">
      <w:pPr>
        <w:spacing w:line="600" w:lineRule="exact"/>
        <w:ind w:firstLine="880"/>
        <w:jc w:val="center"/>
        <w:rPr>
          <w:rFonts w:ascii="宋体" w:hAnsi="宋体" w:cs="宋体"/>
          <w:b/>
          <w:color w:val="auto"/>
          <w:sz w:val="32"/>
          <w:szCs w:val="32"/>
          <w:highlight w:val="none"/>
        </w:rPr>
      </w:pPr>
      <w:r>
        <w:rPr>
          <w:rFonts w:hint="eastAsia" w:ascii="宋体" w:hAnsi="宋体" w:cs="宋体"/>
          <w:b/>
          <w:color w:val="auto"/>
          <w:sz w:val="32"/>
          <w:szCs w:val="32"/>
          <w:highlight w:val="none"/>
        </w:rPr>
        <w:t>（如有委托时）</w:t>
      </w:r>
    </w:p>
    <w:p w14:paraId="27617379">
      <w:pPr>
        <w:spacing w:line="520" w:lineRule="exact"/>
        <w:rPr>
          <w:rFonts w:ascii="宋体" w:hAnsi="宋体" w:cs="宋体"/>
          <w:color w:val="auto"/>
          <w:sz w:val="32"/>
          <w:szCs w:val="32"/>
          <w:highlight w:val="none"/>
        </w:rPr>
      </w:pPr>
    </w:p>
    <w:p w14:paraId="4EF652D0">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采购人  </w:t>
      </w:r>
      <w:r>
        <w:rPr>
          <w:rFonts w:hint="eastAsia" w:ascii="宋体" w:hAnsi="宋体" w:cs="宋体"/>
          <w:color w:val="auto"/>
          <w:sz w:val="24"/>
          <w:highlight w:val="none"/>
        </w:rPr>
        <w:t>：</w:t>
      </w:r>
    </w:p>
    <w:p w14:paraId="45D5AFB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），现授权我公司在职人员</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2238F2B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5C18E3B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7C605A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841A6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07EC532C">
      <w:pPr>
        <w:spacing w:line="360" w:lineRule="auto"/>
        <w:rPr>
          <w:rFonts w:ascii="宋体" w:hAnsi="宋体" w:cs="宋体"/>
          <w:color w:val="auto"/>
          <w:sz w:val="24"/>
          <w:highlight w:val="none"/>
        </w:rPr>
      </w:pPr>
    </w:p>
    <w:p w14:paraId="2F599416">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法定代表人（签字或盖章）：                    </w:t>
      </w:r>
    </w:p>
    <w:p w14:paraId="5B6E28D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153307CE">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325ADD26">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rPr>
        <w:t>供应商名称（电子签章）：</w:t>
      </w:r>
    </w:p>
    <w:p w14:paraId="39F564E7">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5CAE7313">
      <w:pPr>
        <w:spacing w:line="360" w:lineRule="auto"/>
        <w:rPr>
          <w:rFonts w:ascii="宋体" w:hAnsi="宋体" w:cs="宋体"/>
          <w:color w:val="auto"/>
          <w:sz w:val="24"/>
          <w:highlight w:val="none"/>
        </w:rPr>
      </w:pPr>
    </w:p>
    <w:p w14:paraId="10091715">
      <w:pPr>
        <w:spacing w:line="360" w:lineRule="auto"/>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4305F52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E6BDD1A">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 法人、其他组织竞标时“我方”是指“我单位”，自然人竞标时“我方”是指“本人”。</w:t>
      </w:r>
    </w:p>
    <w:p w14:paraId="687D0C07">
      <w:pPr>
        <w:spacing w:line="600" w:lineRule="exact"/>
        <w:ind w:firstLine="880"/>
        <w:jc w:val="center"/>
        <w:rPr>
          <w:rFonts w:ascii="宋体" w:hAnsi="宋体" w:cs="宋体"/>
          <w:b/>
          <w:color w:val="auto"/>
          <w:sz w:val="32"/>
          <w:szCs w:val="32"/>
          <w:highlight w:val="none"/>
        </w:rPr>
      </w:pPr>
      <w:r>
        <w:rPr>
          <w:rFonts w:hint="eastAsia" w:ascii="宋体" w:hAnsi="宋体" w:cs="宋体"/>
          <w:color w:val="auto"/>
          <w:szCs w:val="21"/>
          <w:highlight w:val="none"/>
        </w:rPr>
        <w:br w:type="page"/>
      </w:r>
      <w:r>
        <w:rPr>
          <w:rFonts w:hint="eastAsia" w:ascii="宋体" w:hAnsi="宋体" w:cs="宋体"/>
          <w:b/>
          <w:color w:val="auto"/>
          <w:sz w:val="32"/>
          <w:szCs w:val="32"/>
          <w:highlight w:val="none"/>
        </w:rPr>
        <w:t>授权委托书（联合体竞标格式）</w:t>
      </w:r>
    </w:p>
    <w:p w14:paraId="07D3029D">
      <w:pPr>
        <w:spacing w:line="600" w:lineRule="exact"/>
        <w:ind w:firstLine="880"/>
        <w:jc w:val="center"/>
        <w:rPr>
          <w:rFonts w:ascii="宋体" w:hAnsi="宋体" w:cs="宋体"/>
          <w:b/>
          <w:color w:val="auto"/>
          <w:sz w:val="32"/>
          <w:szCs w:val="32"/>
          <w:highlight w:val="none"/>
        </w:rPr>
      </w:pPr>
      <w:r>
        <w:rPr>
          <w:rFonts w:hint="eastAsia" w:ascii="宋体" w:hAnsi="宋体" w:cs="宋体"/>
          <w:b/>
          <w:color w:val="auto"/>
          <w:sz w:val="32"/>
          <w:szCs w:val="32"/>
          <w:highlight w:val="none"/>
        </w:rPr>
        <w:t>（如有委托时）</w:t>
      </w:r>
    </w:p>
    <w:p w14:paraId="4190EAAC">
      <w:pPr>
        <w:spacing w:line="500" w:lineRule="exact"/>
        <w:jc w:val="center"/>
        <w:rPr>
          <w:rFonts w:ascii="宋体" w:hAnsi="宋体" w:cs="宋体"/>
          <w:color w:val="auto"/>
          <w:sz w:val="44"/>
          <w:szCs w:val="44"/>
          <w:highlight w:val="none"/>
        </w:rPr>
      </w:pPr>
    </w:p>
    <w:p w14:paraId="78FC76E8">
      <w:pPr>
        <w:spacing w:line="500" w:lineRule="exact"/>
        <w:jc w:val="center"/>
        <w:rPr>
          <w:rFonts w:ascii="宋体" w:hAnsi="宋体" w:cs="宋体"/>
          <w:color w:val="auto"/>
          <w:sz w:val="32"/>
          <w:szCs w:val="32"/>
          <w:highlight w:val="none"/>
        </w:rPr>
      </w:pPr>
    </w:p>
    <w:p w14:paraId="6BAEE447">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（联合体其他成员名称）签订的《联合体竞标协议书》的内容，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3AB5434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4F4C5E5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29B876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3879B9F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4DF5B421">
      <w:pPr>
        <w:spacing w:line="360" w:lineRule="auto"/>
        <w:ind w:firstLine="1560" w:firstLineChars="650"/>
        <w:rPr>
          <w:rFonts w:ascii="宋体" w:hAnsi="宋体" w:cs="宋体"/>
          <w:color w:val="auto"/>
          <w:sz w:val="24"/>
          <w:highlight w:val="none"/>
        </w:rPr>
      </w:pPr>
      <w:r>
        <w:rPr>
          <w:rFonts w:hint="eastAsia" w:ascii="宋体" w:hAnsi="宋体" w:cs="宋体"/>
          <w:color w:val="auto"/>
          <w:sz w:val="24"/>
          <w:highlight w:val="none"/>
        </w:rPr>
        <w:t>牵头人法定代表人（签字或盖章）：</w:t>
      </w:r>
    </w:p>
    <w:p w14:paraId="1CE9A580">
      <w:pPr>
        <w:spacing w:line="360" w:lineRule="auto"/>
        <w:ind w:firstLine="3000" w:firstLineChars="1250"/>
        <w:rPr>
          <w:rFonts w:ascii="宋体" w:hAnsi="宋体" w:cs="宋体"/>
          <w:color w:val="auto"/>
          <w:sz w:val="24"/>
          <w:highlight w:val="none"/>
        </w:rPr>
      </w:pPr>
      <w:r>
        <w:rPr>
          <w:rFonts w:hint="eastAsia" w:ascii="宋体" w:hAnsi="宋体" w:cs="宋体"/>
          <w:color w:val="auto"/>
          <w:sz w:val="24"/>
          <w:highlight w:val="none"/>
        </w:rPr>
        <w:t>牵头人（电子签章）：</w:t>
      </w:r>
    </w:p>
    <w:p w14:paraId="77C544C7">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064FED8A">
      <w:pPr>
        <w:spacing w:line="360" w:lineRule="auto"/>
        <w:rPr>
          <w:rFonts w:ascii="宋体" w:hAnsi="宋体" w:cs="宋体"/>
          <w:color w:val="auto"/>
          <w:sz w:val="24"/>
          <w:highlight w:val="none"/>
        </w:rPr>
      </w:pPr>
    </w:p>
    <w:p w14:paraId="7F449698">
      <w:pPr>
        <w:spacing w:line="360" w:lineRule="auto"/>
        <w:ind w:firstLine="3120" w:firstLineChars="1300"/>
        <w:rPr>
          <w:rFonts w:ascii="宋体" w:hAnsi="宋体" w:cs="宋体"/>
          <w:color w:val="auto"/>
          <w:sz w:val="24"/>
          <w:highlight w:val="none"/>
        </w:rPr>
      </w:pPr>
      <w:r>
        <w:rPr>
          <w:rFonts w:hint="eastAsia" w:ascii="宋体" w:hAnsi="宋体" w:cs="宋体"/>
          <w:color w:val="auto"/>
          <w:sz w:val="24"/>
          <w:highlight w:val="none"/>
        </w:rPr>
        <w:t>被授权人（签字）：</w:t>
      </w:r>
    </w:p>
    <w:p w14:paraId="68EAA49C">
      <w:pPr>
        <w:spacing w:line="360" w:lineRule="auto"/>
        <w:ind w:firstLine="3840" w:firstLineChars="1600"/>
        <w:rPr>
          <w:rFonts w:ascii="宋体" w:hAnsi="宋体" w:cs="宋体"/>
          <w:color w:val="auto"/>
          <w:sz w:val="24"/>
          <w:highlight w:val="none"/>
        </w:rPr>
      </w:pPr>
      <w:r>
        <w:rPr>
          <w:rFonts w:hint="eastAsia" w:ascii="宋体" w:hAnsi="宋体" w:cs="宋体"/>
          <w:color w:val="auto"/>
          <w:sz w:val="24"/>
          <w:highlight w:val="none"/>
        </w:rPr>
        <w:t>日期：    年   月   日</w:t>
      </w:r>
    </w:p>
    <w:p w14:paraId="74ED4AF2">
      <w:pPr>
        <w:spacing w:line="360" w:lineRule="auto"/>
        <w:rPr>
          <w:rFonts w:ascii="宋体" w:hAnsi="宋体" w:cs="宋体"/>
          <w:color w:val="auto"/>
          <w:sz w:val="24"/>
          <w:highlight w:val="none"/>
        </w:rPr>
      </w:pPr>
    </w:p>
    <w:p w14:paraId="77B31B4E">
      <w:pPr>
        <w:spacing w:line="360" w:lineRule="auto"/>
        <w:rPr>
          <w:rFonts w:ascii="宋体" w:hAnsi="宋体" w:cs="宋体"/>
          <w:color w:val="auto"/>
          <w:sz w:val="24"/>
          <w:highlight w:val="none"/>
        </w:rPr>
      </w:pPr>
      <w:r>
        <w:rPr>
          <w:rFonts w:hint="eastAsia" w:ascii="宋体" w:hAnsi="宋体" w:cs="宋体"/>
          <w:color w:val="auto"/>
          <w:sz w:val="24"/>
          <w:highlight w:val="none"/>
        </w:rPr>
        <w:t>注：</w:t>
      </w:r>
    </w:p>
    <w:p w14:paraId="4EC0736F">
      <w:pPr>
        <w:spacing w:line="360" w:lineRule="auto"/>
        <w:rPr>
          <w:rFonts w:ascii="宋体" w:hAnsi="宋体" w:cs="宋体"/>
          <w:color w:val="auto"/>
          <w:sz w:val="24"/>
          <w:highlight w:val="none"/>
        </w:rPr>
      </w:pPr>
      <w:r>
        <w:rPr>
          <w:rFonts w:hint="eastAsia" w:ascii="宋体" w:hAnsi="宋体" w:cs="宋体"/>
          <w:color w:val="auto"/>
          <w:sz w:val="24"/>
          <w:highlight w:val="none"/>
        </w:rPr>
        <w:t>1. 法定代表人必须在授权委托书上亲笔签字或盖章，委托代理人必须在授权委托书上亲笔签字，</w:t>
      </w:r>
      <w:r>
        <w:rPr>
          <w:rFonts w:hint="eastAsia" w:ascii="宋体" w:hAnsi="宋体" w:cs="宋体"/>
          <w:b/>
          <w:color w:val="auto"/>
          <w:sz w:val="24"/>
          <w:highlight w:val="none"/>
        </w:rPr>
        <w:t>否则其响应文件按无效响应处理。</w:t>
      </w:r>
    </w:p>
    <w:p w14:paraId="398C506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5B43F2E5">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756BDB5">
      <w:pPr>
        <w:spacing w:line="360" w:lineRule="auto"/>
        <w:ind w:firstLine="480" w:firstLineChars="200"/>
        <w:jc w:val="left"/>
        <w:rPr>
          <w:rFonts w:ascii="宋体" w:hAnsi="宋体" w:cs="宋体"/>
          <w:color w:val="auto"/>
          <w:szCs w:val="21"/>
          <w:highlight w:val="none"/>
        </w:rPr>
      </w:pPr>
      <w:r>
        <w:rPr>
          <w:rFonts w:hint="eastAsia" w:ascii="宋体" w:hAnsi="宋体" w:cs="宋体"/>
          <w:color w:val="auto"/>
          <w:sz w:val="24"/>
          <w:highlight w:val="none"/>
        </w:rPr>
        <w:t>4.法人、其他组织竞标时“我方”是指“我单位”，自然人竞标时“我方”是指“本人”。</w:t>
      </w:r>
    </w:p>
    <w:p w14:paraId="41390FBB">
      <w:pPr>
        <w:snapToGrid w:val="0"/>
        <w:spacing w:line="360" w:lineRule="auto"/>
        <w:ind w:firstLine="640" w:firstLineChars="200"/>
        <w:rPr>
          <w:rFonts w:ascii="宋体" w:hAnsi="宋体" w:cs="宋体"/>
          <w:b/>
          <w:bCs/>
          <w:color w:val="auto"/>
          <w:sz w:val="32"/>
          <w:szCs w:val="32"/>
          <w:highlight w:val="none"/>
        </w:rPr>
      </w:pPr>
      <w:r>
        <w:rPr>
          <w:rFonts w:hint="eastAsia" w:ascii="宋体" w:hAnsi="宋体" w:cs="宋体"/>
          <w:color w:val="auto"/>
          <w:sz w:val="32"/>
          <w:szCs w:val="32"/>
          <w:highlight w:val="none"/>
        </w:rPr>
        <w:br w:type="page"/>
      </w:r>
      <w:r>
        <w:rPr>
          <w:rFonts w:hint="eastAsia" w:ascii="宋体" w:hAnsi="宋体" w:cs="宋体"/>
          <w:b/>
          <w:color w:val="auto"/>
          <w:sz w:val="30"/>
          <w:szCs w:val="30"/>
          <w:highlight w:val="none"/>
        </w:rPr>
        <w:t>四、商务条款偏离表</w:t>
      </w:r>
    </w:p>
    <w:p w14:paraId="54C18403">
      <w:pPr>
        <w:spacing w:line="480" w:lineRule="exact"/>
        <w:ind w:firstLine="880"/>
        <w:jc w:val="center"/>
        <w:rPr>
          <w:rFonts w:ascii="宋体" w:hAnsi="宋体" w:cs="宋体"/>
          <w:b/>
          <w:color w:val="auto"/>
          <w:sz w:val="32"/>
          <w:szCs w:val="32"/>
          <w:highlight w:val="none"/>
        </w:rPr>
      </w:pPr>
      <w:r>
        <w:rPr>
          <w:rFonts w:hint="eastAsia" w:ascii="宋体" w:hAnsi="宋体" w:cs="宋体"/>
          <w:b/>
          <w:color w:val="auto"/>
          <w:sz w:val="32"/>
          <w:szCs w:val="32"/>
          <w:highlight w:val="none"/>
        </w:rPr>
        <w:t>商务条款偏离表（格式）</w:t>
      </w:r>
    </w:p>
    <w:p w14:paraId="639347F8">
      <w:pPr>
        <w:spacing w:line="480" w:lineRule="exact"/>
        <w:rPr>
          <w:rFonts w:ascii="宋体" w:hAnsi="宋体" w:cs="宋体"/>
          <w:color w:val="auto"/>
          <w:sz w:val="24"/>
          <w:highlight w:val="none"/>
          <w:u w:val="single"/>
        </w:rPr>
      </w:pPr>
      <w:r>
        <w:rPr>
          <w:rFonts w:hint="eastAsia" w:ascii="宋体" w:hAnsi="宋体" w:cs="宋体"/>
          <w:color w:val="auto"/>
          <w:sz w:val="24"/>
          <w:highlight w:val="none"/>
        </w:rPr>
        <w:t>分标号（此处有分标时填写具体分标号，无分标时填写“无”）：</w:t>
      </w:r>
      <w:r>
        <w:rPr>
          <w:rFonts w:hint="eastAsia" w:ascii="宋体" w:hAnsi="宋体" w:cs="宋体"/>
          <w:color w:val="auto"/>
          <w:sz w:val="24"/>
          <w:highlight w:val="none"/>
          <w:u w:val="single"/>
        </w:rPr>
        <w:t xml:space="preserve">                       </w:t>
      </w:r>
    </w:p>
    <w:tbl>
      <w:tblPr>
        <w:tblStyle w:val="32"/>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8D1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22EC5DC6">
            <w:pPr>
              <w:spacing w:line="340" w:lineRule="exact"/>
              <w:jc w:val="center"/>
              <w:rPr>
                <w:rFonts w:ascii="宋体" w:hAnsi="宋体" w:cs="宋体"/>
                <w:color w:val="auto"/>
                <w:sz w:val="24"/>
                <w:highlight w:val="none"/>
              </w:rPr>
            </w:pPr>
            <w:r>
              <w:rPr>
                <w:rFonts w:hint="eastAsia" w:ascii="宋体" w:hAnsi="宋体" w:cs="宋体"/>
                <w:color w:val="auto"/>
                <w:sz w:val="24"/>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147F84F">
            <w:pPr>
              <w:spacing w:line="340" w:lineRule="exact"/>
              <w:jc w:val="center"/>
              <w:rPr>
                <w:rFonts w:ascii="宋体" w:hAnsi="宋体" w:cs="宋体"/>
                <w:color w:val="auto"/>
                <w:sz w:val="24"/>
                <w:highlight w:val="none"/>
              </w:rPr>
            </w:pPr>
            <w:r>
              <w:rPr>
                <w:rFonts w:hint="eastAsia" w:ascii="宋体" w:hAnsi="宋体" w:cs="宋体"/>
                <w:color w:val="auto"/>
                <w:sz w:val="24"/>
                <w:highlight w:val="none"/>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464FC749">
            <w:pPr>
              <w:spacing w:line="340" w:lineRule="exact"/>
              <w:jc w:val="center"/>
              <w:rPr>
                <w:rFonts w:ascii="宋体" w:hAnsi="宋体" w:cs="宋体"/>
                <w:color w:val="auto"/>
                <w:sz w:val="24"/>
                <w:highlight w:val="none"/>
              </w:rPr>
            </w:pPr>
            <w:r>
              <w:rPr>
                <w:rFonts w:hint="eastAsia" w:ascii="宋体" w:hAnsi="宋体" w:cs="宋体"/>
                <w:color w:val="auto"/>
                <w:sz w:val="24"/>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2B032E55">
            <w:pPr>
              <w:spacing w:line="340" w:lineRule="exact"/>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7D24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BD9B6E9">
            <w:pPr>
              <w:spacing w:line="340" w:lineRule="exact"/>
              <w:rPr>
                <w:rFonts w:ascii="宋体" w:hAnsi="宋体" w:cs="宋体"/>
                <w:color w:val="auto"/>
                <w:sz w:val="24"/>
                <w:highlight w:val="none"/>
              </w:rPr>
            </w:pPr>
            <w:r>
              <w:rPr>
                <w:rFonts w:hint="eastAsia" w:ascii="宋体" w:hAnsi="宋体" w:cs="宋体"/>
                <w:color w:val="auto"/>
                <w:sz w:val="24"/>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586BA7D3">
            <w:pPr>
              <w:spacing w:line="340" w:lineRule="exact"/>
              <w:rPr>
                <w:rFonts w:ascii="宋体" w:hAnsi="宋体" w:cs="宋体"/>
                <w:color w:val="auto"/>
                <w:sz w:val="24"/>
                <w:highlight w:val="none"/>
              </w:rPr>
            </w:pPr>
            <w:r>
              <w:rPr>
                <w:rFonts w:hint="eastAsia" w:ascii="宋体" w:hAnsi="宋体" w:cs="宋体"/>
                <w:color w:val="auto"/>
                <w:sz w:val="24"/>
                <w:highlight w:val="none"/>
              </w:rPr>
              <w:t>1  ……</w:t>
            </w:r>
          </w:p>
          <w:p w14:paraId="36862106">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32AB5C6C">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6F156015">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68605BBE">
            <w:pPr>
              <w:spacing w:line="340" w:lineRule="exact"/>
              <w:rPr>
                <w:rFonts w:ascii="宋体" w:hAnsi="宋体" w:cs="宋体"/>
                <w:color w:val="auto"/>
                <w:sz w:val="24"/>
                <w:highlight w:val="none"/>
              </w:rPr>
            </w:pPr>
            <w:r>
              <w:rPr>
                <w:rFonts w:hint="eastAsia" w:ascii="宋体" w:hAnsi="宋体" w:cs="宋体"/>
                <w:color w:val="auto"/>
                <w:sz w:val="24"/>
                <w:highlight w:val="none"/>
              </w:rPr>
              <w:t>1  ……</w:t>
            </w:r>
          </w:p>
          <w:p w14:paraId="6A9E512F">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3CFC628E">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73B2D359">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0CAB7C46">
            <w:pPr>
              <w:spacing w:line="300" w:lineRule="exact"/>
              <w:rPr>
                <w:rFonts w:ascii="宋体" w:hAnsi="宋体" w:cs="宋体"/>
                <w:color w:val="auto"/>
                <w:sz w:val="24"/>
                <w:highlight w:val="none"/>
              </w:rPr>
            </w:pPr>
          </w:p>
        </w:tc>
      </w:tr>
      <w:tr w14:paraId="4B1A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65E586C2">
            <w:pPr>
              <w:spacing w:line="340" w:lineRule="exact"/>
              <w:rPr>
                <w:rFonts w:ascii="宋体" w:hAnsi="宋体" w:cs="宋体"/>
                <w:color w:val="auto"/>
                <w:sz w:val="24"/>
                <w:highlight w:val="none"/>
              </w:rPr>
            </w:pPr>
            <w:r>
              <w:rPr>
                <w:rFonts w:hint="eastAsia" w:ascii="宋体" w:hAnsi="宋体" w:cs="宋体"/>
                <w:color w:val="auto"/>
                <w:sz w:val="24"/>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536D62E5">
            <w:pPr>
              <w:spacing w:line="340" w:lineRule="exact"/>
              <w:rPr>
                <w:rFonts w:ascii="宋体" w:hAnsi="宋体" w:cs="宋体"/>
                <w:color w:val="auto"/>
                <w:sz w:val="24"/>
                <w:highlight w:val="none"/>
              </w:rPr>
            </w:pPr>
            <w:r>
              <w:rPr>
                <w:rFonts w:hint="eastAsia" w:ascii="宋体" w:hAnsi="宋体" w:cs="宋体"/>
                <w:color w:val="auto"/>
                <w:sz w:val="24"/>
                <w:highlight w:val="none"/>
              </w:rPr>
              <w:t>1  ……</w:t>
            </w:r>
          </w:p>
          <w:p w14:paraId="48B590D8">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541FA7EA">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554F5E2E">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32A76220">
            <w:pPr>
              <w:spacing w:line="340" w:lineRule="exact"/>
              <w:rPr>
                <w:rFonts w:ascii="宋体" w:hAnsi="宋体" w:cs="宋体"/>
                <w:color w:val="auto"/>
                <w:sz w:val="24"/>
                <w:highlight w:val="none"/>
              </w:rPr>
            </w:pPr>
            <w:r>
              <w:rPr>
                <w:rFonts w:hint="eastAsia" w:ascii="宋体" w:hAnsi="宋体" w:cs="宋体"/>
                <w:color w:val="auto"/>
                <w:sz w:val="24"/>
                <w:highlight w:val="none"/>
              </w:rPr>
              <w:t>1  ……</w:t>
            </w:r>
          </w:p>
          <w:p w14:paraId="4F972FB0">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16822369">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04651BCC">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10EB6AE6">
            <w:pPr>
              <w:spacing w:line="300" w:lineRule="exact"/>
              <w:rPr>
                <w:rFonts w:ascii="宋体" w:hAnsi="宋体" w:cs="宋体"/>
                <w:color w:val="auto"/>
                <w:sz w:val="24"/>
                <w:highlight w:val="none"/>
              </w:rPr>
            </w:pPr>
          </w:p>
        </w:tc>
      </w:tr>
      <w:tr w14:paraId="4E24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791D641E">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3926" w:type="dxa"/>
            <w:tcBorders>
              <w:top w:val="single" w:color="auto" w:sz="4" w:space="0"/>
              <w:left w:val="single" w:color="auto" w:sz="4" w:space="0"/>
              <w:bottom w:val="single" w:color="auto" w:sz="4" w:space="0"/>
              <w:right w:val="single" w:color="auto" w:sz="4" w:space="0"/>
            </w:tcBorders>
          </w:tcPr>
          <w:p w14:paraId="1C0D5E20">
            <w:pPr>
              <w:spacing w:line="340" w:lineRule="exact"/>
              <w:rPr>
                <w:rFonts w:ascii="宋体" w:hAnsi="宋体" w:cs="宋体"/>
                <w:color w:val="auto"/>
                <w:sz w:val="24"/>
                <w:highlight w:val="none"/>
              </w:rPr>
            </w:pPr>
            <w:r>
              <w:rPr>
                <w:rFonts w:hint="eastAsia" w:ascii="宋体" w:hAnsi="宋体" w:cs="宋体"/>
                <w:color w:val="auto"/>
                <w:sz w:val="24"/>
                <w:highlight w:val="none"/>
              </w:rPr>
              <w:t>1  ……</w:t>
            </w:r>
          </w:p>
          <w:p w14:paraId="4DA5E21A">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648EB22A">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59E49A22">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3589" w:type="dxa"/>
            <w:tcBorders>
              <w:top w:val="single" w:color="auto" w:sz="4" w:space="0"/>
              <w:left w:val="single" w:color="auto" w:sz="4" w:space="0"/>
              <w:bottom w:val="single" w:color="auto" w:sz="4" w:space="0"/>
              <w:right w:val="single" w:color="auto" w:sz="4" w:space="0"/>
            </w:tcBorders>
          </w:tcPr>
          <w:p w14:paraId="5530FD9B">
            <w:pPr>
              <w:spacing w:line="340" w:lineRule="exact"/>
              <w:rPr>
                <w:rFonts w:ascii="宋体" w:hAnsi="宋体" w:cs="宋体"/>
                <w:color w:val="auto"/>
                <w:sz w:val="24"/>
                <w:highlight w:val="none"/>
              </w:rPr>
            </w:pPr>
            <w:r>
              <w:rPr>
                <w:rFonts w:hint="eastAsia" w:ascii="宋体" w:hAnsi="宋体" w:cs="宋体"/>
                <w:color w:val="auto"/>
                <w:sz w:val="24"/>
                <w:highlight w:val="none"/>
              </w:rPr>
              <w:t>1  ……</w:t>
            </w:r>
          </w:p>
          <w:p w14:paraId="2631BBA2">
            <w:pPr>
              <w:spacing w:line="340" w:lineRule="exact"/>
              <w:rPr>
                <w:rFonts w:ascii="宋体" w:hAnsi="宋体" w:cs="宋体"/>
                <w:color w:val="auto"/>
                <w:sz w:val="24"/>
                <w:highlight w:val="none"/>
              </w:rPr>
            </w:pPr>
            <w:r>
              <w:rPr>
                <w:rFonts w:hint="eastAsia" w:ascii="宋体" w:hAnsi="宋体" w:cs="宋体"/>
                <w:color w:val="auto"/>
                <w:sz w:val="24"/>
                <w:highlight w:val="none"/>
              </w:rPr>
              <w:t>2  ……</w:t>
            </w:r>
          </w:p>
          <w:p w14:paraId="7DE7B9F8">
            <w:pPr>
              <w:spacing w:line="340" w:lineRule="exact"/>
              <w:rPr>
                <w:rFonts w:ascii="宋体" w:hAnsi="宋体" w:cs="宋体"/>
                <w:color w:val="auto"/>
                <w:sz w:val="24"/>
                <w:highlight w:val="none"/>
              </w:rPr>
            </w:pPr>
            <w:r>
              <w:rPr>
                <w:rFonts w:hint="eastAsia" w:ascii="宋体" w:hAnsi="宋体" w:cs="宋体"/>
                <w:color w:val="auto"/>
                <w:sz w:val="24"/>
                <w:highlight w:val="none"/>
              </w:rPr>
              <w:t>3  ……</w:t>
            </w:r>
          </w:p>
          <w:p w14:paraId="480139A5">
            <w:pPr>
              <w:spacing w:line="340" w:lineRule="exact"/>
              <w:rPr>
                <w:rFonts w:ascii="宋体" w:hAnsi="宋体" w:cs="宋体"/>
                <w:color w:val="auto"/>
                <w:sz w:val="24"/>
                <w:highlight w:val="none"/>
              </w:rPr>
            </w:pPr>
            <w:r>
              <w:rPr>
                <w:rFonts w:hint="eastAsia" w:ascii="宋体" w:hAnsi="宋体" w:cs="宋体"/>
                <w:color w:val="auto"/>
                <w:sz w:val="24"/>
                <w:highlight w:val="none"/>
              </w:rPr>
              <w:t>……</w:t>
            </w:r>
          </w:p>
        </w:tc>
        <w:tc>
          <w:tcPr>
            <w:tcW w:w="1274" w:type="dxa"/>
            <w:tcBorders>
              <w:top w:val="single" w:color="auto" w:sz="4" w:space="0"/>
              <w:left w:val="single" w:color="auto" w:sz="4" w:space="0"/>
              <w:bottom w:val="single" w:color="auto" w:sz="4" w:space="0"/>
              <w:right w:val="single" w:color="auto" w:sz="4" w:space="0"/>
            </w:tcBorders>
          </w:tcPr>
          <w:p w14:paraId="7D0A65DE">
            <w:pPr>
              <w:spacing w:line="300" w:lineRule="exact"/>
              <w:rPr>
                <w:rFonts w:ascii="宋体" w:hAnsi="宋体" w:cs="宋体"/>
                <w:color w:val="auto"/>
                <w:sz w:val="24"/>
                <w:highlight w:val="none"/>
              </w:rPr>
            </w:pPr>
          </w:p>
        </w:tc>
      </w:tr>
    </w:tbl>
    <w:p w14:paraId="06AA52F0">
      <w:pPr>
        <w:pStyle w:val="15"/>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3847ABA">
      <w:pPr>
        <w:pStyle w:val="15"/>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1.说明：应对照谈判文件“第二章 采购需求”中的商务条款逐条作出明确响应，并作出偏离说明。</w:t>
      </w:r>
    </w:p>
    <w:p w14:paraId="08ECC961">
      <w:pPr>
        <w:pStyle w:val="15"/>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谈判文件要求，在“偏离说明”中注明“正偏离”、“负偏离”或者“无偏离”。既不属于“正偏离”也不属于“负偏离”即为“无偏离”。当响应文件的商务内容低于竞争性谈判采购文件要求时，竞标人应当如实写明“负偏离”，否则视为虚假应标</w:t>
      </w:r>
    </w:p>
    <w:p w14:paraId="57824EB1">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3.表格内容均需按要求填写并盖章，不得留空，否则按竞标无效处理。</w:t>
      </w:r>
    </w:p>
    <w:p w14:paraId="68D6EA3F">
      <w:pPr>
        <w:pStyle w:val="18"/>
        <w:spacing w:line="400" w:lineRule="exact"/>
        <w:ind w:firstLine="480"/>
        <w:rPr>
          <w:rFonts w:hint="eastAsia" w:hAnsi="宋体" w:cs="宋体"/>
          <w:color w:val="auto"/>
          <w:sz w:val="24"/>
          <w:szCs w:val="24"/>
          <w:highlight w:val="none"/>
        </w:rPr>
      </w:pPr>
      <w:r>
        <w:rPr>
          <w:rFonts w:hint="eastAsia" w:hAnsi="宋体" w:cs="宋体"/>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41E530E8">
      <w:pPr>
        <w:spacing w:line="360" w:lineRule="auto"/>
        <w:ind w:right="-817" w:rightChars="-389"/>
        <w:contextualSpacing/>
        <w:rPr>
          <w:rFonts w:ascii="宋体" w:hAnsi="宋体" w:cs="宋体"/>
          <w:color w:val="auto"/>
          <w:sz w:val="24"/>
          <w:highlight w:val="none"/>
        </w:rPr>
      </w:pPr>
      <w:r>
        <w:rPr>
          <w:rFonts w:hint="eastAsia" w:hAnsi="宋体" w:cs="宋体"/>
          <w:color w:val="auto"/>
          <w:sz w:val="24"/>
          <w:szCs w:val="24"/>
          <w:highlight w:val="none"/>
          <w:lang w:val="en-US" w:eastAsia="zh-CN"/>
        </w:rPr>
        <w:t xml:space="preserve">    5.</w:t>
      </w:r>
      <w:r>
        <w:rPr>
          <w:rFonts w:hint="eastAsia" w:ascii="宋体" w:hAnsi="宋体" w:eastAsia="宋体" w:cs="宋体"/>
          <w:b/>
          <w:bCs/>
          <w:color w:val="auto"/>
          <w:sz w:val="24"/>
          <w:szCs w:val="24"/>
          <w:highlight w:val="none"/>
          <w:lang w:val="en-US" w:eastAsia="zh-CN"/>
        </w:rPr>
        <w:t>商务条款</w:t>
      </w:r>
      <w:r>
        <w:rPr>
          <w:rFonts w:hint="eastAsia" w:ascii="宋体" w:hAnsi="宋体" w:cs="宋体"/>
          <w:b/>
          <w:bCs/>
          <w:color w:val="auto"/>
          <w:sz w:val="24"/>
          <w:szCs w:val="24"/>
          <w:highlight w:val="none"/>
          <w:lang w:val="en-US" w:eastAsia="zh-CN"/>
        </w:rPr>
        <w:t>均不允许存在偏离</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否则，</w:t>
      </w:r>
      <w:r>
        <w:rPr>
          <w:rFonts w:hint="eastAsia" w:ascii="宋体" w:hAnsi="宋体" w:eastAsia="宋体" w:cs="宋体"/>
          <w:b/>
          <w:bCs/>
          <w:color w:val="auto"/>
          <w:sz w:val="24"/>
          <w:szCs w:val="24"/>
          <w:highlight w:val="none"/>
          <w:lang w:val="en-US" w:eastAsia="zh-CN"/>
        </w:rPr>
        <w:t>作无效竞标处理。</w:t>
      </w:r>
    </w:p>
    <w:p w14:paraId="275411F6">
      <w:pPr>
        <w:spacing w:line="360" w:lineRule="auto"/>
        <w:ind w:firstLine="3840" w:firstLineChars="1600"/>
        <w:rPr>
          <w:rFonts w:ascii="宋体" w:hAnsi="宋体" w:cs="宋体"/>
          <w:color w:val="auto"/>
          <w:sz w:val="24"/>
          <w:highlight w:val="none"/>
        </w:rPr>
      </w:pPr>
      <w:r>
        <w:rPr>
          <w:rFonts w:hint="eastAsia" w:ascii="宋体" w:hAnsi="宋体" w:cs="宋体"/>
          <w:color w:val="auto"/>
          <w:kern w:val="0"/>
          <w:sz w:val="24"/>
          <w:highlight w:val="none"/>
        </w:rPr>
        <w:t>供应商名称（电子签章）：</w:t>
      </w:r>
    </w:p>
    <w:p w14:paraId="014E0BAE">
      <w:pPr>
        <w:spacing w:line="360" w:lineRule="auto"/>
        <w:jc w:val="center"/>
        <w:rPr>
          <w:rFonts w:ascii="宋体" w:hAnsi="宋体" w:cs="宋体"/>
          <w:b/>
          <w:color w:val="auto"/>
          <w:sz w:val="24"/>
          <w:highlight w:val="none"/>
        </w:rPr>
      </w:pPr>
      <w:r>
        <w:rPr>
          <w:rFonts w:hint="eastAsia" w:ascii="宋体" w:hAnsi="宋体" w:cs="宋体"/>
          <w:color w:val="auto"/>
          <w:kern w:val="0"/>
          <w:sz w:val="24"/>
          <w:highlight w:val="none"/>
          <w:lang w:val="zh-CN"/>
        </w:rPr>
        <w:t xml:space="preserve">                                                   日期：  年  月   日</w:t>
      </w:r>
    </w:p>
    <w:p w14:paraId="37FB6A3E">
      <w:pPr>
        <w:snapToGrid w:val="0"/>
        <w:spacing w:line="360" w:lineRule="auto"/>
        <w:ind w:firstLine="602" w:firstLineChars="200"/>
        <w:rPr>
          <w:rFonts w:ascii="宋体" w:hAnsi="宋体" w:cs="宋体"/>
          <w:b/>
          <w:color w:val="auto"/>
          <w:sz w:val="30"/>
          <w:szCs w:val="30"/>
          <w:highlight w:val="none"/>
        </w:rPr>
      </w:pPr>
    </w:p>
    <w:p w14:paraId="20BFAF94">
      <w:pPr>
        <w:pStyle w:val="23"/>
        <w:ind w:firstLine="422"/>
        <w:rPr>
          <w:rFonts w:hAnsi="宋体" w:cs="宋体"/>
          <w:color w:val="auto"/>
          <w:highlight w:val="none"/>
        </w:rPr>
      </w:pPr>
    </w:p>
    <w:p w14:paraId="0272C0C5">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五、竞标人情况介绍</w:t>
      </w:r>
    </w:p>
    <w:p w14:paraId="1EC82940">
      <w:pPr>
        <w:snapToGrid w:val="0"/>
        <w:spacing w:line="360" w:lineRule="auto"/>
        <w:ind w:firstLine="602" w:firstLineChars="200"/>
        <w:rPr>
          <w:rFonts w:ascii="宋体" w:hAnsi="宋体" w:cs="宋体"/>
          <w:b/>
          <w:color w:val="auto"/>
          <w:sz w:val="30"/>
          <w:szCs w:val="30"/>
          <w:highlight w:val="none"/>
        </w:rPr>
      </w:pPr>
    </w:p>
    <w:p w14:paraId="66707ADC">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30078A5F">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1D92FBB5">
      <w:pPr>
        <w:snapToGrid w:val="0"/>
        <w:spacing w:before="120" w:beforeLines="50" w:after="50"/>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六、供应商类似的业绩证明文件</w:t>
      </w:r>
    </w:p>
    <w:p w14:paraId="3C4B922C">
      <w:pPr>
        <w:pStyle w:val="25"/>
        <w:snapToGrid w:val="0"/>
        <w:ind w:left="480" w:hanging="480"/>
        <w:rPr>
          <w:rFonts w:ascii="宋体" w:hAnsi="宋体" w:cs="宋体"/>
          <w:color w:val="auto"/>
          <w:sz w:val="24"/>
          <w:highlight w:val="none"/>
        </w:rPr>
      </w:pPr>
    </w:p>
    <w:tbl>
      <w:tblPr>
        <w:tblStyle w:val="32"/>
        <w:tblpPr w:leftFromText="180" w:rightFromText="180" w:vertAnchor="page" w:horzAnchor="margin" w:tblpXSpec="center" w:tblpY="4783"/>
        <w:tblW w:w="103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3"/>
        <w:gridCol w:w="1842"/>
        <w:gridCol w:w="1134"/>
        <w:gridCol w:w="1134"/>
        <w:gridCol w:w="1700"/>
        <w:gridCol w:w="1276"/>
        <w:gridCol w:w="1841"/>
      </w:tblGrid>
      <w:tr w14:paraId="28F01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58782E5B">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w:t>
            </w:r>
          </w:p>
          <w:p w14:paraId="7C0C59D4">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4426F635">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6E115035">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p w14:paraId="09B3C084">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金额</w:t>
            </w:r>
          </w:p>
          <w:p w14:paraId="05E2395A">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343E686C">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730CA55">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采购人联系人及联系电话</w:t>
            </w:r>
          </w:p>
        </w:tc>
      </w:tr>
      <w:tr w14:paraId="2E52F5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5923824F">
            <w:pPr>
              <w:widowControl/>
              <w:jc w:val="left"/>
              <w:rPr>
                <w:rFonts w:ascii="宋体" w:hAnsi="宋体" w:cs="宋体"/>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32C48510">
            <w:pPr>
              <w:widowControl/>
              <w:jc w:val="left"/>
              <w:rPr>
                <w:rFonts w:ascii="宋体" w:hAnsi="宋体" w:cs="宋体"/>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4A408FC0">
            <w:pPr>
              <w:widowControl/>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4FBBD761">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合同</w:t>
            </w:r>
          </w:p>
        </w:tc>
        <w:tc>
          <w:tcPr>
            <w:tcW w:w="1701" w:type="dxa"/>
            <w:tcBorders>
              <w:top w:val="single" w:color="auto" w:sz="4" w:space="0"/>
              <w:left w:val="single" w:color="auto" w:sz="4" w:space="0"/>
              <w:bottom w:val="single" w:color="auto" w:sz="4" w:space="0"/>
              <w:right w:val="single" w:color="auto" w:sz="4" w:space="0"/>
            </w:tcBorders>
            <w:vAlign w:val="center"/>
          </w:tcPr>
          <w:p w14:paraId="1AF19D94">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615640FD">
            <w:pPr>
              <w:snapToGrid w:val="0"/>
              <w:spacing w:line="240" w:lineRule="exact"/>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7C39530">
            <w:pPr>
              <w:widowControl/>
              <w:jc w:val="left"/>
              <w:rPr>
                <w:rFonts w:ascii="宋体" w:hAnsi="宋体" w:cs="宋体"/>
                <w:color w:val="auto"/>
                <w:sz w:val="24"/>
                <w:highlight w:val="none"/>
              </w:rPr>
            </w:pPr>
          </w:p>
        </w:tc>
      </w:tr>
      <w:tr w14:paraId="479D31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36AFA295">
            <w:pPr>
              <w:snapToGrid w:val="0"/>
              <w:spacing w:line="240" w:lineRule="exact"/>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31E76A3">
            <w:pPr>
              <w:snapToGrid w:val="0"/>
              <w:spacing w:line="24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4711A5C">
            <w:pPr>
              <w:snapToGrid w:val="0"/>
              <w:spacing w:line="24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B2579A9">
            <w:pPr>
              <w:snapToGrid w:val="0"/>
              <w:spacing w:line="240" w:lineRule="exact"/>
              <w:jc w:val="left"/>
              <w:rPr>
                <w:rFonts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509E70C4">
            <w:pPr>
              <w:snapToGrid w:val="0"/>
              <w:spacing w:line="24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E5C6254">
            <w:pPr>
              <w:snapToGrid w:val="0"/>
              <w:spacing w:line="24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29253FB">
            <w:pPr>
              <w:snapToGrid w:val="0"/>
              <w:spacing w:line="240" w:lineRule="exact"/>
              <w:jc w:val="left"/>
              <w:rPr>
                <w:rFonts w:ascii="宋体" w:hAnsi="宋体" w:cs="宋体"/>
                <w:color w:val="auto"/>
                <w:sz w:val="24"/>
                <w:highlight w:val="none"/>
              </w:rPr>
            </w:pPr>
          </w:p>
        </w:tc>
      </w:tr>
      <w:tr w14:paraId="36364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B557E75">
            <w:pPr>
              <w:snapToGrid w:val="0"/>
              <w:spacing w:before="50" w:after="120" w:afterLines="50" w:line="400" w:lineRule="exact"/>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84CB65E">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93583F7">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CDAC2E4">
            <w:pPr>
              <w:snapToGrid w:val="0"/>
              <w:spacing w:before="50" w:after="120" w:afterLines="50" w:line="400" w:lineRule="exact"/>
              <w:jc w:val="left"/>
              <w:rPr>
                <w:rFonts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6AE37F77">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E979AC5">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1B8DF30">
            <w:pPr>
              <w:snapToGrid w:val="0"/>
              <w:spacing w:before="50" w:after="120" w:afterLines="50" w:line="400" w:lineRule="exact"/>
              <w:jc w:val="left"/>
              <w:rPr>
                <w:rFonts w:ascii="宋体" w:hAnsi="宋体" w:cs="宋体"/>
                <w:color w:val="auto"/>
                <w:sz w:val="24"/>
                <w:highlight w:val="none"/>
              </w:rPr>
            </w:pPr>
          </w:p>
        </w:tc>
      </w:tr>
      <w:tr w14:paraId="7DC85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7C8A6C5C">
            <w:pPr>
              <w:snapToGrid w:val="0"/>
              <w:spacing w:before="50" w:after="120" w:afterLines="50" w:line="400" w:lineRule="exact"/>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B7CD8EF">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594066D">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7471606">
            <w:pPr>
              <w:snapToGrid w:val="0"/>
              <w:spacing w:before="50" w:after="120" w:afterLines="50" w:line="400" w:lineRule="exact"/>
              <w:jc w:val="left"/>
              <w:rPr>
                <w:rFonts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59B6EB82">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2F11C923">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65FF6B3F">
            <w:pPr>
              <w:snapToGrid w:val="0"/>
              <w:spacing w:before="50" w:after="120" w:afterLines="50" w:line="400" w:lineRule="exact"/>
              <w:jc w:val="left"/>
              <w:rPr>
                <w:rFonts w:ascii="宋体" w:hAnsi="宋体" w:cs="宋体"/>
                <w:color w:val="auto"/>
                <w:sz w:val="24"/>
                <w:highlight w:val="none"/>
              </w:rPr>
            </w:pPr>
          </w:p>
        </w:tc>
      </w:tr>
      <w:tr w14:paraId="7F8E5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5759BE1C">
            <w:pPr>
              <w:snapToGrid w:val="0"/>
              <w:spacing w:before="50" w:after="120" w:afterLines="50" w:line="400" w:lineRule="exact"/>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9675012">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7A40A064">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1694854">
            <w:pPr>
              <w:snapToGrid w:val="0"/>
              <w:spacing w:before="50" w:after="120" w:afterLines="50" w:line="400" w:lineRule="exact"/>
              <w:jc w:val="left"/>
              <w:rPr>
                <w:rFonts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310CB056">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A47A990">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57A93DC">
            <w:pPr>
              <w:snapToGrid w:val="0"/>
              <w:spacing w:before="50" w:after="120" w:afterLines="50" w:line="400" w:lineRule="exact"/>
              <w:jc w:val="left"/>
              <w:rPr>
                <w:rFonts w:ascii="宋体" w:hAnsi="宋体" w:cs="宋体"/>
                <w:color w:val="auto"/>
                <w:sz w:val="24"/>
                <w:highlight w:val="none"/>
              </w:rPr>
            </w:pPr>
          </w:p>
        </w:tc>
      </w:tr>
      <w:tr w14:paraId="65991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2622616D">
            <w:pPr>
              <w:snapToGrid w:val="0"/>
              <w:spacing w:before="50" w:after="120" w:afterLines="50" w:line="400" w:lineRule="exact"/>
              <w:jc w:val="left"/>
              <w:rPr>
                <w:rFonts w:ascii="宋体" w:hAnsi="宋体" w:cs="宋体"/>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1804AF02">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C20BCA2">
            <w:pPr>
              <w:snapToGrid w:val="0"/>
              <w:spacing w:before="50" w:after="120" w:afterLines="50" w:line="400" w:lineRule="exact"/>
              <w:jc w:val="left"/>
              <w:rPr>
                <w:rFonts w:ascii="宋体" w:hAnsi="宋体" w:cs="宋体"/>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24C34D0">
            <w:pPr>
              <w:snapToGrid w:val="0"/>
              <w:spacing w:before="50" w:after="120" w:afterLines="50" w:line="400" w:lineRule="exact"/>
              <w:jc w:val="left"/>
              <w:rPr>
                <w:rFonts w:ascii="宋体" w:hAnsi="宋体" w:cs="宋体"/>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1E5AB38D">
            <w:pPr>
              <w:snapToGrid w:val="0"/>
              <w:spacing w:before="50" w:after="120" w:afterLines="50" w:line="400" w:lineRule="exact"/>
              <w:jc w:val="left"/>
              <w:rPr>
                <w:rFonts w:ascii="宋体" w:hAnsi="宋体" w:cs="宋体"/>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3AE69ED">
            <w:pPr>
              <w:snapToGrid w:val="0"/>
              <w:spacing w:before="50" w:after="120" w:afterLines="50" w:line="400" w:lineRule="exact"/>
              <w:jc w:val="left"/>
              <w:rPr>
                <w:rFonts w:ascii="宋体" w:hAnsi="宋体" w:cs="宋体"/>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19FD435">
            <w:pPr>
              <w:snapToGrid w:val="0"/>
              <w:spacing w:before="50" w:after="120" w:afterLines="50" w:line="400" w:lineRule="exact"/>
              <w:jc w:val="left"/>
              <w:rPr>
                <w:rFonts w:ascii="宋体" w:hAnsi="宋体" w:cs="宋体"/>
                <w:color w:val="auto"/>
                <w:sz w:val="24"/>
                <w:highlight w:val="none"/>
              </w:rPr>
            </w:pPr>
          </w:p>
        </w:tc>
      </w:tr>
    </w:tbl>
    <w:p w14:paraId="4D2527F6">
      <w:pPr>
        <w:pStyle w:val="25"/>
        <w:snapToGrid w:val="0"/>
        <w:ind w:left="480" w:hanging="480"/>
        <w:rPr>
          <w:rFonts w:ascii="宋体" w:hAnsi="宋体" w:cs="宋体"/>
          <w:color w:val="auto"/>
          <w:sz w:val="24"/>
          <w:highlight w:val="none"/>
        </w:rPr>
      </w:pPr>
    </w:p>
    <w:p w14:paraId="30D63003">
      <w:pPr>
        <w:pStyle w:val="25"/>
        <w:snapToGrid w:val="0"/>
        <w:ind w:left="480" w:hanging="480"/>
        <w:rPr>
          <w:rFonts w:ascii="宋体" w:hAnsi="宋体" w:cs="宋体"/>
          <w:color w:val="auto"/>
          <w:sz w:val="24"/>
          <w:highlight w:val="none"/>
        </w:rPr>
      </w:pPr>
    </w:p>
    <w:p w14:paraId="23BC7AC7">
      <w:pPr>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:相关项目业绩一览表（供应商同类项目合同复印件、用户验收报告、用户评价意见格式自拟）</w:t>
      </w:r>
    </w:p>
    <w:p w14:paraId="339E25E5">
      <w:pPr>
        <w:pStyle w:val="18"/>
        <w:spacing w:line="360" w:lineRule="auto"/>
        <w:ind w:left="420"/>
        <w:rPr>
          <w:rFonts w:hAnsi="宋体" w:cs="宋体"/>
          <w:color w:val="auto"/>
          <w:sz w:val="24"/>
          <w:szCs w:val="24"/>
          <w:highlight w:val="none"/>
        </w:rPr>
      </w:pPr>
      <w:r>
        <w:rPr>
          <w:rFonts w:hint="eastAsia" w:hAnsi="宋体" w:cs="宋体"/>
          <w:color w:val="auto"/>
          <w:sz w:val="24"/>
          <w:szCs w:val="24"/>
          <w:highlight w:val="none"/>
        </w:rPr>
        <w:t>注：供应商可按上述的格式自行编制，须随表提交相应的合同复印件和用户单位验收证明并注明所在供应商商务技术文件页码。</w:t>
      </w:r>
    </w:p>
    <w:p w14:paraId="67379167">
      <w:pPr>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0951E171">
      <w:pPr>
        <w:snapToGrid w:val="0"/>
        <w:spacing w:line="360" w:lineRule="auto"/>
        <w:ind w:firstLine="4935" w:firstLineChars="2350"/>
        <w:rPr>
          <w:rFonts w:ascii="宋体" w:hAnsi="宋体" w:cs="宋体"/>
          <w:color w:val="auto"/>
          <w:szCs w:val="21"/>
          <w:highlight w:val="none"/>
        </w:rPr>
      </w:pPr>
    </w:p>
    <w:p w14:paraId="08FBD611">
      <w:pPr>
        <w:snapToGrid w:val="0"/>
        <w:spacing w:line="360" w:lineRule="auto"/>
        <w:ind w:left="4410" w:leftChars="2100" w:firstLine="5670" w:firstLineChars="270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供应商名称(电子签章)：</w:t>
      </w:r>
    </w:p>
    <w:p w14:paraId="26EFC6E4">
      <w:pPr>
        <w:spacing w:line="500" w:lineRule="exact"/>
        <w:jc w:val="center"/>
        <w:rPr>
          <w:rFonts w:ascii="宋体" w:hAnsi="宋体" w:cs="宋体"/>
          <w:color w:val="auto"/>
          <w:sz w:val="32"/>
          <w:szCs w:val="32"/>
          <w:highlight w:val="none"/>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F0F1AFC">
      <w:pPr>
        <w:widowControl/>
        <w:jc w:val="left"/>
        <w:rPr>
          <w:rFonts w:ascii="宋体" w:hAnsi="宋体" w:cs="宋体"/>
          <w:color w:val="auto"/>
          <w:sz w:val="32"/>
          <w:szCs w:val="32"/>
          <w:highlight w:val="none"/>
        </w:rPr>
        <w:sectPr>
          <w:pgSz w:w="11910" w:h="16840"/>
          <w:pgMar w:top="1395" w:right="1219" w:bottom="1185" w:left="1338" w:header="720" w:footer="720" w:gutter="0"/>
          <w:cols w:space="720" w:num="1"/>
        </w:sectPr>
      </w:pPr>
    </w:p>
    <w:p w14:paraId="1FA42214">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七、</w:t>
      </w:r>
      <w:r>
        <w:rPr>
          <w:rFonts w:hint="eastAsia" w:ascii="宋体" w:hAnsi="宋体" w:cs="宋体"/>
          <w:b/>
          <w:color w:val="auto"/>
          <w:sz w:val="30"/>
          <w:szCs w:val="30"/>
          <w:highlight w:val="none"/>
          <w:lang w:val="en-US" w:eastAsia="zh-CN"/>
        </w:rPr>
        <w:t>技术</w:t>
      </w:r>
      <w:r>
        <w:rPr>
          <w:rFonts w:hint="eastAsia" w:ascii="宋体" w:hAnsi="宋体" w:cs="宋体"/>
          <w:b/>
          <w:color w:val="auto"/>
          <w:sz w:val="30"/>
          <w:szCs w:val="30"/>
          <w:highlight w:val="none"/>
        </w:rPr>
        <w:t>需求偏离表</w:t>
      </w:r>
    </w:p>
    <w:p w14:paraId="39DA42E4">
      <w:pPr>
        <w:spacing w:line="480" w:lineRule="exact"/>
        <w:ind w:firstLine="880"/>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技术</w:t>
      </w:r>
      <w:r>
        <w:rPr>
          <w:rFonts w:hint="eastAsia" w:ascii="宋体" w:hAnsi="宋体" w:cs="宋体"/>
          <w:b/>
          <w:color w:val="auto"/>
          <w:sz w:val="32"/>
          <w:szCs w:val="32"/>
          <w:highlight w:val="none"/>
        </w:rPr>
        <w:t>需求偏离表</w:t>
      </w:r>
    </w:p>
    <w:p w14:paraId="08BD26F3">
      <w:pPr>
        <w:spacing w:line="480" w:lineRule="exact"/>
        <w:ind w:firstLine="880"/>
        <w:jc w:val="center"/>
        <w:rPr>
          <w:rFonts w:ascii="宋体" w:hAnsi="宋体" w:cs="宋体"/>
          <w:color w:val="auto"/>
          <w:sz w:val="24"/>
          <w:highlight w:val="none"/>
        </w:rPr>
      </w:pPr>
      <w:r>
        <w:rPr>
          <w:rFonts w:hint="eastAsia" w:ascii="宋体" w:hAnsi="宋体" w:cs="宋体"/>
          <w:b/>
          <w:color w:val="auto"/>
          <w:sz w:val="32"/>
          <w:szCs w:val="32"/>
          <w:highlight w:val="none"/>
        </w:rPr>
        <w:t>(注：按采购需求具体条款修改)</w:t>
      </w:r>
    </w:p>
    <w:p w14:paraId="071BDFC7">
      <w:pPr>
        <w:pStyle w:val="18"/>
        <w:spacing w:line="360" w:lineRule="auto"/>
        <w:ind w:firstLine="480"/>
        <w:rPr>
          <w:rFonts w:hAnsi="宋体" w:cs="宋体"/>
          <w:color w:val="auto"/>
          <w:sz w:val="24"/>
          <w:szCs w:val="24"/>
          <w:highlight w:val="none"/>
        </w:rPr>
      </w:pPr>
      <w:r>
        <w:rPr>
          <w:rFonts w:hint="eastAsia" w:hAnsi="宋体" w:cs="宋体"/>
          <w:color w:val="auto"/>
          <w:sz w:val="24"/>
          <w:szCs w:val="24"/>
          <w:highlight w:val="none"/>
        </w:rPr>
        <w:t>所竞分标：</w:t>
      </w:r>
      <w:r>
        <w:rPr>
          <w:rFonts w:hint="eastAsia" w:hAnsi="宋体" w:cs="宋体"/>
          <w:color w:val="auto"/>
          <w:sz w:val="24"/>
          <w:szCs w:val="24"/>
          <w:highlight w:val="none"/>
          <w:u w:val="single"/>
        </w:rPr>
        <w:t xml:space="preserve">              </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316"/>
        <w:gridCol w:w="562"/>
        <w:gridCol w:w="1288"/>
        <w:gridCol w:w="1428"/>
        <w:gridCol w:w="460"/>
        <w:gridCol w:w="1344"/>
        <w:gridCol w:w="1506"/>
      </w:tblGrid>
      <w:tr w14:paraId="52FA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27071897">
            <w:pPr>
              <w:jc w:val="center"/>
              <w:rPr>
                <w:rFonts w:ascii="宋体" w:hAnsi="宋体" w:cs="宋体"/>
                <w:color w:val="auto"/>
                <w:sz w:val="24"/>
                <w:highlight w:val="none"/>
              </w:rPr>
            </w:pPr>
            <w:r>
              <w:rPr>
                <w:rFonts w:hint="eastAsia" w:ascii="宋体" w:hAnsi="宋体" w:cs="宋体"/>
                <w:color w:val="auto"/>
                <w:sz w:val="24"/>
                <w:highlight w:val="none"/>
              </w:rPr>
              <w:t>项号</w:t>
            </w:r>
          </w:p>
        </w:tc>
        <w:tc>
          <w:tcPr>
            <w:tcW w:w="3166" w:type="dxa"/>
            <w:gridSpan w:val="3"/>
            <w:tcBorders>
              <w:top w:val="single" w:color="auto" w:sz="4" w:space="0"/>
              <w:left w:val="single" w:color="auto" w:sz="4" w:space="0"/>
              <w:bottom w:val="single" w:color="auto" w:sz="4" w:space="0"/>
              <w:right w:val="single" w:color="auto" w:sz="4" w:space="0"/>
            </w:tcBorders>
            <w:vAlign w:val="center"/>
          </w:tcPr>
          <w:p w14:paraId="2450EFBA">
            <w:pPr>
              <w:jc w:val="center"/>
              <w:rPr>
                <w:rFonts w:ascii="宋体" w:hAnsi="宋体" w:cs="宋体"/>
                <w:color w:val="auto"/>
                <w:sz w:val="24"/>
                <w:highlight w:val="none"/>
              </w:rPr>
            </w:pPr>
            <w:r>
              <w:rPr>
                <w:rFonts w:hint="eastAsia" w:ascii="宋体" w:hAnsi="宋体" w:cs="宋体"/>
                <w:color w:val="auto"/>
                <w:sz w:val="24"/>
                <w:highlight w:val="none"/>
              </w:rPr>
              <w:t>竞争性谈判采购文件需求</w:t>
            </w:r>
          </w:p>
        </w:tc>
        <w:tc>
          <w:tcPr>
            <w:tcW w:w="3232" w:type="dxa"/>
            <w:gridSpan w:val="3"/>
            <w:tcBorders>
              <w:top w:val="single" w:color="auto" w:sz="4" w:space="0"/>
              <w:left w:val="single" w:color="auto" w:sz="4" w:space="0"/>
              <w:bottom w:val="single" w:color="auto" w:sz="4" w:space="0"/>
              <w:right w:val="single" w:color="auto" w:sz="4" w:space="0"/>
            </w:tcBorders>
            <w:vAlign w:val="center"/>
          </w:tcPr>
          <w:p w14:paraId="3880B069">
            <w:pPr>
              <w:jc w:val="center"/>
              <w:rPr>
                <w:rFonts w:ascii="宋体" w:hAnsi="宋体" w:cs="宋体"/>
                <w:color w:val="auto"/>
                <w:sz w:val="24"/>
                <w:highlight w:val="none"/>
              </w:rPr>
            </w:pPr>
            <w:r>
              <w:rPr>
                <w:rFonts w:hint="eastAsia" w:ascii="宋体" w:hAnsi="宋体" w:cs="宋体"/>
                <w:color w:val="auto"/>
                <w:sz w:val="24"/>
                <w:highlight w:val="none"/>
              </w:rPr>
              <w:t>响应文件承诺</w:t>
            </w:r>
          </w:p>
        </w:tc>
        <w:tc>
          <w:tcPr>
            <w:tcW w:w="1506" w:type="dxa"/>
            <w:vMerge w:val="restart"/>
            <w:tcBorders>
              <w:top w:val="single" w:color="auto" w:sz="4" w:space="0"/>
              <w:left w:val="single" w:color="auto" w:sz="4" w:space="0"/>
              <w:bottom w:val="single" w:color="auto" w:sz="4" w:space="0"/>
              <w:right w:val="single" w:color="auto" w:sz="4" w:space="0"/>
            </w:tcBorders>
            <w:vAlign w:val="center"/>
          </w:tcPr>
          <w:p w14:paraId="5388AB43">
            <w:pPr>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039F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23344D42">
            <w:pPr>
              <w:widowControl/>
              <w:jc w:val="left"/>
              <w:rPr>
                <w:rFonts w:ascii="宋体" w:hAnsi="宋体" w:cs="宋体"/>
                <w:color w:val="auto"/>
                <w:sz w:val="24"/>
                <w:highlight w:val="none"/>
              </w:rPr>
            </w:pPr>
          </w:p>
        </w:tc>
        <w:tc>
          <w:tcPr>
            <w:tcW w:w="1316" w:type="dxa"/>
            <w:tcBorders>
              <w:top w:val="single" w:color="auto" w:sz="4" w:space="0"/>
              <w:left w:val="single" w:color="auto" w:sz="4" w:space="0"/>
              <w:bottom w:val="single" w:color="auto" w:sz="4" w:space="0"/>
              <w:right w:val="single" w:color="auto" w:sz="4" w:space="0"/>
            </w:tcBorders>
            <w:vAlign w:val="center"/>
          </w:tcPr>
          <w:p w14:paraId="313269F1">
            <w:pPr>
              <w:rPr>
                <w:rFonts w:ascii="宋体" w:hAnsi="宋体" w:cs="宋体"/>
                <w:color w:val="auto"/>
                <w:sz w:val="24"/>
                <w:highlight w:val="none"/>
              </w:rPr>
            </w:pPr>
            <w:r>
              <w:rPr>
                <w:rFonts w:hint="eastAsia" w:ascii="宋体" w:hAnsi="宋体" w:cs="宋体"/>
                <w:color w:val="auto"/>
                <w:sz w:val="24"/>
                <w:highlight w:val="none"/>
              </w:rPr>
              <w:t>货物名称</w:t>
            </w:r>
          </w:p>
        </w:tc>
        <w:tc>
          <w:tcPr>
            <w:tcW w:w="562" w:type="dxa"/>
            <w:tcBorders>
              <w:top w:val="single" w:color="auto" w:sz="4" w:space="0"/>
              <w:left w:val="single" w:color="auto" w:sz="4" w:space="0"/>
              <w:bottom w:val="single" w:color="auto" w:sz="4" w:space="0"/>
              <w:right w:val="single" w:color="auto" w:sz="4" w:space="0"/>
            </w:tcBorders>
            <w:vAlign w:val="center"/>
          </w:tcPr>
          <w:p w14:paraId="7EEF3503">
            <w:pPr>
              <w:rPr>
                <w:rFonts w:ascii="宋体" w:hAnsi="宋体" w:cs="宋体"/>
                <w:color w:val="auto"/>
                <w:sz w:val="24"/>
                <w:highlight w:val="none"/>
              </w:rPr>
            </w:pPr>
            <w:r>
              <w:rPr>
                <w:rFonts w:hint="eastAsia" w:ascii="宋体" w:hAnsi="宋体" w:cs="宋体"/>
                <w:color w:val="auto"/>
                <w:sz w:val="24"/>
                <w:highlight w:val="none"/>
              </w:rPr>
              <w:t>数量</w:t>
            </w:r>
          </w:p>
        </w:tc>
        <w:tc>
          <w:tcPr>
            <w:tcW w:w="1288" w:type="dxa"/>
            <w:tcBorders>
              <w:top w:val="single" w:color="auto" w:sz="4" w:space="0"/>
              <w:left w:val="single" w:color="auto" w:sz="4" w:space="0"/>
              <w:bottom w:val="single" w:color="auto" w:sz="4" w:space="0"/>
              <w:right w:val="single" w:color="auto" w:sz="4" w:space="0"/>
            </w:tcBorders>
            <w:vAlign w:val="center"/>
          </w:tcPr>
          <w:p w14:paraId="06C9B2F5">
            <w:pPr>
              <w:jc w:val="center"/>
              <w:rPr>
                <w:rFonts w:ascii="宋体" w:hAnsi="宋体" w:cs="宋体"/>
                <w:color w:val="auto"/>
                <w:sz w:val="24"/>
                <w:highlight w:val="none"/>
              </w:rPr>
            </w:pPr>
            <w:r>
              <w:rPr>
                <w:rFonts w:hint="eastAsia" w:ascii="宋体" w:hAnsi="宋体" w:cs="宋体"/>
                <w:color w:val="auto"/>
                <w:sz w:val="24"/>
                <w:highlight w:val="none"/>
                <w:lang w:val="en-US" w:eastAsia="zh-CN"/>
              </w:rPr>
              <w:t>技术</w:t>
            </w:r>
            <w:r>
              <w:rPr>
                <w:rFonts w:hint="eastAsia" w:ascii="宋体" w:hAnsi="宋体" w:cs="宋体"/>
                <w:color w:val="auto"/>
                <w:sz w:val="24"/>
                <w:highlight w:val="none"/>
              </w:rPr>
              <w:t>参数要求</w:t>
            </w:r>
          </w:p>
        </w:tc>
        <w:tc>
          <w:tcPr>
            <w:tcW w:w="1428" w:type="dxa"/>
            <w:tcBorders>
              <w:top w:val="single" w:color="auto" w:sz="4" w:space="0"/>
              <w:left w:val="single" w:color="auto" w:sz="4" w:space="0"/>
              <w:bottom w:val="single" w:color="auto" w:sz="4" w:space="0"/>
              <w:right w:val="single" w:color="auto" w:sz="4" w:space="0"/>
            </w:tcBorders>
            <w:vAlign w:val="center"/>
          </w:tcPr>
          <w:p w14:paraId="5BF9D4AA">
            <w:pPr>
              <w:rPr>
                <w:rFonts w:ascii="宋体" w:hAnsi="宋体" w:cs="宋体"/>
                <w:color w:val="auto"/>
                <w:sz w:val="24"/>
                <w:highlight w:val="none"/>
              </w:rPr>
            </w:pPr>
            <w:r>
              <w:rPr>
                <w:rFonts w:hint="eastAsia" w:ascii="宋体" w:hAnsi="宋体" w:cs="宋体"/>
                <w:color w:val="auto"/>
                <w:sz w:val="24"/>
                <w:highlight w:val="none"/>
              </w:rPr>
              <w:t>货物名称</w:t>
            </w:r>
          </w:p>
        </w:tc>
        <w:tc>
          <w:tcPr>
            <w:tcW w:w="460" w:type="dxa"/>
            <w:tcBorders>
              <w:top w:val="single" w:color="auto" w:sz="4" w:space="0"/>
              <w:left w:val="single" w:color="auto" w:sz="4" w:space="0"/>
              <w:bottom w:val="single" w:color="auto" w:sz="4" w:space="0"/>
              <w:right w:val="single" w:color="auto" w:sz="4" w:space="0"/>
            </w:tcBorders>
            <w:vAlign w:val="center"/>
          </w:tcPr>
          <w:p w14:paraId="4F9DF132">
            <w:pPr>
              <w:rPr>
                <w:rFonts w:ascii="宋体" w:hAnsi="宋体" w:cs="宋体"/>
                <w:color w:val="auto"/>
                <w:sz w:val="24"/>
                <w:highlight w:val="none"/>
              </w:rPr>
            </w:pPr>
            <w:r>
              <w:rPr>
                <w:rFonts w:hint="eastAsia" w:ascii="宋体" w:hAnsi="宋体" w:cs="宋体"/>
                <w:color w:val="auto"/>
                <w:sz w:val="24"/>
                <w:highlight w:val="none"/>
              </w:rPr>
              <w:t>数量</w:t>
            </w:r>
          </w:p>
        </w:tc>
        <w:tc>
          <w:tcPr>
            <w:tcW w:w="1344" w:type="dxa"/>
            <w:tcBorders>
              <w:top w:val="single" w:color="auto" w:sz="4" w:space="0"/>
              <w:left w:val="single" w:color="auto" w:sz="4" w:space="0"/>
              <w:bottom w:val="single" w:color="auto" w:sz="4" w:space="0"/>
              <w:right w:val="single" w:color="auto" w:sz="4" w:space="0"/>
            </w:tcBorders>
            <w:vAlign w:val="center"/>
          </w:tcPr>
          <w:p w14:paraId="504A5BD7">
            <w:pP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响应的技术</w:t>
            </w:r>
            <w:r>
              <w:rPr>
                <w:rFonts w:hint="eastAsia" w:ascii="宋体" w:hAnsi="宋体" w:cs="宋体"/>
                <w:color w:val="auto"/>
                <w:sz w:val="24"/>
                <w:highlight w:val="none"/>
              </w:rPr>
              <w:t>参数</w:t>
            </w:r>
            <w:r>
              <w:rPr>
                <w:rFonts w:hint="eastAsia" w:ascii="宋体" w:hAnsi="宋体" w:cs="宋体"/>
                <w:color w:val="auto"/>
                <w:sz w:val="24"/>
                <w:highlight w:val="none"/>
                <w:lang w:val="en-US" w:eastAsia="zh-CN"/>
              </w:rPr>
              <w:t>要求</w:t>
            </w:r>
          </w:p>
        </w:tc>
        <w:tc>
          <w:tcPr>
            <w:tcW w:w="1506" w:type="dxa"/>
            <w:vMerge w:val="continue"/>
            <w:tcBorders>
              <w:top w:val="single" w:color="auto" w:sz="4" w:space="0"/>
              <w:left w:val="single" w:color="auto" w:sz="4" w:space="0"/>
              <w:bottom w:val="single" w:color="auto" w:sz="4" w:space="0"/>
              <w:right w:val="single" w:color="auto" w:sz="4" w:space="0"/>
            </w:tcBorders>
            <w:vAlign w:val="center"/>
          </w:tcPr>
          <w:p w14:paraId="14913682">
            <w:pPr>
              <w:widowControl/>
              <w:jc w:val="left"/>
              <w:rPr>
                <w:rFonts w:ascii="宋体" w:hAnsi="宋体" w:cs="宋体"/>
                <w:color w:val="auto"/>
                <w:sz w:val="24"/>
                <w:highlight w:val="none"/>
              </w:rPr>
            </w:pPr>
          </w:p>
        </w:tc>
      </w:tr>
      <w:tr w14:paraId="0642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5BF786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1</w:t>
            </w:r>
          </w:p>
        </w:tc>
        <w:tc>
          <w:tcPr>
            <w:tcW w:w="1316" w:type="dxa"/>
            <w:tcBorders>
              <w:top w:val="single" w:color="auto" w:sz="4" w:space="0"/>
              <w:left w:val="single" w:color="auto" w:sz="4" w:space="0"/>
              <w:bottom w:val="single" w:color="auto" w:sz="4" w:space="0"/>
              <w:right w:val="single" w:color="auto" w:sz="4" w:space="0"/>
            </w:tcBorders>
            <w:vAlign w:val="center"/>
          </w:tcPr>
          <w:p w14:paraId="47781BD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562" w:type="dxa"/>
            <w:tcBorders>
              <w:top w:val="single" w:color="auto" w:sz="4" w:space="0"/>
              <w:left w:val="single" w:color="auto" w:sz="4" w:space="0"/>
              <w:bottom w:val="single" w:color="auto" w:sz="4" w:space="0"/>
              <w:right w:val="single" w:color="auto" w:sz="4" w:space="0"/>
            </w:tcBorders>
            <w:vAlign w:val="center"/>
          </w:tcPr>
          <w:p w14:paraId="4623215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288" w:type="dxa"/>
            <w:tcBorders>
              <w:top w:val="single" w:color="auto" w:sz="4" w:space="0"/>
              <w:left w:val="single" w:color="auto" w:sz="4" w:space="0"/>
              <w:bottom w:val="single" w:color="auto" w:sz="4" w:space="0"/>
              <w:right w:val="single" w:color="auto" w:sz="4" w:space="0"/>
            </w:tcBorders>
            <w:vAlign w:val="center"/>
          </w:tcPr>
          <w:p w14:paraId="26CC01E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1  ……</w:t>
            </w:r>
          </w:p>
          <w:p w14:paraId="16B27B0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2  ……</w:t>
            </w:r>
          </w:p>
          <w:p w14:paraId="76A4526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3  ……</w:t>
            </w:r>
          </w:p>
          <w:p w14:paraId="2547530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428" w:type="dxa"/>
            <w:tcBorders>
              <w:top w:val="single" w:color="auto" w:sz="4" w:space="0"/>
              <w:left w:val="single" w:color="auto" w:sz="4" w:space="0"/>
              <w:bottom w:val="single" w:color="auto" w:sz="4" w:space="0"/>
              <w:right w:val="single" w:color="auto" w:sz="4" w:space="0"/>
            </w:tcBorders>
            <w:vAlign w:val="center"/>
          </w:tcPr>
          <w:p w14:paraId="6DA7AB1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460" w:type="dxa"/>
            <w:tcBorders>
              <w:top w:val="single" w:color="auto" w:sz="4" w:space="0"/>
              <w:left w:val="single" w:color="auto" w:sz="4" w:space="0"/>
              <w:bottom w:val="single" w:color="auto" w:sz="4" w:space="0"/>
              <w:right w:val="single" w:color="auto" w:sz="4" w:space="0"/>
            </w:tcBorders>
            <w:vAlign w:val="center"/>
          </w:tcPr>
          <w:p w14:paraId="31C9237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344" w:type="dxa"/>
            <w:tcBorders>
              <w:top w:val="single" w:color="auto" w:sz="4" w:space="0"/>
              <w:left w:val="single" w:color="auto" w:sz="4" w:space="0"/>
              <w:bottom w:val="single" w:color="auto" w:sz="4" w:space="0"/>
              <w:right w:val="single" w:color="auto" w:sz="4" w:space="0"/>
            </w:tcBorders>
            <w:vAlign w:val="center"/>
          </w:tcPr>
          <w:p w14:paraId="2E892D5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1  ……</w:t>
            </w:r>
          </w:p>
          <w:p w14:paraId="24D1E8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2  ……</w:t>
            </w:r>
          </w:p>
          <w:p w14:paraId="0EE1564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3  ……</w:t>
            </w:r>
          </w:p>
          <w:p w14:paraId="4D3C7FD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506" w:type="dxa"/>
            <w:tcBorders>
              <w:top w:val="single" w:color="auto" w:sz="4" w:space="0"/>
              <w:left w:val="single" w:color="auto" w:sz="4" w:space="0"/>
              <w:bottom w:val="single" w:color="auto" w:sz="4" w:space="0"/>
              <w:right w:val="single" w:color="auto" w:sz="4" w:space="0"/>
            </w:tcBorders>
            <w:vAlign w:val="center"/>
          </w:tcPr>
          <w:p w14:paraId="63E059F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p>
        </w:tc>
      </w:tr>
      <w:tr w14:paraId="145B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0D83D89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2</w:t>
            </w:r>
          </w:p>
        </w:tc>
        <w:tc>
          <w:tcPr>
            <w:tcW w:w="1316" w:type="dxa"/>
            <w:tcBorders>
              <w:top w:val="single" w:color="auto" w:sz="4" w:space="0"/>
              <w:left w:val="single" w:color="auto" w:sz="4" w:space="0"/>
              <w:bottom w:val="single" w:color="auto" w:sz="4" w:space="0"/>
              <w:right w:val="single" w:color="auto" w:sz="4" w:space="0"/>
            </w:tcBorders>
            <w:vAlign w:val="center"/>
          </w:tcPr>
          <w:p w14:paraId="15529B0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562" w:type="dxa"/>
            <w:tcBorders>
              <w:top w:val="single" w:color="auto" w:sz="4" w:space="0"/>
              <w:left w:val="single" w:color="auto" w:sz="4" w:space="0"/>
              <w:bottom w:val="single" w:color="auto" w:sz="4" w:space="0"/>
              <w:right w:val="single" w:color="auto" w:sz="4" w:space="0"/>
            </w:tcBorders>
            <w:vAlign w:val="center"/>
          </w:tcPr>
          <w:p w14:paraId="50662F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288" w:type="dxa"/>
            <w:tcBorders>
              <w:top w:val="single" w:color="auto" w:sz="4" w:space="0"/>
              <w:left w:val="single" w:color="auto" w:sz="4" w:space="0"/>
              <w:bottom w:val="single" w:color="auto" w:sz="4" w:space="0"/>
              <w:right w:val="single" w:color="auto" w:sz="4" w:space="0"/>
            </w:tcBorders>
            <w:vAlign w:val="center"/>
          </w:tcPr>
          <w:p w14:paraId="1285686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1  ……</w:t>
            </w:r>
          </w:p>
          <w:p w14:paraId="0F636DC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2  ……</w:t>
            </w:r>
          </w:p>
          <w:p w14:paraId="7A2966C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3  ……</w:t>
            </w:r>
          </w:p>
          <w:p w14:paraId="4854BA2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428" w:type="dxa"/>
            <w:tcBorders>
              <w:top w:val="single" w:color="auto" w:sz="4" w:space="0"/>
              <w:left w:val="single" w:color="auto" w:sz="4" w:space="0"/>
              <w:bottom w:val="single" w:color="auto" w:sz="4" w:space="0"/>
              <w:right w:val="single" w:color="auto" w:sz="4" w:space="0"/>
            </w:tcBorders>
            <w:vAlign w:val="center"/>
          </w:tcPr>
          <w:p w14:paraId="1729AC3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460" w:type="dxa"/>
            <w:tcBorders>
              <w:top w:val="single" w:color="auto" w:sz="4" w:space="0"/>
              <w:left w:val="single" w:color="auto" w:sz="4" w:space="0"/>
              <w:bottom w:val="single" w:color="auto" w:sz="4" w:space="0"/>
              <w:right w:val="single" w:color="auto" w:sz="4" w:space="0"/>
            </w:tcBorders>
            <w:vAlign w:val="center"/>
          </w:tcPr>
          <w:p w14:paraId="452DCEE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344" w:type="dxa"/>
            <w:tcBorders>
              <w:top w:val="single" w:color="auto" w:sz="4" w:space="0"/>
              <w:left w:val="single" w:color="auto" w:sz="4" w:space="0"/>
              <w:bottom w:val="single" w:color="auto" w:sz="4" w:space="0"/>
              <w:right w:val="single" w:color="auto" w:sz="4" w:space="0"/>
            </w:tcBorders>
            <w:vAlign w:val="center"/>
          </w:tcPr>
          <w:p w14:paraId="2670FE5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1  ……</w:t>
            </w:r>
          </w:p>
          <w:p w14:paraId="74ADF24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2  ……</w:t>
            </w:r>
          </w:p>
          <w:p w14:paraId="27EDA2D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3  ……</w:t>
            </w:r>
          </w:p>
          <w:p w14:paraId="3F40CEB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r>
              <w:rPr>
                <w:rFonts w:hint="eastAsia" w:ascii="宋体" w:hAnsi="宋体" w:cs="宋体"/>
                <w:color w:val="auto"/>
                <w:sz w:val="24"/>
                <w:highlight w:val="none"/>
              </w:rPr>
              <w:t>……</w:t>
            </w:r>
          </w:p>
        </w:tc>
        <w:tc>
          <w:tcPr>
            <w:tcW w:w="1506" w:type="dxa"/>
            <w:tcBorders>
              <w:top w:val="single" w:color="auto" w:sz="4" w:space="0"/>
              <w:left w:val="single" w:color="auto" w:sz="4" w:space="0"/>
              <w:bottom w:val="single" w:color="auto" w:sz="4" w:space="0"/>
              <w:right w:val="single" w:color="auto" w:sz="4" w:space="0"/>
            </w:tcBorders>
            <w:vAlign w:val="center"/>
          </w:tcPr>
          <w:p w14:paraId="3B13530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s="宋体"/>
                <w:color w:val="auto"/>
                <w:sz w:val="24"/>
                <w:highlight w:val="none"/>
              </w:rPr>
            </w:pPr>
          </w:p>
        </w:tc>
      </w:tr>
      <w:tr w14:paraId="1EC3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6040613C">
            <w:pPr>
              <w:rPr>
                <w:rFonts w:ascii="宋体" w:hAnsi="宋体" w:cs="宋体"/>
                <w:color w:val="auto"/>
                <w:sz w:val="24"/>
                <w:highlight w:val="none"/>
              </w:rPr>
            </w:pPr>
            <w:r>
              <w:rPr>
                <w:rFonts w:hint="eastAsia" w:ascii="宋体" w:hAnsi="宋体" w:cs="宋体"/>
                <w:color w:val="auto"/>
                <w:sz w:val="24"/>
                <w:highlight w:val="none"/>
              </w:rPr>
              <w:t>...</w:t>
            </w:r>
          </w:p>
        </w:tc>
        <w:tc>
          <w:tcPr>
            <w:tcW w:w="1316" w:type="dxa"/>
            <w:tcBorders>
              <w:top w:val="single" w:color="auto" w:sz="4" w:space="0"/>
              <w:left w:val="single" w:color="auto" w:sz="4" w:space="0"/>
              <w:bottom w:val="single" w:color="auto" w:sz="4" w:space="0"/>
              <w:right w:val="single" w:color="auto" w:sz="4" w:space="0"/>
            </w:tcBorders>
            <w:vAlign w:val="center"/>
          </w:tcPr>
          <w:p w14:paraId="2CEA3944">
            <w:pPr>
              <w:rPr>
                <w:rFonts w:ascii="宋体" w:hAnsi="宋体" w:cs="宋体"/>
                <w:color w:val="auto"/>
                <w:sz w:val="24"/>
                <w:highlight w:val="none"/>
              </w:rPr>
            </w:pPr>
          </w:p>
        </w:tc>
        <w:tc>
          <w:tcPr>
            <w:tcW w:w="562" w:type="dxa"/>
            <w:tcBorders>
              <w:top w:val="single" w:color="auto" w:sz="4" w:space="0"/>
              <w:left w:val="single" w:color="auto" w:sz="4" w:space="0"/>
              <w:bottom w:val="single" w:color="auto" w:sz="4" w:space="0"/>
              <w:right w:val="single" w:color="auto" w:sz="4" w:space="0"/>
            </w:tcBorders>
            <w:vAlign w:val="center"/>
          </w:tcPr>
          <w:p w14:paraId="039330BB">
            <w:pPr>
              <w:rPr>
                <w:rFonts w:ascii="宋体" w:hAnsi="宋体" w:cs="宋体"/>
                <w:color w:val="auto"/>
                <w:sz w:val="24"/>
                <w:highlight w:val="none"/>
              </w:rPr>
            </w:pPr>
          </w:p>
        </w:tc>
        <w:tc>
          <w:tcPr>
            <w:tcW w:w="1288" w:type="dxa"/>
            <w:tcBorders>
              <w:top w:val="single" w:color="auto" w:sz="4" w:space="0"/>
              <w:left w:val="single" w:color="auto" w:sz="4" w:space="0"/>
              <w:bottom w:val="single" w:color="auto" w:sz="4" w:space="0"/>
              <w:right w:val="single" w:color="auto" w:sz="4" w:space="0"/>
            </w:tcBorders>
            <w:vAlign w:val="center"/>
          </w:tcPr>
          <w:p w14:paraId="36D58F76">
            <w:pPr>
              <w:rPr>
                <w:rFonts w:ascii="宋体" w:hAnsi="宋体" w:cs="宋体"/>
                <w:color w:val="auto"/>
                <w:sz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37E7216B">
            <w:pPr>
              <w:rPr>
                <w:rFonts w:ascii="宋体" w:hAnsi="宋体" w:cs="宋体"/>
                <w:color w:val="auto"/>
                <w:sz w:val="24"/>
                <w:highlight w:val="none"/>
              </w:rPr>
            </w:pPr>
          </w:p>
        </w:tc>
        <w:tc>
          <w:tcPr>
            <w:tcW w:w="460" w:type="dxa"/>
            <w:tcBorders>
              <w:top w:val="single" w:color="auto" w:sz="4" w:space="0"/>
              <w:left w:val="single" w:color="auto" w:sz="4" w:space="0"/>
              <w:bottom w:val="single" w:color="auto" w:sz="4" w:space="0"/>
              <w:right w:val="single" w:color="auto" w:sz="4" w:space="0"/>
            </w:tcBorders>
            <w:vAlign w:val="center"/>
          </w:tcPr>
          <w:p w14:paraId="3C12E974">
            <w:pPr>
              <w:rPr>
                <w:rFonts w:ascii="宋体" w:hAnsi="宋体" w:cs="宋体"/>
                <w:color w:val="auto"/>
                <w:sz w:val="24"/>
                <w:highlight w:val="none"/>
              </w:rPr>
            </w:pPr>
          </w:p>
        </w:tc>
        <w:tc>
          <w:tcPr>
            <w:tcW w:w="1344" w:type="dxa"/>
            <w:tcBorders>
              <w:top w:val="single" w:color="auto" w:sz="4" w:space="0"/>
              <w:left w:val="single" w:color="auto" w:sz="4" w:space="0"/>
              <w:bottom w:val="single" w:color="auto" w:sz="4" w:space="0"/>
              <w:right w:val="single" w:color="auto" w:sz="4" w:space="0"/>
            </w:tcBorders>
            <w:vAlign w:val="center"/>
          </w:tcPr>
          <w:p w14:paraId="0ADFD6A2">
            <w:pPr>
              <w:rPr>
                <w:rFonts w:ascii="宋体" w:hAnsi="宋体" w:cs="宋体"/>
                <w:color w:val="auto"/>
                <w:sz w:val="24"/>
                <w:highlight w:val="none"/>
              </w:rPr>
            </w:pPr>
          </w:p>
        </w:tc>
        <w:tc>
          <w:tcPr>
            <w:tcW w:w="1506" w:type="dxa"/>
            <w:tcBorders>
              <w:top w:val="single" w:color="auto" w:sz="4" w:space="0"/>
              <w:left w:val="single" w:color="auto" w:sz="4" w:space="0"/>
              <w:bottom w:val="single" w:color="auto" w:sz="4" w:space="0"/>
              <w:right w:val="single" w:color="auto" w:sz="4" w:space="0"/>
            </w:tcBorders>
            <w:vAlign w:val="center"/>
          </w:tcPr>
          <w:p w14:paraId="24ED8BAE">
            <w:pPr>
              <w:rPr>
                <w:rFonts w:ascii="宋体" w:hAnsi="宋体" w:cs="宋体"/>
                <w:color w:val="auto"/>
                <w:sz w:val="24"/>
                <w:highlight w:val="none"/>
              </w:rPr>
            </w:pPr>
          </w:p>
        </w:tc>
      </w:tr>
    </w:tbl>
    <w:p w14:paraId="3286ED24">
      <w:pPr>
        <w:pStyle w:val="14"/>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45EA5D06">
      <w:pPr>
        <w:pStyle w:val="14"/>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1.说明：应对照谈判文件“第二章”中“货物需求一览表”的采购清单及技术参数条款逐条作出明确响应，并作出偏离说明。</w:t>
      </w:r>
    </w:p>
    <w:p w14:paraId="06B0B1CB">
      <w:pPr>
        <w:pStyle w:val="15"/>
        <w:spacing w:line="400" w:lineRule="exact"/>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301BACC8">
      <w:pPr>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3.表格内容均需按要求填写并盖章，不得留空，否则按竞标无效处理。</w:t>
      </w:r>
    </w:p>
    <w:p w14:paraId="53137116">
      <w:pPr>
        <w:pStyle w:val="18"/>
        <w:spacing w:line="400" w:lineRule="exact"/>
        <w:rPr>
          <w:rFonts w:hAnsi="宋体" w:cs="宋体"/>
          <w:color w:val="auto"/>
          <w:sz w:val="24"/>
          <w:szCs w:val="24"/>
          <w:highlight w:val="none"/>
        </w:rPr>
      </w:pPr>
      <w:r>
        <w:rPr>
          <w:rFonts w:hint="eastAsia" w:hAnsi="宋体" w:cs="宋体"/>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34A262C8">
      <w:pPr>
        <w:pStyle w:val="15"/>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5.如技术偏离表中的竞标响应与佐证材料不一致的，以佐证材料为准。</w:t>
      </w:r>
    </w:p>
    <w:p w14:paraId="41A2F641">
      <w:pPr>
        <w:pStyle w:val="15"/>
        <w:spacing w:line="360" w:lineRule="auto"/>
        <w:ind w:firstLine="0" w:firstLineChars="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6.未标记“▲”条款或非质性技术参数允许偏离3条，超出3条或以上，作无效竞标处理。</w:t>
      </w:r>
    </w:p>
    <w:p w14:paraId="2359F61E">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6745BF80">
      <w:pPr>
        <w:autoSpaceDE w:val="0"/>
        <w:autoSpaceDN w:val="0"/>
        <w:spacing w:line="360" w:lineRule="auto"/>
        <w:ind w:firstLine="6480" w:firstLineChars="2700"/>
        <w:rPr>
          <w:rFonts w:ascii="宋体" w:hAnsi="宋体" w:cs="宋体"/>
          <w:b/>
          <w:bCs/>
          <w:color w:val="auto"/>
          <w:sz w:val="24"/>
          <w:highlight w:val="none"/>
        </w:rPr>
      </w:pPr>
      <w:r>
        <w:rPr>
          <w:rFonts w:hint="eastAsia" w:ascii="宋体" w:hAnsi="宋体" w:cs="宋体"/>
          <w:color w:val="auto"/>
          <w:kern w:val="0"/>
          <w:sz w:val="24"/>
          <w:highlight w:val="none"/>
          <w:lang w:val="zh-CN"/>
        </w:rPr>
        <w:t>日期：  年  月   日</w:t>
      </w:r>
    </w:p>
    <w:p w14:paraId="0D2C90AB">
      <w:pPr>
        <w:widowControl/>
        <w:jc w:val="left"/>
        <w:rPr>
          <w:rFonts w:ascii="宋体" w:hAnsi="宋体" w:cs="宋体"/>
          <w:color w:val="auto"/>
          <w:sz w:val="24"/>
          <w:highlight w:val="none"/>
        </w:rPr>
        <w:sectPr>
          <w:pgSz w:w="11910" w:h="16840"/>
          <w:pgMar w:top="1451" w:right="1276" w:bottom="1185" w:left="1395" w:header="720" w:footer="720" w:gutter="0"/>
          <w:cols w:space="720" w:num="1"/>
        </w:sectPr>
      </w:pPr>
    </w:p>
    <w:p w14:paraId="5A41A170">
      <w:pPr>
        <w:snapToGrid w:val="0"/>
        <w:spacing w:before="120" w:beforeLines="50" w:after="50"/>
        <w:ind w:left="142"/>
        <w:jc w:val="left"/>
        <w:rPr>
          <w:rFonts w:ascii="宋体" w:hAnsi="宋体" w:cs="宋体"/>
          <w:b/>
          <w:color w:val="auto"/>
          <w:sz w:val="32"/>
          <w:szCs w:val="32"/>
          <w:highlight w:val="none"/>
        </w:rPr>
      </w:pPr>
      <w:r>
        <w:rPr>
          <w:rFonts w:hint="eastAsia" w:ascii="宋体" w:hAnsi="宋体" w:cs="宋体"/>
          <w:b/>
          <w:color w:val="auto"/>
          <w:sz w:val="30"/>
          <w:szCs w:val="30"/>
          <w:highlight w:val="none"/>
          <w:lang w:val="en-US" w:eastAsia="zh-CN"/>
        </w:rPr>
        <w:t>八</w:t>
      </w:r>
      <w:r>
        <w:rPr>
          <w:rFonts w:hint="eastAsia" w:ascii="宋体" w:hAnsi="宋体" w:cs="宋体"/>
          <w:b/>
          <w:color w:val="auto"/>
          <w:sz w:val="30"/>
          <w:szCs w:val="30"/>
          <w:highlight w:val="none"/>
        </w:rPr>
        <w:t>、售后服务</w:t>
      </w:r>
      <w:r>
        <w:rPr>
          <w:rFonts w:hint="eastAsia" w:ascii="宋体" w:hAnsi="宋体" w:cs="宋体"/>
          <w:b/>
          <w:color w:val="auto"/>
          <w:sz w:val="32"/>
          <w:szCs w:val="32"/>
          <w:highlight w:val="none"/>
        </w:rPr>
        <w:t>承诺</w:t>
      </w:r>
    </w:p>
    <w:p w14:paraId="4D0D63DF">
      <w:pPr>
        <w:autoSpaceDE w:val="0"/>
        <w:autoSpaceDN w:val="0"/>
        <w:spacing w:line="360" w:lineRule="auto"/>
        <w:jc w:val="center"/>
        <w:rPr>
          <w:rFonts w:hint="eastAsia" w:ascii="宋体" w:hAnsi="宋体" w:eastAsia="宋体" w:cs="宋体"/>
          <w:b/>
          <w:color w:val="auto"/>
          <w:sz w:val="24"/>
          <w:highlight w:val="none"/>
          <w:lang w:eastAsia="zh-CN"/>
        </w:rPr>
      </w:pPr>
      <w:r>
        <w:rPr>
          <w:rFonts w:hint="eastAsia" w:ascii="宋体" w:hAnsi="宋体" w:cs="宋体"/>
          <w:b/>
          <w:bCs w:val="0"/>
          <w:color w:val="auto"/>
          <w:sz w:val="24"/>
          <w:highlight w:val="none"/>
          <w:lang w:eastAsia="zh-CN"/>
        </w:rPr>
        <w:t>（</w:t>
      </w:r>
      <w:r>
        <w:rPr>
          <w:rFonts w:hint="eastAsia" w:ascii="宋体" w:hAnsi="宋体" w:cs="宋体"/>
          <w:b/>
          <w:bCs w:val="0"/>
          <w:color w:val="auto"/>
          <w:sz w:val="24"/>
          <w:highlight w:val="none"/>
        </w:rPr>
        <w:t>由供应商</w:t>
      </w:r>
      <w:r>
        <w:rPr>
          <w:rFonts w:hint="eastAsia" w:ascii="宋体" w:hAnsi="宋体" w:cs="宋体"/>
          <w:b/>
          <w:bCs w:val="0"/>
          <w:color w:val="auto"/>
          <w:sz w:val="24"/>
          <w:highlight w:val="none"/>
          <w:lang w:val="en-US" w:eastAsia="zh-CN"/>
        </w:rPr>
        <w:t>根据采购</w:t>
      </w:r>
      <w:r>
        <w:rPr>
          <w:rFonts w:hint="eastAsia" w:ascii="宋体" w:hAnsi="宋体" w:cs="宋体"/>
          <w:b/>
          <w:color w:val="auto"/>
          <w:sz w:val="24"/>
          <w:highlight w:val="none"/>
          <w:lang w:val="en-US" w:eastAsia="zh-CN"/>
        </w:rPr>
        <w:t>需求自行编制</w:t>
      </w:r>
      <w:r>
        <w:rPr>
          <w:rFonts w:hint="eastAsia" w:ascii="宋体" w:hAnsi="宋体" w:cs="宋体"/>
          <w:b/>
          <w:color w:val="auto"/>
          <w:sz w:val="24"/>
          <w:highlight w:val="none"/>
          <w:lang w:eastAsia="zh-CN"/>
        </w:rPr>
        <w:t>）</w:t>
      </w:r>
    </w:p>
    <w:p w14:paraId="58BDA3B6">
      <w:pPr>
        <w:pStyle w:val="31"/>
        <w:ind w:firstLine="482"/>
        <w:rPr>
          <w:rFonts w:ascii="宋体" w:hAnsi="宋体" w:cs="宋体"/>
          <w:b/>
          <w:color w:val="auto"/>
          <w:sz w:val="24"/>
          <w:highlight w:val="none"/>
        </w:rPr>
      </w:pPr>
    </w:p>
    <w:p w14:paraId="040CB46B">
      <w:pPr>
        <w:pStyle w:val="30"/>
        <w:ind w:firstLine="210"/>
        <w:rPr>
          <w:color w:val="auto"/>
          <w:highlight w:val="none"/>
        </w:rPr>
      </w:pPr>
    </w:p>
    <w:p w14:paraId="19FEB498">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32"/>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90"/>
        <w:gridCol w:w="1445"/>
        <w:gridCol w:w="1245"/>
        <w:gridCol w:w="2222"/>
        <w:gridCol w:w="1488"/>
      </w:tblGrid>
      <w:tr w14:paraId="29F6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504BE9C3">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990" w:type="dxa"/>
            <w:tcBorders>
              <w:top w:val="single" w:color="auto" w:sz="4" w:space="0"/>
              <w:left w:val="single" w:color="auto" w:sz="4" w:space="0"/>
              <w:bottom w:val="single" w:color="auto" w:sz="4" w:space="0"/>
              <w:right w:val="single" w:color="auto" w:sz="4" w:space="0"/>
            </w:tcBorders>
          </w:tcPr>
          <w:p w14:paraId="55C95730">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机构名称</w:t>
            </w:r>
          </w:p>
        </w:tc>
        <w:tc>
          <w:tcPr>
            <w:tcW w:w="1445" w:type="dxa"/>
            <w:tcBorders>
              <w:top w:val="single" w:color="auto" w:sz="4" w:space="0"/>
              <w:left w:val="single" w:color="auto" w:sz="4" w:space="0"/>
              <w:bottom w:val="single" w:color="auto" w:sz="4" w:space="0"/>
              <w:right w:val="single" w:color="auto" w:sz="4" w:space="0"/>
            </w:tcBorders>
          </w:tcPr>
          <w:p w14:paraId="3208328E">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6CE183DA">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注册地址</w:t>
            </w:r>
          </w:p>
        </w:tc>
        <w:tc>
          <w:tcPr>
            <w:tcW w:w="2222" w:type="dxa"/>
            <w:tcBorders>
              <w:top w:val="single" w:color="auto" w:sz="4" w:space="0"/>
              <w:left w:val="single" w:color="auto" w:sz="4" w:space="0"/>
              <w:bottom w:val="single" w:color="auto" w:sz="4" w:space="0"/>
              <w:right w:val="single" w:color="auto" w:sz="4" w:space="0"/>
            </w:tcBorders>
          </w:tcPr>
          <w:p w14:paraId="5795AEBB">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货物技术人员数量</w:t>
            </w:r>
          </w:p>
        </w:tc>
        <w:tc>
          <w:tcPr>
            <w:tcW w:w="1488" w:type="dxa"/>
            <w:tcBorders>
              <w:top w:val="single" w:color="auto" w:sz="4" w:space="0"/>
              <w:left w:val="single" w:color="auto" w:sz="4" w:space="0"/>
              <w:bottom w:val="single" w:color="auto" w:sz="4" w:space="0"/>
              <w:right w:val="single" w:color="auto" w:sz="4" w:space="0"/>
            </w:tcBorders>
          </w:tcPr>
          <w:p w14:paraId="148827F1">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联系电话</w:t>
            </w:r>
          </w:p>
        </w:tc>
      </w:tr>
      <w:tr w14:paraId="2F30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93DB3C6">
            <w:pPr>
              <w:autoSpaceDE w:val="0"/>
              <w:autoSpaceDN w:val="0"/>
              <w:spacing w:line="360" w:lineRule="auto"/>
              <w:jc w:val="center"/>
              <w:rPr>
                <w:rFonts w:ascii="宋体" w:hAnsi="宋体" w:cs="宋体"/>
                <w:color w:val="auto"/>
                <w:sz w:val="24"/>
                <w:highlight w:val="none"/>
              </w:rPr>
            </w:pPr>
          </w:p>
        </w:tc>
        <w:tc>
          <w:tcPr>
            <w:tcW w:w="1990" w:type="dxa"/>
            <w:tcBorders>
              <w:top w:val="single" w:color="auto" w:sz="4" w:space="0"/>
              <w:left w:val="single" w:color="auto" w:sz="4" w:space="0"/>
              <w:bottom w:val="single" w:color="auto" w:sz="4" w:space="0"/>
              <w:right w:val="single" w:color="auto" w:sz="4" w:space="0"/>
            </w:tcBorders>
          </w:tcPr>
          <w:p w14:paraId="0D11E754">
            <w:pPr>
              <w:autoSpaceDE w:val="0"/>
              <w:autoSpaceDN w:val="0"/>
              <w:spacing w:line="360" w:lineRule="auto"/>
              <w:jc w:val="center"/>
              <w:rPr>
                <w:rFonts w:ascii="宋体" w:hAnsi="宋体" w:cs="宋体"/>
                <w:color w:val="auto"/>
                <w:sz w:val="24"/>
                <w:highlight w:val="none"/>
              </w:rPr>
            </w:pPr>
          </w:p>
        </w:tc>
        <w:tc>
          <w:tcPr>
            <w:tcW w:w="1445" w:type="dxa"/>
            <w:tcBorders>
              <w:top w:val="single" w:color="auto" w:sz="4" w:space="0"/>
              <w:left w:val="single" w:color="auto" w:sz="4" w:space="0"/>
              <w:bottom w:val="single" w:color="auto" w:sz="4" w:space="0"/>
              <w:right w:val="single" w:color="auto" w:sz="4" w:space="0"/>
            </w:tcBorders>
          </w:tcPr>
          <w:p w14:paraId="30558E7D">
            <w:pPr>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59706D5C">
            <w:pPr>
              <w:autoSpaceDE w:val="0"/>
              <w:autoSpaceDN w:val="0"/>
              <w:spacing w:line="360" w:lineRule="auto"/>
              <w:jc w:val="center"/>
              <w:rPr>
                <w:rFonts w:ascii="宋体" w:hAnsi="宋体" w:cs="宋体"/>
                <w:color w:val="auto"/>
                <w:sz w:val="24"/>
                <w:highlight w:val="none"/>
              </w:rPr>
            </w:pPr>
          </w:p>
        </w:tc>
        <w:tc>
          <w:tcPr>
            <w:tcW w:w="2222" w:type="dxa"/>
            <w:tcBorders>
              <w:top w:val="single" w:color="auto" w:sz="4" w:space="0"/>
              <w:left w:val="single" w:color="auto" w:sz="4" w:space="0"/>
              <w:bottom w:val="single" w:color="auto" w:sz="4" w:space="0"/>
              <w:right w:val="single" w:color="auto" w:sz="4" w:space="0"/>
            </w:tcBorders>
          </w:tcPr>
          <w:p w14:paraId="016654CD">
            <w:pPr>
              <w:autoSpaceDE w:val="0"/>
              <w:autoSpaceDN w:val="0"/>
              <w:spacing w:line="360" w:lineRule="auto"/>
              <w:jc w:val="center"/>
              <w:rPr>
                <w:rFonts w:ascii="宋体" w:hAnsi="宋体" w:cs="宋体"/>
                <w:color w:val="auto"/>
                <w:sz w:val="24"/>
                <w:highlight w:val="none"/>
              </w:rPr>
            </w:pPr>
          </w:p>
        </w:tc>
        <w:tc>
          <w:tcPr>
            <w:tcW w:w="1488" w:type="dxa"/>
            <w:tcBorders>
              <w:top w:val="single" w:color="auto" w:sz="4" w:space="0"/>
              <w:left w:val="single" w:color="auto" w:sz="4" w:space="0"/>
              <w:bottom w:val="single" w:color="auto" w:sz="4" w:space="0"/>
              <w:right w:val="single" w:color="auto" w:sz="4" w:space="0"/>
            </w:tcBorders>
          </w:tcPr>
          <w:p w14:paraId="1EA4F206">
            <w:pPr>
              <w:autoSpaceDE w:val="0"/>
              <w:autoSpaceDN w:val="0"/>
              <w:spacing w:line="360" w:lineRule="auto"/>
              <w:jc w:val="center"/>
              <w:rPr>
                <w:rFonts w:ascii="宋体" w:hAnsi="宋体" w:cs="宋体"/>
                <w:color w:val="auto"/>
                <w:sz w:val="24"/>
                <w:highlight w:val="none"/>
              </w:rPr>
            </w:pPr>
          </w:p>
        </w:tc>
      </w:tr>
      <w:tr w14:paraId="5217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04DD1364">
            <w:pPr>
              <w:autoSpaceDE w:val="0"/>
              <w:autoSpaceDN w:val="0"/>
              <w:spacing w:line="360" w:lineRule="auto"/>
              <w:jc w:val="center"/>
              <w:rPr>
                <w:rFonts w:ascii="宋体" w:hAnsi="宋体" w:cs="宋体"/>
                <w:color w:val="auto"/>
                <w:sz w:val="24"/>
                <w:highlight w:val="none"/>
              </w:rPr>
            </w:pPr>
          </w:p>
        </w:tc>
        <w:tc>
          <w:tcPr>
            <w:tcW w:w="1990" w:type="dxa"/>
            <w:tcBorders>
              <w:top w:val="single" w:color="auto" w:sz="4" w:space="0"/>
              <w:left w:val="single" w:color="auto" w:sz="4" w:space="0"/>
              <w:bottom w:val="single" w:color="auto" w:sz="4" w:space="0"/>
              <w:right w:val="single" w:color="auto" w:sz="4" w:space="0"/>
            </w:tcBorders>
          </w:tcPr>
          <w:p w14:paraId="57803847">
            <w:pPr>
              <w:autoSpaceDE w:val="0"/>
              <w:autoSpaceDN w:val="0"/>
              <w:spacing w:line="360" w:lineRule="auto"/>
              <w:jc w:val="center"/>
              <w:rPr>
                <w:rFonts w:ascii="宋体" w:hAnsi="宋体" w:cs="宋体"/>
                <w:color w:val="auto"/>
                <w:sz w:val="24"/>
                <w:highlight w:val="none"/>
              </w:rPr>
            </w:pPr>
          </w:p>
        </w:tc>
        <w:tc>
          <w:tcPr>
            <w:tcW w:w="1445" w:type="dxa"/>
            <w:tcBorders>
              <w:top w:val="single" w:color="auto" w:sz="4" w:space="0"/>
              <w:left w:val="single" w:color="auto" w:sz="4" w:space="0"/>
              <w:bottom w:val="single" w:color="auto" w:sz="4" w:space="0"/>
              <w:right w:val="single" w:color="auto" w:sz="4" w:space="0"/>
            </w:tcBorders>
          </w:tcPr>
          <w:p w14:paraId="4F95B1DD">
            <w:pPr>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3AC3B62C">
            <w:pPr>
              <w:autoSpaceDE w:val="0"/>
              <w:autoSpaceDN w:val="0"/>
              <w:spacing w:line="360" w:lineRule="auto"/>
              <w:jc w:val="center"/>
              <w:rPr>
                <w:rFonts w:ascii="宋体" w:hAnsi="宋体" w:cs="宋体"/>
                <w:color w:val="auto"/>
                <w:sz w:val="24"/>
                <w:highlight w:val="none"/>
              </w:rPr>
            </w:pPr>
          </w:p>
        </w:tc>
        <w:tc>
          <w:tcPr>
            <w:tcW w:w="2222" w:type="dxa"/>
            <w:tcBorders>
              <w:top w:val="single" w:color="auto" w:sz="4" w:space="0"/>
              <w:left w:val="single" w:color="auto" w:sz="4" w:space="0"/>
              <w:bottom w:val="single" w:color="auto" w:sz="4" w:space="0"/>
              <w:right w:val="single" w:color="auto" w:sz="4" w:space="0"/>
            </w:tcBorders>
          </w:tcPr>
          <w:p w14:paraId="7CF6C4E8">
            <w:pPr>
              <w:autoSpaceDE w:val="0"/>
              <w:autoSpaceDN w:val="0"/>
              <w:spacing w:line="360" w:lineRule="auto"/>
              <w:jc w:val="center"/>
              <w:rPr>
                <w:rFonts w:ascii="宋体" w:hAnsi="宋体" w:cs="宋体"/>
                <w:color w:val="auto"/>
                <w:sz w:val="24"/>
                <w:highlight w:val="none"/>
              </w:rPr>
            </w:pPr>
          </w:p>
        </w:tc>
        <w:tc>
          <w:tcPr>
            <w:tcW w:w="1488" w:type="dxa"/>
            <w:tcBorders>
              <w:top w:val="single" w:color="auto" w:sz="4" w:space="0"/>
              <w:left w:val="single" w:color="auto" w:sz="4" w:space="0"/>
              <w:bottom w:val="single" w:color="auto" w:sz="4" w:space="0"/>
              <w:right w:val="single" w:color="auto" w:sz="4" w:space="0"/>
            </w:tcBorders>
          </w:tcPr>
          <w:p w14:paraId="38E15A60">
            <w:pPr>
              <w:autoSpaceDE w:val="0"/>
              <w:autoSpaceDN w:val="0"/>
              <w:spacing w:line="360" w:lineRule="auto"/>
              <w:jc w:val="center"/>
              <w:rPr>
                <w:rFonts w:ascii="宋体" w:hAnsi="宋体" w:cs="宋体"/>
                <w:color w:val="auto"/>
                <w:sz w:val="24"/>
                <w:highlight w:val="none"/>
              </w:rPr>
            </w:pPr>
          </w:p>
        </w:tc>
      </w:tr>
      <w:tr w14:paraId="5A15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4431059">
            <w:pPr>
              <w:autoSpaceDE w:val="0"/>
              <w:autoSpaceDN w:val="0"/>
              <w:spacing w:line="360" w:lineRule="auto"/>
              <w:jc w:val="center"/>
              <w:rPr>
                <w:rFonts w:ascii="宋体" w:hAnsi="宋体" w:cs="宋体"/>
                <w:color w:val="auto"/>
                <w:sz w:val="24"/>
                <w:highlight w:val="none"/>
              </w:rPr>
            </w:pPr>
          </w:p>
        </w:tc>
        <w:tc>
          <w:tcPr>
            <w:tcW w:w="1990" w:type="dxa"/>
            <w:tcBorders>
              <w:top w:val="single" w:color="auto" w:sz="4" w:space="0"/>
              <w:left w:val="single" w:color="auto" w:sz="4" w:space="0"/>
              <w:bottom w:val="single" w:color="auto" w:sz="4" w:space="0"/>
              <w:right w:val="single" w:color="auto" w:sz="4" w:space="0"/>
            </w:tcBorders>
          </w:tcPr>
          <w:p w14:paraId="267200D2">
            <w:pPr>
              <w:autoSpaceDE w:val="0"/>
              <w:autoSpaceDN w:val="0"/>
              <w:spacing w:line="360" w:lineRule="auto"/>
              <w:jc w:val="center"/>
              <w:rPr>
                <w:rFonts w:ascii="宋体" w:hAnsi="宋体" w:cs="宋体"/>
                <w:color w:val="auto"/>
                <w:sz w:val="24"/>
                <w:highlight w:val="none"/>
              </w:rPr>
            </w:pPr>
          </w:p>
        </w:tc>
        <w:tc>
          <w:tcPr>
            <w:tcW w:w="1445" w:type="dxa"/>
            <w:tcBorders>
              <w:top w:val="single" w:color="auto" w:sz="4" w:space="0"/>
              <w:left w:val="single" w:color="auto" w:sz="4" w:space="0"/>
              <w:bottom w:val="single" w:color="auto" w:sz="4" w:space="0"/>
              <w:right w:val="single" w:color="auto" w:sz="4" w:space="0"/>
            </w:tcBorders>
          </w:tcPr>
          <w:p w14:paraId="6653C4C2">
            <w:pPr>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1C575A13">
            <w:pPr>
              <w:autoSpaceDE w:val="0"/>
              <w:autoSpaceDN w:val="0"/>
              <w:spacing w:line="360" w:lineRule="auto"/>
              <w:jc w:val="center"/>
              <w:rPr>
                <w:rFonts w:ascii="宋体" w:hAnsi="宋体" w:cs="宋体"/>
                <w:color w:val="auto"/>
                <w:sz w:val="24"/>
                <w:highlight w:val="none"/>
              </w:rPr>
            </w:pPr>
          </w:p>
        </w:tc>
        <w:tc>
          <w:tcPr>
            <w:tcW w:w="2222" w:type="dxa"/>
            <w:tcBorders>
              <w:top w:val="single" w:color="auto" w:sz="4" w:space="0"/>
              <w:left w:val="single" w:color="auto" w:sz="4" w:space="0"/>
              <w:bottom w:val="single" w:color="auto" w:sz="4" w:space="0"/>
              <w:right w:val="single" w:color="auto" w:sz="4" w:space="0"/>
            </w:tcBorders>
          </w:tcPr>
          <w:p w14:paraId="1EB994B4">
            <w:pPr>
              <w:autoSpaceDE w:val="0"/>
              <w:autoSpaceDN w:val="0"/>
              <w:spacing w:line="360" w:lineRule="auto"/>
              <w:jc w:val="center"/>
              <w:rPr>
                <w:rFonts w:ascii="宋体" w:hAnsi="宋体" w:cs="宋体"/>
                <w:color w:val="auto"/>
                <w:sz w:val="24"/>
                <w:highlight w:val="none"/>
              </w:rPr>
            </w:pPr>
          </w:p>
        </w:tc>
        <w:tc>
          <w:tcPr>
            <w:tcW w:w="1488" w:type="dxa"/>
            <w:tcBorders>
              <w:top w:val="single" w:color="auto" w:sz="4" w:space="0"/>
              <w:left w:val="single" w:color="auto" w:sz="4" w:space="0"/>
              <w:bottom w:val="single" w:color="auto" w:sz="4" w:space="0"/>
              <w:right w:val="single" w:color="auto" w:sz="4" w:space="0"/>
            </w:tcBorders>
          </w:tcPr>
          <w:p w14:paraId="3F1D6A74">
            <w:pPr>
              <w:autoSpaceDE w:val="0"/>
              <w:autoSpaceDN w:val="0"/>
              <w:spacing w:line="360" w:lineRule="auto"/>
              <w:jc w:val="center"/>
              <w:rPr>
                <w:rFonts w:ascii="宋体" w:hAnsi="宋体" w:cs="宋体"/>
                <w:color w:val="auto"/>
                <w:sz w:val="24"/>
                <w:highlight w:val="none"/>
              </w:rPr>
            </w:pPr>
          </w:p>
        </w:tc>
      </w:tr>
    </w:tbl>
    <w:p w14:paraId="5204A333">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注：关于项目涉及的所有售后服务机构均在本表注明，包括供应商本单位和符合条件的第三方货物机构；</w:t>
      </w:r>
    </w:p>
    <w:p w14:paraId="3AF016B7">
      <w:pPr>
        <w:autoSpaceDE w:val="0"/>
        <w:autoSpaceDN w:val="0"/>
        <w:spacing w:line="360" w:lineRule="auto"/>
        <w:rPr>
          <w:rFonts w:ascii="宋体" w:hAnsi="宋体" w:cs="宋体"/>
          <w:b/>
          <w:color w:val="auto"/>
          <w:kern w:val="0"/>
          <w:sz w:val="24"/>
          <w:highlight w:val="none"/>
        </w:rPr>
      </w:pPr>
    </w:p>
    <w:p w14:paraId="4FE22063">
      <w:pPr>
        <w:autoSpaceDE w:val="0"/>
        <w:autoSpaceDN w:val="0"/>
        <w:spacing w:line="360" w:lineRule="auto"/>
        <w:rPr>
          <w:rFonts w:ascii="宋体" w:hAnsi="宋体" w:cs="宋体"/>
          <w:b/>
          <w:color w:val="auto"/>
          <w:kern w:val="0"/>
          <w:sz w:val="24"/>
          <w:highlight w:val="none"/>
        </w:rPr>
      </w:pPr>
    </w:p>
    <w:p w14:paraId="6C507D24">
      <w:pPr>
        <w:autoSpaceDE w:val="0"/>
        <w:autoSpaceDN w:val="0"/>
        <w:spacing w:line="360" w:lineRule="auto"/>
        <w:rPr>
          <w:rFonts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32"/>
        <w:tblW w:w="9905" w:type="dxa"/>
        <w:jc w:val="center"/>
        <w:tblLayout w:type="fixed"/>
        <w:tblCellMar>
          <w:top w:w="0" w:type="dxa"/>
          <w:left w:w="108" w:type="dxa"/>
          <w:bottom w:w="0" w:type="dxa"/>
          <w:right w:w="108" w:type="dxa"/>
        </w:tblCellMar>
      </w:tblPr>
      <w:tblGrid>
        <w:gridCol w:w="380"/>
        <w:gridCol w:w="1187"/>
        <w:gridCol w:w="475"/>
        <w:gridCol w:w="549"/>
        <w:gridCol w:w="900"/>
        <w:gridCol w:w="1080"/>
        <w:gridCol w:w="1080"/>
        <w:gridCol w:w="1080"/>
        <w:gridCol w:w="1260"/>
        <w:gridCol w:w="900"/>
        <w:gridCol w:w="1014"/>
      </w:tblGrid>
      <w:tr w14:paraId="6C50D18D">
        <w:tblPrEx>
          <w:tblCellMar>
            <w:top w:w="0" w:type="dxa"/>
            <w:left w:w="108" w:type="dxa"/>
            <w:bottom w:w="0" w:type="dxa"/>
            <w:right w:w="108" w:type="dxa"/>
          </w:tblCellMar>
        </w:tblPrEx>
        <w:trPr>
          <w:trHeight w:val="1010" w:hRule="atLeast"/>
          <w:jc w:val="center"/>
        </w:trPr>
        <w:tc>
          <w:tcPr>
            <w:tcW w:w="380" w:type="dxa"/>
            <w:tcBorders>
              <w:top w:val="single" w:color="auto" w:sz="6" w:space="0"/>
              <w:left w:val="single" w:color="auto" w:sz="6" w:space="0"/>
              <w:bottom w:val="single" w:color="auto" w:sz="6" w:space="0"/>
              <w:right w:val="single" w:color="auto" w:sz="4" w:space="0"/>
            </w:tcBorders>
            <w:vAlign w:val="center"/>
          </w:tcPr>
          <w:p w14:paraId="50742F88">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187" w:type="dxa"/>
            <w:tcBorders>
              <w:top w:val="single" w:color="auto" w:sz="6" w:space="0"/>
              <w:left w:val="single" w:color="auto" w:sz="4" w:space="0"/>
              <w:bottom w:val="single" w:color="auto" w:sz="6" w:space="0"/>
              <w:right w:val="single" w:color="auto" w:sz="6" w:space="0"/>
            </w:tcBorders>
            <w:vAlign w:val="center"/>
          </w:tcPr>
          <w:p w14:paraId="3216DD7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类别</w:t>
            </w:r>
          </w:p>
        </w:tc>
        <w:tc>
          <w:tcPr>
            <w:tcW w:w="475" w:type="dxa"/>
            <w:tcBorders>
              <w:top w:val="single" w:color="auto" w:sz="6" w:space="0"/>
              <w:left w:val="single" w:color="auto" w:sz="6" w:space="0"/>
              <w:bottom w:val="single" w:color="auto" w:sz="6" w:space="0"/>
              <w:right w:val="single" w:color="auto" w:sz="6" w:space="0"/>
            </w:tcBorders>
            <w:vAlign w:val="center"/>
          </w:tcPr>
          <w:p w14:paraId="76C3D2E1">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549" w:type="dxa"/>
            <w:tcBorders>
              <w:top w:val="single" w:color="auto" w:sz="6" w:space="0"/>
              <w:left w:val="single" w:color="auto" w:sz="6" w:space="0"/>
              <w:bottom w:val="single" w:color="auto" w:sz="6" w:space="0"/>
              <w:right w:val="single" w:color="auto" w:sz="6" w:space="0"/>
            </w:tcBorders>
            <w:vAlign w:val="center"/>
          </w:tcPr>
          <w:p w14:paraId="5A0B11FC">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1F4F0D6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F74C77E">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95417A8">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0469B1C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BCD94B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4E2558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响应时间</w:t>
            </w:r>
          </w:p>
        </w:tc>
        <w:tc>
          <w:tcPr>
            <w:tcW w:w="1014" w:type="dxa"/>
            <w:tcBorders>
              <w:top w:val="single" w:color="auto" w:sz="6" w:space="0"/>
              <w:left w:val="single" w:color="auto" w:sz="6" w:space="0"/>
              <w:bottom w:val="single" w:color="auto" w:sz="6" w:space="0"/>
              <w:right w:val="single" w:color="auto" w:sz="6" w:space="0"/>
            </w:tcBorders>
            <w:vAlign w:val="center"/>
          </w:tcPr>
          <w:p w14:paraId="3A6B38F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到达现场时间</w:t>
            </w:r>
          </w:p>
        </w:tc>
      </w:tr>
      <w:tr w14:paraId="4A36F6A4">
        <w:tblPrEx>
          <w:tblCellMar>
            <w:top w:w="0" w:type="dxa"/>
            <w:left w:w="108" w:type="dxa"/>
            <w:bottom w:w="0" w:type="dxa"/>
            <w:right w:w="108" w:type="dxa"/>
          </w:tblCellMar>
        </w:tblPrEx>
        <w:trPr>
          <w:trHeight w:val="607" w:hRule="atLeast"/>
          <w:jc w:val="center"/>
        </w:trPr>
        <w:tc>
          <w:tcPr>
            <w:tcW w:w="380" w:type="dxa"/>
            <w:tcBorders>
              <w:top w:val="single" w:color="auto" w:sz="6" w:space="0"/>
              <w:left w:val="single" w:color="auto" w:sz="6" w:space="0"/>
              <w:bottom w:val="single" w:color="auto" w:sz="6" w:space="0"/>
              <w:right w:val="single" w:color="auto" w:sz="4" w:space="0"/>
            </w:tcBorders>
          </w:tcPr>
          <w:p w14:paraId="06DB255A">
            <w:pPr>
              <w:autoSpaceDE w:val="0"/>
              <w:autoSpaceDN w:val="0"/>
              <w:spacing w:line="360" w:lineRule="auto"/>
              <w:jc w:val="center"/>
              <w:rPr>
                <w:rFonts w:ascii="宋体" w:hAnsi="宋体" w:cs="宋体"/>
                <w:color w:val="auto"/>
                <w:sz w:val="24"/>
                <w:highlight w:val="none"/>
              </w:rPr>
            </w:pPr>
          </w:p>
        </w:tc>
        <w:tc>
          <w:tcPr>
            <w:tcW w:w="1187" w:type="dxa"/>
            <w:tcBorders>
              <w:top w:val="single" w:color="auto" w:sz="6" w:space="0"/>
              <w:left w:val="single" w:color="auto" w:sz="4" w:space="0"/>
              <w:bottom w:val="single" w:color="auto" w:sz="6" w:space="0"/>
              <w:right w:val="single" w:color="auto" w:sz="6" w:space="0"/>
            </w:tcBorders>
          </w:tcPr>
          <w:p w14:paraId="05498B1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总协调人</w:t>
            </w:r>
          </w:p>
        </w:tc>
        <w:tc>
          <w:tcPr>
            <w:tcW w:w="475" w:type="dxa"/>
            <w:tcBorders>
              <w:top w:val="single" w:color="auto" w:sz="6" w:space="0"/>
              <w:left w:val="single" w:color="auto" w:sz="6" w:space="0"/>
              <w:bottom w:val="single" w:color="auto" w:sz="6" w:space="0"/>
              <w:right w:val="single" w:color="auto" w:sz="6" w:space="0"/>
            </w:tcBorders>
          </w:tcPr>
          <w:p w14:paraId="689959BB">
            <w:pPr>
              <w:autoSpaceDE w:val="0"/>
              <w:autoSpaceDN w:val="0"/>
              <w:spacing w:line="360" w:lineRule="auto"/>
              <w:rPr>
                <w:rFonts w:ascii="宋体" w:hAnsi="宋体" w:cs="宋体"/>
                <w:color w:val="auto"/>
                <w:sz w:val="24"/>
                <w:highlight w:val="none"/>
              </w:rPr>
            </w:pPr>
          </w:p>
        </w:tc>
        <w:tc>
          <w:tcPr>
            <w:tcW w:w="549" w:type="dxa"/>
            <w:tcBorders>
              <w:top w:val="single" w:color="auto" w:sz="6" w:space="0"/>
              <w:left w:val="single" w:color="auto" w:sz="6" w:space="0"/>
              <w:bottom w:val="single" w:color="auto" w:sz="6" w:space="0"/>
              <w:right w:val="single" w:color="auto" w:sz="6" w:space="0"/>
            </w:tcBorders>
          </w:tcPr>
          <w:p w14:paraId="16A2DADC">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2459DB">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3E1271">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3785AD8">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F335BD">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DD43AE9">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C72AEA">
            <w:pPr>
              <w:autoSpaceDE w:val="0"/>
              <w:autoSpaceDN w:val="0"/>
              <w:spacing w:line="360" w:lineRule="auto"/>
              <w:rPr>
                <w:rFonts w:ascii="宋体" w:hAnsi="宋体" w:cs="宋体"/>
                <w:color w:val="auto"/>
                <w:sz w:val="24"/>
                <w:highlight w:val="none"/>
              </w:rPr>
            </w:pPr>
          </w:p>
        </w:tc>
        <w:tc>
          <w:tcPr>
            <w:tcW w:w="1014" w:type="dxa"/>
            <w:tcBorders>
              <w:top w:val="single" w:color="auto" w:sz="6" w:space="0"/>
              <w:left w:val="single" w:color="auto" w:sz="6" w:space="0"/>
              <w:bottom w:val="single" w:color="auto" w:sz="6" w:space="0"/>
              <w:right w:val="single" w:color="auto" w:sz="6" w:space="0"/>
            </w:tcBorders>
          </w:tcPr>
          <w:p w14:paraId="3E2D8406">
            <w:pPr>
              <w:autoSpaceDE w:val="0"/>
              <w:autoSpaceDN w:val="0"/>
              <w:spacing w:line="360" w:lineRule="auto"/>
              <w:rPr>
                <w:rFonts w:ascii="宋体" w:hAnsi="宋体" w:cs="宋体"/>
                <w:color w:val="auto"/>
                <w:sz w:val="24"/>
                <w:highlight w:val="none"/>
              </w:rPr>
            </w:pPr>
          </w:p>
        </w:tc>
      </w:tr>
      <w:tr w14:paraId="6D6E5FE6">
        <w:tblPrEx>
          <w:tblCellMar>
            <w:top w:w="0" w:type="dxa"/>
            <w:left w:w="108" w:type="dxa"/>
            <w:bottom w:w="0" w:type="dxa"/>
            <w:right w:w="108" w:type="dxa"/>
          </w:tblCellMar>
        </w:tblPrEx>
        <w:trPr>
          <w:trHeight w:val="595" w:hRule="atLeast"/>
          <w:jc w:val="center"/>
        </w:trPr>
        <w:tc>
          <w:tcPr>
            <w:tcW w:w="380" w:type="dxa"/>
            <w:tcBorders>
              <w:top w:val="single" w:color="auto" w:sz="6" w:space="0"/>
              <w:left w:val="single" w:color="auto" w:sz="6" w:space="0"/>
              <w:bottom w:val="single" w:color="auto" w:sz="6" w:space="0"/>
              <w:right w:val="single" w:color="auto" w:sz="4" w:space="0"/>
            </w:tcBorders>
          </w:tcPr>
          <w:p w14:paraId="2C69FC5D">
            <w:pPr>
              <w:autoSpaceDE w:val="0"/>
              <w:autoSpaceDN w:val="0"/>
              <w:spacing w:line="360" w:lineRule="auto"/>
              <w:jc w:val="center"/>
              <w:rPr>
                <w:rFonts w:ascii="宋体" w:hAnsi="宋体" w:cs="宋体"/>
                <w:color w:val="auto"/>
                <w:sz w:val="24"/>
                <w:highlight w:val="none"/>
              </w:rPr>
            </w:pPr>
          </w:p>
        </w:tc>
        <w:tc>
          <w:tcPr>
            <w:tcW w:w="1187" w:type="dxa"/>
            <w:tcBorders>
              <w:top w:val="single" w:color="auto" w:sz="6" w:space="0"/>
              <w:left w:val="single" w:color="auto" w:sz="4" w:space="0"/>
              <w:bottom w:val="single" w:color="auto" w:sz="6" w:space="0"/>
              <w:right w:val="single" w:color="auto" w:sz="6" w:space="0"/>
            </w:tcBorders>
          </w:tcPr>
          <w:p w14:paraId="556F500E">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售后人员</w:t>
            </w:r>
          </w:p>
        </w:tc>
        <w:tc>
          <w:tcPr>
            <w:tcW w:w="475" w:type="dxa"/>
            <w:tcBorders>
              <w:top w:val="single" w:color="auto" w:sz="6" w:space="0"/>
              <w:left w:val="single" w:color="auto" w:sz="6" w:space="0"/>
              <w:bottom w:val="single" w:color="auto" w:sz="6" w:space="0"/>
              <w:right w:val="single" w:color="auto" w:sz="6" w:space="0"/>
            </w:tcBorders>
          </w:tcPr>
          <w:p w14:paraId="6C4D9B75">
            <w:pPr>
              <w:autoSpaceDE w:val="0"/>
              <w:autoSpaceDN w:val="0"/>
              <w:spacing w:line="360" w:lineRule="auto"/>
              <w:rPr>
                <w:rFonts w:ascii="宋体" w:hAnsi="宋体" w:cs="宋体"/>
                <w:color w:val="auto"/>
                <w:sz w:val="24"/>
                <w:highlight w:val="none"/>
              </w:rPr>
            </w:pPr>
          </w:p>
        </w:tc>
        <w:tc>
          <w:tcPr>
            <w:tcW w:w="549" w:type="dxa"/>
            <w:tcBorders>
              <w:top w:val="single" w:color="auto" w:sz="6" w:space="0"/>
              <w:left w:val="single" w:color="auto" w:sz="6" w:space="0"/>
              <w:bottom w:val="single" w:color="auto" w:sz="6" w:space="0"/>
              <w:right w:val="single" w:color="auto" w:sz="6" w:space="0"/>
            </w:tcBorders>
          </w:tcPr>
          <w:p w14:paraId="42833969">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AD205B3">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2C85A3A">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AA80165">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4A9EFB">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965C7FA">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2BA3B30">
            <w:pPr>
              <w:autoSpaceDE w:val="0"/>
              <w:autoSpaceDN w:val="0"/>
              <w:spacing w:line="360" w:lineRule="auto"/>
              <w:rPr>
                <w:rFonts w:ascii="宋体" w:hAnsi="宋体" w:cs="宋体"/>
                <w:color w:val="auto"/>
                <w:sz w:val="24"/>
                <w:highlight w:val="none"/>
              </w:rPr>
            </w:pPr>
          </w:p>
        </w:tc>
        <w:tc>
          <w:tcPr>
            <w:tcW w:w="1014" w:type="dxa"/>
            <w:tcBorders>
              <w:top w:val="single" w:color="auto" w:sz="6" w:space="0"/>
              <w:left w:val="single" w:color="auto" w:sz="6" w:space="0"/>
              <w:bottom w:val="single" w:color="auto" w:sz="6" w:space="0"/>
              <w:right w:val="single" w:color="auto" w:sz="6" w:space="0"/>
            </w:tcBorders>
          </w:tcPr>
          <w:p w14:paraId="754A725A">
            <w:pPr>
              <w:autoSpaceDE w:val="0"/>
              <w:autoSpaceDN w:val="0"/>
              <w:spacing w:line="360" w:lineRule="auto"/>
              <w:rPr>
                <w:rFonts w:ascii="宋体" w:hAnsi="宋体" w:cs="宋体"/>
                <w:color w:val="auto"/>
                <w:sz w:val="24"/>
                <w:highlight w:val="none"/>
              </w:rPr>
            </w:pPr>
          </w:p>
        </w:tc>
      </w:tr>
      <w:tr w14:paraId="5A5B324A">
        <w:tblPrEx>
          <w:tblCellMar>
            <w:top w:w="0" w:type="dxa"/>
            <w:left w:w="108" w:type="dxa"/>
            <w:bottom w:w="0" w:type="dxa"/>
            <w:right w:w="108" w:type="dxa"/>
          </w:tblCellMar>
        </w:tblPrEx>
        <w:trPr>
          <w:trHeight w:val="595" w:hRule="atLeast"/>
          <w:jc w:val="center"/>
        </w:trPr>
        <w:tc>
          <w:tcPr>
            <w:tcW w:w="380" w:type="dxa"/>
            <w:tcBorders>
              <w:top w:val="single" w:color="auto" w:sz="6" w:space="0"/>
              <w:left w:val="single" w:color="auto" w:sz="6" w:space="0"/>
              <w:bottom w:val="single" w:color="auto" w:sz="6" w:space="0"/>
              <w:right w:val="single" w:color="auto" w:sz="4" w:space="0"/>
            </w:tcBorders>
          </w:tcPr>
          <w:p w14:paraId="2CA0CE8E">
            <w:pPr>
              <w:autoSpaceDE w:val="0"/>
              <w:autoSpaceDN w:val="0"/>
              <w:spacing w:line="360" w:lineRule="auto"/>
              <w:jc w:val="center"/>
              <w:rPr>
                <w:rFonts w:ascii="宋体" w:hAnsi="宋体" w:cs="宋体"/>
                <w:color w:val="auto"/>
                <w:sz w:val="24"/>
                <w:highlight w:val="none"/>
              </w:rPr>
            </w:pPr>
          </w:p>
        </w:tc>
        <w:tc>
          <w:tcPr>
            <w:tcW w:w="1187" w:type="dxa"/>
            <w:tcBorders>
              <w:top w:val="single" w:color="auto" w:sz="6" w:space="0"/>
              <w:left w:val="single" w:color="auto" w:sz="4" w:space="0"/>
              <w:bottom w:val="single" w:color="auto" w:sz="6" w:space="0"/>
              <w:right w:val="single" w:color="auto" w:sz="6" w:space="0"/>
            </w:tcBorders>
          </w:tcPr>
          <w:p w14:paraId="7E55C0E6">
            <w:pPr>
              <w:autoSpaceDE w:val="0"/>
              <w:autoSpaceDN w:val="0"/>
              <w:spacing w:line="360" w:lineRule="auto"/>
              <w:jc w:val="center"/>
              <w:rPr>
                <w:rFonts w:ascii="宋体" w:hAnsi="宋体" w:cs="宋体"/>
                <w:color w:val="auto"/>
                <w:sz w:val="24"/>
                <w:highlight w:val="none"/>
              </w:rPr>
            </w:pPr>
          </w:p>
        </w:tc>
        <w:tc>
          <w:tcPr>
            <w:tcW w:w="475" w:type="dxa"/>
            <w:tcBorders>
              <w:top w:val="single" w:color="auto" w:sz="6" w:space="0"/>
              <w:left w:val="single" w:color="auto" w:sz="6" w:space="0"/>
              <w:bottom w:val="single" w:color="auto" w:sz="6" w:space="0"/>
              <w:right w:val="single" w:color="auto" w:sz="6" w:space="0"/>
            </w:tcBorders>
          </w:tcPr>
          <w:p w14:paraId="5C69ED97">
            <w:pPr>
              <w:autoSpaceDE w:val="0"/>
              <w:autoSpaceDN w:val="0"/>
              <w:spacing w:line="360" w:lineRule="auto"/>
              <w:rPr>
                <w:rFonts w:ascii="宋体" w:hAnsi="宋体" w:cs="宋体"/>
                <w:color w:val="auto"/>
                <w:sz w:val="24"/>
                <w:highlight w:val="none"/>
              </w:rPr>
            </w:pPr>
          </w:p>
        </w:tc>
        <w:tc>
          <w:tcPr>
            <w:tcW w:w="549" w:type="dxa"/>
            <w:tcBorders>
              <w:top w:val="single" w:color="auto" w:sz="6" w:space="0"/>
              <w:left w:val="single" w:color="auto" w:sz="6" w:space="0"/>
              <w:bottom w:val="single" w:color="auto" w:sz="6" w:space="0"/>
              <w:right w:val="single" w:color="auto" w:sz="6" w:space="0"/>
            </w:tcBorders>
          </w:tcPr>
          <w:p w14:paraId="78975BAF">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6A0F6B3">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0007B71">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E820C6F">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23E55AD">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338C0AF">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32BB966">
            <w:pPr>
              <w:autoSpaceDE w:val="0"/>
              <w:autoSpaceDN w:val="0"/>
              <w:spacing w:line="360" w:lineRule="auto"/>
              <w:rPr>
                <w:rFonts w:ascii="宋体" w:hAnsi="宋体" w:cs="宋体"/>
                <w:color w:val="auto"/>
                <w:sz w:val="24"/>
                <w:highlight w:val="none"/>
              </w:rPr>
            </w:pPr>
          </w:p>
        </w:tc>
        <w:tc>
          <w:tcPr>
            <w:tcW w:w="1014" w:type="dxa"/>
            <w:tcBorders>
              <w:top w:val="single" w:color="auto" w:sz="6" w:space="0"/>
              <w:left w:val="single" w:color="auto" w:sz="6" w:space="0"/>
              <w:bottom w:val="single" w:color="auto" w:sz="6" w:space="0"/>
              <w:right w:val="single" w:color="auto" w:sz="6" w:space="0"/>
            </w:tcBorders>
          </w:tcPr>
          <w:p w14:paraId="660FB576">
            <w:pPr>
              <w:autoSpaceDE w:val="0"/>
              <w:autoSpaceDN w:val="0"/>
              <w:spacing w:line="360" w:lineRule="auto"/>
              <w:rPr>
                <w:rFonts w:ascii="宋体" w:hAnsi="宋体" w:cs="宋体"/>
                <w:color w:val="auto"/>
                <w:sz w:val="24"/>
                <w:highlight w:val="none"/>
              </w:rPr>
            </w:pPr>
          </w:p>
        </w:tc>
      </w:tr>
      <w:tr w14:paraId="15AB4B11">
        <w:tblPrEx>
          <w:tblCellMar>
            <w:top w:w="0" w:type="dxa"/>
            <w:left w:w="108" w:type="dxa"/>
            <w:bottom w:w="0" w:type="dxa"/>
            <w:right w:w="108" w:type="dxa"/>
          </w:tblCellMar>
        </w:tblPrEx>
        <w:trPr>
          <w:trHeight w:val="595" w:hRule="atLeast"/>
          <w:jc w:val="center"/>
        </w:trPr>
        <w:tc>
          <w:tcPr>
            <w:tcW w:w="380" w:type="dxa"/>
            <w:tcBorders>
              <w:top w:val="single" w:color="auto" w:sz="6" w:space="0"/>
              <w:left w:val="single" w:color="auto" w:sz="6" w:space="0"/>
              <w:bottom w:val="single" w:color="auto" w:sz="6" w:space="0"/>
              <w:right w:val="single" w:color="auto" w:sz="4" w:space="0"/>
            </w:tcBorders>
          </w:tcPr>
          <w:p w14:paraId="6A9FC8C3">
            <w:pPr>
              <w:autoSpaceDE w:val="0"/>
              <w:autoSpaceDN w:val="0"/>
              <w:spacing w:line="360" w:lineRule="auto"/>
              <w:jc w:val="center"/>
              <w:rPr>
                <w:rFonts w:ascii="宋体" w:hAnsi="宋体" w:cs="宋体"/>
                <w:color w:val="auto"/>
                <w:sz w:val="24"/>
                <w:highlight w:val="none"/>
              </w:rPr>
            </w:pPr>
          </w:p>
        </w:tc>
        <w:tc>
          <w:tcPr>
            <w:tcW w:w="1187" w:type="dxa"/>
            <w:tcBorders>
              <w:top w:val="single" w:color="auto" w:sz="6" w:space="0"/>
              <w:left w:val="single" w:color="auto" w:sz="4" w:space="0"/>
              <w:bottom w:val="single" w:color="auto" w:sz="6" w:space="0"/>
              <w:right w:val="single" w:color="auto" w:sz="6" w:space="0"/>
            </w:tcBorders>
          </w:tcPr>
          <w:p w14:paraId="43D762E2">
            <w:pPr>
              <w:autoSpaceDE w:val="0"/>
              <w:autoSpaceDN w:val="0"/>
              <w:spacing w:line="360" w:lineRule="auto"/>
              <w:jc w:val="center"/>
              <w:rPr>
                <w:rFonts w:ascii="宋体" w:hAnsi="宋体" w:cs="宋体"/>
                <w:color w:val="auto"/>
                <w:sz w:val="24"/>
                <w:highlight w:val="none"/>
              </w:rPr>
            </w:pPr>
          </w:p>
        </w:tc>
        <w:tc>
          <w:tcPr>
            <w:tcW w:w="475" w:type="dxa"/>
            <w:tcBorders>
              <w:top w:val="single" w:color="auto" w:sz="6" w:space="0"/>
              <w:left w:val="single" w:color="auto" w:sz="6" w:space="0"/>
              <w:bottom w:val="single" w:color="auto" w:sz="6" w:space="0"/>
              <w:right w:val="single" w:color="auto" w:sz="6" w:space="0"/>
            </w:tcBorders>
          </w:tcPr>
          <w:p w14:paraId="139CCB0F">
            <w:pPr>
              <w:autoSpaceDE w:val="0"/>
              <w:autoSpaceDN w:val="0"/>
              <w:spacing w:line="360" w:lineRule="auto"/>
              <w:rPr>
                <w:rFonts w:ascii="宋体" w:hAnsi="宋体" w:cs="宋体"/>
                <w:color w:val="auto"/>
                <w:sz w:val="24"/>
                <w:highlight w:val="none"/>
              </w:rPr>
            </w:pPr>
          </w:p>
        </w:tc>
        <w:tc>
          <w:tcPr>
            <w:tcW w:w="549" w:type="dxa"/>
            <w:tcBorders>
              <w:top w:val="single" w:color="auto" w:sz="6" w:space="0"/>
              <w:left w:val="single" w:color="auto" w:sz="6" w:space="0"/>
              <w:bottom w:val="single" w:color="auto" w:sz="6" w:space="0"/>
              <w:right w:val="single" w:color="auto" w:sz="6" w:space="0"/>
            </w:tcBorders>
          </w:tcPr>
          <w:p w14:paraId="685643C9">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D6DB80C">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E23FA6">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A5FEDC">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BE6BD1E">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B3AFC2E">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59652A5">
            <w:pPr>
              <w:autoSpaceDE w:val="0"/>
              <w:autoSpaceDN w:val="0"/>
              <w:spacing w:line="360" w:lineRule="auto"/>
              <w:rPr>
                <w:rFonts w:ascii="宋体" w:hAnsi="宋体" w:cs="宋体"/>
                <w:color w:val="auto"/>
                <w:sz w:val="24"/>
                <w:highlight w:val="none"/>
              </w:rPr>
            </w:pPr>
          </w:p>
        </w:tc>
        <w:tc>
          <w:tcPr>
            <w:tcW w:w="1014" w:type="dxa"/>
            <w:tcBorders>
              <w:top w:val="single" w:color="auto" w:sz="6" w:space="0"/>
              <w:left w:val="single" w:color="auto" w:sz="6" w:space="0"/>
              <w:bottom w:val="single" w:color="auto" w:sz="6" w:space="0"/>
              <w:right w:val="single" w:color="auto" w:sz="6" w:space="0"/>
            </w:tcBorders>
          </w:tcPr>
          <w:p w14:paraId="2FB6FB03">
            <w:pPr>
              <w:autoSpaceDE w:val="0"/>
              <w:autoSpaceDN w:val="0"/>
              <w:spacing w:line="360" w:lineRule="auto"/>
              <w:rPr>
                <w:rFonts w:ascii="宋体" w:hAnsi="宋体" w:cs="宋体"/>
                <w:color w:val="auto"/>
                <w:sz w:val="24"/>
                <w:highlight w:val="none"/>
              </w:rPr>
            </w:pPr>
          </w:p>
        </w:tc>
      </w:tr>
    </w:tbl>
    <w:p w14:paraId="71F98B23">
      <w:pPr>
        <w:pStyle w:val="18"/>
        <w:spacing w:line="440" w:lineRule="exact"/>
        <w:ind w:firstLine="396" w:firstLineChars="198"/>
        <w:rPr>
          <w:rFonts w:hAnsi="宋体" w:cs="宋体"/>
          <w:color w:val="auto"/>
          <w:highlight w:val="none"/>
        </w:rPr>
      </w:pPr>
    </w:p>
    <w:p w14:paraId="47DC175B">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2443528F">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C2585A1">
      <w:pPr>
        <w:snapToGrid w:val="0"/>
        <w:spacing w:line="360" w:lineRule="auto"/>
        <w:ind w:firstLine="602" w:firstLineChars="200"/>
        <w:rPr>
          <w:rFonts w:hint="eastAsia" w:ascii="宋体" w:hAnsi="宋体" w:cs="宋体"/>
          <w:b/>
          <w:color w:val="auto"/>
          <w:sz w:val="30"/>
          <w:szCs w:val="30"/>
          <w:highlight w:val="none"/>
          <w:lang w:val="en-US" w:eastAsia="zh-CN"/>
        </w:rPr>
      </w:pPr>
    </w:p>
    <w:p w14:paraId="55E6A13C">
      <w:pPr>
        <w:snapToGrid w:val="0"/>
        <w:spacing w:line="360" w:lineRule="auto"/>
        <w:ind w:firstLine="602" w:firstLineChars="200"/>
        <w:rPr>
          <w:rFonts w:hint="eastAsia" w:ascii="宋体" w:hAnsi="宋体" w:cs="宋体"/>
          <w:b/>
          <w:color w:val="auto"/>
          <w:sz w:val="30"/>
          <w:szCs w:val="30"/>
          <w:highlight w:val="none"/>
          <w:lang w:val="en-US" w:eastAsia="zh-CN"/>
        </w:rPr>
      </w:pPr>
    </w:p>
    <w:p w14:paraId="1B1DEA24">
      <w:pPr>
        <w:snapToGrid w:val="0"/>
        <w:spacing w:line="360" w:lineRule="auto"/>
        <w:ind w:firstLine="602" w:firstLineChars="200"/>
        <w:rPr>
          <w:rFonts w:hint="eastAsia" w:ascii="宋体" w:hAnsi="宋体" w:cs="宋体"/>
          <w:b/>
          <w:color w:val="auto"/>
          <w:sz w:val="30"/>
          <w:szCs w:val="30"/>
          <w:highlight w:val="none"/>
          <w:lang w:val="en-US" w:eastAsia="zh-CN"/>
        </w:rPr>
      </w:pPr>
    </w:p>
    <w:p w14:paraId="2E2EE1A1">
      <w:pPr>
        <w:snapToGrid w:val="0"/>
        <w:spacing w:line="360" w:lineRule="auto"/>
        <w:ind w:firstLine="602" w:firstLineChars="200"/>
        <w:rPr>
          <w:rFonts w:hint="eastAsia" w:ascii="宋体" w:hAnsi="宋体" w:cs="宋体"/>
          <w:b/>
          <w:color w:val="auto"/>
          <w:sz w:val="30"/>
          <w:szCs w:val="30"/>
          <w:highlight w:val="none"/>
          <w:lang w:val="en-US" w:eastAsia="zh-CN"/>
        </w:rPr>
      </w:pPr>
    </w:p>
    <w:p w14:paraId="673DE35D">
      <w:pPr>
        <w:snapToGrid w:val="0"/>
        <w:spacing w:line="360" w:lineRule="auto"/>
        <w:ind w:firstLine="602" w:firstLineChars="200"/>
        <w:rPr>
          <w:rFonts w:hint="eastAsia" w:ascii="宋体" w:hAnsi="宋体" w:cs="宋体"/>
          <w:b/>
          <w:color w:val="auto"/>
          <w:sz w:val="30"/>
          <w:szCs w:val="30"/>
          <w:highlight w:val="none"/>
          <w:lang w:val="en-US" w:eastAsia="zh-CN"/>
        </w:rPr>
      </w:pPr>
    </w:p>
    <w:p w14:paraId="3BD40BBF">
      <w:pPr>
        <w:snapToGrid w:val="0"/>
        <w:spacing w:line="360" w:lineRule="auto"/>
        <w:ind w:firstLine="602" w:firstLineChars="200"/>
        <w:rPr>
          <w:rFonts w:hint="eastAsia" w:ascii="宋体" w:hAnsi="宋体" w:cs="宋体"/>
          <w:b/>
          <w:color w:val="auto"/>
          <w:sz w:val="30"/>
          <w:szCs w:val="30"/>
          <w:highlight w:val="none"/>
          <w:lang w:val="en-US" w:eastAsia="zh-CN"/>
        </w:rPr>
      </w:pPr>
    </w:p>
    <w:p w14:paraId="0AFC0C17">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、项目实施人员一览表（如有要求）</w:t>
      </w:r>
    </w:p>
    <w:p w14:paraId="0436AC2F">
      <w:pPr>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（由供应商根据采购需求及采购文件要求编制）</w:t>
      </w:r>
    </w:p>
    <w:p w14:paraId="38D2A4EF">
      <w:pPr>
        <w:keepNext/>
        <w:autoSpaceDE w:val="0"/>
        <w:autoSpaceDN w:val="0"/>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32"/>
        <w:tblW w:w="9615" w:type="dxa"/>
        <w:tblInd w:w="116" w:type="dxa"/>
        <w:tblLayout w:type="fixed"/>
        <w:tblCellMar>
          <w:top w:w="0" w:type="dxa"/>
          <w:left w:w="108" w:type="dxa"/>
          <w:bottom w:w="0" w:type="dxa"/>
          <w:right w:w="108" w:type="dxa"/>
        </w:tblCellMar>
      </w:tblPr>
      <w:tblGrid>
        <w:gridCol w:w="2061"/>
        <w:gridCol w:w="1287"/>
        <w:gridCol w:w="1260"/>
        <w:gridCol w:w="5007"/>
      </w:tblGrid>
      <w:tr w14:paraId="167A3E27">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FFFFFF"/>
            <w:vAlign w:val="center"/>
          </w:tcPr>
          <w:p w14:paraId="63E04EDB">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248B161F">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8D227EA">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5007" w:type="dxa"/>
            <w:tcBorders>
              <w:top w:val="single" w:color="auto" w:sz="6" w:space="0"/>
              <w:left w:val="single" w:color="auto" w:sz="6" w:space="0"/>
              <w:bottom w:val="single" w:color="auto" w:sz="6" w:space="0"/>
              <w:right w:val="single" w:color="auto" w:sz="6" w:space="0"/>
            </w:tcBorders>
            <w:shd w:val="clear" w:color="auto" w:fill="FFFFFF"/>
            <w:vAlign w:val="center"/>
          </w:tcPr>
          <w:p w14:paraId="501D7738">
            <w:pPr>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响应截止时间前三年业绩及承担的主要工作情况，曾担任项目经理的项目应列明细</w:t>
            </w:r>
          </w:p>
        </w:tc>
      </w:tr>
      <w:tr w14:paraId="1BC9213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FFFFFF"/>
            <w:vAlign w:val="center"/>
          </w:tcPr>
          <w:p w14:paraId="0C5EAA9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FFFFFF"/>
            <w:vAlign w:val="center"/>
          </w:tcPr>
          <w:p w14:paraId="73B4CDE1">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0A6CD58">
            <w:pPr>
              <w:autoSpaceDE w:val="0"/>
              <w:autoSpaceDN w:val="0"/>
              <w:spacing w:line="360" w:lineRule="auto"/>
              <w:jc w:val="center"/>
              <w:rPr>
                <w:rFonts w:ascii="宋体" w:hAnsi="宋体" w:cs="宋体"/>
                <w:color w:val="auto"/>
                <w:sz w:val="24"/>
                <w:highlight w:val="none"/>
              </w:rPr>
            </w:pPr>
          </w:p>
        </w:tc>
        <w:tc>
          <w:tcPr>
            <w:tcW w:w="5007" w:type="dxa"/>
            <w:vMerge w:val="restart"/>
            <w:tcBorders>
              <w:top w:val="single" w:color="auto" w:sz="6" w:space="0"/>
              <w:left w:val="single" w:color="auto" w:sz="6" w:space="0"/>
              <w:bottom w:val="single" w:color="auto" w:sz="6" w:space="0"/>
              <w:right w:val="single" w:color="auto" w:sz="6" w:space="0"/>
            </w:tcBorders>
            <w:shd w:val="clear" w:color="auto" w:fill="FFFFFF"/>
            <w:vAlign w:val="center"/>
          </w:tcPr>
          <w:p w14:paraId="48FC264B">
            <w:pPr>
              <w:autoSpaceDE w:val="0"/>
              <w:autoSpaceDN w:val="0"/>
              <w:spacing w:line="360" w:lineRule="auto"/>
              <w:jc w:val="center"/>
              <w:rPr>
                <w:rFonts w:ascii="宋体" w:hAnsi="宋体" w:cs="宋体"/>
                <w:color w:val="auto"/>
                <w:sz w:val="24"/>
                <w:highlight w:val="none"/>
              </w:rPr>
            </w:pPr>
          </w:p>
        </w:tc>
      </w:tr>
      <w:tr w14:paraId="21053F1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vAlign w:val="center"/>
          </w:tcPr>
          <w:p w14:paraId="18463AD3">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vAlign w:val="center"/>
          </w:tcPr>
          <w:p w14:paraId="0101C91D">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DCBBAB8">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5899D432">
            <w:pPr>
              <w:widowControl/>
              <w:jc w:val="left"/>
              <w:rPr>
                <w:rFonts w:ascii="宋体" w:hAnsi="宋体" w:cs="宋体"/>
                <w:color w:val="auto"/>
                <w:sz w:val="24"/>
                <w:highlight w:val="none"/>
              </w:rPr>
            </w:pPr>
          </w:p>
        </w:tc>
      </w:tr>
      <w:tr w14:paraId="55464AA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39C29A7">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2C9DEDA">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89C7831">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3B0EE11E">
            <w:pPr>
              <w:widowControl/>
              <w:jc w:val="left"/>
              <w:rPr>
                <w:rFonts w:ascii="宋体" w:hAnsi="宋体" w:cs="宋体"/>
                <w:color w:val="auto"/>
                <w:sz w:val="24"/>
                <w:highlight w:val="none"/>
              </w:rPr>
            </w:pPr>
          </w:p>
        </w:tc>
      </w:tr>
      <w:tr w14:paraId="3929B65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7960821">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B72A5E4">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27D2778">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1B916867">
            <w:pPr>
              <w:widowControl/>
              <w:jc w:val="left"/>
              <w:rPr>
                <w:rFonts w:ascii="宋体" w:hAnsi="宋体" w:cs="宋体"/>
                <w:color w:val="auto"/>
                <w:sz w:val="24"/>
                <w:highlight w:val="none"/>
              </w:rPr>
            </w:pPr>
          </w:p>
        </w:tc>
      </w:tr>
      <w:tr w14:paraId="0100E13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21AAA6F">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F7D6F74">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E51DCD9">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3639BED2">
            <w:pPr>
              <w:widowControl/>
              <w:jc w:val="left"/>
              <w:rPr>
                <w:rFonts w:ascii="宋体" w:hAnsi="宋体" w:cs="宋体"/>
                <w:color w:val="auto"/>
                <w:sz w:val="24"/>
                <w:highlight w:val="none"/>
              </w:rPr>
            </w:pPr>
          </w:p>
        </w:tc>
      </w:tr>
      <w:tr w14:paraId="6BFE23D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C7B07E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45FDFDDC">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9CA0C1E">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74530000">
            <w:pPr>
              <w:widowControl/>
              <w:jc w:val="left"/>
              <w:rPr>
                <w:rFonts w:ascii="宋体" w:hAnsi="宋体" w:cs="宋体"/>
                <w:color w:val="auto"/>
                <w:sz w:val="24"/>
                <w:highlight w:val="none"/>
              </w:rPr>
            </w:pPr>
          </w:p>
        </w:tc>
      </w:tr>
      <w:tr w14:paraId="174BD613">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69490E0">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6F6D68C">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808B342">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6DF08117">
            <w:pPr>
              <w:widowControl/>
              <w:jc w:val="left"/>
              <w:rPr>
                <w:rFonts w:ascii="宋体" w:hAnsi="宋体" w:cs="宋体"/>
                <w:color w:val="auto"/>
                <w:sz w:val="24"/>
                <w:highlight w:val="none"/>
              </w:rPr>
            </w:pPr>
          </w:p>
        </w:tc>
      </w:tr>
      <w:tr w14:paraId="3E431B9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79C8A53C">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E254AB0">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2488AA4">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3D7556C4">
            <w:pPr>
              <w:widowControl/>
              <w:jc w:val="left"/>
              <w:rPr>
                <w:rFonts w:ascii="宋体" w:hAnsi="宋体" w:cs="宋体"/>
                <w:color w:val="auto"/>
                <w:sz w:val="24"/>
                <w:highlight w:val="none"/>
              </w:rPr>
            </w:pPr>
          </w:p>
        </w:tc>
      </w:tr>
      <w:tr w14:paraId="77BC9C8A">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vAlign w:val="center"/>
          </w:tcPr>
          <w:p w14:paraId="0F0A8CB6">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vAlign w:val="center"/>
          </w:tcPr>
          <w:p w14:paraId="43931AAE">
            <w:pPr>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E1A8A6">
            <w:pPr>
              <w:autoSpaceDE w:val="0"/>
              <w:autoSpaceDN w:val="0"/>
              <w:spacing w:line="360" w:lineRule="auto"/>
              <w:jc w:val="center"/>
              <w:rPr>
                <w:rFonts w:ascii="宋体" w:hAnsi="宋体" w:cs="宋体"/>
                <w:color w:val="auto"/>
                <w:sz w:val="24"/>
                <w:highlight w:val="none"/>
              </w:rPr>
            </w:pPr>
          </w:p>
        </w:tc>
        <w:tc>
          <w:tcPr>
            <w:tcW w:w="5007" w:type="dxa"/>
            <w:vMerge w:val="continue"/>
            <w:tcBorders>
              <w:top w:val="single" w:color="auto" w:sz="6" w:space="0"/>
              <w:left w:val="single" w:color="auto" w:sz="6" w:space="0"/>
              <w:bottom w:val="single" w:color="auto" w:sz="6" w:space="0"/>
              <w:right w:val="single" w:color="auto" w:sz="6" w:space="0"/>
            </w:tcBorders>
            <w:vAlign w:val="center"/>
          </w:tcPr>
          <w:p w14:paraId="57E3BDD1">
            <w:pPr>
              <w:widowControl/>
              <w:jc w:val="left"/>
              <w:rPr>
                <w:rFonts w:ascii="宋体" w:hAnsi="宋体" w:cs="宋体"/>
                <w:color w:val="auto"/>
                <w:sz w:val="24"/>
                <w:highlight w:val="none"/>
              </w:rPr>
            </w:pPr>
          </w:p>
        </w:tc>
      </w:tr>
    </w:tbl>
    <w:p w14:paraId="7FB4773B">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注：随表提交相应的证书复印件并注明所在响应技术文件页码。</w:t>
      </w:r>
    </w:p>
    <w:p w14:paraId="4AD645E2">
      <w:pPr>
        <w:autoSpaceDE w:val="0"/>
        <w:autoSpaceDN w:val="0"/>
        <w:spacing w:line="360" w:lineRule="auto"/>
        <w:rPr>
          <w:rFonts w:ascii="宋体" w:hAnsi="宋体" w:cs="宋体"/>
          <w:b/>
          <w:color w:val="auto"/>
          <w:sz w:val="24"/>
          <w:highlight w:val="none"/>
        </w:rPr>
      </w:pPr>
    </w:p>
    <w:p w14:paraId="5ACCDE34">
      <w:pPr>
        <w:autoSpaceDE w:val="0"/>
        <w:autoSpaceDN w:val="0"/>
        <w:spacing w:line="360" w:lineRule="auto"/>
        <w:rPr>
          <w:rFonts w:hint="eastAsia" w:ascii="宋体" w:hAnsi="宋体" w:cs="宋体"/>
          <w:b/>
          <w:color w:val="auto"/>
          <w:sz w:val="24"/>
          <w:highlight w:val="none"/>
        </w:rPr>
      </w:pPr>
    </w:p>
    <w:p w14:paraId="62D0452B">
      <w:pPr>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32"/>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2E09BF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15CBEFE">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5A7AB0B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0CF9B7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F439E4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3AA1509">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4DE2D797">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047C07E">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p w14:paraId="7F78E973">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5AD375F">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p w14:paraId="5B4253DF">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386B703">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33B0C972">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235AB3D">
            <w:pPr>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5BC46A4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90AA4AB">
            <w:pPr>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9BD0BA6">
            <w:pPr>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240AFD">
            <w:pPr>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3222ABC">
            <w:pPr>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4CE12A78">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2309071">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656D0E7">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F1224ED">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902BEA0">
            <w:pPr>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A849D4D">
            <w:pPr>
              <w:autoSpaceDE w:val="0"/>
              <w:autoSpaceDN w:val="0"/>
              <w:spacing w:line="360" w:lineRule="auto"/>
              <w:rPr>
                <w:rFonts w:ascii="宋体" w:hAnsi="宋体" w:cs="宋体"/>
                <w:color w:val="auto"/>
                <w:sz w:val="24"/>
                <w:highlight w:val="none"/>
              </w:rPr>
            </w:pPr>
          </w:p>
        </w:tc>
      </w:tr>
      <w:tr w14:paraId="7A0CB75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D9D3BF0">
            <w:pPr>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7BDD36F3">
            <w:pPr>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6DD0E57">
            <w:pPr>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C49FFD9">
            <w:pPr>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AD66537">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E9E22F">
            <w:pPr>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0FD587">
            <w:pPr>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1E0BA2">
            <w:pPr>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611271C">
            <w:pPr>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36D07405">
            <w:pPr>
              <w:autoSpaceDE w:val="0"/>
              <w:autoSpaceDN w:val="0"/>
              <w:spacing w:line="360" w:lineRule="auto"/>
              <w:rPr>
                <w:rFonts w:ascii="宋体" w:hAnsi="宋体" w:cs="宋体"/>
                <w:color w:val="auto"/>
                <w:sz w:val="24"/>
                <w:highlight w:val="none"/>
              </w:rPr>
            </w:pPr>
          </w:p>
        </w:tc>
      </w:tr>
    </w:tbl>
    <w:p w14:paraId="306CED2A">
      <w:pPr>
        <w:spacing w:line="360" w:lineRule="auto"/>
        <w:rPr>
          <w:rFonts w:ascii="宋体" w:hAnsi="宋体" w:cs="宋体"/>
          <w:b/>
          <w:bCs/>
          <w:color w:val="auto"/>
          <w:sz w:val="24"/>
          <w:highlight w:val="none"/>
        </w:rPr>
      </w:pPr>
      <w:r>
        <w:rPr>
          <w:rFonts w:hint="eastAsia" w:ascii="宋体" w:hAnsi="宋体" w:cs="宋体"/>
          <w:b/>
          <w:color w:val="auto"/>
          <w:sz w:val="24"/>
          <w:highlight w:val="none"/>
        </w:rPr>
        <w:t>注：供应商可按上述的格式自行编制，随表提交相应的证书复印件并注明所在响应技术文件页码。</w:t>
      </w:r>
    </w:p>
    <w:p w14:paraId="05EC2CB9">
      <w:pPr>
        <w:snapToGrid w:val="0"/>
        <w:spacing w:line="360" w:lineRule="auto"/>
        <w:ind w:firstLine="602" w:firstLineChars="200"/>
        <w:rPr>
          <w:rFonts w:ascii="宋体" w:hAnsi="宋体" w:cs="宋体"/>
          <w:b/>
          <w:color w:val="auto"/>
          <w:sz w:val="30"/>
          <w:szCs w:val="30"/>
          <w:highlight w:val="none"/>
        </w:rPr>
      </w:pPr>
    </w:p>
    <w:p w14:paraId="1CE035FA">
      <w:pPr>
        <w:autoSpaceDE w:val="0"/>
        <w:autoSpaceDN w:val="0"/>
        <w:spacing w:line="360" w:lineRule="auto"/>
        <w:ind w:firstLine="6505" w:firstLineChars="2700"/>
        <w:rPr>
          <w:rFonts w:ascii="宋体" w:hAnsi="宋体" w:cs="宋体"/>
          <w:b/>
          <w:bCs/>
          <w:color w:val="auto"/>
          <w:sz w:val="24"/>
          <w:highlight w:val="none"/>
        </w:rPr>
      </w:pPr>
    </w:p>
    <w:p w14:paraId="44B587EA">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470AEA8">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26BB2A1">
      <w:pPr>
        <w:spacing w:line="500" w:lineRule="exact"/>
        <w:rPr>
          <w:rFonts w:ascii="宋体" w:hAnsi="宋体" w:cs="宋体"/>
          <w:color w:val="auto"/>
          <w:sz w:val="32"/>
          <w:szCs w:val="32"/>
          <w:highlight w:val="none"/>
        </w:rPr>
      </w:pPr>
    </w:p>
    <w:p w14:paraId="24927C0D">
      <w:pPr>
        <w:snapToGrid w:val="0"/>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十、货物需求、商务条款要求提供的其他材料</w:t>
      </w:r>
    </w:p>
    <w:p w14:paraId="6EE2103F">
      <w:pPr>
        <w:autoSpaceDE w:val="0"/>
        <w:autoSpaceDN w:val="0"/>
        <w:spacing w:line="360" w:lineRule="auto"/>
        <w:ind w:left="4335" w:leftChars="1950" w:hanging="240" w:hangingChars="100"/>
        <w:rPr>
          <w:rFonts w:ascii="宋体" w:hAnsi="宋体" w:cs="宋体"/>
          <w:color w:val="auto"/>
          <w:kern w:val="0"/>
          <w:sz w:val="24"/>
          <w:highlight w:val="none"/>
        </w:rPr>
      </w:pPr>
    </w:p>
    <w:p w14:paraId="6164D199">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7C2569C4">
      <w:pPr>
        <w:autoSpaceDE w:val="0"/>
        <w:autoSpaceDN w:val="0"/>
        <w:spacing w:line="360" w:lineRule="auto"/>
        <w:ind w:firstLine="6480" w:firstLineChars="27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7AABE17C">
      <w:pPr>
        <w:snapToGrid w:val="0"/>
        <w:spacing w:line="360" w:lineRule="auto"/>
        <w:ind w:firstLine="602" w:firstLineChars="200"/>
        <w:rPr>
          <w:rFonts w:ascii="宋体" w:hAnsi="宋体" w:cs="宋体"/>
          <w:b/>
          <w:color w:val="auto"/>
          <w:sz w:val="30"/>
          <w:szCs w:val="30"/>
          <w:highlight w:val="none"/>
        </w:rPr>
      </w:pPr>
    </w:p>
    <w:p w14:paraId="35E396E1">
      <w:pPr>
        <w:widowControl/>
        <w:jc w:val="left"/>
        <w:rPr>
          <w:rFonts w:ascii="宋体" w:hAnsi="宋体" w:cs="宋体"/>
          <w:color w:val="auto"/>
          <w:sz w:val="32"/>
          <w:szCs w:val="32"/>
          <w:highlight w:val="none"/>
        </w:rPr>
        <w:sectPr>
          <w:pgSz w:w="11910" w:h="16840"/>
          <w:pgMar w:top="1451" w:right="1276" w:bottom="1185" w:left="1395" w:header="720" w:footer="720" w:gutter="0"/>
          <w:cols w:space="720" w:num="1"/>
        </w:sectPr>
      </w:pPr>
    </w:p>
    <w:p w14:paraId="00BB1F25">
      <w:pPr>
        <w:adjustRightInd w:val="0"/>
        <w:snapToGrid w:val="0"/>
        <w:spacing w:line="300" w:lineRule="auto"/>
        <w:rPr>
          <w:rFonts w:ascii="宋体" w:hAnsi="宋体" w:cs="宋体"/>
          <w:color w:val="auto"/>
          <w:szCs w:val="21"/>
          <w:highlight w:val="none"/>
          <w:u w:val="single"/>
        </w:rPr>
      </w:pPr>
    </w:p>
    <w:p w14:paraId="476E0D5F">
      <w:pPr>
        <w:pStyle w:val="4"/>
        <w:jc w:val="center"/>
        <w:rPr>
          <w:rFonts w:ascii="宋体" w:hAnsi="宋体" w:cs="宋体"/>
          <w:color w:val="auto"/>
          <w:highlight w:val="none"/>
        </w:rPr>
      </w:pPr>
      <w:bookmarkStart w:id="157" w:name="_Toc24179"/>
      <w:bookmarkStart w:id="158" w:name="_Toc24729"/>
      <w:bookmarkStart w:id="159" w:name="_Toc26730"/>
      <w:bookmarkStart w:id="160" w:name="_Toc80205941"/>
      <w:bookmarkStart w:id="161" w:name="_Toc14441"/>
      <w:r>
        <w:rPr>
          <w:rFonts w:hint="eastAsia" w:ascii="宋体" w:hAnsi="宋体" w:cs="宋体"/>
          <w:color w:val="auto"/>
          <w:highlight w:val="none"/>
        </w:rPr>
        <w:t>第四节 报价文件格式</w:t>
      </w:r>
      <w:bookmarkEnd w:id="157"/>
      <w:bookmarkEnd w:id="158"/>
      <w:bookmarkEnd w:id="159"/>
      <w:bookmarkEnd w:id="160"/>
      <w:bookmarkEnd w:id="161"/>
    </w:p>
    <w:p w14:paraId="2FD96E49">
      <w:pPr>
        <w:snapToGrid w:val="0"/>
        <w:spacing w:before="165"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全流程电子文件</w:t>
      </w:r>
    </w:p>
    <w:p w14:paraId="6633206D">
      <w:pPr>
        <w:snapToGrid w:val="0"/>
        <w:spacing w:before="165" w:beforeLines="50" w:after="50"/>
        <w:rPr>
          <w:rFonts w:ascii="宋体" w:hAnsi="宋体" w:cs="宋体"/>
          <w:color w:val="auto"/>
          <w:sz w:val="24"/>
          <w:szCs w:val="20"/>
          <w:highlight w:val="none"/>
        </w:rPr>
      </w:pPr>
    </w:p>
    <w:p w14:paraId="62E08753">
      <w:pPr>
        <w:snapToGrid w:val="0"/>
        <w:spacing w:before="165" w:beforeLines="50" w:after="50"/>
        <w:rPr>
          <w:rFonts w:ascii="宋体" w:hAnsi="宋体" w:cs="宋体"/>
          <w:color w:val="auto"/>
          <w:sz w:val="24"/>
          <w:szCs w:val="20"/>
          <w:highlight w:val="none"/>
        </w:rPr>
      </w:pPr>
    </w:p>
    <w:p w14:paraId="3651B1D9">
      <w:pPr>
        <w:snapToGrid w:val="0"/>
        <w:spacing w:before="165" w:beforeLines="50" w:after="50"/>
        <w:rPr>
          <w:rFonts w:ascii="宋体" w:hAnsi="宋体" w:cs="宋体"/>
          <w:color w:val="auto"/>
          <w:sz w:val="24"/>
          <w:szCs w:val="20"/>
          <w:highlight w:val="none"/>
        </w:rPr>
      </w:pPr>
    </w:p>
    <w:p w14:paraId="6B17E960">
      <w:pPr>
        <w:snapToGrid w:val="0"/>
        <w:spacing w:before="165"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报  价  文  件（封面）</w:t>
      </w:r>
    </w:p>
    <w:p w14:paraId="3E4A1FAB">
      <w:pPr>
        <w:snapToGrid w:val="0"/>
        <w:spacing w:before="165" w:beforeLines="50" w:after="50"/>
        <w:rPr>
          <w:rFonts w:ascii="宋体" w:hAnsi="宋体" w:cs="宋体"/>
          <w:bCs/>
          <w:color w:val="auto"/>
          <w:sz w:val="24"/>
          <w:szCs w:val="20"/>
          <w:highlight w:val="none"/>
        </w:rPr>
      </w:pPr>
    </w:p>
    <w:p w14:paraId="29F84F48">
      <w:pPr>
        <w:snapToGrid w:val="0"/>
        <w:spacing w:before="165" w:beforeLines="50" w:after="50"/>
        <w:rPr>
          <w:rFonts w:ascii="宋体" w:hAnsi="宋体" w:cs="宋体"/>
          <w:bCs/>
          <w:color w:val="auto"/>
          <w:sz w:val="24"/>
          <w:szCs w:val="20"/>
          <w:highlight w:val="none"/>
        </w:rPr>
      </w:pPr>
    </w:p>
    <w:p w14:paraId="35A634C5">
      <w:pPr>
        <w:snapToGrid w:val="0"/>
        <w:spacing w:before="165" w:beforeLines="50" w:after="50"/>
        <w:rPr>
          <w:rFonts w:ascii="宋体" w:hAnsi="宋体" w:cs="宋体"/>
          <w:bCs/>
          <w:color w:val="auto"/>
          <w:sz w:val="24"/>
          <w:szCs w:val="20"/>
          <w:highlight w:val="none"/>
        </w:rPr>
      </w:pPr>
    </w:p>
    <w:p w14:paraId="13BD9FDC">
      <w:pPr>
        <w:snapToGrid w:val="0"/>
        <w:spacing w:before="165" w:beforeLines="50" w:after="50"/>
        <w:rPr>
          <w:rFonts w:ascii="宋体" w:hAnsi="宋体" w:cs="宋体"/>
          <w:bCs/>
          <w:color w:val="auto"/>
          <w:sz w:val="24"/>
          <w:szCs w:val="20"/>
          <w:highlight w:val="none"/>
        </w:rPr>
      </w:pPr>
    </w:p>
    <w:p w14:paraId="0F484D5E">
      <w:pPr>
        <w:snapToGrid w:val="0"/>
        <w:spacing w:before="165" w:beforeLines="50" w:after="50"/>
        <w:rPr>
          <w:rFonts w:ascii="宋体" w:hAnsi="宋体" w:cs="宋体"/>
          <w:bCs/>
          <w:color w:val="auto"/>
          <w:sz w:val="24"/>
          <w:szCs w:val="20"/>
          <w:highlight w:val="none"/>
        </w:rPr>
      </w:pPr>
    </w:p>
    <w:p w14:paraId="4ADA305D">
      <w:pPr>
        <w:snapToGrid w:val="0"/>
        <w:spacing w:before="165"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项目名称： </w:t>
      </w:r>
    </w:p>
    <w:p w14:paraId="5E24B830">
      <w:pPr>
        <w:snapToGrid w:val="0"/>
        <w:spacing w:before="165" w:beforeLines="50" w:after="50"/>
        <w:ind w:firstLine="720" w:firstLineChars="225"/>
        <w:rPr>
          <w:rFonts w:ascii="宋体" w:hAnsi="宋体" w:cs="宋体"/>
          <w:bCs/>
          <w:color w:val="auto"/>
          <w:sz w:val="32"/>
          <w:szCs w:val="32"/>
          <w:highlight w:val="none"/>
        </w:rPr>
      </w:pPr>
    </w:p>
    <w:p w14:paraId="5FC94F6E">
      <w:pPr>
        <w:snapToGrid w:val="0"/>
        <w:spacing w:before="165"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56A874FD">
      <w:pPr>
        <w:snapToGrid w:val="0"/>
        <w:spacing w:before="165" w:beforeLines="50" w:after="50"/>
        <w:ind w:firstLine="720" w:firstLineChars="22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07D8D06">
      <w:pPr>
        <w:snapToGrid w:val="0"/>
        <w:spacing w:before="165"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51CE599D">
      <w:pPr>
        <w:snapToGrid w:val="0"/>
        <w:spacing w:before="165" w:beforeLines="50" w:after="50"/>
        <w:ind w:firstLine="720" w:firstLineChars="225"/>
        <w:rPr>
          <w:rFonts w:ascii="宋体" w:hAnsi="宋体" w:cs="宋体"/>
          <w:bCs/>
          <w:color w:val="auto"/>
          <w:sz w:val="32"/>
          <w:szCs w:val="32"/>
          <w:highlight w:val="none"/>
        </w:rPr>
      </w:pPr>
    </w:p>
    <w:p w14:paraId="16B14998">
      <w:pPr>
        <w:pStyle w:val="8"/>
        <w:snapToGrid w:val="0"/>
        <w:spacing w:before="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9C13B01">
      <w:pPr>
        <w:pStyle w:val="8"/>
        <w:snapToGrid w:val="0"/>
        <w:spacing w:before="50" w:after="50"/>
        <w:ind w:firstLine="720" w:firstLineChars="225"/>
        <w:rPr>
          <w:rFonts w:ascii="宋体" w:hAnsi="宋体" w:cs="宋体"/>
          <w:bCs/>
          <w:color w:val="auto"/>
          <w:sz w:val="32"/>
          <w:szCs w:val="32"/>
          <w:highlight w:val="none"/>
        </w:rPr>
      </w:pPr>
    </w:p>
    <w:p w14:paraId="30BDAC3A">
      <w:pPr>
        <w:pStyle w:val="8"/>
        <w:snapToGrid w:val="0"/>
        <w:spacing w:before="50" w:after="50"/>
        <w:ind w:firstLine="720" w:firstLineChars="225"/>
        <w:rPr>
          <w:rFonts w:ascii="宋体" w:hAnsi="宋体" w:cs="宋体"/>
          <w:bCs/>
          <w:color w:val="auto"/>
          <w:sz w:val="32"/>
          <w:szCs w:val="32"/>
          <w:highlight w:val="none"/>
        </w:rPr>
      </w:pPr>
    </w:p>
    <w:p w14:paraId="17544C70">
      <w:pPr>
        <w:pStyle w:val="8"/>
        <w:snapToGrid w:val="0"/>
        <w:spacing w:before="50" w:after="50"/>
        <w:ind w:firstLine="1280" w:firstLineChars="400"/>
        <w:rPr>
          <w:rFonts w:ascii="宋体" w:hAnsi="宋体" w:cs="宋体"/>
          <w:bCs/>
          <w:color w:val="auto"/>
          <w:sz w:val="32"/>
          <w:szCs w:val="32"/>
          <w:highlight w:val="none"/>
        </w:rPr>
      </w:pPr>
    </w:p>
    <w:p w14:paraId="4F96F802">
      <w:pPr>
        <w:snapToGrid w:val="0"/>
        <w:spacing w:before="165"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58E672F1">
      <w:pPr>
        <w:snapToGrid w:val="0"/>
        <w:spacing w:before="165" w:beforeLines="50" w:after="50" w:line="400" w:lineRule="exact"/>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报价文件目录</w:t>
      </w:r>
    </w:p>
    <w:p w14:paraId="36BDE081">
      <w:pPr>
        <w:spacing w:line="440" w:lineRule="exact"/>
        <w:rPr>
          <w:rFonts w:ascii="宋体" w:hAnsi="宋体" w:cs="宋体"/>
          <w:color w:val="auto"/>
          <w:highlight w:val="none"/>
        </w:rPr>
      </w:pPr>
    </w:p>
    <w:p w14:paraId="41B92867">
      <w:pPr>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一、响应函……………………………………………………………………………（页码）</w:t>
      </w:r>
    </w:p>
    <w:p w14:paraId="23F44119">
      <w:pPr>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二、响应报价表………………………………………………………………………（页码）</w:t>
      </w:r>
    </w:p>
    <w:p w14:paraId="150F3037">
      <w:pPr>
        <w:spacing w:line="440" w:lineRule="exact"/>
        <w:rPr>
          <w:rFonts w:ascii="宋体" w:hAnsi="宋体" w:cs="宋体"/>
          <w:color w:val="auto"/>
          <w:sz w:val="24"/>
          <w:highlight w:val="none"/>
        </w:rPr>
      </w:pPr>
      <w:r>
        <w:rPr>
          <w:rFonts w:hint="eastAsia" w:ascii="宋体" w:hAnsi="宋体" w:cs="宋体"/>
          <w:color w:val="auto"/>
          <w:kern w:val="0"/>
          <w:sz w:val="24"/>
          <w:highlight w:val="none"/>
        </w:rPr>
        <w:t>三、</w:t>
      </w:r>
      <w:r>
        <w:rPr>
          <w:rFonts w:hint="eastAsia" w:ascii="宋体" w:hAnsi="宋体" w:cs="宋体"/>
          <w:color w:val="auto"/>
          <w:kern w:val="0"/>
          <w:sz w:val="24"/>
          <w:highlight w:val="none"/>
          <w:lang w:val="en-US" w:eastAsia="zh-CN"/>
        </w:rPr>
        <w:t>竞标</w:t>
      </w:r>
      <w:r>
        <w:rPr>
          <w:rFonts w:hint="eastAsia" w:ascii="宋体" w:hAnsi="宋体" w:cs="宋体"/>
          <w:color w:val="auto"/>
          <w:kern w:val="0"/>
          <w:sz w:val="24"/>
          <w:highlight w:val="none"/>
        </w:rPr>
        <w:t>人针对报价需要说明的其他文件和说明…………………………………（页码）</w:t>
      </w:r>
    </w:p>
    <w:p w14:paraId="0509D1FE">
      <w:pPr>
        <w:snapToGrid w:val="0"/>
        <w:spacing w:before="165" w:beforeLines="50" w:after="50" w:line="360" w:lineRule="auto"/>
        <w:ind w:left="142" w:firstLine="640" w:firstLineChars="200"/>
        <w:jc w:val="left"/>
        <w:rPr>
          <w:rFonts w:ascii="宋体" w:hAnsi="宋体" w:cs="宋体"/>
          <w:color w:val="auto"/>
          <w:sz w:val="32"/>
          <w:szCs w:val="32"/>
          <w:highlight w:val="none"/>
        </w:rPr>
      </w:pPr>
    </w:p>
    <w:p w14:paraId="4DC71D04">
      <w:pPr>
        <w:pStyle w:val="18"/>
        <w:spacing w:line="500" w:lineRule="exact"/>
        <w:ind w:firstLine="480" w:firstLineChars="200"/>
        <w:rPr>
          <w:rFonts w:hAnsi="宋体" w:cs="宋体"/>
          <w:color w:val="auto"/>
          <w:sz w:val="24"/>
          <w:highlight w:val="none"/>
        </w:rPr>
      </w:pPr>
      <w:r>
        <w:rPr>
          <w:rFonts w:hint="eastAsia" w:hAnsi="宋体" w:cs="宋体"/>
          <w:color w:val="auto"/>
          <w:sz w:val="24"/>
          <w:highlight w:val="none"/>
        </w:rPr>
        <w:br w:type="page"/>
      </w:r>
      <w:r>
        <w:rPr>
          <w:rFonts w:hint="eastAsia" w:hAnsi="宋体" w:cs="宋体"/>
          <w:b/>
          <w:color w:val="auto"/>
          <w:kern w:val="2"/>
          <w:sz w:val="30"/>
          <w:szCs w:val="30"/>
          <w:highlight w:val="none"/>
        </w:rPr>
        <w:t>一、响应函</w:t>
      </w:r>
    </w:p>
    <w:p w14:paraId="67871E0B">
      <w:pPr>
        <w:pStyle w:val="18"/>
        <w:spacing w:line="500" w:lineRule="exact"/>
        <w:ind w:firstLine="602"/>
        <w:jc w:val="center"/>
        <w:rPr>
          <w:rFonts w:hAnsi="宋体" w:cs="宋体"/>
          <w:b/>
          <w:bCs/>
          <w:color w:val="auto"/>
          <w:sz w:val="30"/>
          <w:szCs w:val="30"/>
          <w:highlight w:val="none"/>
        </w:rPr>
      </w:pPr>
      <w:r>
        <w:rPr>
          <w:rFonts w:hint="eastAsia" w:hAnsi="宋体" w:cs="宋体"/>
          <w:b/>
          <w:bCs/>
          <w:color w:val="auto"/>
          <w:sz w:val="30"/>
          <w:szCs w:val="30"/>
          <w:highlight w:val="none"/>
        </w:rPr>
        <w:t>响应函</w:t>
      </w:r>
    </w:p>
    <w:p w14:paraId="63FDA4DF">
      <w:pPr>
        <w:pStyle w:val="18"/>
        <w:spacing w:line="360" w:lineRule="auto"/>
        <w:rPr>
          <w:rFonts w:hAnsi="宋体" w:cs="宋体"/>
          <w:color w:val="auto"/>
          <w:sz w:val="24"/>
          <w:szCs w:val="24"/>
          <w:highlight w:val="none"/>
        </w:rPr>
      </w:pPr>
      <w:r>
        <w:rPr>
          <w:rFonts w:hint="eastAsia" w:hAnsi="宋体" w:cs="宋体"/>
          <w:color w:val="auto"/>
          <w:sz w:val="24"/>
          <w:szCs w:val="24"/>
          <w:highlight w:val="none"/>
        </w:rPr>
        <w:t>致：</w:t>
      </w:r>
      <w:r>
        <w:rPr>
          <w:rFonts w:hint="eastAsia" w:hAnsi="宋体" w:cs="宋体"/>
          <w:color w:val="auto"/>
          <w:sz w:val="24"/>
          <w:szCs w:val="24"/>
          <w:highlight w:val="none"/>
          <w:u w:val="single"/>
        </w:rPr>
        <w:t xml:space="preserve"> 采购人  </w:t>
      </w:r>
    </w:p>
    <w:p w14:paraId="20017D13">
      <w:pPr>
        <w:pStyle w:val="18"/>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我方已仔细阅读了贵方组织的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项目（项目编号：</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）的竞争性谈判采购文件的全部内容，现正式递交下述文件参加贵方组织的本次政府采购活动：</w:t>
      </w:r>
    </w:p>
    <w:p w14:paraId="681C89BB">
      <w:pPr>
        <w:pStyle w:val="18"/>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一、首次报价文件电子版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w:t>
      </w:r>
    </w:p>
    <w:p w14:paraId="5A1D99E2">
      <w:pPr>
        <w:pStyle w:val="18"/>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二、技术文件电子版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供应商须知”提交的全部文件）；商务文件电子版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份（包含按“第三章 供应商须知”提交的全部文件）；（商务技术文件已合并装订成册）</w:t>
      </w:r>
    </w:p>
    <w:p w14:paraId="296AB6B3">
      <w:pPr>
        <w:pStyle w:val="18"/>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据此函，签字人兹宣布：</w:t>
      </w:r>
    </w:p>
    <w:p w14:paraId="6E37582A">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1、我方愿意以（大写）人民币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r>
        <w:rPr>
          <w:rFonts w:hint="default" w:ascii="Arial" w:hAnsi="Arial" w:cs="Arial"/>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元)的竞标总报价，交货期（无分标时填写）：</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，提供本项目竞争性谈判采购文件第二章“服务需求一览表”中相应的采购内容。</w:t>
      </w:r>
    </w:p>
    <w:p w14:paraId="79D40006">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其中（有分标时填写）：</w:t>
      </w:r>
    </w:p>
    <w:p w14:paraId="7DB527D1">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分标报价为（大写）人民币</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r>
        <w:rPr>
          <w:rFonts w:hint="default" w:ascii="Arial" w:hAnsi="Arial" w:cs="Arial"/>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元)，交货期：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w:t>
      </w:r>
    </w:p>
    <w:p w14:paraId="3C249B0D">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w:t>
      </w:r>
    </w:p>
    <w:p w14:paraId="6A17745E">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2、我方同意自本项目竞争性谈判采购文件采购公告规定的递交响应文件截止时间起遵循本响应函，并承诺在“第三章 供应商须知”规定的响应有效期内不修改、撤销响应文件。</w:t>
      </w:r>
    </w:p>
    <w:p w14:paraId="546CC2B5">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3、我方在此声明，所递交的响应文件及有关资料内容完整、真实和准确。</w:t>
      </w:r>
    </w:p>
    <w:p w14:paraId="09B1490D">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4、如本项目采购内容涉及须符合国家强制规定的，我方承诺我方本次竞标均符合国家有关强制规定。</w:t>
      </w:r>
    </w:p>
    <w:p w14:paraId="113D4865">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5、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272C70CD">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6、我方已详细审核竞争性谈判采购文件，我方知道必须放弃提出含糊不清或误解问题的权利。</w:t>
      </w:r>
    </w:p>
    <w:p w14:paraId="17A75558">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7、我方承诺满足竞争性谈判采购文件第六章“合同文本”的条款，承担完成合同的责任和义务。</w:t>
      </w:r>
    </w:p>
    <w:p w14:paraId="7AD4E468">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8、我方同意应贵方要求提供与本竞标有关的任何数据或资料。若贵方需要，我方愿意提供我方作出的一切承诺的证明材料。</w:t>
      </w:r>
    </w:p>
    <w:p w14:paraId="65C413BF">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9、我方完全理解贵方不一定接受响应报价最低的竞标人为成交供应商的行为。</w:t>
      </w:r>
    </w:p>
    <w:p w14:paraId="3492F6DB">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67CF2A9">
      <w:pPr>
        <w:pStyle w:val="18"/>
        <w:tabs>
          <w:tab w:val="left" w:pos="945"/>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（1）提供虚假材料谋取中标、成交的；</w:t>
      </w:r>
    </w:p>
    <w:p w14:paraId="14BFA89D">
      <w:pPr>
        <w:pStyle w:val="18"/>
        <w:tabs>
          <w:tab w:val="left" w:pos="945"/>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（2）采取不正当手段诋毁、排挤其他供应商的；</w:t>
      </w:r>
    </w:p>
    <w:p w14:paraId="166D1190">
      <w:pPr>
        <w:pStyle w:val="18"/>
        <w:tabs>
          <w:tab w:val="left" w:pos="945"/>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（3）与采购人、其他供应商或者采购代理机构恶意串通的；</w:t>
      </w:r>
    </w:p>
    <w:p w14:paraId="4AED290A">
      <w:pPr>
        <w:pStyle w:val="18"/>
        <w:tabs>
          <w:tab w:val="left" w:pos="945"/>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（4）向采购人、采购代理机构行贿或者提供其他不正当利益的；</w:t>
      </w:r>
    </w:p>
    <w:p w14:paraId="3DAFEF8D">
      <w:pPr>
        <w:pStyle w:val="18"/>
        <w:tabs>
          <w:tab w:val="left" w:pos="945"/>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（5）在采购过程中与采购人进行协商谈判的；</w:t>
      </w:r>
    </w:p>
    <w:p w14:paraId="7C5DB4B0">
      <w:pPr>
        <w:pStyle w:val="18"/>
        <w:tabs>
          <w:tab w:val="left" w:pos="945"/>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（6）拒绝有关部门监督检查或提供虚假情况的。</w:t>
      </w:r>
    </w:p>
    <w:p w14:paraId="0B3A216D">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11.与本谈判有关的一切正式往来信函请寄：</w:t>
      </w:r>
    </w:p>
    <w:p w14:paraId="11C96CFF">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地址：</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6955525">
      <w:pPr>
        <w:pStyle w:val="18"/>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电话：</w:t>
      </w:r>
      <w:r>
        <w:rPr>
          <w:rFonts w:hint="eastAsia" w:hAnsi="宋体" w:cs="宋体"/>
          <w:color w:val="auto"/>
          <w:sz w:val="24"/>
          <w:szCs w:val="24"/>
          <w:highlight w:val="none"/>
          <w:u w:val="single"/>
        </w:rPr>
        <w:t xml:space="preserve">                                      　　　　　　　　　</w:t>
      </w:r>
    </w:p>
    <w:p w14:paraId="521E39CB">
      <w:pPr>
        <w:pStyle w:val="18"/>
        <w:spacing w:line="360" w:lineRule="auto"/>
        <w:ind w:firstLine="420"/>
        <w:rPr>
          <w:rFonts w:hAnsi="宋体" w:cs="宋体"/>
          <w:color w:val="auto"/>
          <w:sz w:val="24"/>
          <w:szCs w:val="24"/>
          <w:highlight w:val="none"/>
        </w:rPr>
      </w:pPr>
      <w:r>
        <w:rPr>
          <w:rFonts w:hint="eastAsia" w:hAnsi="宋体" w:cs="宋体"/>
          <w:color w:val="auto"/>
          <w:sz w:val="24"/>
          <w:szCs w:val="24"/>
          <w:highlight w:val="none"/>
        </w:rPr>
        <w:t>传真：</w:t>
      </w:r>
      <w:r>
        <w:rPr>
          <w:rFonts w:hint="eastAsia" w:hAnsi="宋体" w:cs="宋体"/>
          <w:color w:val="auto"/>
          <w:sz w:val="24"/>
          <w:szCs w:val="24"/>
          <w:highlight w:val="none"/>
          <w:u w:val="single"/>
        </w:rPr>
        <w:t>　　　　　　　　　　　　　　　　　　　　　　　　　　　　</w:t>
      </w:r>
    </w:p>
    <w:p w14:paraId="7E29038E">
      <w:pPr>
        <w:pStyle w:val="18"/>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 xml:space="preserve">                                                    </w:t>
      </w:r>
    </w:p>
    <w:p w14:paraId="7D02DFB3">
      <w:pPr>
        <w:pStyle w:val="18"/>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开户名称：</w:t>
      </w:r>
      <w:r>
        <w:rPr>
          <w:rFonts w:hint="eastAsia" w:hAnsi="宋体" w:cs="宋体"/>
          <w:color w:val="auto"/>
          <w:sz w:val="24"/>
          <w:szCs w:val="24"/>
          <w:highlight w:val="none"/>
          <w:u w:val="single"/>
        </w:rPr>
        <w:t xml:space="preserve">                                                    </w:t>
      </w:r>
    </w:p>
    <w:p w14:paraId="53B16755">
      <w:pPr>
        <w:pStyle w:val="18"/>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开户银行：</w:t>
      </w:r>
      <w:r>
        <w:rPr>
          <w:rFonts w:hint="eastAsia" w:hAnsi="宋体" w:cs="宋体"/>
          <w:color w:val="auto"/>
          <w:sz w:val="24"/>
          <w:szCs w:val="24"/>
          <w:highlight w:val="none"/>
          <w:u w:val="single"/>
        </w:rPr>
        <w:t xml:space="preserve">                                                    </w:t>
      </w:r>
    </w:p>
    <w:p w14:paraId="3761D049">
      <w:pPr>
        <w:pStyle w:val="18"/>
        <w:spacing w:line="360" w:lineRule="auto"/>
        <w:ind w:firstLine="420"/>
        <w:rPr>
          <w:rFonts w:hAnsi="宋体" w:cs="宋体"/>
          <w:color w:val="auto"/>
          <w:sz w:val="24"/>
          <w:szCs w:val="24"/>
          <w:highlight w:val="none"/>
          <w:u w:val="single"/>
        </w:rPr>
      </w:pPr>
      <w:r>
        <w:rPr>
          <w:rFonts w:hint="eastAsia" w:hAnsi="宋体" w:cs="宋体"/>
          <w:color w:val="auto"/>
          <w:sz w:val="24"/>
          <w:szCs w:val="24"/>
          <w:highlight w:val="none"/>
        </w:rPr>
        <w:t>银行账号：</w:t>
      </w:r>
      <w:r>
        <w:rPr>
          <w:rFonts w:hint="eastAsia" w:hAnsi="宋体" w:cs="宋体"/>
          <w:color w:val="auto"/>
          <w:sz w:val="24"/>
          <w:szCs w:val="24"/>
          <w:highlight w:val="none"/>
          <w:u w:val="single"/>
        </w:rPr>
        <w:t xml:space="preserve">                                                    </w:t>
      </w:r>
    </w:p>
    <w:p w14:paraId="27A1066D">
      <w:pPr>
        <w:pStyle w:val="16"/>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特此承诺。</w:t>
      </w:r>
    </w:p>
    <w:p w14:paraId="69A8ABCF">
      <w:pPr>
        <w:autoSpaceDE w:val="0"/>
        <w:autoSpaceDN w:val="0"/>
        <w:spacing w:line="360" w:lineRule="auto"/>
        <w:ind w:left="4335" w:leftChars="1950" w:hanging="240" w:hangingChars="100"/>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7E1BFAB">
      <w:pPr>
        <w:ind w:firstLine="6000" w:firstLineChars="25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5E13DFD2">
      <w:pPr>
        <w:widowControl/>
        <w:jc w:val="left"/>
        <w:rPr>
          <w:rFonts w:ascii="宋体" w:hAnsi="宋体" w:cs="宋体"/>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4865E1BA">
      <w:pPr>
        <w:pStyle w:val="18"/>
        <w:numPr>
          <w:ilvl w:val="0"/>
          <w:numId w:val="4"/>
        </w:numPr>
        <w:spacing w:line="500" w:lineRule="exact"/>
        <w:ind w:firstLine="602" w:firstLineChars="200"/>
        <w:rPr>
          <w:rFonts w:hint="eastAsia" w:hAnsi="宋体" w:cs="宋体"/>
          <w:b/>
          <w:color w:val="auto"/>
          <w:kern w:val="2"/>
          <w:sz w:val="30"/>
          <w:szCs w:val="30"/>
          <w:highlight w:val="none"/>
        </w:rPr>
      </w:pPr>
      <w:r>
        <w:rPr>
          <w:rFonts w:hint="eastAsia" w:hAnsi="宋体" w:cs="宋体"/>
          <w:b/>
          <w:color w:val="auto"/>
          <w:kern w:val="2"/>
          <w:sz w:val="30"/>
          <w:szCs w:val="30"/>
          <w:highlight w:val="none"/>
        </w:rPr>
        <w:t xml:space="preserve">响应报价表 </w:t>
      </w:r>
    </w:p>
    <w:p w14:paraId="2BF5FDE9">
      <w:pPr>
        <w:pStyle w:val="18"/>
        <w:numPr>
          <w:ilvl w:val="0"/>
          <w:numId w:val="0"/>
        </w:numPr>
        <w:spacing w:line="500" w:lineRule="exact"/>
        <w:jc w:val="center"/>
        <w:rPr>
          <w:rFonts w:hint="eastAsia" w:hAnsi="宋体" w:cs="宋体"/>
          <w:b/>
          <w:color w:val="auto"/>
          <w:kern w:val="2"/>
          <w:sz w:val="30"/>
          <w:szCs w:val="30"/>
          <w:highlight w:val="none"/>
        </w:rPr>
      </w:pPr>
      <w:r>
        <w:rPr>
          <w:rFonts w:hint="eastAsia" w:hAnsi="宋体" w:cs="宋体"/>
          <w:b/>
          <w:color w:val="auto"/>
          <w:kern w:val="2"/>
          <w:sz w:val="30"/>
          <w:szCs w:val="30"/>
          <w:highlight w:val="none"/>
        </w:rPr>
        <w:t>响应报价表</w:t>
      </w:r>
    </w:p>
    <w:p w14:paraId="7638271F">
      <w:pPr>
        <w:snapToGrid w:val="0"/>
        <w:spacing w:before="50" w:after="50" w:line="360" w:lineRule="auto"/>
        <w:rPr>
          <w:rFonts w:hint="eastAsia" w:ascii="宋体" w:hAnsi="宋体" w:cs="宋体"/>
          <w:color w:val="auto"/>
          <w:sz w:val="24"/>
          <w:highlight w:val="none"/>
        </w:rPr>
      </w:pPr>
    </w:p>
    <w:p w14:paraId="54FCB847">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0C6852BE">
      <w:pPr>
        <w:snapToGrid w:val="0"/>
        <w:spacing w:before="50" w:after="50" w:line="360" w:lineRule="auto"/>
        <w:rPr>
          <w:rFonts w:ascii="宋体" w:hAnsi="宋体" w:cs="宋体"/>
          <w:color w:val="auto"/>
          <w:sz w:val="24"/>
          <w:highlight w:val="none"/>
          <w:u w:val="singl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2"/>
        <w:tblW w:w="96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60"/>
        <w:gridCol w:w="2063"/>
        <w:gridCol w:w="1080"/>
        <w:gridCol w:w="1080"/>
        <w:gridCol w:w="1260"/>
        <w:gridCol w:w="1438"/>
        <w:gridCol w:w="705"/>
      </w:tblGrid>
      <w:tr w14:paraId="04C8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8" w:type="dxa"/>
            <w:tcBorders>
              <w:top w:val="single" w:color="auto" w:sz="4" w:space="0"/>
              <w:left w:val="single" w:color="auto" w:sz="4" w:space="0"/>
              <w:bottom w:val="single" w:color="auto" w:sz="4" w:space="0"/>
              <w:right w:val="single" w:color="auto" w:sz="4" w:space="0"/>
            </w:tcBorders>
            <w:vAlign w:val="center"/>
          </w:tcPr>
          <w:p w14:paraId="5C708635">
            <w:pPr>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1F4544DD">
            <w:pPr>
              <w:jc w:val="center"/>
              <w:rPr>
                <w:rFonts w:ascii="宋体" w:hAnsi="宋体" w:cs="宋体"/>
                <w:color w:val="auto"/>
                <w:sz w:val="24"/>
                <w:highlight w:val="none"/>
              </w:rPr>
            </w:pPr>
            <w:r>
              <w:rPr>
                <w:rFonts w:hint="eastAsia" w:ascii="宋体" w:hAnsi="宋体" w:cs="宋体"/>
                <w:color w:val="auto"/>
                <w:sz w:val="24"/>
                <w:highlight w:val="none"/>
              </w:rPr>
              <w:t>货物名称</w:t>
            </w:r>
          </w:p>
        </w:tc>
        <w:tc>
          <w:tcPr>
            <w:tcW w:w="2063" w:type="dxa"/>
            <w:tcBorders>
              <w:top w:val="single" w:color="auto" w:sz="4" w:space="0"/>
              <w:left w:val="single" w:color="auto" w:sz="4" w:space="0"/>
              <w:bottom w:val="single" w:color="auto" w:sz="4" w:space="0"/>
              <w:right w:val="single" w:color="auto" w:sz="4" w:space="0"/>
            </w:tcBorders>
            <w:vAlign w:val="center"/>
          </w:tcPr>
          <w:p w14:paraId="05966762">
            <w:pPr>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货物规格型号</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品牌及生产厂家</w:t>
            </w:r>
          </w:p>
        </w:tc>
        <w:tc>
          <w:tcPr>
            <w:tcW w:w="1080" w:type="dxa"/>
            <w:tcBorders>
              <w:top w:val="single" w:color="auto" w:sz="4" w:space="0"/>
              <w:left w:val="single" w:color="auto" w:sz="4" w:space="0"/>
              <w:bottom w:val="single" w:color="auto" w:sz="4" w:space="0"/>
              <w:right w:val="single" w:color="auto" w:sz="4" w:space="0"/>
            </w:tcBorders>
            <w:vAlign w:val="center"/>
          </w:tcPr>
          <w:p w14:paraId="6F6741A7">
            <w:pPr>
              <w:jc w:val="center"/>
              <w:rPr>
                <w:rFonts w:hint="eastAsia" w:ascii="宋体" w:hAnsi="宋体" w:cs="宋体"/>
                <w:color w:val="auto"/>
                <w:sz w:val="24"/>
                <w:highlight w:val="none"/>
              </w:rPr>
            </w:pPr>
            <w:r>
              <w:rPr>
                <w:rFonts w:hint="eastAsia" w:cs="宋体" w:asciiTheme="minorEastAsia" w:hAnsiTheme="minorEastAsia"/>
                <w:bCs/>
                <w:color w:val="auto"/>
                <w:szCs w:val="21"/>
                <w:highlight w:val="none"/>
              </w:rPr>
              <w:t>技术参数要求</w:t>
            </w:r>
          </w:p>
        </w:tc>
        <w:tc>
          <w:tcPr>
            <w:tcW w:w="1080" w:type="dxa"/>
            <w:tcBorders>
              <w:top w:val="single" w:color="auto" w:sz="4" w:space="0"/>
              <w:left w:val="single" w:color="auto" w:sz="4" w:space="0"/>
              <w:bottom w:val="single" w:color="auto" w:sz="4" w:space="0"/>
              <w:right w:val="single" w:color="auto" w:sz="4" w:space="0"/>
            </w:tcBorders>
            <w:vAlign w:val="center"/>
          </w:tcPr>
          <w:p w14:paraId="04BE59A4">
            <w:pPr>
              <w:jc w:val="center"/>
              <w:rPr>
                <w:rFonts w:ascii="宋体" w:hAnsi="宋体" w:cs="宋体"/>
                <w:color w:val="auto"/>
                <w:sz w:val="24"/>
                <w:highlight w:val="none"/>
              </w:rPr>
            </w:pPr>
            <w:r>
              <w:rPr>
                <w:rFonts w:hint="eastAsia" w:ascii="宋体" w:hAnsi="宋体" w:cs="宋体"/>
                <w:color w:val="auto"/>
                <w:sz w:val="24"/>
                <w:highlight w:val="none"/>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4508AC92">
            <w:pPr>
              <w:jc w:val="center"/>
              <w:rPr>
                <w:rFonts w:ascii="宋体" w:hAnsi="宋体" w:cs="宋体"/>
                <w:color w:val="auto"/>
                <w:sz w:val="24"/>
                <w:highlight w:val="none"/>
              </w:rPr>
            </w:pPr>
            <w:r>
              <w:rPr>
                <w:rFonts w:hint="eastAsia" w:ascii="宋体" w:hAnsi="宋体" w:cs="宋体"/>
                <w:color w:val="auto"/>
                <w:sz w:val="24"/>
                <w:highlight w:val="none"/>
              </w:rPr>
              <w:t>单价(元)②</w:t>
            </w:r>
          </w:p>
        </w:tc>
        <w:tc>
          <w:tcPr>
            <w:tcW w:w="1438" w:type="dxa"/>
            <w:tcBorders>
              <w:top w:val="single" w:color="auto" w:sz="4" w:space="0"/>
              <w:left w:val="single" w:color="auto" w:sz="4" w:space="0"/>
              <w:bottom w:val="single" w:color="auto" w:sz="4" w:space="0"/>
              <w:right w:val="single" w:color="auto" w:sz="4" w:space="0"/>
            </w:tcBorders>
            <w:vAlign w:val="center"/>
          </w:tcPr>
          <w:p w14:paraId="6A4DD59A">
            <w:pPr>
              <w:jc w:val="center"/>
              <w:rPr>
                <w:rFonts w:ascii="宋体" w:hAnsi="宋体" w:cs="宋体"/>
                <w:color w:val="auto"/>
                <w:sz w:val="24"/>
                <w:highlight w:val="none"/>
              </w:rPr>
            </w:pPr>
            <w:r>
              <w:rPr>
                <w:rFonts w:hint="eastAsia" w:ascii="宋体" w:hAnsi="宋体" w:cs="宋体"/>
                <w:color w:val="auto"/>
                <w:sz w:val="24"/>
                <w:highlight w:val="none"/>
              </w:rPr>
              <w:t>单项合价（元）</w:t>
            </w:r>
          </w:p>
          <w:p w14:paraId="69D87F3F">
            <w:pPr>
              <w:jc w:val="center"/>
              <w:rPr>
                <w:rFonts w:ascii="宋体" w:hAnsi="宋体" w:cs="宋体"/>
                <w:color w:val="auto"/>
                <w:sz w:val="24"/>
                <w:highlight w:val="none"/>
              </w:rPr>
            </w:pPr>
            <w:r>
              <w:rPr>
                <w:rFonts w:hint="eastAsia" w:ascii="宋体" w:hAnsi="宋体" w:cs="宋体"/>
                <w:color w:val="auto"/>
                <w:sz w:val="24"/>
                <w:highlight w:val="none"/>
              </w:rPr>
              <w:t>③＝①</w:t>
            </w:r>
            <w:r>
              <w:rPr>
                <w:rFonts w:hint="eastAsia" w:ascii="宋体" w:hAnsi="宋体" w:cs="宋体"/>
                <w:color w:val="auto"/>
                <w:sz w:val="24"/>
                <w:highlight w:val="none"/>
                <w:lang w:eastAsia="zh-CN"/>
              </w:rPr>
              <w:t>*</w:t>
            </w:r>
            <w:r>
              <w:rPr>
                <w:rFonts w:hint="eastAsia" w:ascii="宋体" w:hAnsi="宋体" w:cs="宋体"/>
                <w:color w:val="auto"/>
                <w:sz w:val="24"/>
                <w:highlight w:val="none"/>
              </w:rPr>
              <w:t>②</w:t>
            </w:r>
          </w:p>
        </w:tc>
        <w:tc>
          <w:tcPr>
            <w:tcW w:w="705" w:type="dxa"/>
            <w:tcBorders>
              <w:top w:val="single" w:color="auto" w:sz="4" w:space="0"/>
              <w:left w:val="single" w:color="auto" w:sz="4" w:space="0"/>
              <w:bottom w:val="single" w:color="auto" w:sz="4" w:space="0"/>
              <w:right w:val="single" w:color="auto" w:sz="4" w:space="0"/>
            </w:tcBorders>
            <w:vAlign w:val="center"/>
          </w:tcPr>
          <w:p w14:paraId="1E6D7DE5">
            <w:pPr>
              <w:jc w:val="center"/>
              <w:rPr>
                <w:rFonts w:ascii="宋体" w:hAnsi="宋体" w:cs="宋体"/>
                <w:color w:val="auto"/>
                <w:sz w:val="24"/>
                <w:highlight w:val="none"/>
              </w:rPr>
            </w:pPr>
            <w:r>
              <w:rPr>
                <w:rFonts w:hint="eastAsia" w:ascii="宋体" w:hAnsi="宋体" w:cs="宋体"/>
                <w:color w:val="auto"/>
                <w:sz w:val="24"/>
                <w:highlight w:val="none"/>
              </w:rPr>
              <w:t>备注</w:t>
            </w:r>
          </w:p>
        </w:tc>
      </w:tr>
      <w:tr w14:paraId="4978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8" w:type="dxa"/>
            <w:tcBorders>
              <w:top w:val="single" w:color="auto" w:sz="4" w:space="0"/>
              <w:left w:val="single" w:color="auto" w:sz="4" w:space="0"/>
              <w:bottom w:val="single" w:color="auto" w:sz="4" w:space="0"/>
              <w:right w:val="single" w:color="auto" w:sz="4" w:space="0"/>
            </w:tcBorders>
            <w:vAlign w:val="center"/>
          </w:tcPr>
          <w:p w14:paraId="47EF15F5">
            <w:pP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1260" w:type="dxa"/>
            <w:tcBorders>
              <w:top w:val="single" w:color="auto" w:sz="4" w:space="0"/>
              <w:left w:val="single" w:color="auto" w:sz="4" w:space="0"/>
              <w:bottom w:val="single" w:color="auto" w:sz="4" w:space="0"/>
              <w:right w:val="single" w:color="auto" w:sz="4" w:space="0"/>
            </w:tcBorders>
            <w:vAlign w:val="center"/>
          </w:tcPr>
          <w:p w14:paraId="70950F43">
            <w:pPr>
              <w:rPr>
                <w:rFonts w:ascii="宋体" w:hAnsi="宋体" w:cs="宋体"/>
                <w:color w:val="auto"/>
                <w:sz w:val="24"/>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0AF036DD">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9924940">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C348284">
            <w:pP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9EF83D0">
            <w:pPr>
              <w:rPr>
                <w:rFonts w:ascii="宋体" w:hAnsi="宋体" w:cs="宋体"/>
                <w:color w:val="auto"/>
                <w:sz w:val="24"/>
                <w:highlight w:val="none"/>
              </w:rPr>
            </w:pPr>
          </w:p>
        </w:tc>
        <w:tc>
          <w:tcPr>
            <w:tcW w:w="1438" w:type="dxa"/>
            <w:tcBorders>
              <w:top w:val="single" w:color="auto" w:sz="4" w:space="0"/>
              <w:left w:val="single" w:color="auto" w:sz="4" w:space="0"/>
              <w:bottom w:val="single" w:color="auto" w:sz="4" w:space="0"/>
              <w:right w:val="single" w:color="auto" w:sz="4" w:space="0"/>
            </w:tcBorders>
            <w:vAlign w:val="center"/>
          </w:tcPr>
          <w:p w14:paraId="568E3C3F">
            <w:pPr>
              <w:rPr>
                <w:rFonts w:ascii="宋体" w:hAns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tcPr>
          <w:p w14:paraId="56FA6D62">
            <w:pPr>
              <w:rPr>
                <w:rFonts w:ascii="宋体" w:hAnsi="宋体" w:cs="宋体"/>
                <w:color w:val="auto"/>
                <w:sz w:val="24"/>
                <w:highlight w:val="none"/>
              </w:rPr>
            </w:pPr>
          </w:p>
        </w:tc>
      </w:tr>
      <w:tr w14:paraId="1BF3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8" w:type="dxa"/>
            <w:tcBorders>
              <w:top w:val="single" w:color="auto" w:sz="4" w:space="0"/>
              <w:left w:val="single" w:color="auto" w:sz="4" w:space="0"/>
              <w:bottom w:val="single" w:color="auto" w:sz="4" w:space="0"/>
              <w:right w:val="single" w:color="auto" w:sz="4" w:space="0"/>
            </w:tcBorders>
            <w:vAlign w:val="center"/>
          </w:tcPr>
          <w:p w14:paraId="25DC3085">
            <w:pP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1260" w:type="dxa"/>
            <w:tcBorders>
              <w:top w:val="single" w:color="auto" w:sz="4" w:space="0"/>
              <w:left w:val="single" w:color="auto" w:sz="4" w:space="0"/>
              <w:bottom w:val="single" w:color="auto" w:sz="4" w:space="0"/>
              <w:right w:val="single" w:color="auto" w:sz="4" w:space="0"/>
            </w:tcBorders>
            <w:vAlign w:val="center"/>
          </w:tcPr>
          <w:p w14:paraId="3412D154">
            <w:pPr>
              <w:rPr>
                <w:rFonts w:ascii="宋体" w:hAnsi="宋体" w:cs="宋体"/>
                <w:color w:val="auto"/>
                <w:sz w:val="24"/>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29B995C3">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60D923F0">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49561C7">
            <w:pP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31B3FF7">
            <w:pPr>
              <w:rPr>
                <w:rFonts w:ascii="宋体" w:hAnsi="宋体" w:cs="宋体"/>
                <w:color w:val="auto"/>
                <w:sz w:val="24"/>
                <w:highlight w:val="none"/>
              </w:rPr>
            </w:pPr>
          </w:p>
        </w:tc>
        <w:tc>
          <w:tcPr>
            <w:tcW w:w="1438" w:type="dxa"/>
            <w:tcBorders>
              <w:top w:val="single" w:color="auto" w:sz="4" w:space="0"/>
              <w:left w:val="single" w:color="auto" w:sz="4" w:space="0"/>
              <w:bottom w:val="single" w:color="auto" w:sz="4" w:space="0"/>
              <w:right w:val="single" w:color="auto" w:sz="4" w:space="0"/>
            </w:tcBorders>
            <w:vAlign w:val="center"/>
          </w:tcPr>
          <w:p w14:paraId="3EAD4AD8">
            <w:pPr>
              <w:rPr>
                <w:rFonts w:ascii="宋体" w:hAns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tcPr>
          <w:p w14:paraId="107EFF01">
            <w:pPr>
              <w:rPr>
                <w:rFonts w:ascii="宋体" w:hAnsi="宋体" w:cs="宋体"/>
                <w:color w:val="auto"/>
                <w:sz w:val="24"/>
                <w:highlight w:val="none"/>
              </w:rPr>
            </w:pPr>
          </w:p>
        </w:tc>
      </w:tr>
      <w:tr w14:paraId="182F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8" w:type="dxa"/>
            <w:tcBorders>
              <w:top w:val="single" w:color="auto" w:sz="4" w:space="0"/>
              <w:left w:val="single" w:color="auto" w:sz="4" w:space="0"/>
              <w:bottom w:val="single" w:color="auto" w:sz="4" w:space="0"/>
              <w:right w:val="single" w:color="auto" w:sz="4" w:space="0"/>
            </w:tcBorders>
            <w:vAlign w:val="center"/>
          </w:tcPr>
          <w:p w14:paraId="798DBB54">
            <w:pP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1260" w:type="dxa"/>
            <w:tcBorders>
              <w:top w:val="single" w:color="auto" w:sz="4" w:space="0"/>
              <w:left w:val="single" w:color="auto" w:sz="4" w:space="0"/>
              <w:bottom w:val="single" w:color="auto" w:sz="4" w:space="0"/>
              <w:right w:val="single" w:color="auto" w:sz="4" w:space="0"/>
            </w:tcBorders>
            <w:vAlign w:val="center"/>
          </w:tcPr>
          <w:p w14:paraId="6E2AD70A">
            <w:pPr>
              <w:rPr>
                <w:rFonts w:ascii="宋体" w:hAnsi="宋体" w:cs="宋体"/>
                <w:color w:val="auto"/>
                <w:sz w:val="24"/>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253EA803">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C20DBDD">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09890435">
            <w:pP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BF28A64">
            <w:pPr>
              <w:rPr>
                <w:rFonts w:ascii="宋体" w:hAnsi="宋体" w:cs="宋体"/>
                <w:color w:val="auto"/>
                <w:sz w:val="24"/>
                <w:highlight w:val="none"/>
              </w:rPr>
            </w:pPr>
          </w:p>
        </w:tc>
        <w:tc>
          <w:tcPr>
            <w:tcW w:w="1438" w:type="dxa"/>
            <w:tcBorders>
              <w:top w:val="single" w:color="auto" w:sz="4" w:space="0"/>
              <w:left w:val="single" w:color="auto" w:sz="4" w:space="0"/>
              <w:bottom w:val="single" w:color="auto" w:sz="4" w:space="0"/>
              <w:right w:val="single" w:color="auto" w:sz="4" w:space="0"/>
            </w:tcBorders>
            <w:vAlign w:val="center"/>
          </w:tcPr>
          <w:p w14:paraId="72918A92">
            <w:pPr>
              <w:rPr>
                <w:rFonts w:ascii="宋体" w:hAns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tcPr>
          <w:p w14:paraId="1439903D">
            <w:pPr>
              <w:rPr>
                <w:rFonts w:ascii="宋体" w:hAnsi="宋体" w:cs="宋体"/>
                <w:color w:val="auto"/>
                <w:sz w:val="24"/>
                <w:highlight w:val="none"/>
              </w:rPr>
            </w:pPr>
          </w:p>
        </w:tc>
      </w:tr>
      <w:tr w14:paraId="60EE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8" w:type="dxa"/>
            <w:tcBorders>
              <w:top w:val="single" w:color="auto" w:sz="4" w:space="0"/>
              <w:left w:val="single" w:color="auto" w:sz="4" w:space="0"/>
              <w:bottom w:val="single" w:color="auto" w:sz="4" w:space="0"/>
              <w:right w:val="single" w:color="auto" w:sz="4" w:space="0"/>
            </w:tcBorders>
            <w:vAlign w:val="center"/>
          </w:tcPr>
          <w:p w14:paraId="67764B37">
            <w:pP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w:t>
            </w:r>
          </w:p>
        </w:tc>
        <w:tc>
          <w:tcPr>
            <w:tcW w:w="1260" w:type="dxa"/>
            <w:tcBorders>
              <w:top w:val="single" w:color="auto" w:sz="4" w:space="0"/>
              <w:left w:val="single" w:color="auto" w:sz="4" w:space="0"/>
              <w:bottom w:val="single" w:color="auto" w:sz="4" w:space="0"/>
              <w:right w:val="single" w:color="auto" w:sz="4" w:space="0"/>
            </w:tcBorders>
            <w:vAlign w:val="center"/>
          </w:tcPr>
          <w:p w14:paraId="5A9FA970">
            <w:pPr>
              <w:rPr>
                <w:rFonts w:ascii="宋体" w:hAnsi="宋体" w:cs="宋体"/>
                <w:color w:val="auto"/>
                <w:sz w:val="24"/>
                <w:highlight w:val="none"/>
              </w:rPr>
            </w:pPr>
          </w:p>
        </w:tc>
        <w:tc>
          <w:tcPr>
            <w:tcW w:w="2063" w:type="dxa"/>
            <w:tcBorders>
              <w:top w:val="single" w:color="auto" w:sz="4" w:space="0"/>
              <w:left w:val="single" w:color="auto" w:sz="4" w:space="0"/>
              <w:bottom w:val="single" w:color="auto" w:sz="4" w:space="0"/>
              <w:right w:val="single" w:color="auto" w:sz="4" w:space="0"/>
            </w:tcBorders>
            <w:vAlign w:val="center"/>
          </w:tcPr>
          <w:p w14:paraId="2A4F1776">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D7E75AE">
            <w:pPr>
              <w:rPr>
                <w:rFonts w:ascii="宋体" w:hAnsi="宋体" w:cs="宋体"/>
                <w:color w:val="auto"/>
                <w:sz w:val="24"/>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F495B96">
            <w:pP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45360CA">
            <w:pPr>
              <w:rPr>
                <w:rFonts w:ascii="宋体" w:hAnsi="宋体" w:cs="宋体"/>
                <w:color w:val="auto"/>
                <w:sz w:val="24"/>
                <w:highlight w:val="none"/>
              </w:rPr>
            </w:pPr>
          </w:p>
        </w:tc>
        <w:tc>
          <w:tcPr>
            <w:tcW w:w="1438" w:type="dxa"/>
            <w:tcBorders>
              <w:top w:val="single" w:color="auto" w:sz="4" w:space="0"/>
              <w:left w:val="single" w:color="auto" w:sz="4" w:space="0"/>
              <w:bottom w:val="single" w:color="auto" w:sz="4" w:space="0"/>
              <w:right w:val="single" w:color="auto" w:sz="4" w:space="0"/>
            </w:tcBorders>
            <w:vAlign w:val="center"/>
          </w:tcPr>
          <w:p w14:paraId="033DB9CF">
            <w:pPr>
              <w:rPr>
                <w:rFonts w:ascii="宋体" w:hAnsi="宋体" w:cs="宋体"/>
                <w:color w:val="auto"/>
                <w:sz w:val="24"/>
                <w:highlight w:val="none"/>
              </w:rPr>
            </w:pPr>
          </w:p>
        </w:tc>
        <w:tc>
          <w:tcPr>
            <w:tcW w:w="705" w:type="dxa"/>
            <w:tcBorders>
              <w:top w:val="single" w:color="auto" w:sz="4" w:space="0"/>
              <w:left w:val="single" w:color="auto" w:sz="4" w:space="0"/>
              <w:bottom w:val="single" w:color="auto" w:sz="4" w:space="0"/>
              <w:right w:val="single" w:color="auto" w:sz="4" w:space="0"/>
            </w:tcBorders>
          </w:tcPr>
          <w:p w14:paraId="476A9728">
            <w:pPr>
              <w:rPr>
                <w:rFonts w:ascii="宋体" w:hAnsi="宋体" w:cs="宋体"/>
                <w:color w:val="auto"/>
                <w:sz w:val="24"/>
                <w:highlight w:val="none"/>
              </w:rPr>
            </w:pPr>
          </w:p>
        </w:tc>
      </w:tr>
      <w:tr w14:paraId="13C8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04" w:type="dxa"/>
            <w:gridSpan w:val="8"/>
            <w:tcBorders>
              <w:top w:val="single" w:color="auto" w:sz="4" w:space="0"/>
              <w:left w:val="single" w:color="auto" w:sz="4" w:space="0"/>
              <w:bottom w:val="single" w:color="auto" w:sz="4" w:space="0"/>
              <w:right w:val="single" w:color="auto" w:sz="4" w:space="0"/>
            </w:tcBorders>
          </w:tcPr>
          <w:p w14:paraId="36A735A0">
            <w:pPr>
              <w:jc w:val="left"/>
              <w:rPr>
                <w:rFonts w:ascii="宋体" w:hAnsi="宋体" w:cs="宋体"/>
                <w:color w:val="auto"/>
                <w:sz w:val="24"/>
                <w:highlight w:val="none"/>
              </w:rPr>
            </w:pPr>
            <w:r>
              <w:rPr>
                <w:rFonts w:hint="eastAsia" w:ascii="宋体" w:hAnsi="宋体" w:cs="宋体"/>
                <w:color w:val="auto"/>
                <w:sz w:val="24"/>
                <w:highlight w:val="none"/>
              </w:rPr>
              <w:t xml:space="preserve">报价合计（包含税费等所有费用）：（大写）人民币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r>
              <w:rPr>
                <w:rFonts w:hint="default" w:ascii="Arial" w:hAnsi="Arial" w:cs="Arial"/>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tc>
      </w:tr>
      <w:tr w14:paraId="2942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04" w:type="dxa"/>
            <w:gridSpan w:val="8"/>
            <w:tcBorders>
              <w:top w:val="single" w:color="auto" w:sz="4" w:space="0"/>
              <w:left w:val="single" w:color="auto" w:sz="4" w:space="0"/>
              <w:bottom w:val="single" w:color="auto" w:sz="4" w:space="0"/>
              <w:right w:val="single" w:color="auto" w:sz="4" w:space="0"/>
            </w:tcBorders>
          </w:tcPr>
          <w:p w14:paraId="39089B1E">
            <w:pPr>
              <w:rPr>
                <w:rFonts w:ascii="宋体" w:hAnsi="宋体" w:cs="宋体"/>
                <w:color w:val="auto"/>
                <w:sz w:val="24"/>
                <w:highlight w:val="none"/>
              </w:rPr>
            </w:pPr>
            <w:r>
              <w:rPr>
                <w:rFonts w:hint="eastAsia" w:ascii="宋体" w:hAnsi="宋体" w:cs="宋体"/>
                <w:color w:val="auto"/>
                <w:sz w:val="24"/>
                <w:highlight w:val="none"/>
                <w:u w:val="single"/>
              </w:rPr>
              <w:t>　　</w:t>
            </w:r>
            <w:r>
              <w:rPr>
                <w:rFonts w:hint="eastAsia" w:ascii="宋体" w:hAnsi="宋体" w:cs="宋体"/>
                <w:color w:val="auto"/>
                <w:sz w:val="24"/>
                <w:highlight w:val="none"/>
              </w:rPr>
              <w:t>分标（此处有分标时填写具体分标号，无分标时填写“无”）</w:t>
            </w:r>
          </w:p>
        </w:tc>
      </w:tr>
      <w:tr w14:paraId="198F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04" w:type="dxa"/>
            <w:gridSpan w:val="8"/>
            <w:tcBorders>
              <w:top w:val="single" w:color="auto" w:sz="4" w:space="0"/>
              <w:left w:val="single" w:color="auto" w:sz="4" w:space="0"/>
              <w:bottom w:val="single" w:color="auto" w:sz="4" w:space="0"/>
              <w:right w:val="single" w:color="auto" w:sz="4" w:space="0"/>
            </w:tcBorders>
          </w:tcPr>
          <w:p w14:paraId="75C70991">
            <w:pPr>
              <w:rPr>
                <w:rFonts w:ascii="宋体" w:hAnsi="宋体" w:cs="宋体"/>
                <w:color w:val="auto"/>
                <w:sz w:val="24"/>
                <w:highlight w:val="none"/>
              </w:rPr>
            </w:pPr>
            <w:r>
              <w:rPr>
                <w:rFonts w:hint="eastAsia" w:ascii="宋体" w:hAnsi="宋体" w:cs="宋体"/>
                <w:color w:val="auto"/>
                <w:sz w:val="24"/>
                <w:highlight w:val="none"/>
              </w:rPr>
              <w:t>验收标准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如有，不低于采购需求响应</w:t>
            </w:r>
            <w:r>
              <w:rPr>
                <w:rFonts w:hint="eastAsia" w:ascii="宋体" w:hAnsi="宋体" w:cs="宋体"/>
                <w:color w:val="auto"/>
                <w:sz w:val="24"/>
                <w:highlight w:val="none"/>
                <w:lang w:eastAsia="zh-CN"/>
              </w:rPr>
              <w:t>）</w:t>
            </w:r>
            <w:r>
              <w:rPr>
                <w:rFonts w:hint="eastAsia" w:ascii="宋体" w:hAnsi="宋体" w:cs="宋体"/>
                <w:color w:val="auto"/>
                <w:sz w:val="24"/>
                <w:highlight w:val="none"/>
              </w:rPr>
              <w:t>：</w:t>
            </w:r>
          </w:p>
        </w:tc>
      </w:tr>
      <w:tr w14:paraId="26E8A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04" w:type="dxa"/>
            <w:gridSpan w:val="8"/>
            <w:tcBorders>
              <w:top w:val="single" w:color="auto" w:sz="4" w:space="0"/>
              <w:left w:val="single" w:color="auto" w:sz="4" w:space="0"/>
              <w:bottom w:val="single" w:color="auto" w:sz="4" w:space="0"/>
              <w:right w:val="single" w:color="auto" w:sz="4" w:space="0"/>
            </w:tcBorders>
          </w:tcPr>
          <w:p w14:paraId="573E3E29">
            <w:pPr>
              <w:rPr>
                <w:rFonts w:ascii="宋体" w:hAnsi="宋体" w:cs="宋体"/>
                <w:color w:val="auto"/>
                <w:sz w:val="24"/>
                <w:highlight w:val="none"/>
              </w:rPr>
            </w:pPr>
            <w:r>
              <w:rPr>
                <w:rFonts w:hint="eastAsia" w:ascii="宋体" w:hAnsi="宋体" w:cs="宋体"/>
                <w:color w:val="auto"/>
                <w:sz w:val="24"/>
                <w:highlight w:val="none"/>
              </w:rPr>
              <w:t>优惠及其它</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r>
              <w:rPr>
                <w:rFonts w:hint="eastAsia" w:ascii="宋体" w:hAnsi="宋体" w:cs="宋体"/>
                <w:color w:val="auto"/>
                <w:sz w:val="24"/>
                <w:highlight w:val="none"/>
              </w:rPr>
              <w:t>：</w:t>
            </w:r>
          </w:p>
        </w:tc>
      </w:tr>
    </w:tbl>
    <w:p w14:paraId="46C8E4B9">
      <w:pPr>
        <w:keepNext w:val="0"/>
        <w:keepLines w:val="0"/>
        <w:pageBreakBefore w:val="0"/>
        <w:widowControl w:val="0"/>
        <w:kinsoku/>
        <w:wordWrap/>
        <w:overflowPunct/>
        <w:topLinePunct w:val="0"/>
        <w:bidi w:val="0"/>
        <w:adjustRightInd/>
        <w:snapToGrid w:val="0"/>
        <w:spacing w:before="50" w:after="50" w:line="4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29573DD1">
      <w:pPr>
        <w:keepNext w:val="0"/>
        <w:keepLines w:val="0"/>
        <w:pageBreakBefore w:val="0"/>
        <w:widowControl w:val="0"/>
        <w:kinsoku/>
        <w:wordWrap/>
        <w:overflowPunct/>
        <w:topLinePunct w:val="0"/>
        <w:bidi w:val="0"/>
        <w:adjustRightInd/>
        <w:snapToGrid w:val="0"/>
        <w:spacing w:before="50" w:after="50" w:line="4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1、供应商需按本表格式填写，不得自行更改（</w:t>
      </w:r>
      <w:r>
        <w:rPr>
          <w:rFonts w:hint="eastAsia" w:ascii="宋体" w:hAnsi="宋体" w:cs="宋体"/>
          <w:color w:val="auto"/>
          <w:kern w:val="0"/>
          <w:sz w:val="24"/>
          <w:highlight w:val="none"/>
          <w:lang w:val="en-US" w:eastAsia="zh-CN"/>
        </w:rPr>
        <w:t>具体采购货物内容按第二章货物需求一览表对应填写</w:t>
      </w:r>
      <w:r>
        <w:rPr>
          <w:rFonts w:hint="eastAsia" w:ascii="宋体" w:hAnsi="宋体" w:cs="宋体"/>
          <w:color w:val="auto"/>
          <w:kern w:val="0"/>
          <w:sz w:val="24"/>
          <w:highlight w:val="none"/>
          <w:lang w:val="zh-CN"/>
        </w:rPr>
        <w:t>），也不得留空, 如有多分标，按分标分别提供响应报价表</w:t>
      </w:r>
      <w:r>
        <w:rPr>
          <w:rFonts w:hint="eastAsia" w:ascii="宋体" w:hAnsi="宋体" w:cs="宋体"/>
          <w:b/>
          <w:color w:val="auto"/>
          <w:kern w:val="0"/>
          <w:sz w:val="24"/>
          <w:highlight w:val="none"/>
          <w:lang w:val="zh-CN"/>
        </w:rPr>
        <w:t>。</w:t>
      </w:r>
    </w:p>
    <w:p w14:paraId="71568CF0">
      <w:pPr>
        <w:keepNext w:val="0"/>
        <w:keepLines w:val="0"/>
        <w:pageBreakBefore w:val="0"/>
        <w:widowControl w:val="0"/>
        <w:kinsoku/>
        <w:wordWrap/>
        <w:overflowPunct/>
        <w:topLinePunct w:val="0"/>
        <w:bidi w:val="0"/>
        <w:adjustRightInd/>
        <w:snapToGrid w:val="0"/>
        <w:spacing w:before="50" w:after="50" w:line="400" w:lineRule="exact"/>
        <w:ind w:firstLine="480" w:firstLineChars="200"/>
        <w:jc w:val="left"/>
        <w:textAlignment w:val="auto"/>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2、如为</w:t>
      </w:r>
      <w:r>
        <w:rPr>
          <w:rFonts w:hint="eastAsia" w:ascii="宋体" w:hAnsi="宋体" w:cs="宋体"/>
          <w:color w:val="auto"/>
          <w:kern w:val="0"/>
          <w:sz w:val="24"/>
          <w:highlight w:val="none"/>
          <w:lang w:val="en-US" w:eastAsia="zh-CN"/>
        </w:rPr>
        <w:t>接受</w:t>
      </w:r>
      <w:r>
        <w:rPr>
          <w:rFonts w:hint="eastAsia" w:ascii="宋体" w:hAnsi="宋体" w:cs="宋体"/>
          <w:color w:val="auto"/>
          <w:kern w:val="0"/>
          <w:sz w:val="24"/>
          <w:highlight w:val="none"/>
          <w:lang w:val="zh-CN"/>
        </w:rPr>
        <w:t>联合体响应的，“供应商名称”处必须列明联合体各方名称，并标注联合体牵头人名称，且盖章处须加盖联合体各方公章，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否则其响应作无效响应处理。</w:t>
      </w:r>
    </w:p>
    <w:p w14:paraId="71B7FA45">
      <w:pPr>
        <w:keepNext w:val="0"/>
        <w:keepLines w:val="0"/>
        <w:pageBreakBefore w:val="0"/>
        <w:widowControl w:val="0"/>
        <w:kinsoku/>
        <w:wordWrap/>
        <w:overflowPunct/>
        <w:topLinePunct w:val="0"/>
        <w:bidi w:val="0"/>
        <w:adjustRightInd/>
        <w:snapToGrid w:val="0"/>
        <w:spacing w:before="50" w:after="50" w:line="400" w:lineRule="exact"/>
        <w:ind w:firstLine="480" w:firstLineChars="200"/>
        <w:jc w:val="left"/>
        <w:textAlignment w:val="auto"/>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3、以上表格要求细分项目及报价，在“货物名称”</w:t>
      </w:r>
      <w:r>
        <w:rPr>
          <w:rFonts w:hint="eastAsia" w:ascii="宋体" w:hAnsi="宋体" w:cs="宋体"/>
          <w:color w:val="auto"/>
          <w:kern w:val="0"/>
          <w:sz w:val="24"/>
          <w:highlight w:val="none"/>
          <w:lang w:val="en-US" w:eastAsia="zh-CN"/>
        </w:rPr>
        <w:t>和</w:t>
      </w:r>
      <w:r>
        <w:rPr>
          <w:rFonts w:hint="eastAsia" w:ascii="宋体" w:hAnsi="宋体" w:eastAsia="宋体" w:cs="宋体"/>
          <w:color w:val="auto"/>
          <w:kern w:val="0"/>
          <w:sz w:val="24"/>
          <w:highlight w:val="none"/>
          <w:lang w:val="en-US" w:eastAsia="zh-CN"/>
        </w:rPr>
        <w:t>“</w:t>
      </w:r>
      <w:r>
        <w:rPr>
          <w:rFonts w:hint="eastAsia" w:ascii="宋体" w:hAnsi="宋体" w:eastAsia="宋体" w:cs="宋体"/>
          <w:color w:val="auto"/>
          <w:kern w:val="0"/>
          <w:sz w:val="24"/>
          <w:highlight w:val="none"/>
          <w:lang w:val="zh-CN"/>
        </w:rPr>
        <w:t>技术参数要求</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zh-CN"/>
        </w:rPr>
        <w:t>一栏中，</w:t>
      </w:r>
      <w:r>
        <w:rPr>
          <w:rFonts w:hint="eastAsia" w:ascii="宋体" w:hAnsi="宋体" w:cs="宋体"/>
          <w:color w:val="auto"/>
          <w:kern w:val="0"/>
          <w:sz w:val="24"/>
          <w:highlight w:val="none"/>
          <w:lang w:val="en-US" w:eastAsia="zh-CN"/>
        </w:rPr>
        <w:t>按第二章货物需求一览表内容填写并实质性响应</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否则其响应作无效响应处理。</w:t>
      </w:r>
    </w:p>
    <w:p w14:paraId="46CE314F">
      <w:pPr>
        <w:keepNext w:val="0"/>
        <w:keepLines w:val="0"/>
        <w:pageBreakBefore w:val="0"/>
        <w:widowControl w:val="0"/>
        <w:kinsoku/>
        <w:wordWrap/>
        <w:overflowPunct/>
        <w:topLinePunct w:val="0"/>
        <w:bidi w:val="0"/>
        <w:adjustRightInd/>
        <w:snapToGrid w:val="0"/>
        <w:spacing w:line="4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4、特别提示：采购机构将对项目名称和项目编号，成交供应商名称、地址和成交金额，主要成交标的的名称、规格型号、数量、单价、货物要求等予以公示。</w:t>
      </w:r>
    </w:p>
    <w:p w14:paraId="1BC82FE3">
      <w:pPr>
        <w:keepNext w:val="0"/>
        <w:keepLines w:val="0"/>
        <w:pageBreakBefore w:val="0"/>
        <w:widowControl w:val="0"/>
        <w:kinsoku/>
        <w:wordWrap/>
        <w:overflowPunct/>
        <w:topLinePunct w:val="0"/>
        <w:bidi w:val="0"/>
        <w:adjustRightInd/>
        <w:snapToGrid w:val="0"/>
        <w:spacing w:line="4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5、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17CC44E5">
      <w:pPr>
        <w:keepNext w:val="0"/>
        <w:keepLines w:val="0"/>
        <w:pageBreakBefore w:val="0"/>
        <w:widowControl w:val="0"/>
        <w:kinsoku/>
        <w:wordWrap/>
        <w:overflowPunct/>
        <w:topLinePunct w:val="0"/>
        <w:autoSpaceDE w:val="0"/>
        <w:autoSpaceDN w:val="0"/>
        <w:bidi w:val="0"/>
        <w:adjustRightInd/>
        <w:spacing w:line="400" w:lineRule="exact"/>
        <w:ind w:left="4335" w:leftChars="1950" w:hanging="240" w:hangingChars="100"/>
        <w:textAlignment w:val="auto"/>
        <w:rPr>
          <w:rFonts w:ascii="宋体" w:hAnsi="宋体" w:cs="宋体"/>
          <w:color w:val="auto"/>
          <w:kern w:val="0"/>
          <w:sz w:val="24"/>
          <w:highlight w:val="none"/>
        </w:rPr>
      </w:pPr>
    </w:p>
    <w:p w14:paraId="0205AD2A">
      <w:pPr>
        <w:keepNext w:val="0"/>
        <w:keepLines w:val="0"/>
        <w:pageBreakBefore w:val="0"/>
        <w:widowControl w:val="0"/>
        <w:kinsoku/>
        <w:wordWrap/>
        <w:overflowPunct/>
        <w:topLinePunct w:val="0"/>
        <w:autoSpaceDE w:val="0"/>
        <w:autoSpaceDN w:val="0"/>
        <w:bidi w:val="0"/>
        <w:adjustRightInd/>
        <w:spacing w:line="400" w:lineRule="exact"/>
        <w:ind w:left="4335" w:leftChars="1950" w:hanging="240" w:hangingChars="100"/>
        <w:textAlignment w:val="auto"/>
        <w:rPr>
          <w:rFonts w:ascii="宋体" w:hAnsi="宋体" w:cs="宋体"/>
          <w:color w:val="auto"/>
          <w:kern w:val="0"/>
          <w:sz w:val="24"/>
          <w:highlight w:val="none"/>
        </w:rPr>
      </w:pPr>
      <w:r>
        <w:rPr>
          <w:rFonts w:hint="eastAsia" w:ascii="宋体" w:hAnsi="宋体" w:cs="宋体"/>
          <w:color w:val="auto"/>
          <w:kern w:val="0"/>
          <w:sz w:val="24"/>
          <w:highlight w:val="none"/>
        </w:rPr>
        <w:t>供应商名称（电子签章）：</w:t>
      </w:r>
    </w:p>
    <w:p w14:paraId="4F67DB42">
      <w:pPr>
        <w:keepNext w:val="0"/>
        <w:keepLines w:val="0"/>
        <w:pageBreakBefore w:val="0"/>
        <w:widowControl w:val="0"/>
        <w:kinsoku/>
        <w:wordWrap/>
        <w:overflowPunct/>
        <w:topLinePunct w:val="0"/>
        <w:autoSpaceDE w:val="0"/>
        <w:autoSpaceDN w:val="0"/>
        <w:bidi w:val="0"/>
        <w:adjustRightInd/>
        <w:spacing w:line="400" w:lineRule="exact"/>
        <w:ind w:firstLine="6480" w:firstLineChars="2700"/>
        <w:textAlignment w:val="auto"/>
        <w:rPr>
          <w:rFonts w:hint="eastAsia" w:hAnsi="宋体" w:cs="宋体"/>
          <w:b/>
          <w:color w:val="auto"/>
          <w:kern w:val="2"/>
          <w:sz w:val="30"/>
          <w:szCs w:val="30"/>
          <w:highlight w:val="none"/>
        </w:rPr>
      </w:pPr>
      <w:r>
        <w:rPr>
          <w:rFonts w:hint="eastAsia" w:ascii="宋体" w:hAnsi="宋体" w:cs="宋体"/>
          <w:color w:val="auto"/>
          <w:kern w:val="0"/>
          <w:sz w:val="24"/>
          <w:highlight w:val="none"/>
          <w:lang w:val="zh-CN"/>
        </w:rPr>
        <w:t>日期：  年  月   日</w:t>
      </w:r>
    </w:p>
    <w:p w14:paraId="009048B7">
      <w:pPr>
        <w:pStyle w:val="18"/>
        <w:spacing w:line="500" w:lineRule="exact"/>
        <w:ind w:firstLine="602" w:firstLineChars="200"/>
        <w:rPr>
          <w:rFonts w:hint="eastAsia" w:hAnsi="宋体" w:cs="宋体"/>
          <w:b/>
          <w:color w:val="auto"/>
          <w:kern w:val="2"/>
          <w:sz w:val="30"/>
          <w:szCs w:val="30"/>
          <w:highlight w:val="none"/>
        </w:rPr>
      </w:pPr>
    </w:p>
    <w:p w14:paraId="380E441E">
      <w:pPr>
        <w:spacing w:before="113" w:line="224" w:lineRule="auto"/>
        <w:ind w:left="1850"/>
        <w:rPr>
          <w:rFonts w:hint="eastAsia" w:hAnsi="宋体" w:cs="宋体"/>
          <w:b/>
          <w:color w:val="auto"/>
          <w:kern w:val="2"/>
          <w:sz w:val="30"/>
          <w:szCs w:val="30"/>
          <w:highlight w:val="none"/>
        </w:rPr>
      </w:pPr>
    </w:p>
    <w:p w14:paraId="0C10B4D2">
      <w:pPr>
        <w:spacing w:before="113" w:line="224" w:lineRule="auto"/>
        <w:jc w:val="left"/>
        <w:rPr>
          <w:rFonts w:hint="eastAsia" w:hAnsi="宋体" w:cs="宋体"/>
          <w:b/>
          <w:color w:val="auto"/>
          <w:kern w:val="2"/>
          <w:sz w:val="30"/>
          <w:szCs w:val="30"/>
          <w:highlight w:val="none"/>
        </w:rPr>
      </w:pPr>
    </w:p>
    <w:p w14:paraId="6A9DA34D">
      <w:pPr>
        <w:pStyle w:val="18"/>
        <w:numPr>
          <w:ilvl w:val="0"/>
          <w:numId w:val="0"/>
        </w:numPr>
        <w:spacing w:line="500" w:lineRule="exact"/>
        <w:jc w:val="left"/>
        <w:rPr>
          <w:rFonts w:hint="eastAsia" w:ascii="宋体" w:hAnsi="宋体" w:eastAsia="宋体" w:cs="宋体"/>
          <w:b/>
          <w:color w:val="auto"/>
          <w:kern w:val="2"/>
          <w:sz w:val="30"/>
          <w:szCs w:val="30"/>
          <w:highlight w:val="none"/>
        </w:rPr>
      </w:pPr>
    </w:p>
    <w:p w14:paraId="389D214B">
      <w:pPr>
        <w:pStyle w:val="18"/>
        <w:numPr>
          <w:ilvl w:val="0"/>
          <w:numId w:val="0"/>
        </w:numPr>
        <w:spacing w:line="500" w:lineRule="exact"/>
        <w:jc w:val="left"/>
        <w:rPr>
          <w:rFonts w:hint="eastAsia" w:ascii="宋体" w:hAnsi="宋体" w:eastAsia="宋体" w:cs="宋体"/>
          <w:b/>
          <w:color w:val="auto"/>
          <w:kern w:val="2"/>
          <w:sz w:val="30"/>
          <w:szCs w:val="30"/>
          <w:highlight w:val="none"/>
        </w:rPr>
      </w:pPr>
      <w:r>
        <w:rPr>
          <w:rFonts w:hint="eastAsia" w:ascii="宋体" w:hAnsi="宋体" w:eastAsia="宋体" w:cs="宋体"/>
          <w:b/>
          <w:color w:val="auto"/>
          <w:kern w:val="2"/>
          <w:sz w:val="30"/>
          <w:szCs w:val="30"/>
          <w:highlight w:val="none"/>
        </w:rPr>
        <w:t>三、</w:t>
      </w:r>
      <w:r>
        <w:rPr>
          <w:rFonts w:hint="eastAsia" w:ascii="宋体" w:hAnsi="宋体" w:eastAsia="宋体" w:cs="宋体"/>
          <w:b/>
          <w:color w:val="auto"/>
          <w:kern w:val="2"/>
          <w:sz w:val="30"/>
          <w:szCs w:val="30"/>
          <w:highlight w:val="none"/>
          <w:lang w:val="en-US" w:eastAsia="zh-CN"/>
        </w:rPr>
        <w:t>竞标</w:t>
      </w:r>
      <w:r>
        <w:rPr>
          <w:rFonts w:hint="eastAsia" w:ascii="宋体" w:hAnsi="宋体" w:eastAsia="宋体" w:cs="宋体"/>
          <w:b/>
          <w:color w:val="auto"/>
          <w:kern w:val="2"/>
          <w:sz w:val="30"/>
          <w:szCs w:val="30"/>
          <w:highlight w:val="none"/>
        </w:rPr>
        <w:t>人针对报价需要说明的其他文件和说明</w:t>
      </w:r>
    </w:p>
    <w:p w14:paraId="26C82351">
      <w:pPr>
        <w:pStyle w:val="18"/>
        <w:numPr>
          <w:ilvl w:val="0"/>
          <w:numId w:val="0"/>
        </w:numPr>
        <w:spacing w:line="500" w:lineRule="exact"/>
        <w:jc w:val="center"/>
        <w:rPr>
          <w:rFonts w:hint="eastAsia" w:ascii="宋体" w:hAnsi="宋体" w:eastAsia="宋体" w:cs="宋体"/>
          <w:b/>
          <w:color w:val="auto"/>
          <w:kern w:val="2"/>
          <w:sz w:val="30"/>
          <w:szCs w:val="30"/>
          <w:highlight w:val="none"/>
        </w:rPr>
      </w:pPr>
      <w:r>
        <w:rPr>
          <w:rFonts w:hint="eastAsia" w:ascii="宋体" w:hAnsi="宋体" w:eastAsia="宋体" w:cs="宋体"/>
          <w:b/>
          <w:color w:val="auto"/>
          <w:kern w:val="2"/>
          <w:sz w:val="30"/>
          <w:szCs w:val="30"/>
          <w:highlight w:val="none"/>
        </w:rPr>
        <w:t>关于符合本国产品标准的声明函</w:t>
      </w:r>
    </w:p>
    <w:p w14:paraId="1ACF293A">
      <w:pPr>
        <w:pStyle w:val="2"/>
        <w:spacing w:line="317" w:lineRule="auto"/>
        <w:rPr>
          <w:color w:val="auto"/>
          <w:highlight w:val="none"/>
        </w:rPr>
      </w:pPr>
    </w:p>
    <w:p w14:paraId="3C933C05">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本公司（单位）郑重声明，根据《国务院办公厅关于在政府采购中实施本国产品标准及相关政策的通知》（国办发〔2025〕34 号）的规定，本公司（单位）提供的以下产品属于本国产品。具体情况如下：</w:t>
      </w:r>
    </w:p>
    <w:p w14:paraId="72B63262">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1.（产品名称 1）1，生产厂为（厂名）2，厂址为（生产厂址）。（产品名称 1）的中国境内生产的组件成本占比≥（规定比例）3 。（产品名称 1）的（关键组件）4在中国境内生产。（产品名称 1）的（关键工序）5 在中国境内完成。</w:t>
      </w:r>
    </w:p>
    <w:p w14:paraId="3407EF2B">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产品名称2），生产厂为（厂名），厂址为（生产厂址）。（产品名称2）的中国境内生产的组件成本占比≥（规定比例）。（产品名称2）的（关键组件）在中国境内生产。（产品名称2）的（关键工序）在中国境内完成。</w:t>
      </w:r>
    </w:p>
    <w:p w14:paraId="015A0A53">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14:paraId="5E16DF22">
      <w:pPr>
        <w:snapToGrid w:val="0"/>
        <w:spacing w:before="50" w:after="50"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本公司（单位）对上述声明内容的真实性负责。如有虚假，愿承担相应法律责任。</w:t>
      </w:r>
    </w:p>
    <w:p w14:paraId="4C550FEB">
      <w:pPr>
        <w:pStyle w:val="2"/>
        <w:spacing w:line="288" w:lineRule="auto"/>
        <w:rPr>
          <w:rFonts w:hint="eastAsia" w:ascii="宋体" w:hAnsi="宋体" w:eastAsia="宋体" w:cs="宋体"/>
          <w:color w:val="auto"/>
          <w:highlight w:val="none"/>
        </w:rPr>
      </w:pPr>
    </w:p>
    <w:p w14:paraId="1BD81AD9">
      <w:pPr>
        <w:spacing w:before="79" w:line="219" w:lineRule="auto"/>
        <w:ind w:left="4423"/>
        <w:rPr>
          <w:rFonts w:hint="eastAsia" w:ascii="宋体" w:hAnsi="宋体" w:eastAsia="宋体" w:cs="宋体"/>
          <w:color w:val="auto"/>
          <w:sz w:val="24"/>
          <w:highlight w:val="none"/>
        </w:rPr>
      </w:pPr>
      <w:r>
        <w:rPr>
          <w:rFonts w:hint="eastAsia" w:ascii="宋体" w:hAnsi="宋体" w:eastAsia="宋体" w:cs="宋体"/>
          <w:color w:val="auto"/>
          <w:spacing w:val="-2"/>
          <w:sz w:val="24"/>
          <w:highlight w:val="none"/>
        </w:rPr>
        <w:t>公司（单位）名称（盖章</w:t>
      </w:r>
      <w:r>
        <w:rPr>
          <w:rFonts w:hint="eastAsia" w:ascii="宋体" w:hAnsi="宋体" w:eastAsia="宋体" w:cs="宋体"/>
          <w:color w:val="auto"/>
          <w:spacing w:val="2"/>
          <w:sz w:val="24"/>
          <w:highlight w:val="none"/>
        </w:rPr>
        <w:t>）：</w:t>
      </w:r>
    </w:p>
    <w:p w14:paraId="4492F5E4">
      <w:pPr>
        <w:spacing w:before="57" w:line="219" w:lineRule="auto"/>
        <w:ind w:left="4457"/>
        <w:rPr>
          <w:rFonts w:hint="eastAsia" w:ascii="宋体" w:hAnsi="宋体" w:eastAsia="宋体" w:cs="宋体"/>
          <w:color w:val="auto"/>
          <w:sz w:val="24"/>
          <w:highlight w:val="none"/>
        </w:rPr>
      </w:pPr>
      <w:r>
        <w:rPr>
          <w:rFonts w:hint="eastAsia" w:ascii="宋体" w:hAnsi="宋体" w:eastAsia="宋体" w:cs="宋体"/>
          <w:color w:val="auto"/>
          <w:spacing w:val="-13"/>
          <w:sz w:val="24"/>
          <w:highlight w:val="none"/>
        </w:rPr>
        <w:t>日期：</w:t>
      </w:r>
      <w:r>
        <w:rPr>
          <w:rFonts w:hint="eastAsia" w:ascii="宋体" w:hAnsi="宋体" w:eastAsia="宋体" w:cs="宋体"/>
          <w:color w:val="auto"/>
          <w:spacing w:val="1"/>
          <w:sz w:val="24"/>
          <w:highlight w:val="none"/>
        </w:rPr>
        <w:t xml:space="preserve">       </w:t>
      </w:r>
      <w:r>
        <w:rPr>
          <w:rFonts w:hint="eastAsia" w:ascii="宋体" w:hAnsi="宋体" w:eastAsia="宋体" w:cs="宋体"/>
          <w:color w:val="auto"/>
          <w:spacing w:val="-13"/>
          <w:sz w:val="24"/>
          <w:highlight w:val="none"/>
        </w:rPr>
        <w:t>年</w:t>
      </w:r>
      <w:r>
        <w:rPr>
          <w:rFonts w:hint="eastAsia" w:ascii="宋体" w:hAnsi="宋体" w:eastAsia="宋体" w:cs="宋体"/>
          <w:color w:val="auto"/>
          <w:spacing w:val="4"/>
          <w:sz w:val="24"/>
          <w:highlight w:val="none"/>
        </w:rPr>
        <w:t xml:space="preserve">    </w:t>
      </w:r>
      <w:r>
        <w:rPr>
          <w:rFonts w:hint="eastAsia" w:ascii="宋体" w:hAnsi="宋体" w:eastAsia="宋体" w:cs="宋体"/>
          <w:color w:val="auto"/>
          <w:spacing w:val="-13"/>
          <w:sz w:val="24"/>
          <w:highlight w:val="none"/>
        </w:rPr>
        <w:t>月</w:t>
      </w:r>
      <w:r>
        <w:rPr>
          <w:rFonts w:hint="eastAsia" w:ascii="宋体" w:hAnsi="宋体" w:eastAsia="宋体" w:cs="宋体"/>
          <w:color w:val="auto"/>
          <w:spacing w:val="13"/>
          <w:sz w:val="24"/>
          <w:highlight w:val="none"/>
        </w:rPr>
        <w:t xml:space="preserve">    </w:t>
      </w:r>
      <w:r>
        <w:rPr>
          <w:rFonts w:hint="eastAsia" w:ascii="宋体" w:hAnsi="宋体" w:eastAsia="宋体" w:cs="宋体"/>
          <w:color w:val="auto"/>
          <w:spacing w:val="-13"/>
          <w:sz w:val="24"/>
          <w:highlight w:val="none"/>
        </w:rPr>
        <w:t>日</w:t>
      </w:r>
    </w:p>
    <w:p w14:paraId="0B6B03C8">
      <w:pPr>
        <w:pStyle w:val="2"/>
        <w:spacing w:line="326" w:lineRule="auto"/>
        <w:rPr>
          <w:rFonts w:hint="eastAsia" w:ascii="宋体" w:hAnsi="宋体" w:eastAsia="宋体" w:cs="宋体"/>
          <w:color w:val="auto"/>
          <w:highlight w:val="none"/>
        </w:rPr>
      </w:pPr>
      <w:r>
        <w:rPr>
          <w:rFonts w:hint="eastAsia" w:ascii="宋体" w:hAnsi="宋体" w:eastAsia="宋体" w:cs="宋体"/>
          <w:color w:val="auto"/>
          <w:highlight w:val="none"/>
        </w:rPr>
        <w:drawing>
          <wp:anchor distT="0" distB="0" distL="114300" distR="114300" simplePos="0" relativeHeight="251663360"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9"/>
                    <a:stretch>
                      <a:fillRect/>
                    </a:stretch>
                  </pic:blipFill>
                  <pic:spPr>
                    <a:xfrm>
                      <a:off x="0" y="0"/>
                      <a:ext cx="1371600" cy="6350"/>
                    </a:xfrm>
                    <a:prstGeom prst="rect">
                      <a:avLst/>
                    </a:prstGeom>
                    <a:noFill/>
                    <a:ln>
                      <a:noFill/>
                    </a:ln>
                  </pic:spPr>
                </pic:pic>
              </a:graphicData>
            </a:graphic>
          </wp:anchor>
        </w:drawing>
      </w:r>
    </w:p>
    <w:p w14:paraId="4C1DC3A5">
      <w:pPr>
        <w:spacing w:before="66" w:line="228" w:lineRule="auto"/>
        <w:ind w:left="50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1.产品如有型号，请在“产品名称</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6"/>
          <w:sz w:val="20"/>
          <w:szCs w:val="20"/>
          <w:highlight w:val="none"/>
        </w:rPr>
        <w:t>”栏一并填写。</w:t>
      </w:r>
    </w:p>
    <w:p w14:paraId="37801EFE">
      <w:pPr>
        <w:spacing w:before="24" w:line="228" w:lineRule="auto"/>
        <w:ind w:left="49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2.生产厂名与厂址应与生产厂营业执照载明的相关信息保持一</w:t>
      </w:r>
      <w:r>
        <w:rPr>
          <w:rFonts w:hint="eastAsia" w:ascii="宋体" w:hAnsi="宋体" w:eastAsia="宋体" w:cs="宋体"/>
          <w:color w:val="auto"/>
          <w:spacing w:val="8"/>
          <w:sz w:val="20"/>
          <w:szCs w:val="20"/>
          <w:highlight w:val="none"/>
        </w:rPr>
        <w:t>致。</w:t>
      </w:r>
    </w:p>
    <w:p w14:paraId="3552763A">
      <w:pPr>
        <w:spacing w:before="25" w:line="227" w:lineRule="auto"/>
        <w:ind w:left="49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3.该产品的中国境内生产的组件成本占比相关要求实施前，“规定比例</w:t>
      </w:r>
      <w:r>
        <w:rPr>
          <w:rFonts w:hint="eastAsia" w:ascii="宋体" w:hAnsi="宋体" w:eastAsia="宋体" w:cs="宋体"/>
          <w:color w:val="auto"/>
          <w:spacing w:val="-60"/>
          <w:sz w:val="20"/>
          <w:szCs w:val="20"/>
          <w:highlight w:val="none"/>
        </w:rPr>
        <w:t xml:space="preserve"> </w:t>
      </w:r>
      <w:r>
        <w:rPr>
          <w:rFonts w:hint="eastAsia" w:ascii="宋体" w:hAnsi="宋体" w:eastAsia="宋体" w:cs="宋体"/>
          <w:color w:val="auto"/>
          <w:spacing w:val="8"/>
          <w:sz w:val="20"/>
          <w:szCs w:val="20"/>
          <w:highlight w:val="none"/>
        </w:rPr>
        <w:t>”栏可不填。</w:t>
      </w:r>
    </w:p>
    <w:p w14:paraId="0A956892">
      <w:pPr>
        <w:spacing w:before="27" w:line="228" w:lineRule="auto"/>
        <w:ind w:left="48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4.该产品的关键组件要求实施前，“关键组件</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7"/>
          <w:sz w:val="20"/>
          <w:szCs w:val="20"/>
          <w:highlight w:val="none"/>
        </w:rPr>
        <w:t>”栏可不填。</w:t>
      </w:r>
    </w:p>
    <w:p w14:paraId="307B8F46">
      <w:pPr>
        <w:spacing w:before="27" w:line="228" w:lineRule="auto"/>
        <w:ind w:left="492"/>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5.该产品的关键工序要求实施前，“关键工</w:t>
      </w:r>
      <w:r>
        <w:rPr>
          <w:rFonts w:hint="eastAsia" w:ascii="宋体" w:hAnsi="宋体" w:eastAsia="宋体" w:cs="宋体"/>
          <w:color w:val="auto"/>
          <w:spacing w:val="7"/>
          <w:sz w:val="20"/>
          <w:szCs w:val="20"/>
          <w:highlight w:val="none"/>
        </w:rPr>
        <w:t>序</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7"/>
          <w:sz w:val="20"/>
          <w:szCs w:val="20"/>
          <w:highlight w:val="none"/>
        </w:rPr>
        <w:t>”栏可不填同。</w:t>
      </w:r>
    </w:p>
    <w:p w14:paraId="410A14AE">
      <w:pPr>
        <w:spacing w:line="228" w:lineRule="auto"/>
        <w:rPr>
          <w:rFonts w:hint="eastAsia" w:ascii="宋体" w:hAnsi="宋体" w:eastAsia="宋体" w:cs="宋体"/>
          <w:color w:val="auto"/>
          <w:sz w:val="20"/>
          <w:szCs w:val="20"/>
          <w:highlight w:val="none"/>
        </w:rPr>
        <w:sectPr>
          <w:footerReference r:id="rId5" w:type="default"/>
          <w:pgSz w:w="11906" w:h="16839"/>
          <w:pgMar w:top="400" w:right="1360" w:bottom="1362" w:left="1677" w:header="0" w:footer="1200" w:gutter="0"/>
          <w:cols w:space="720" w:num="1"/>
        </w:sectPr>
      </w:pPr>
    </w:p>
    <w:p w14:paraId="00A6A672">
      <w:pPr>
        <w:spacing w:line="360" w:lineRule="auto"/>
        <w:jc w:val="left"/>
        <w:rPr>
          <w:rFonts w:ascii="宋体" w:hAnsi="宋体" w:cs="宋体"/>
          <w:color w:val="auto"/>
          <w:sz w:val="24"/>
          <w:highlight w:val="none"/>
        </w:rPr>
      </w:pPr>
    </w:p>
    <w:p w14:paraId="1B28A58A">
      <w:pPr>
        <w:pStyle w:val="4"/>
        <w:jc w:val="center"/>
        <w:rPr>
          <w:rFonts w:ascii="宋体" w:hAnsi="宋体" w:cs="宋体"/>
          <w:b w:val="0"/>
          <w:color w:val="auto"/>
          <w:highlight w:val="none"/>
        </w:rPr>
      </w:pPr>
      <w:bookmarkStart w:id="162" w:name="_Toc80205942"/>
      <w:bookmarkStart w:id="163" w:name="_Toc8485"/>
      <w:bookmarkStart w:id="164" w:name="_Toc11271"/>
      <w:bookmarkStart w:id="165" w:name="_Toc27815"/>
      <w:bookmarkStart w:id="166" w:name="_Toc32695"/>
      <w:r>
        <w:rPr>
          <w:rFonts w:hint="eastAsia" w:ascii="宋体" w:hAnsi="宋体" w:cs="宋体"/>
          <w:color w:val="auto"/>
          <w:highlight w:val="none"/>
        </w:rPr>
        <w:t>第五节 其他文书、文件格式</w:t>
      </w:r>
      <w:bookmarkEnd w:id="162"/>
      <w:bookmarkEnd w:id="163"/>
      <w:bookmarkEnd w:id="164"/>
      <w:bookmarkEnd w:id="165"/>
      <w:bookmarkEnd w:id="166"/>
    </w:p>
    <w:p w14:paraId="2E9B0CE5">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401FD419">
      <w:pPr>
        <w:ind w:firstLine="600" w:firstLineChars="200"/>
        <w:rPr>
          <w:rFonts w:ascii="宋体" w:hAnsi="宋体" w:cs="宋体"/>
          <w:color w:val="auto"/>
          <w:sz w:val="30"/>
          <w:szCs w:val="30"/>
          <w:highlight w:val="none"/>
        </w:rPr>
      </w:pPr>
    </w:p>
    <w:p w14:paraId="602BEFA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本企业（单位）自愿参与政府投资政府采购的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w:t>
      </w:r>
      <w:r>
        <w:rPr>
          <w:rFonts w:hint="eastAsia" w:ascii="宋体" w:hAnsi="宋体" w:cs="宋体"/>
          <w:b/>
          <w:bCs/>
          <w:color w:val="auto"/>
          <w:sz w:val="24"/>
          <w:highlight w:val="none"/>
        </w:rPr>
        <w:t>在此郑重承诺：</w:t>
      </w:r>
      <w:r>
        <w:rPr>
          <w:rFonts w:hint="eastAsia" w:ascii="宋体" w:hAnsi="宋体" w:cs="宋体"/>
          <w:color w:val="auto"/>
          <w:sz w:val="24"/>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eastAsia" w:ascii="宋体" w:hAnsi="宋体" w:cs="宋体"/>
          <w:color w:val="auto"/>
          <w:sz w:val="24"/>
          <w:highlight w:val="none"/>
          <w:lang w:val="en-US" w:eastAsia="zh-CN"/>
        </w:rPr>
        <w:t>单位</w:t>
      </w:r>
      <w:r>
        <w:rPr>
          <w:rFonts w:hint="eastAsia" w:ascii="宋体" w:hAnsi="宋体" w:cs="宋体"/>
          <w:color w:val="auto"/>
          <w:sz w:val="24"/>
          <w:highlight w:val="none"/>
        </w:rPr>
        <w:t>）将承担由此产生的全部责任。</w:t>
      </w:r>
    </w:p>
    <w:p w14:paraId="7FCDAADB">
      <w:pPr>
        <w:snapToGrid w:val="0"/>
        <w:spacing w:line="480" w:lineRule="exact"/>
        <w:ind w:left="5634" w:leftChars="1736" w:hanging="1988" w:hangingChars="825"/>
        <w:rPr>
          <w:rFonts w:ascii="宋体" w:hAnsi="宋体" w:cs="宋体"/>
          <w:b/>
          <w:color w:val="auto"/>
          <w:sz w:val="24"/>
          <w:highlight w:val="none"/>
        </w:rPr>
      </w:pPr>
      <w:r>
        <w:rPr>
          <w:rFonts w:hint="eastAsia" w:ascii="宋体" w:hAnsi="宋体" w:cs="宋体"/>
          <w:b/>
          <w:color w:val="auto"/>
          <w:sz w:val="24"/>
          <w:highlight w:val="none"/>
        </w:rPr>
        <w:t xml:space="preserve">           </w:t>
      </w:r>
    </w:p>
    <w:p w14:paraId="657D0A31">
      <w:pPr>
        <w:snapToGrid w:val="0"/>
        <w:spacing w:line="480" w:lineRule="exact"/>
        <w:ind w:left="5634" w:leftChars="1736" w:hanging="1988" w:hangingChars="825"/>
        <w:rPr>
          <w:rFonts w:ascii="宋体" w:hAnsi="宋体" w:cs="宋体"/>
          <w:b/>
          <w:color w:val="auto"/>
          <w:sz w:val="24"/>
          <w:highlight w:val="none"/>
        </w:rPr>
      </w:pPr>
    </w:p>
    <w:p w14:paraId="0B1011D6">
      <w:pPr>
        <w:snapToGrid w:val="0"/>
        <w:spacing w:line="480" w:lineRule="exact"/>
        <w:ind w:left="5634" w:leftChars="1736" w:hanging="1988" w:hangingChars="825"/>
        <w:rPr>
          <w:rFonts w:ascii="宋体" w:hAnsi="宋体" w:cs="宋体"/>
          <w:b/>
          <w:color w:val="auto"/>
          <w:sz w:val="24"/>
          <w:highlight w:val="none"/>
        </w:rPr>
      </w:pPr>
    </w:p>
    <w:p w14:paraId="27141790">
      <w:pPr>
        <w:snapToGrid w:val="0"/>
        <w:spacing w:line="480" w:lineRule="exact"/>
        <w:ind w:left="5634" w:leftChars="1736" w:hanging="1988" w:hangingChars="825"/>
        <w:rPr>
          <w:rFonts w:ascii="宋体" w:hAnsi="宋体" w:cs="宋体"/>
          <w:b/>
          <w:color w:val="auto"/>
          <w:sz w:val="24"/>
          <w:highlight w:val="none"/>
        </w:rPr>
      </w:pPr>
    </w:p>
    <w:p w14:paraId="0DDC7538">
      <w:pPr>
        <w:snapToGrid w:val="0"/>
        <w:spacing w:line="480" w:lineRule="exact"/>
        <w:ind w:left="5634" w:leftChars="1736" w:hanging="1988" w:hangingChars="825"/>
        <w:rPr>
          <w:rFonts w:ascii="宋体" w:hAnsi="宋体" w:cs="宋体"/>
          <w:color w:val="auto"/>
          <w:kern w:val="0"/>
          <w:sz w:val="24"/>
          <w:highlight w:val="none"/>
        </w:rPr>
      </w:pPr>
      <w:r>
        <w:rPr>
          <w:rFonts w:hint="eastAsia" w:ascii="宋体" w:hAnsi="宋体" w:cs="宋体"/>
          <w:b/>
          <w:color w:val="auto"/>
          <w:sz w:val="24"/>
          <w:highlight w:val="none"/>
        </w:rPr>
        <w:t xml:space="preserve">      </w:t>
      </w:r>
      <w:r>
        <w:rPr>
          <w:rFonts w:hint="eastAsia" w:ascii="宋体" w:hAnsi="宋体" w:cs="宋体"/>
          <w:color w:val="auto"/>
          <w:kern w:val="0"/>
          <w:sz w:val="24"/>
          <w:highlight w:val="none"/>
          <w:lang w:val="zh-CN"/>
        </w:rPr>
        <w:t>供应商名称(电子签章)：</w:t>
      </w:r>
    </w:p>
    <w:p w14:paraId="5BD3A105">
      <w:pPr>
        <w:snapToGrid w:val="0"/>
        <w:spacing w:line="480" w:lineRule="exact"/>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418A086">
      <w:pPr>
        <w:widowControl/>
        <w:jc w:val="left"/>
        <w:rPr>
          <w:rFonts w:ascii="宋体" w:hAnsi="宋体" w:cs="宋体"/>
          <w:color w:val="auto"/>
          <w:sz w:val="24"/>
          <w:highlight w:val="none"/>
        </w:rPr>
        <w:sectPr>
          <w:pgSz w:w="11906" w:h="16838"/>
          <w:pgMar w:top="1417" w:right="1191" w:bottom="1191" w:left="1361" w:header="720" w:footer="720" w:gutter="0"/>
          <w:cols w:space="720" w:num="1"/>
          <w:docGrid w:type="lines" w:linePitch="331" w:charSpace="0"/>
        </w:sectPr>
      </w:pPr>
    </w:p>
    <w:p w14:paraId="67B7A619">
      <w:pPr>
        <w:spacing w:line="520" w:lineRule="exact"/>
        <w:rPr>
          <w:rFonts w:ascii="宋体" w:hAnsi="宋体" w:cs="宋体"/>
          <w:color w:val="auto"/>
          <w:sz w:val="24"/>
          <w:highlight w:val="none"/>
        </w:rPr>
      </w:pPr>
    </w:p>
    <w:p w14:paraId="4EB47202">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残疾人福利性单位声明函</w:t>
      </w:r>
    </w:p>
    <w:p w14:paraId="2A711BEC">
      <w:pPr>
        <w:spacing w:line="520" w:lineRule="exact"/>
        <w:rPr>
          <w:rFonts w:ascii="宋体" w:hAnsi="宋体" w:cs="宋体"/>
          <w:color w:val="auto"/>
          <w:sz w:val="32"/>
          <w:szCs w:val="32"/>
          <w:highlight w:val="none"/>
        </w:rPr>
      </w:pPr>
    </w:p>
    <w:p w14:paraId="3773D68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205DFB6">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0038F417">
      <w:pPr>
        <w:spacing w:line="480" w:lineRule="exact"/>
        <w:rPr>
          <w:rFonts w:ascii="宋体" w:hAnsi="宋体" w:cs="宋体"/>
          <w:color w:val="auto"/>
          <w:sz w:val="24"/>
          <w:highlight w:val="none"/>
        </w:rPr>
      </w:pPr>
    </w:p>
    <w:p w14:paraId="1D5D169F">
      <w:pPr>
        <w:spacing w:line="480" w:lineRule="exact"/>
        <w:rPr>
          <w:rFonts w:ascii="宋体" w:hAnsi="宋体" w:cs="宋体"/>
          <w:color w:val="auto"/>
          <w:sz w:val="24"/>
          <w:highlight w:val="none"/>
        </w:rPr>
      </w:pPr>
    </w:p>
    <w:p w14:paraId="50338913">
      <w:pPr>
        <w:spacing w:line="480" w:lineRule="exact"/>
        <w:rPr>
          <w:rFonts w:ascii="宋体" w:hAnsi="宋体" w:cs="宋体"/>
          <w:color w:val="auto"/>
          <w:sz w:val="24"/>
          <w:highlight w:val="none"/>
        </w:rPr>
      </w:pPr>
    </w:p>
    <w:p w14:paraId="20643274">
      <w:pPr>
        <w:spacing w:line="480" w:lineRule="exact"/>
        <w:ind w:firstLine="2400" w:firstLineChars="1000"/>
        <w:rPr>
          <w:rFonts w:ascii="宋体" w:hAnsi="宋体" w:cs="宋体"/>
          <w:color w:val="auto"/>
          <w:sz w:val="24"/>
          <w:highlight w:val="none"/>
        </w:rPr>
      </w:pPr>
      <w:r>
        <w:rPr>
          <w:rFonts w:hint="eastAsia" w:ascii="宋体" w:hAnsi="宋体" w:cs="宋体"/>
          <w:color w:val="auto"/>
          <w:sz w:val="24"/>
          <w:highlight w:val="none"/>
        </w:rPr>
        <w:t>供应商名称（电子签章）：</w:t>
      </w:r>
    </w:p>
    <w:p w14:paraId="1844C13F">
      <w:pPr>
        <w:spacing w:line="480" w:lineRule="exact"/>
        <w:ind w:firstLine="4320" w:firstLineChars="1800"/>
        <w:rPr>
          <w:rFonts w:ascii="宋体" w:hAnsi="宋体" w:cs="宋体"/>
          <w:color w:val="auto"/>
          <w:sz w:val="24"/>
          <w:highlight w:val="none"/>
        </w:rPr>
      </w:pPr>
      <w:r>
        <w:rPr>
          <w:rFonts w:hint="eastAsia" w:ascii="宋体" w:hAnsi="宋体" w:cs="宋体"/>
          <w:color w:val="auto"/>
          <w:sz w:val="24"/>
          <w:highlight w:val="none"/>
        </w:rPr>
        <w:t>日  期：     年   月   日</w:t>
      </w:r>
    </w:p>
    <w:p w14:paraId="6C2A699A">
      <w:pPr>
        <w:spacing w:line="480" w:lineRule="exact"/>
        <w:rPr>
          <w:rFonts w:ascii="宋体" w:hAnsi="宋体" w:cs="宋体"/>
          <w:color w:val="auto"/>
          <w:sz w:val="24"/>
          <w:highlight w:val="none"/>
        </w:rPr>
      </w:pPr>
    </w:p>
    <w:p w14:paraId="2D4D2293">
      <w:pPr>
        <w:spacing w:line="480" w:lineRule="exact"/>
        <w:rPr>
          <w:rFonts w:ascii="宋体" w:hAnsi="宋体" w:cs="宋体"/>
          <w:color w:val="auto"/>
          <w:sz w:val="24"/>
          <w:highlight w:val="none"/>
        </w:rPr>
      </w:pPr>
    </w:p>
    <w:p w14:paraId="69C2707B">
      <w:pPr>
        <w:spacing w:line="480" w:lineRule="exact"/>
        <w:rPr>
          <w:rFonts w:ascii="宋体" w:hAnsi="宋体" w:cs="宋体"/>
          <w:color w:val="auto"/>
          <w:sz w:val="24"/>
          <w:highlight w:val="none"/>
        </w:rPr>
      </w:pPr>
    </w:p>
    <w:p w14:paraId="108FF205">
      <w:pPr>
        <w:spacing w:line="480" w:lineRule="exact"/>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791F36C">
      <w:pPr>
        <w:pageBreakBefore/>
        <w:spacing w:line="360" w:lineRule="auto"/>
        <w:jc w:val="center"/>
        <w:rPr>
          <w:rFonts w:ascii="宋体" w:hAnsi="宋体" w:cs="宋体"/>
          <w:b/>
          <w:bCs/>
          <w:color w:val="auto"/>
          <w:kern w:val="0"/>
          <w:sz w:val="36"/>
          <w:szCs w:val="36"/>
          <w:highlight w:val="none"/>
        </w:rPr>
      </w:pPr>
      <w:r>
        <w:rPr>
          <w:rFonts w:hint="eastAsia" w:ascii="宋体" w:hAnsi="宋体" w:cs="宋体"/>
          <w:b/>
          <w:bCs/>
          <w:color w:val="auto"/>
          <w:kern w:val="0"/>
          <w:sz w:val="36"/>
          <w:szCs w:val="36"/>
          <w:highlight w:val="none"/>
        </w:rPr>
        <w:t>第六章 合同文本</w:t>
      </w:r>
    </w:p>
    <w:p w14:paraId="68DCCBE2">
      <w:pPr>
        <w:spacing w:line="360" w:lineRule="auto"/>
        <w:rPr>
          <w:rFonts w:hint="eastAsia" w:cs="Times New Roman" w:asciiTheme="minorEastAsia" w:hAnsiTheme="minorEastAsia" w:eastAsiaTheme="minorEastAsia"/>
          <w:color w:val="auto"/>
          <w:sz w:val="24"/>
          <w:highlight w:val="none"/>
        </w:rPr>
      </w:pPr>
    </w:p>
    <w:p w14:paraId="211131A0">
      <w:pPr>
        <w:spacing w:line="360" w:lineRule="auto"/>
        <w:rPr>
          <w:rFonts w:ascii="仿宋_GB2312" w:hAnsi="楷体" w:eastAsia="仿宋_GB2312"/>
          <w:color w:val="auto"/>
          <w:sz w:val="24"/>
          <w:highlight w:val="none"/>
          <w:u w:val="single"/>
        </w:rPr>
      </w:pPr>
      <w:r>
        <w:rPr>
          <w:rFonts w:hint="eastAsia" w:ascii="仿宋_GB2312" w:hAnsi="楷体" w:eastAsia="仿宋_GB2312"/>
          <w:color w:val="auto"/>
          <w:sz w:val="24"/>
          <w:highlight w:val="none"/>
          <w:lang w:eastAsia="zh-CN"/>
        </w:rPr>
        <w:t>广西政府采购云平台</w:t>
      </w:r>
      <w:r>
        <w:rPr>
          <w:rFonts w:hint="eastAsia" w:ascii="仿宋_GB2312" w:hAnsi="楷体" w:eastAsia="仿宋_GB2312"/>
          <w:color w:val="auto"/>
          <w:sz w:val="24"/>
          <w:highlight w:val="none"/>
        </w:rPr>
        <w:t>合同编号：</w:t>
      </w:r>
      <w:r>
        <w:rPr>
          <w:rFonts w:hint="eastAsia" w:ascii="仿宋_GB2312" w:hAnsi="楷体" w:eastAsia="仿宋_GB2312"/>
          <w:color w:val="auto"/>
          <w:sz w:val="24"/>
          <w:highlight w:val="none"/>
          <w:u w:val="single"/>
        </w:rPr>
        <w:t xml:space="preserve">           </w:t>
      </w:r>
    </w:p>
    <w:p w14:paraId="3574332F">
      <w:pPr>
        <w:spacing w:line="360" w:lineRule="auto"/>
        <w:jc w:val="center"/>
        <w:rPr>
          <w:rFonts w:ascii="宋体"/>
          <w:b/>
          <w:bCs/>
          <w:color w:val="auto"/>
          <w:sz w:val="52"/>
          <w:highlight w:val="none"/>
        </w:rPr>
      </w:pPr>
      <w:r>
        <w:rPr>
          <w:rFonts w:hint="eastAsia" w:ascii="宋体"/>
          <w:b/>
          <w:bCs/>
          <w:color w:val="auto"/>
          <w:sz w:val="52"/>
          <w:highlight w:val="none"/>
        </w:rPr>
        <w:t>南 宁 市 政 府 采 购</w:t>
      </w:r>
    </w:p>
    <w:p w14:paraId="71C65522">
      <w:pPr>
        <w:spacing w:line="360" w:lineRule="auto"/>
        <w:ind w:firstLine="420" w:firstLineChars="200"/>
        <w:rPr>
          <w:rFonts w:ascii="宋体"/>
          <w:color w:val="auto"/>
          <w:highlight w:val="none"/>
        </w:rPr>
      </w:pPr>
    </w:p>
    <w:p w14:paraId="2A2B5CBB">
      <w:pPr>
        <w:spacing w:line="360" w:lineRule="auto"/>
        <w:ind w:firstLine="420" w:firstLineChars="200"/>
        <w:rPr>
          <w:rFonts w:ascii="宋体"/>
          <w:color w:val="auto"/>
          <w:highlight w:val="none"/>
        </w:rPr>
      </w:pPr>
      <w:r>
        <w:rPr>
          <w:rFonts w:hint="eastAsia" w:ascii="宋体"/>
          <w:color w:val="auto"/>
          <w:highlight w:val="none"/>
        </w:rPr>
        <w:t xml:space="preserve">                                                 </w:t>
      </w:r>
    </w:p>
    <w:p w14:paraId="10C25C82">
      <w:pPr>
        <w:spacing w:line="360" w:lineRule="auto"/>
        <w:jc w:val="center"/>
        <w:rPr>
          <w:rFonts w:ascii="宋体"/>
          <w:b/>
          <w:bCs/>
          <w:color w:val="auto"/>
          <w:sz w:val="44"/>
          <w:highlight w:val="none"/>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5544BD14">
      <w:pPr>
        <w:spacing w:line="360" w:lineRule="auto"/>
        <w:jc w:val="center"/>
        <w:rPr>
          <w:rFonts w:ascii="宋体"/>
          <w:b/>
          <w:bCs/>
          <w:color w:val="auto"/>
          <w:sz w:val="44"/>
          <w:highlight w:val="none"/>
        </w:rPr>
      </w:pPr>
    </w:p>
    <w:p w14:paraId="5F5C43F8">
      <w:pPr>
        <w:spacing w:line="360" w:lineRule="auto"/>
        <w:jc w:val="center"/>
        <w:rPr>
          <w:rFonts w:ascii="宋体"/>
          <w:b/>
          <w:bCs/>
          <w:color w:val="auto"/>
          <w:sz w:val="44"/>
          <w:highlight w:val="none"/>
        </w:rPr>
      </w:pPr>
    </w:p>
    <w:p w14:paraId="60293165">
      <w:pPr>
        <w:spacing w:line="360" w:lineRule="auto"/>
        <w:ind w:firstLine="3507" w:firstLineChars="794"/>
        <w:rPr>
          <w:rFonts w:ascii="宋体"/>
          <w:b/>
          <w:bCs/>
          <w:color w:val="auto"/>
          <w:sz w:val="44"/>
          <w:highlight w:val="none"/>
        </w:rPr>
      </w:pPr>
    </w:p>
    <w:p w14:paraId="24FBA673">
      <w:pPr>
        <w:spacing w:line="360" w:lineRule="auto"/>
        <w:ind w:firstLine="3507" w:firstLineChars="794"/>
        <w:rPr>
          <w:rFonts w:ascii="宋体"/>
          <w:b/>
          <w:bCs/>
          <w:color w:val="auto"/>
          <w:sz w:val="44"/>
          <w:highlight w:val="none"/>
        </w:rPr>
      </w:pPr>
    </w:p>
    <w:p w14:paraId="308586FF">
      <w:pPr>
        <w:ind w:firstLine="1995" w:firstLineChars="552"/>
        <w:rPr>
          <w:rFonts w:ascii="宋体" w:hAnsi="宋体"/>
          <w:b/>
          <w:color w:val="auto"/>
          <w:sz w:val="36"/>
          <w:szCs w:val="36"/>
          <w:highlight w:val="none"/>
        </w:rPr>
      </w:pPr>
      <w:r>
        <w:rPr>
          <w:rFonts w:hint="eastAsia" w:ascii="宋体" w:hAnsi="宋体"/>
          <w:b/>
          <w:color w:val="auto"/>
          <w:sz w:val="36"/>
          <w:szCs w:val="36"/>
          <w:highlight w:val="none"/>
        </w:rPr>
        <w:t>项目编号：</w:t>
      </w:r>
      <w:r>
        <w:rPr>
          <w:rFonts w:hint="eastAsia" w:ascii="宋体" w:hAnsi="宋体"/>
          <w:b/>
          <w:color w:val="auto"/>
          <w:sz w:val="36"/>
          <w:szCs w:val="36"/>
          <w:highlight w:val="none"/>
          <w:u w:val="single"/>
        </w:rPr>
        <w:t xml:space="preserve">                     </w:t>
      </w:r>
    </w:p>
    <w:p w14:paraId="6EF4F075">
      <w:pPr>
        <w:ind w:firstLine="1995" w:firstLineChars="552"/>
        <w:rPr>
          <w:rFonts w:ascii="宋体" w:hAnsi="宋体"/>
          <w:b/>
          <w:color w:val="auto"/>
          <w:sz w:val="36"/>
          <w:szCs w:val="36"/>
          <w:highlight w:val="none"/>
        </w:rPr>
      </w:pPr>
      <w:r>
        <w:rPr>
          <w:rFonts w:hint="eastAsia" w:ascii="宋体" w:hAnsi="宋体"/>
          <w:b/>
          <w:color w:val="auto"/>
          <w:sz w:val="36"/>
          <w:szCs w:val="36"/>
          <w:highlight w:val="none"/>
        </w:rPr>
        <w:t>计划编号：</w:t>
      </w:r>
      <w:r>
        <w:rPr>
          <w:rFonts w:hint="eastAsia" w:ascii="宋体" w:hAnsi="宋体"/>
          <w:b/>
          <w:color w:val="auto"/>
          <w:sz w:val="36"/>
          <w:szCs w:val="36"/>
          <w:highlight w:val="none"/>
          <w:u w:val="single"/>
        </w:rPr>
        <w:t xml:space="preserve">                     </w:t>
      </w:r>
    </w:p>
    <w:p w14:paraId="286ADAF0">
      <w:pPr>
        <w:ind w:firstLine="1970" w:firstLineChars="545"/>
        <w:rPr>
          <w:rFonts w:ascii="宋体" w:hAnsi="宋体"/>
          <w:b/>
          <w:color w:val="auto"/>
          <w:sz w:val="36"/>
          <w:szCs w:val="36"/>
          <w:highlight w:val="none"/>
          <w:u w:val="single"/>
        </w:rPr>
      </w:pPr>
    </w:p>
    <w:p w14:paraId="120E8556">
      <w:pPr>
        <w:ind w:firstLine="1995" w:firstLineChars="552"/>
        <w:rPr>
          <w:rFonts w:ascii="宋体" w:hAnsi="宋体"/>
          <w:b/>
          <w:color w:val="auto"/>
          <w:sz w:val="36"/>
          <w:szCs w:val="36"/>
          <w:highlight w:val="none"/>
          <w:u w:val="single"/>
        </w:rPr>
      </w:pPr>
    </w:p>
    <w:p w14:paraId="3D3BF0DE">
      <w:pPr>
        <w:ind w:firstLine="1995" w:firstLineChars="552"/>
        <w:rPr>
          <w:rFonts w:ascii="宋体" w:hAnsi="宋体"/>
          <w:b/>
          <w:color w:val="auto"/>
          <w:sz w:val="36"/>
          <w:szCs w:val="36"/>
          <w:highlight w:val="none"/>
          <w:u w:val="single"/>
        </w:rPr>
      </w:pPr>
    </w:p>
    <w:p w14:paraId="78F8DD29">
      <w:pPr>
        <w:tabs>
          <w:tab w:val="left" w:pos="7200"/>
        </w:tabs>
        <w:spacing w:line="360" w:lineRule="auto"/>
        <w:ind w:firstLine="1995" w:firstLineChars="552"/>
        <w:rPr>
          <w:rFonts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p>
    <w:p w14:paraId="49A7FDF2">
      <w:pPr>
        <w:tabs>
          <w:tab w:val="left" w:pos="7380"/>
        </w:tabs>
        <w:spacing w:line="360" w:lineRule="auto"/>
        <w:ind w:firstLine="1995" w:firstLineChars="552"/>
        <w:rPr>
          <w:rFonts w:ascii="宋体"/>
          <w:b/>
          <w:bCs/>
          <w:color w:val="auto"/>
          <w:sz w:val="44"/>
          <w:highlight w:val="none"/>
        </w:rPr>
      </w:pPr>
      <w:r>
        <w:rPr>
          <w:rFonts w:hint="eastAsia" w:ascii="宋体" w:hAnsi="宋体"/>
          <w:b/>
          <w:color w:val="auto"/>
          <w:sz w:val="36"/>
          <w:szCs w:val="36"/>
          <w:highlight w:val="none"/>
          <w:lang w:val="en-US" w:eastAsia="zh-CN"/>
        </w:rPr>
        <w:t>成交</w:t>
      </w:r>
      <w:r>
        <w:rPr>
          <w:rFonts w:hint="eastAsia" w:ascii="宋体" w:hAnsi="宋体"/>
          <w:b/>
          <w:color w:val="auto"/>
          <w:sz w:val="36"/>
          <w:szCs w:val="36"/>
          <w:highlight w:val="none"/>
        </w:rPr>
        <w:t>供应商：</w:t>
      </w:r>
      <w:r>
        <w:rPr>
          <w:rFonts w:hint="eastAsia" w:ascii="宋体" w:hAnsi="宋体"/>
          <w:b/>
          <w:color w:val="auto"/>
          <w:sz w:val="36"/>
          <w:szCs w:val="36"/>
          <w:highlight w:val="none"/>
          <w:u w:val="single"/>
        </w:rPr>
        <w:t xml:space="preserve">                   </w:t>
      </w:r>
    </w:p>
    <w:p w14:paraId="0DF4645D">
      <w:pPr>
        <w:tabs>
          <w:tab w:val="left" w:pos="7380"/>
        </w:tabs>
        <w:spacing w:line="360" w:lineRule="auto"/>
        <w:rPr>
          <w:rFonts w:ascii="宋体"/>
          <w:b/>
          <w:bCs/>
          <w:color w:val="auto"/>
          <w:sz w:val="44"/>
          <w:highlight w:val="none"/>
        </w:rPr>
      </w:pPr>
    </w:p>
    <w:p w14:paraId="38847B27">
      <w:pPr>
        <w:spacing w:before="120" w:line="360" w:lineRule="auto"/>
        <w:ind w:firstLine="960" w:firstLineChars="400"/>
        <w:rPr>
          <w:rFonts w:ascii="仿宋_GB2312" w:hAnsi="楷体" w:eastAsia="仿宋_GB2312"/>
          <w:color w:val="auto"/>
          <w:sz w:val="24"/>
          <w:highlight w:val="none"/>
        </w:rPr>
      </w:pPr>
    </w:p>
    <w:p w14:paraId="6DB7980C">
      <w:pPr>
        <w:spacing w:before="120" w:line="360" w:lineRule="auto"/>
        <w:ind w:firstLine="960" w:firstLineChars="400"/>
        <w:rPr>
          <w:rFonts w:ascii="仿宋_GB2312" w:hAnsi="楷体" w:eastAsia="仿宋_GB2312"/>
          <w:color w:val="auto"/>
          <w:sz w:val="24"/>
          <w:highlight w:val="none"/>
        </w:rPr>
      </w:pPr>
    </w:p>
    <w:p w14:paraId="2CED9654">
      <w:pPr>
        <w:spacing w:before="120" w:line="360" w:lineRule="auto"/>
        <w:ind w:firstLine="2280" w:firstLineChars="95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签订日期：</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年</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月</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w:t>
      </w:r>
    </w:p>
    <w:p w14:paraId="173D3A89">
      <w:pPr>
        <w:snapToGrid w:val="0"/>
        <w:spacing w:line="360" w:lineRule="auto"/>
        <w:jc w:val="center"/>
        <w:rPr>
          <w:rFonts w:ascii="仿宋_GB2312" w:hAnsi="楷体" w:eastAsia="仿宋_GB2312"/>
          <w:b/>
          <w:color w:val="auto"/>
          <w:sz w:val="24"/>
          <w:highlight w:val="none"/>
        </w:rPr>
      </w:pPr>
      <w:r>
        <w:rPr>
          <w:rFonts w:hint="eastAsia" w:ascii="宋体"/>
          <w:b/>
          <w:bCs/>
          <w:color w:val="auto"/>
          <w:sz w:val="44"/>
          <w:highlight w:val="none"/>
        </w:rPr>
        <w:br w:type="page"/>
      </w:r>
      <w:r>
        <w:rPr>
          <w:rFonts w:hint="eastAsia" w:ascii="仿宋_GB2312" w:hAnsi="楷体" w:eastAsia="仿宋_GB2312"/>
          <w:b/>
          <w:color w:val="auto"/>
          <w:sz w:val="24"/>
          <w:highlight w:val="none"/>
        </w:rPr>
        <w:t>合同目录</w:t>
      </w:r>
    </w:p>
    <w:p w14:paraId="482F77B0">
      <w:pPr>
        <w:snapToGrid w:val="0"/>
        <w:spacing w:line="360" w:lineRule="auto"/>
        <w:jc w:val="center"/>
        <w:rPr>
          <w:rFonts w:ascii="宋体"/>
          <w:b/>
          <w:bCs/>
          <w:color w:val="auto"/>
          <w:sz w:val="44"/>
          <w:highlight w:val="none"/>
        </w:rPr>
      </w:pPr>
    </w:p>
    <w:p w14:paraId="2AB3E147">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第一部分 合同书</w:t>
      </w:r>
      <w:r>
        <w:rPr>
          <w:rFonts w:hint="eastAsia" w:ascii="仿宋_GB2312" w:hAnsi="仿宋" w:eastAsia="仿宋_GB2312" w:cs="仿宋_GB2312"/>
          <w:color w:val="auto"/>
          <w:kern w:val="0"/>
          <w:sz w:val="24"/>
          <w:highlight w:val="none"/>
        </w:rPr>
        <w:t>……………………………………………………………（页码）</w:t>
      </w:r>
    </w:p>
    <w:p w14:paraId="1B05BAE1">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二、第二部分 合同一般条款……………………………………………………（页码）</w:t>
      </w:r>
    </w:p>
    <w:p w14:paraId="772C11E7">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三、第三部分 合同专用条款……………………………………………………（页码）</w:t>
      </w:r>
    </w:p>
    <w:p w14:paraId="22ED8919">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四、</w:t>
      </w:r>
      <w:r>
        <w:rPr>
          <w:rFonts w:hint="eastAsia" w:ascii="仿宋_GB2312" w:hAnsi="仿宋" w:eastAsia="仿宋_GB2312"/>
          <w:color w:val="auto"/>
          <w:sz w:val="24"/>
          <w:highlight w:val="none"/>
        </w:rPr>
        <w:t>第四部分 合同附件</w:t>
      </w:r>
      <w:r>
        <w:rPr>
          <w:rFonts w:hint="eastAsia" w:ascii="仿宋_GB2312" w:hAnsi="仿宋" w:eastAsia="仿宋_GB2312" w:cs="仿宋_GB2312"/>
          <w:color w:val="auto"/>
          <w:kern w:val="0"/>
          <w:sz w:val="24"/>
          <w:highlight w:val="none"/>
        </w:rPr>
        <w:t>…………………………………………………………（页码）</w:t>
      </w:r>
    </w:p>
    <w:p w14:paraId="5CB07D4C">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4.1中标通知书 …………………………………………………………………（页码）</w:t>
      </w:r>
    </w:p>
    <w:p w14:paraId="311F1915">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4.2招标文件货物需求一览表 …………………………………………………（页码）</w:t>
      </w:r>
    </w:p>
    <w:p w14:paraId="0705DFCE">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4.3招标文件的更改通知（如有） ……………………………………………（页码）</w:t>
      </w:r>
    </w:p>
    <w:p w14:paraId="3DB38E0B">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4.4</w:t>
      </w:r>
      <w:r>
        <w:rPr>
          <w:rFonts w:hint="eastAsia" w:ascii="仿宋_GB2312" w:hAnsi="仿宋" w:eastAsia="仿宋_GB2312" w:cs="仿宋_GB2312"/>
          <w:color w:val="auto"/>
          <w:kern w:val="0"/>
          <w:sz w:val="24"/>
          <w:highlight w:val="none"/>
          <w:lang w:val="en-US" w:eastAsia="zh-CN"/>
        </w:rPr>
        <w:t>响应</w:t>
      </w:r>
      <w:r>
        <w:rPr>
          <w:rFonts w:hint="eastAsia" w:ascii="仿宋_GB2312" w:hAnsi="仿宋" w:eastAsia="仿宋_GB2312" w:cs="仿宋_GB2312"/>
          <w:color w:val="auto"/>
          <w:kern w:val="0"/>
          <w:sz w:val="24"/>
          <w:highlight w:val="none"/>
        </w:rPr>
        <w:t>函 ………………………………………………………………………（页码）</w:t>
      </w:r>
    </w:p>
    <w:p w14:paraId="7F80753D">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4.5报价表 ………………………………………………………………………（页码）</w:t>
      </w:r>
    </w:p>
    <w:p w14:paraId="76A1F241">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4.6</w:t>
      </w:r>
      <w:r>
        <w:rPr>
          <w:rFonts w:hint="eastAsia" w:ascii="仿宋_GB2312" w:hAnsi="仿宋" w:eastAsia="仿宋_GB2312" w:cs="仿宋_GB2312"/>
          <w:color w:val="auto"/>
          <w:kern w:val="0"/>
          <w:sz w:val="24"/>
          <w:highlight w:val="none"/>
          <w:lang w:val="en-US" w:eastAsia="zh-CN"/>
        </w:rPr>
        <w:t>竞标</w:t>
      </w:r>
      <w:r>
        <w:rPr>
          <w:rFonts w:hint="eastAsia" w:ascii="仿宋_GB2312" w:hAnsi="仿宋" w:eastAsia="仿宋_GB2312" w:cs="仿宋_GB2312"/>
          <w:color w:val="auto"/>
          <w:kern w:val="0"/>
          <w:sz w:val="24"/>
          <w:highlight w:val="none"/>
        </w:rPr>
        <w:t>货物技术资料表 ………………………………………………………（页码）</w:t>
      </w:r>
    </w:p>
    <w:p w14:paraId="612FD1E7">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4.7商务条款偏离表 ……………………………………………………………（页码）</w:t>
      </w:r>
    </w:p>
    <w:p w14:paraId="6414F1A7">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4.8中标供应商澄清函（如有请提供） ………………………………………（页码）</w:t>
      </w:r>
    </w:p>
    <w:p w14:paraId="7D53D042">
      <w:pPr>
        <w:snapToGrid w:val="0"/>
        <w:spacing w:line="360" w:lineRule="auto"/>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4.9其他与本合同相关的资料（如有请提供） ………………………………（页码）</w:t>
      </w:r>
    </w:p>
    <w:p w14:paraId="7CF9FEE9">
      <w:pPr>
        <w:snapToGrid w:val="0"/>
        <w:spacing w:line="360" w:lineRule="auto"/>
        <w:rPr>
          <w:rFonts w:ascii="仿宋_GB2312" w:hAnsi="仿宋" w:eastAsia="仿宋_GB2312" w:cs="仿宋_GB2312"/>
          <w:color w:val="auto"/>
          <w:kern w:val="0"/>
          <w:sz w:val="24"/>
          <w:highlight w:val="none"/>
        </w:rPr>
      </w:pPr>
    </w:p>
    <w:p w14:paraId="02EF2389">
      <w:pPr>
        <w:pStyle w:val="15"/>
        <w:rPr>
          <w:color w:val="auto"/>
          <w:highlight w:val="none"/>
        </w:rPr>
        <w:sectPr>
          <w:pgSz w:w="11906" w:h="16838"/>
          <w:pgMar w:top="1134" w:right="1134" w:bottom="1134" w:left="1134" w:header="720" w:footer="720" w:gutter="0"/>
          <w:cols w:space="720" w:num="1"/>
          <w:docGrid w:type="lines" w:linePitch="331" w:charSpace="0"/>
        </w:sectPr>
      </w:pPr>
    </w:p>
    <w:p w14:paraId="510B44B8">
      <w:pPr>
        <w:pStyle w:val="90"/>
        <w:spacing w:after="0"/>
        <w:ind w:firstLine="562"/>
        <w:jc w:val="center"/>
        <w:rPr>
          <w:rFonts w:ascii="仿宋_GB2312" w:hAnsi="楷体" w:eastAsia="仿宋_GB2312"/>
          <w:b/>
          <w:color w:val="auto"/>
          <w:sz w:val="28"/>
          <w:szCs w:val="28"/>
          <w:highlight w:val="none"/>
        </w:rPr>
      </w:pPr>
      <w:r>
        <w:rPr>
          <w:rFonts w:hint="eastAsia" w:ascii="仿宋_GB2312" w:hAnsi="楷体" w:eastAsia="仿宋_GB2312"/>
          <w:b/>
          <w:color w:val="auto"/>
          <w:sz w:val="28"/>
          <w:szCs w:val="28"/>
          <w:highlight w:val="none"/>
        </w:rPr>
        <w:t>第一部分 合同书</w:t>
      </w:r>
    </w:p>
    <w:p w14:paraId="0D5506D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年</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月</w:t>
      </w:r>
      <w:r>
        <w:rPr>
          <w:rFonts w:hint="eastAsia" w:ascii="仿宋_GB2312" w:hAnsi="楷体" w:eastAsia="仿宋_GB2312"/>
          <w:color w:val="auto"/>
          <w:sz w:val="24"/>
          <w:highlight w:val="none"/>
          <w:u w:val="single"/>
          <w:lang w:val="zh-CN"/>
        </w:rPr>
        <w:t xml:space="preserve">    </w:t>
      </w:r>
      <w:r>
        <w:rPr>
          <w:rFonts w:hint="eastAsia" w:ascii="仿宋_GB2312" w:hAnsi="楷体" w:eastAsia="仿宋_GB2312"/>
          <w:color w:val="auto"/>
          <w:sz w:val="24"/>
          <w:highlight w:val="none"/>
          <w:lang w:val="zh-CN"/>
        </w:rPr>
        <w:t>日</w:t>
      </w:r>
      <w:r>
        <w:rPr>
          <w:rFonts w:hint="eastAsia" w:ascii="仿宋_GB2312" w:hAnsi="楷体" w:eastAsia="仿宋_GB2312"/>
          <w:color w:val="auto"/>
          <w:sz w:val="24"/>
          <w:highlight w:val="none"/>
        </w:rPr>
        <w:t>，</w:t>
      </w:r>
      <w:r>
        <w:rPr>
          <w:rFonts w:hint="eastAsia" w:ascii="仿宋_GB2312" w:hAnsi="仿宋" w:eastAsia="仿宋_GB2312"/>
          <w:color w:val="auto"/>
          <w:sz w:val="24"/>
          <w:highlight w:val="none"/>
          <w:u w:val="single"/>
        </w:rPr>
        <w:t xml:space="preserve">  （采购人名称）  </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以</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u w:val="single"/>
          <w:lang w:val="en-US" w:eastAsia="zh-CN"/>
        </w:rPr>
        <w:t>竞争性谈判</w:t>
      </w:r>
      <w:r>
        <w:rPr>
          <w:rFonts w:hint="eastAsia" w:ascii="仿宋_GB2312" w:hAnsi="仿宋" w:eastAsia="仿宋_GB2312"/>
          <w:color w:val="auto"/>
          <w:sz w:val="24"/>
          <w:highlight w:val="none"/>
          <w:u w:val="single"/>
        </w:rPr>
        <w:t xml:space="preserve">方式  </w:t>
      </w:r>
      <w:r>
        <w:rPr>
          <w:rFonts w:hint="eastAsia" w:ascii="仿宋_GB2312" w:hAnsi="仿宋" w:eastAsia="仿宋_GB2312"/>
          <w:color w:val="auto"/>
          <w:sz w:val="24"/>
          <w:highlight w:val="none"/>
        </w:rPr>
        <w:t>对</w:t>
      </w:r>
      <w:r>
        <w:rPr>
          <w:rFonts w:hint="eastAsia" w:ascii="仿宋_GB2312" w:hAnsi="仿宋" w:eastAsia="仿宋_GB2312"/>
          <w:color w:val="auto"/>
          <w:sz w:val="24"/>
          <w:highlight w:val="none"/>
          <w:u w:val="single"/>
        </w:rPr>
        <w:t xml:space="preserve">        </w:t>
      </w:r>
      <w:r>
        <w:rPr>
          <w:rFonts w:hint="eastAsia" w:ascii="仿宋_GB2312" w:hAnsi="楷体" w:eastAsia="仿宋_GB2312"/>
          <w:color w:val="auto"/>
          <w:sz w:val="24"/>
          <w:highlight w:val="none"/>
        </w:rPr>
        <w:t>项目进行了采购。经</w:t>
      </w:r>
      <w:r>
        <w:rPr>
          <w:rFonts w:hint="eastAsia" w:ascii="仿宋_GB2312" w:hAnsi="楷体" w:eastAsia="仿宋_GB2312"/>
          <w:color w:val="auto"/>
          <w:sz w:val="24"/>
          <w:highlight w:val="none"/>
          <w:u w:val="single"/>
        </w:rPr>
        <w:t xml:space="preserve">   （相关评定主体名称）   </w:t>
      </w:r>
      <w:r>
        <w:rPr>
          <w:rFonts w:hint="eastAsia" w:ascii="仿宋_GB2312" w:hAnsi="楷体" w:eastAsia="仿宋_GB2312"/>
          <w:color w:val="auto"/>
          <w:sz w:val="24"/>
          <w:highlight w:val="none"/>
        </w:rPr>
        <w:t>评定，</w:t>
      </w:r>
      <w:r>
        <w:rPr>
          <w:rFonts w:hint="eastAsia" w:ascii="仿宋_GB2312" w:hAnsi="楷体" w:eastAsia="仿宋_GB2312"/>
          <w:color w:val="auto"/>
          <w:sz w:val="24"/>
          <w:highlight w:val="none"/>
          <w:u w:val="single"/>
        </w:rPr>
        <w:t xml:space="preserve">   （中标人名称）</w:t>
      </w:r>
      <w:r>
        <w:rPr>
          <w:rFonts w:hint="eastAsia" w:ascii="仿宋_GB2312" w:hAnsi="楷体" w:eastAsia="仿宋_GB2312"/>
          <w:color w:val="auto"/>
          <w:sz w:val="24"/>
          <w:highlight w:val="none"/>
        </w:rPr>
        <w:t>为该项目中标人。现于中标通知书发出之日起2</w:t>
      </w:r>
      <w:r>
        <w:rPr>
          <w:rFonts w:hint="eastAsia" w:ascii="仿宋_GB2312" w:hAnsi="楷体" w:eastAsia="仿宋_GB2312"/>
          <w:color w:val="auto"/>
          <w:sz w:val="24"/>
          <w:highlight w:val="none"/>
          <w:lang w:val="en-US" w:eastAsia="zh-CN"/>
        </w:rPr>
        <w:t>5</w:t>
      </w:r>
      <w:r>
        <w:rPr>
          <w:rFonts w:hint="eastAsia" w:ascii="仿宋_GB2312" w:hAnsi="楷体" w:eastAsia="仿宋_GB2312"/>
          <w:color w:val="auto"/>
          <w:sz w:val="24"/>
          <w:highlight w:val="none"/>
        </w:rPr>
        <w:t>日内，按照采购文件确定的事项签订本合同。</w:t>
      </w:r>
    </w:p>
    <w:p w14:paraId="01B8415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根据《中华人民共和国民法典》、《中华人民共和国政府采购法》等相关法律法规之规定，按照平等、自愿、公平和诚实信用的原则，经</w:t>
      </w:r>
      <w:r>
        <w:rPr>
          <w:rFonts w:hint="eastAsia" w:ascii="仿宋_GB2312" w:hAnsi="楷体" w:eastAsia="仿宋_GB2312"/>
          <w:color w:val="auto"/>
          <w:sz w:val="24"/>
          <w:highlight w:val="none"/>
          <w:u w:val="single"/>
        </w:rPr>
        <w:t xml:space="preserve">   （采购人名称）   </w:t>
      </w:r>
      <w:r>
        <w:rPr>
          <w:rFonts w:hint="eastAsia" w:ascii="仿宋_GB2312" w:hAnsi="楷体" w:eastAsia="仿宋_GB2312"/>
          <w:color w:val="auto"/>
          <w:sz w:val="24"/>
          <w:highlight w:val="none"/>
          <w:lang w:val="zh-CN"/>
        </w:rPr>
        <w:t>(以下简称：甲方)和</w:t>
      </w:r>
      <w:r>
        <w:rPr>
          <w:rFonts w:hint="eastAsia" w:ascii="仿宋_GB2312" w:hAnsi="楷体" w:eastAsia="仿宋_GB2312"/>
          <w:color w:val="auto"/>
          <w:sz w:val="24"/>
          <w:highlight w:val="none"/>
          <w:u w:val="single"/>
        </w:rPr>
        <w:t xml:space="preserve">   （中标人名称）   </w:t>
      </w:r>
      <w:r>
        <w:rPr>
          <w:rFonts w:hint="eastAsia" w:ascii="仿宋_GB2312" w:hAnsi="楷体" w:eastAsia="仿宋_GB2312"/>
          <w:color w:val="auto"/>
          <w:sz w:val="24"/>
          <w:highlight w:val="none"/>
          <w:lang w:val="zh-CN"/>
        </w:rPr>
        <w:t>(以下简称：乙方)协商一致，约定以下合同</w:t>
      </w:r>
      <w:r>
        <w:rPr>
          <w:rFonts w:hint="eastAsia" w:ascii="仿宋_GB2312" w:hAnsi="楷体" w:eastAsia="仿宋_GB2312"/>
          <w:color w:val="auto"/>
          <w:sz w:val="24"/>
          <w:highlight w:val="none"/>
        </w:rPr>
        <w:t>条款，以兹共同遵守、全面履行。</w:t>
      </w:r>
    </w:p>
    <w:p w14:paraId="421544F7">
      <w:pPr>
        <w:spacing w:line="360" w:lineRule="auto"/>
        <w:ind w:firstLine="482" w:firstLineChars="200"/>
        <w:rPr>
          <w:rFonts w:ascii="仿宋_GB2312" w:hAnsi="楷体" w:eastAsia="仿宋_GB2312"/>
          <w:b/>
          <w:color w:val="auto"/>
          <w:sz w:val="24"/>
          <w:highlight w:val="none"/>
        </w:rPr>
      </w:pPr>
      <w:bookmarkStart w:id="167" w:name="_Toc3029"/>
      <w:bookmarkStart w:id="168" w:name="_Toc2232"/>
      <w:bookmarkStart w:id="169" w:name="_Toc24059"/>
      <w:r>
        <w:rPr>
          <w:rFonts w:hint="eastAsia" w:ascii="仿宋_GB2312" w:hAnsi="楷体" w:eastAsia="仿宋_GB2312"/>
          <w:b/>
          <w:color w:val="auto"/>
          <w:sz w:val="24"/>
          <w:highlight w:val="none"/>
        </w:rPr>
        <w:t>1.1 合同组成部分</w:t>
      </w:r>
      <w:bookmarkEnd w:id="167"/>
      <w:bookmarkEnd w:id="168"/>
      <w:bookmarkEnd w:id="169"/>
    </w:p>
    <w:p w14:paraId="2275D86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627BAB9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1.1.1 本合同及其补充合同、变更协议；</w:t>
      </w:r>
    </w:p>
    <w:p w14:paraId="0CAAD1F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1.1.2 中标</w:t>
      </w:r>
      <w:r>
        <w:rPr>
          <w:rFonts w:hint="eastAsia" w:ascii="仿宋_GB2312" w:hAnsi="楷体" w:eastAsia="仿宋_GB2312"/>
          <w:color w:val="auto"/>
          <w:sz w:val="24"/>
          <w:highlight w:val="none"/>
          <w:lang w:val="en-US" w:eastAsia="zh-CN"/>
        </w:rPr>
        <w:t>/成交</w:t>
      </w:r>
      <w:r>
        <w:rPr>
          <w:rFonts w:hint="eastAsia" w:ascii="仿宋_GB2312" w:hAnsi="楷体" w:eastAsia="仿宋_GB2312"/>
          <w:color w:val="auto"/>
          <w:sz w:val="24"/>
          <w:highlight w:val="none"/>
        </w:rPr>
        <w:t>通知书；</w:t>
      </w:r>
    </w:p>
    <w:p w14:paraId="0403026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1.1.3 </w:t>
      </w:r>
      <w:r>
        <w:rPr>
          <w:rFonts w:hint="eastAsia" w:ascii="仿宋_GB2312" w:hAnsi="楷体" w:eastAsia="仿宋_GB2312"/>
          <w:color w:val="auto"/>
          <w:sz w:val="24"/>
          <w:highlight w:val="none"/>
          <w:lang w:val="en-US" w:eastAsia="zh-CN"/>
        </w:rPr>
        <w:t>响应</w:t>
      </w:r>
      <w:r>
        <w:rPr>
          <w:rFonts w:hint="eastAsia" w:ascii="仿宋_GB2312" w:hAnsi="楷体" w:eastAsia="仿宋_GB2312"/>
          <w:color w:val="auto"/>
          <w:sz w:val="24"/>
          <w:highlight w:val="none"/>
        </w:rPr>
        <w:t>文件及“</w:t>
      </w:r>
      <w:r>
        <w:rPr>
          <w:rFonts w:hint="eastAsia" w:ascii="仿宋_GB2312" w:hAnsi="楷体" w:eastAsia="仿宋_GB2312"/>
          <w:color w:val="auto"/>
          <w:sz w:val="24"/>
          <w:highlight w:val="none"/>
          <w:lang w:val="en-US" w:eastAsia="zh-CN"/>
        </w:rPr>
        <w:t>竞</w:t>
      </w:r>
      <w:r>
        <w:rPr>
          <w:rFonts w:hint="eastAsia" w:ascii="仿宋_GB2312" w:hAnsi="楷体" w:eastAsia="仿宋_GB2312"/>
          <w:color w:val="auto"/>
          <w:sz w:val="24"/>
          <w:highlight w:val="none"/>
        </w:rPr>
        <w:t>标报价”（含澄清或者说明文件）；</w:t>
      </w:r>
    </w:p>
    <w:p w14:paraId="2CBC2A8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1.1.4 </w:t>
      </w:r>
      <w:r>
        <w:rPr>
          <w:rFonts w:hint="eastAsia" w:ascii="仿宋_GB2312" w:hAnsi="楷体" w:eastAsia="仿宋_GB2312"/>
          <w:color w:val="auto"/>
          <w:sz w:val="24"/>
          <w:highlight w:val="none"/>
          <w:lang w:val="en-US" w:eastAsia="zh-CN"/>
        </w:rPr>
        <w:t>采购</w:t>
      </w:r>
      <w:r>
        <w:rPr>
          <w:rFonts w:hint="eastAsia" w:ascii="仿宋_GB2312" w:hAnsi="楷体" w:eastAsia="仿宋_GB2312"/>
          <w:color w:val="auto"/>
          <w:sz w:val="24"/>
          <w:highlight w:val="none"/>
        </w:rPr>
        <w:t>文件（含澄清或者修改文件）；</w:t>
      </w:r>
    </w:p>
    <w:p w14:paraId="019B0FB6">
      <w:pPr>
        <w:spacing w:line="360" w:lineRule="auto"/>
        <w:ind w:firstLine="480" w:firstLineChars="200"/>
        <w:rPr>
          <w:rFonts w:hint="eastAsia" w:ascii="仿宋_GB2312" w:hAnsi="楷体" w:eastAsia="仿宋_GB2312"/>
          <w:color w:val="auto"/>
          <w:sz w:val="24"/>
          <w:highlight w:val="none"/>
        </w:rPr>
      </w:pPr>
      <w:r>
        <w:rPr>
          <w:rFonts w:hint="eastAsia" w:ascii="仿宋_GB2312" w:hAnsi="楷体" w:eastAsia="仿宋_GB2312"/>
          <w:color w:val="auto"/>
          <w:sz w:val="24"/>
          <w:highlight w:val="none"/>
        </w:rPr>
        <w:t>1.1.5 其他相关采购文件。</w:t>
      </w:r>
    </w:p>
    <w:p w14:paraId="4AD35544">
      <w:pPr>
        <w:spacing w:line="360" w:lineRule="auto"/>
        <w:ind w:firstLine="482" w:firstLineChars="200"/>
        <w:rPr>
          <w:rFonts w:ascii="仿宋_GB2312" w:hAnsi="楷体" w:eastAsia="仿宋_GB2312"/>
          <w:b/>
          <w:color w:val="auto"/>
          <w:sz w:val="24"/>
          <w:highlight w:val="none"/>
        </w:rPr>
      </w:pPr>
      <w:bookmarkStart w:id="170" w:name="_Toc27126"/>
      <w:bookmarkStart w:id="171" w:name="_Toc21295"/>
      <w:bookmarkStart w:id="172" w:name="_Toc24300"/>
      <w:r>
        <w:rPr>
          <w:rFonts w:hint="eastAsia" w:ascii="仿宋_GB2312" w:hAnsi="楷体" w:eastAsia="仿宋_GB2312"/>
          <w:b/>
          <w:color w:val="auto"/>
          <w:sz w:val="24"/>
          <w:highlight w:val="none"/>
        </w:rPr>
        <w:t>1.2 标的物</w:t>
      </w:r>
      <w:bookmarkEnd w:id="170"/>
      <w:bookmarkEnd w:id="171"/>
      <w:bookmarkEnd w:id="172"/>
    </w:p>
    <w:p w14:paraId="738943C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1.2.1 标的物信息</w:t>
      </w:r>
    </w:p>
    <w:p w14:paraId="282B3787">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1.2.1.1名称：</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508D3C50">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1.2.1.2数量：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4EC87BA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1.2.1.3质量：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1E60F74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w:t>
      </w:r>
    </w:p>
    <w:p w14:paraId="3B4B4849">
      <w:pPr>
        <w:spacing w:line="360" w:lineRule="auto"/>
        <w:ind w:firstLine="482" w:firstLineChars="200"/>
        <w:rPr>
          <w:rFonts w:ascii="仿宋_GB2312" w:hAnsi="楷体" w:eastAsia="仿宋_GB2312"/>
          <w:b/>
          <w:color w:val="auto"/>
          <w:sz w:val="24"/>
          <w:highlight w:val="none"/>
        </w:rPr>
      </w:pPr>
      <w:bookmarkStart w:id="173" w:name="_Toc21631"/>
      <w:bookmarkStart w:id="174" w:name="_Toc23292"/>
      <w:bookmarkStart w:id="175" w:name="_Toc21551"/>
      <w:r>
        <w:rPr>
          <w:rFonts w:hint="eastAsia" w:ascii="仿宋_GB2312" w:hAnsi="楷体" w:eastAsia="仿宋_GB2312"/>
          <w:b/>
          <w:color w:val="auto"/>
          <w:sz w:val="24"/>
          <w:highlight w:val="none"/>
        </w:rPr>
        <w:t>1.3 价款</w:t>
      </w:r>
      <w:bookmarkEnd w:id="173"/>
      <w:bookmarkEnd w:id="174"/>
      <w:bookmarkEnd w:id="175"/>
    </w:p>
    <w:p w14:paraId="79B1AB3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本合同总价为：人民币</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元（大写：</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元人民币，含税）。</w:t>
      </w:r>
    </w:p>
    <w:p w14:paraId="2E87CF30">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分项价格</w:t>
      </w:r>
      <w:r>
        <w:rPr>
          <w:rFonts w:hint="eastAsia" w:ascii="仿宋_GB2312" w:hAnsi="楷体" w:eastAsia="仿宋_GB2312"/>
          <w:color w:val="auto"/>
          <w:sz w:val="24"/>
          <w:highlight w:val="none"/>
          <w:lang w:eastAsia="zh-CN"/>
        </w:rPr>
        <w:t>（</w:t>
      </w:r>
      <w:r>
        <w:rPr>
          <w:rFonts w:hint="eastAsia" w:ascii="仿宋_GB2312" w:hAnsi="楷体" w:eastAsia="仿宋_GB2312"/>
          <w:color w:val="auto"/>
          <w:sz w:val="24"/>
          <w:highlight w:val="none"/>
          <w:lang w:val="en-US" w:eastAsia="zh-CN"/>
        </w:rPr>
        <w:t>如有</w:t>
      </w:r>
      <w:r>
        <w:rPr>
          <w:rFonts w:hint="eastAsia" w:ascii="仿宋_GB2312" w:hAnsi="楷体" w:eastAsia="仿宋_GB2312"/>
          <w:color w:val="auto"/>
          <w:sz w:val="24"/>
          <w:highlight w:val="none"/>
          <w:lang w:eastAsia="zh-CN"/>
        </w:rPr>
        <w:t>）</w:t>
      </w:r>
      <w:r>
        <w:rPr>
          <w:rFonts w:hint="eastAsia" w:ascii="仿宋_GB2312" w:hAnsi="楷体" w:eastAsia="仿宋_GB2312"/>
          <w:color w:val="auto"/>
          <w:sz w:val="24"/>
          <w:highlight w:val="none"/>
        </w:rPr>
        <w:t>：</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22FFC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605B0E8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序号</w:t>
            </w:r>
          </w:p>
        </w:tc>
        <w:tc>
          <w:tcPr>
            <w:tcW w:w="3402" w:type="dxa"/>
            <w:noWrap w:val="0"/>
            <w:vAlign w:val="center"/>
          </w:tcPr>
          <w:p w14:paraId="50D23CE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分项名称</w:t>
            </w:r>
          </w:p>
        </w:tc>
        <w:tc>
          <w:tcPr>
            <w:tcW w:w="2552" w:type="dxa"/>
            <w:noWrap w:val="0"/>
            <w:vAlign w:val="center"/>
          </w:tcPr>
          <w:p w14:paraId="2EF9EEC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分项价格</w:t>
            </w:r>
          </w:p>
        </w:tc>
      </w:tr>
      <w:tr w14:paraId="3F8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1EE09A59">
            <w:pPr>
              <w:spacing w:line="360" w:lineRule="auto"/>
              <w:ind w:firstLine="480" w:firstLineChars="200"/>
              <w:rPr>
                <w:rFonts w:ascii="仿宋_GB2312" w:hAnsi="楷体" w:eastAsia="仿宋_GB2312"/>
                <w:color w:val="auto"/>
                <w:sz w:val="24"/>
                <w:highlight w:val="none"/>
              </w:rPr>
            </w:pPr>
          </w:p>
        </w:tc>
        <w:tc>
          <w:tcPr>
            <w:tcW w:w="3402" w:type="dxa"/>
            <w:noWrap w:val="0"/>
            <w:vAlign w:val="center"/>
          </w:tcPr>
          <w:p w14:paraId="6154DE25">
            <w:pPr>
              <w:spacing w:line="360" w:lineRule="auto"/>
              <w:ind w:firstLine="480" w:firstLineChars="200"/>
              <w:rPr>
                <w:rFonts w:ascii="仿宋_GB2312" w:hAnsi="楷体" w:eastAsia="仿宋_GB2312"/>
                <w:color w:val="auto"/>
                <w:sz w:val="24"/>
                <w:highlight w:val="none"/>
              </w:rPr>
            </w:pPr>
          </w:p>
        </w:tc>
        <w:tc>
          <w:tcPr>
            <w:tcW w:w="2552" w:type="dxa"/>
            <w:noWrap w:val="0"/>
            <w:vAlign w:val="center"/>
          </w:tcPr>
          <w:p w14:paraId="793D642F">
            <w:pPr>
              <w:spacing w:line="360" w:lineRule="auto"/>
              <w:ind w:firstLine="480" w:firstLineChars="200"/>
              <w:rPr>
                <w:rFonts w:ascii="仿宋_GB2312" w:hAnsi="楷体" w:eastAsia="仿宋_GB2312"/>
                <w:color w:val="auto"/>
                <w:sz w:val="24"/>
                <w:highlight w:val="none"/>
              </w:rPr>
            </w:pPr>
          </w:p>
        </w:tc>
      </w:tr>
      <w:tr w14:paraId="6FA4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556C7576">
            <w:pPr>
              <w:spacing w:line="360" w:lineRule="auto"/>
              <w:ind w:firstLine="480" w:firstLineChars="200"/>
              <w:rPr>
                <w:rFonts w:ascii="仿宋_GB2312" w:hAnsi="楷体" w:eastAsia="仿宋_GB2312"/>
                <w:color w:val="auto"/>
                <w:sz w:val="24"/>
                <w:highlight w:val="none"/>
              </w:rPr>
            </w:pPr>
          </w:p>
        </w:tc>
        <w:tc>
          <w:tcPr>
            <w:tcW w:w="3402" w:type="dxa"/>
            <w:noWrap w:val="0"/>
            <w:vAlign w:val="center"/>
          </w:tcPr>
          <w:p w14:paraId="562F9AAB">
            <w:pPr>
              <w:spacing w:line="360" w:lineRule="auto"/>
              <w:ind w:firstLine="480" w:firstLineChars="200"/>
              <w:rPr>
                <w:rFonts w:ascii="仿宋_GB2312" w:hAnsi="楷体" w:eastAsia="仿宋_GB2312"/>
                <w:color w:val="auto"/>
                <w:sz w:val="24"/>
                <w:highlight w:val="none"/>
              </w:rPr>
            </w:pPr>
          </w:p>
        </w:tc>
        <w:tc>
          <w:tcPr>
            <w:tcW w:w="2552" w:type="dxa"/>
            <w:noWrap w:val="0"/>
            <w:vAlign w:val="center"/>
          </w:tcPr>
          <w:p w14:paraId="6E6AACCE">
            <w:pPr>
              <w:spacing w:line="360" w:lineRule="auto"/>
              <w:ind w:firstLine="480" w:firstLineChars="200"/>
              <w:rPr>
                <w:rFonts w:ascii="仿宋_GB2312" w:hAnsi="楷体" w:eastAsia="仿宋_GB2312"/>
                <w:color w:val="auto"/>
                <w:sz w:val="24"/>
                <w:highlight w:val="none"/>
              </w:rPr>
            </w:pPr>
          </w:p>
        </w:tc>
      </w:tr>
      <w:tr w14:paraId="5F6C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noWrap w:val="0"/>
            <w:vAlign w:val="center"/>
          </w:tcPr>
          <w:p w14:paraId="2CE6B1FE">
            <w:pPr>
              <w:spacing w:line="360" w:lineRule="auto"/>
              <w:ind w:firstLine="480" w:firstLineChars="200"/>
              <w:rPr>
                <w:rFonts w:ascii="仿宋_GB2312" w:hAnsi="楷体" w:eastAsia="仿宋_GB2312"/>
                <w:color w:val="auto"/>
                <w:sz w:val="24"/>
                <w:highlight w:val="none"/>
              </w:rPr>
            </w:pPr>
          </w:p>
        </w:tc>
        <w:tc>
          <w:tcPr>
            <w:tcW w:w="3402" w:type="dxa"/>
            <w:noWrap w:val="0"/>
            <w:vAlign w:val="center"/>
          </w:tcPr>
          <w:p w14:paraId="6D697FAE">
            <w:pPr>
              <w:spacing w:line="360" w:lineRule="auto"/>
              <w:ind w:firstLine="480" w:firstLineChars="200"/>
              <w:rPr>
                <w:rFonts w:ascii="仿宋_GB2312" w:hAnsi="楷体" w:eastAsia="仿宋_GB2312"/>
                <w:color w:val="auto"/>
                <w:sz w:val="24"/>
                <w:highlight w:val="none"/>
              </w:rPr>
            </w:pPr>
          </w:p>
        </w:tc>
        <w:tc>
          <w:tcPr>
            <w:tcW w:w="2552" w:type="dxa"/>
            <w:noWrap w:val="0"/>
            <w:vAlign w:val="center"/>
          </w:tcPr>
          <w:p w14:paraId="7DA28740">
            <w:pPr>
              <w:spacing w:line="360" w:lineRule="auto"/>
              <w:ind w:firstLine="480" w:firstLineChars="200"/>
              <w:rPr>
                <w:rFonts w:ascii="仿宋_GB2312" w:hAnsi="楷体" w:eastAsia="仿宋_GB2312"/>
                <w:color w:val="auto"/>
                <w:sz w:val="24"/>
                <w:highlight w:val="none"/>
              </w:rPr>
            </w:pPr>
          </w:p>
        </w:tc>
      </w:tr>
      <w:tr w14:paraId="6ECE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noWrap w:val="0"/>
            <w:vAlign w:val="center"/>
          </w:tcPr>
          <w:p w14:paraId="50F4661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总价</w:t>
            </w:r>
          </w:p>
        </w:tc>
        <w:tc>
          <w:tcPr>
            <w:tcW w:w="2552" w:type="dxa"/>
            <w:noWrap w:val="0"/>
            <w:vAlign w:val="center"/>
          </w:tcPr>
          <w:p w14:paraId="1101707B">
            <w:pPr>
              <w:spacing w:line="360" w:lineRule="auto"/>
              <w:ind w:firstLine="480" w:firstLineChars="200"/>
              <w:rPr>
                <w:rFonts w:ascii="仿宋_GB2312" w:hAnsi="楷体" w:eastAsia="仿宋_GB2312"/>
                <w:color w:val="auto"/>
                <w:sz w:val="24"/>
                <w:highlight w:val="none"/>
              </w:rPr>
            </w:pPr>
          </w:p>
        </w:tc>
      </w:tr>
    </w:tbl>
    <w:p w14:paraId="1142B17C">
      <w:pPr>
        <w:spacing w:line="360" w:lineRule="auto"/>
        <w:ind w:firstLine="482" w:firstLineChars="200"/>
        <w:rPr>
          <w:rFonts w:ascii="仿宋_GB2312" w:hAnsi="楷体" w:eastAsia="仿宋_GB2312"/>
          <w:b/>
          <w:color w:val="auto"/>
          <w:sz w:val="24"/>
          <w:highlight w:val="none"/>
        </w:rPr>
      </w:pPr>
      <w:bookmarkStart w:id="176" w:name="_Toc1814"/>
      <w:bookmarkStart w:id="177" w:name="_Toc10340"/>
      <w:bookmarkStart w:id="178" w:name="_Toc22618"/>
      <w:r>
        <w:rPr>
          <w:rFonts w:hint="eastAsia" w:ascii="仿宋_GB2312" w:hAnsi="楷体" w:eastAsia="仿宋_GB2312"/>
          <w:b/>
          <w:color w:val="auto"/>
          <w:sz w:val="24"/>
          <w:highlight w:val="none"/>
        </w:rPr>
        <w:t>1.4 付款方式和发票开具方式</w:t>
      </w:r>
      <w:bookmarkEnd w:id="176"/>
      <w:bookmarkEnd w:id="177"/>
      <w:bookmarkEnd w:id="178"/>
    </w:p>
    <w:p w14:paraId="4BF05C5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1.4.1 付款方式：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556AB70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1.4.2 发票开具方式：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596B9433">
      <w:pPr>
        <w:spacing w:line="360" w:lineRule="auto"/>
        <w:ind w:firstLine="482" w:firstLineChars="200"/>
        <w:rPr>
          <w:rFonts w:ascii="仿宋_GB2312" w:hAnsi="楷体" w:eastAsia="仿宋_GB2312"/>
          <w:b/>
          <w:color w:val="auto"/>
          <w:sz w:val="24"/>
          <w:highlight w:val="none"/>
        </w:rPr>
      </w:pPr>
      <w:bookmarkStart w:id="179" w:name="_Toc32071"/>
      <w:bookmarkStart w:id="180" w:name="_Toc19304"/>
      <w:bookmarkStart w:id="181" w:name="_Toc2846"/>
      <w:r>
        <w:rPr>
          <w:rFonts w:hint="eastAsia" w:ascii="仿宋_GB2312" w:hAnsi="楷体" w:eastAsia="仿宋_GB2312"/>
          <w:b/>
          <w:color w:val="auto"/>
          <w:sz w:val="24"/>
          <w:highlight w:val="none"/>
        </w:rPr>
        <w:t>1.5 标的物交付期限、地点、方式</w:t>
      </w:r>
      <w:bookmarkEnd w:id="179"/>
      <w:bookmarkEnd w:id="180"/>
      <w:bookmarkEnd w:id="181"/>
      <w:r>
        <w:rPr>
          <w:rFonts w:hint="eastAsia" w:ascii="仿宋_GB2312" w:hAnsi="楷体" w:eastAsia="仿宋_GB2312"/>
          <w:b/>
          <w:color w:val="auto"/>
          <w:sz w:val="24"/>
          <w:highlight w:val="none"/>
        </w:rPr>
        <w:t>和货物期限</w:t>
      </w:r>
    </w:p>
    <w:p w14:paraId="6D07B015">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1.5.1 交付期限：</w:t>
      </w:r>
      <w:r>
        <w:rPr>
          <w:rFonts w:hint="eastAsia" w:ascii="仿宋_GB2312" w:hAnsi="楷体" w:eastAsia="仿宋_GB2312"/>
          <w:color w:val="auto"/>
          <w:sz w:val="24"/>
          <w:highlight w:val="none"/>
          <w:u w:val="single"/>
        </w:rPr>
        <w:t xml:space="preserve">                                                 ；</w:t>
      </w:r>
    </w:p>
    <w:p w14:paraId="32E2DB3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1.5.2 交付地点：</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66F9153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1.5.3 交付方式：</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01C2927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1.5.</w:t>
      </w:r>
      <w:r>
        <w:rPr>
          <w:rFonts w:ascii="仿宋_GB2312" w:hAnsi="楷体" w:eastAsia="仿宋_GB2312"/>
          <w:color w:val="auto"/>
          <w:sz w:val="24"/>
          <w:highlight w:val="none"/>
        </w:rPr>
        <w:t>4</w:t>
      </w:r>
      <w:r>
        <w:rPr>
          <w:rFonts w:hint="eastAsia" w:ascii="仿宋_GB2312" w:hAnsi="楷体" w:eastAsia="仿宋_GB2312"/>
          <w:color w:val="auto"/>
          <w:sz w:val="24"/>
          <w:highlight w:val="none"/>
        </w:rPr>
        <w:t xml:space="preserve"> 货物及质保期限：</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w:t>
      </w:r>
    </w:p>
    <w:p w14:paraId="060D11B4">
      <w:pPr>
        <w:spacing w:line="360" w:lineRule="auto"/>
        <w:ind w:firstLine="482" w:firstLineChars="200"/>
        <w:rPr>
          <w:rFonts w:ascii="仿宋_GB2312" w:hAnsi="楷体" w:eastAsia="仿宋_GB2312"/>
          <w:b/>
          <w:color w:val="auto"/>
          <w:sz w:val="24"/>
          <w:highlight w:val="none"/>
        </w:rPr>
      </w:pPr>
      <w:bookmarkStart w:id="182" w:name="_Toc27250"/>
      <w:bookmarkStart w:id="183" w:name="_Toc19554"/>
      <w:bookmarkStart w:id="184" w:name="_Toc21423"/>
      <w:r>
        <w:rPr>
          <w:rFonts w:hint="eastAsia" w:ascii="仿宋_GB2312" w:hAnsi="楷体" w:eastAsia="仿宋_GB2312"/>
          <w:b/>
          <w:color w:val="auto"/>
          <w:sz w:val="24"/>
          <w:highlight w:val="none"/>
        </w:rPr>
        <w:t>1.6 违约责任</w:t>
      </w:r>
      <w:bookmarkEnd w:id="182"/>
      <w:bookmarkEnd w:id="183"/>
      <w:bookmarkEnd w:id="184"/>
    </w:p>
    <w:p w14:paraId="0CBA635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（根据项目实际填写，一般为万分之五）计算，最高限额为本合同总价的</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 xml:space="preserve">%（根据项目实际填写，一般为20%）；迟延超过【 </w:t>
      </w:r>
      <w:r>
        <w:rPr>
          <w:rFonts w:ascii="仿宋_GB2312" w:hAnsi="楷体" w:eastAsia="仿宋_GB2312"/>
          <w:color w:val="auto"/>
          <w:sz w:val="24"/>
          <w:highlight w:val="none"/>
        </w:rPr>
        <w:t xml:space="preserve"> </w:t>
      </w:r>
      <w:r>
        <w:rPr>
          <w:rFonts w:hint="eastAsia" w:ascii="仿宋_GB2312" w:hAnsi="楷体" w:eastAsia="仿宋_GB2312"/>
          <w:color w:val="auto"/>
          <w:sz w:val="24"/>
          <w:highlight w:val="none"/>
        </w:rPr>
        <w:t>】日的，甲方有权在要求乙方支付违约金的同时，书面通知乙方解除本合同，乙方应退回全部已收取的合同价款并按合同总金额的</w:t>
      </w:r>
      <w:r>
        <w:rPr>
          <w:rFonts w:hint="eastAsia" w:ascii="仿宋_GB2312" w:hAnsi="楷体" w:eastAsia="仿宋_GB2312"/>
          <w:color w:val="auto"/>
          <w:sz w:val="24"/>
          <w:highlight w:val="none"/>
          <w:u w:val="single"/>
        </w:rPr>
        <w:t>2</w:t>
      </w:r>
      <w:r>
        <w:rPr>
          <w:rFonts w:ascii="仿宋_GB2312" w:hAnsi="楷体" w:eastAsia="仿宋_GB2312"/>
          <w:color w:val="auto"/>
          <w:sz w:val="24"/>
          <w:highlight w:val="none"/>
          <w:u w:val="single"/>
        </w:rPr>
        <w:t>0</w:t>
      </w:r>
      <w:r>
        <w:rPr>
          <w:rFonts w:hint="eastAsia" w:ascii="仿宋_GB2312" w:hAnsi="楷体" w:eastAsia="仿宋_GB2312"/>
          <w:color w:val="auto"/>
          <w:sz w:val="24"/>
          <w:highlight w:val="none"/>
          <w:u w:val="single"/>
        </w:rPr>
        <w:t>%</w:t>
      </w:r>
      <w:r>
        <w:rPr>
          <w:rFonts w:hint="eastAsia" w:ascii="仿宋_GB2312" w:hAnsi="楷体" w:eastAsia="仿宋_GB2312"/>
          <w:color w:val="auto"/>
          <w:sz w:val="24"/>
          <w:highlight w:val="none"/>
        </w:rPr>
        <w:t>（根据项目实际填写，一般为20%）向甲方支付违约金；</w:t>
      </w:r>
    </w:p>
    <w:p w14:paraId="7A2786B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auto"/>
          <w:sz w:val="24"/>
          <w:highlight w:val="none"/>
          <w:u w:val="single"/>
        </w:rPr>
        <w:t>万分之五</w:t>
      </w:r>
      <w:r>
        <w:rPr>
          <w:rFonts w:hint="eastAsia" w:ascii="仿宋_GB2312" w:hAnsi="楷体" w:eastAsia="仿宋_GB2312"/>
          <w:color w:val="auto"/>
          <w:sz w:val="24"/>
          <w:highlight w:val="none"/>
        </w:rPr>
        <w:t>（根据项目实际填写，一般为万分之五）计算，最高限额为欠付金额的</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%（根据项目实际填写，一般为20%）；迟延付款的违约金计算数额达到前述最高限额之日起，乙方有权在要求甲方支付违约金的同时，书面通知甲方解除本合同；</w:t>
      </w:r>
    </w:p>
    <w:p w14:paraId="3504F9C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2C7EE9B">
      <w:pPr>
        <w:spacing w:line="360" w:lineRule="auto"/>
        <w:ind w:firstLine="480" w:firstLineChars="200"/>
        <w:rPr>
          <w:rFonts w:ascii="仿宋" w:hAnsi="仿宋" w:eastAsia="仿宋" w:cs="仿宋"/>
          <w:color w:val="auto"/>
          <w:sz w:val="24"/>
          <w:highlight w:val="none"/>
        </w:rPr>
      </w:pPr>
      <w:r>
        <w:rPr>
          <w:rFonts w:hint="eastAsia" w:ascii="仿宋_GB2312" w:hAnsi="楷体" w:eastAsia="仿宋_GB2312"/>
          <w:color w:val="auto"/>
          <w:sz w:val="24"/>
          <w:highlight w:val="none"/>
        </w:rPr>
        <w:t>1.6.4</w:t>
      </w:r>
      <w:r>
        <w:rPr>
          <w:rFonts w:hint="eastAsia" w:ascii="仿宋" w:hAnsi="仿宋" w:eastAsia="仿宋" w:cs="仿宋"/>
          <w:color w:val="auto"/>
          <w:sz w:val="24"/>
          <w:highlight w:val="none"/>
        </w:rPr>
        <w:t>乙方在质保期内未按承诺提供售后等货物的，每发生一次向甲方支付</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（根据项目实际填写）</w:t>
      </w:r>
      <w:r>
        <w:rPr>
          <w:rFonts w:hint="eastAsia" w:ascii="仿宋" w:hAnsi="仿宋" w:eastAsia="仿宋" w:cs="仿宋"/>
          <w:color w:val="auto"/>
          <w:sz w:val="24"/>
          <w:highlight w:val="none"/>
        </w:rPr>
        <w:t>元的违约金。</w:t>
      </w:r>
    </w:p>
    <w:p w14:paraId="515458E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43E2162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3E5C8A4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64319370">
      <w:pPr>
        <w:spacing w:line="360" w:lineRule="auto"/>
        <w:ind w:firstLine="482" w:firstLineChars="200"/>
        <w:rPr>
          <w:rFonts w:ascii="仿宋_GB2312" w:hAnsi="楷体" w:eastAsia="仿宋_GB2312"/>
          <w:b/>
          <w:color w:val="auto"/>
          <w:sz w:val="24"/>
          <w:highlight w:val="none"/>
        </w:rPr>
      </w:pPr>
      <w:bookmarkStart w:id="185" w:name="_Toc15583"/>
      <w:bookmarkStart w:id="186" w:name="_Toc16021"/>
      <w:bookmarkStart w:id="187" w:name="_Toc28375"/>
      <w:r>
        <w:rPr>
          <w:rFonts w:hint="eastAsia" w:ascii="仿宋_GB2312" w:hAnsi="楷体" w:eastAsia="仿宋_GB2312"/>
          <w:b/>
          <w:color w:val="auto"/>
          <w:sz w:val="24"/>
          <w:highlight w:val="none"/>
        </w:rPr>
        <w:t>1.7 合同争议的解决</w:t>
      </w:r>
      <w:bookmarkEnd w:id="185"/>
      <w:bookmarkEnd w:id="186"/>
      <w:bookmarkEnd w:id="187"/>
    </w:p>
    <w:p w14:paraId="4B322C4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种方式解决：</w:t>
      </w:r>
    </w:p>
    <w:p w14:paraId="408605B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1.7.1 将争议提交</w:t>
      </w:r>
      <w:r>
        <w:rPr>
          <w:rFonts w:hint="eastAsia" w:ascii="仿宋_GB2312" w:hAnsi="楷体" w:eastAsia="仿宋_GB2312"/>
          <w:color w:val="auto"/>
          <w:sz w:val="24"/>
          <w:highlight w:val="none"/>
          <w:u w:val="single"/>
        </w:rPr>
        <w:t>南宁市</w:t>
      </w:r>
      <w:r>
        <w:rPr>
          <w:rFonts w:hint="eastAsia" w:ascii="仿宋_GB2312" w:hAnsi="楷体" w:eastAsia="仿宋_GB2312"/>
          <w:color w:val="auto"/>
          <w:sz w:val="24"/>
          <w:highlight w:val="none"/>
        </w:rPr>
        <w:t>仲裁委员会依申请仲裁时其现行有效的仲裁规则裁决；</w:t>
      </w:r>
    </w:p>
    <w:p w14:paraId="5E2D11E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1.7.2 向</w:t>
      </w:r>
      <w:r>
        <w:rPr>
          <w:rFonts w:hint="eastAsia" w:ascii="仿宋_GB2312" w:hAnsi="楷体" w:eastAsia="仿宋_GB2312"/>
          <w:color w:val="auto"/>
          <w:sz w:val="24"/>
          <w:highlight w:val="none"/>
          <w:u w:val="single"/>
        </w:rPr>
        <w:t xml:space="preserve">   甲方所在地    有管辖权的</w:t>
      </w:r>
      <w:r>
        <w:rPr>
          <w:rFonts w:hint="eastAsia" w:ascii="仿宋_GB2312" w:hAnsi="楷体" w:eastAsia="仿宋_GB2312"/>
          <w:color w:val="auto"/>
          <w:sz w:val="24"/>
          <w:highlight w:val="none"/>
        </w:rPr>
        <w:t>人民法院起诉。</w:t>
      </w:r>
    </w:p>
    <w:p w14:paraId="172922A3">
      <w:pPr>
        <w:spacing w:line="360" w:lineRule="auto"/>
        <w:ind w:firstLine="482" w:firstLineChars="200"/>
        <w:rPr>
          <w:rFonts w:ascii="仿宋_GB2312" w:hAnsi="楷体" w:eastAsia="仿宋_GB2312"/>
          <w:b/>
          <w:color w:val="auto"/>
          <w:sz w:val="24"/>
          <w:highlight w:val="none"/>
        </w:rPr>
      </w:pPr>
      <w:bookmarkStart w:id="188" w:name="_Toc11173"/>
      <w:bookmarkStart w:id="189" w:name="_Toc7245"/>
      <w:bookmarkStart w:id="190" w:name="_Toc15322"/>
      <w:r>
        <w:rPr>
          <w:rFonts w:hint="eastAsia" w:ascii="仿宋_GB2312" w:hAnsi="楷体" w:eastAsia="仿宋_GB2312"/>
          <w:b/>
          <w:color w:val="auto"/>
          <w:sz w:val="24"/>
          <w:highlight w:val="none"/>
        </w:rPr>
        <w:t>1.8 合同生效</w:t>
      </w:r>
      <w:bookmarkEnd w:id="188"/>
      <w:bookmarkEnd w:id="189"/>
      <w:bookmarkEnd w:id="190"/>
    </w:p>
    <w:p w14:paraId="1870B324">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本合同自双方当事人加盖有效公章时生效。</w:t>
      </w:r>
    </w:p>
    <w:p w14:paraId="5D65FE7E">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甲方：                                   乙方：</w:t>
      </w:r>
    </w:p>
    <w:p w14:paraId="535D0274">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统一社会信用代码：                        统一社会信用代码或身份证号码：</w:t>
      </w:r>
    </w:p>
    <w:p w14:paraId="3EA81D7B">
      <w:pPr>
        <w:spacing w:line="360" w:lineRule="auto"/>
        <w:ind w:firstLine="200"/>
        <w:rPr>
          <w:rFonts w:ascii="仿宋_GB2312" w:hAnsi="楷体" w:eastAsia="仿宋_GB2312"/>
          <w:color w:val="auto"/>
          <w:sz w:val="24"/>
          <w:highlight w:val="none"/>
          <w:lang w:val="zh-CN"/>
        </w:rPr>
      </w:pPr>
    </w:p>
    <w:p w14:paraId="07286217">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住所：                                   住所：</w:t>
      </w:r>
    </w:p>
    <w:p w14:paraId="6E8B4A14">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法定代表人（</w:t>
      </w:r>
      <w:r>
        <w:rPr>
          <w:rFonts w:hint="eastAsia" w:ascii="仿宋_GB2312" w:hAnsi="楷体" w:eastAsia="仿宋_GB2312"/>
          <w:b/>
          <w:bCs/>
          <w:color w:val="auto"/>
          <w:sz w:val="24"/>
          <w:highlight w:val="none"/>
          <w:lang w:val="zh-CN"/>
        </w:rPr>
        <w:t>或负责人或自然人</w:t>
      </w:r>
      <w:r>
        <w:rPr>
          <w:rFonts w:hint="eastAsia" w:ascii="仿宋_GB2312" w:hAnsi="楷体" w:eastAsia="仿宋_GB2312"/>
          <w:color w:val="auto"/>
          <w:sz w:val="24"/>
          <w:highlight w:val="none"/>
          <w:lang w:val="zh-CN"/>
        </w:rPr>
        <w:t>）          法定代表人（</w:t>
      </w:r>
      <w:r>
        <w:rPr>
          <w:rFonts w:hint="eastAsia" w:ascii="仿宋_GB2312" w:hAnsi="楷体" w:eastAsia="仿宋_GB2312"/>
          <w:b/>
          <w:bCs/>
          <w:color w:val="auto"/>
          <w:sz w:val="24"/>
          <w:highlight w:val="none"/>
          <w:lang w:val="zh-CN"/>
        </w:rPr>
        <w:t>或负责人或自然人</w:t>
      </w:r>
      <w:r>
        <w:rPr>
          <w:rFonts w:hint="eastAsia" w:ascii="仿宋_GB2312" w:hAnsi="楷体" w:eastAsia="仿宋_GB2312"/>
          <w:color w:val="auto"/>
          <w:sz w:val="24"/>
          <w:highlight w:val="none"/>
          <w:lang w:val="zh-CN"/>
        </w:rPr>
        <w:t>）</w:t>
      </w:r>
    </w:p>
    <w:p w14:paraId="601B1493">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授权代表（签字）：                       或授权代表（签字）: </w:t>
      </w:r>
    </w:p>
    <w:p w14:paraId="7D841001">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联系人：                                 联系人：</w:t>
      </w:r>
    </w:p>
    <w:p w14:paraId="12D6B154">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约定送达地址：                           约定送达地址：</w:t>
      </w:r>
    </w:p>
    <w:p w14:paraId="3275DF13">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邮政编码：                               邮政编码：</w:t>
      </w:r>
    </w:p>
    <w:p w14:paraId="53025D52">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 xml:space="preserve">电话:                                    电话: </w:t>
      </w:r>
    </w:p>
    <w:p w14:paraId="79122C1B">
      <w:pPr>
        <w:spacing w:line="360" w:lineRule="auto"/>
        <w:ind w:firstLine="200"/>
        <w:rPr>
          <w:rFonts w:ascii="仿宋_GB2312" w:hAnsi="楷体" w:eastAsia="仿宋_GB2312"/>
          <w:color w:val="auto"/>
          <w:sz w:val="24"/>
          <w:highlight w:val="none"/>
          <w:lang w:val="zh-CN"/>
        </w:rPr>
      </w:pPr>
      <w:r>
        <w:rPr>
          <w:rFonts w:hint="eastAsia" w:ascii="仿宋_GB2312" w:hAnsi="楷体" w:eastAsia="仿宋_GB2312"/>
          <w:color w:val="auto"/>
          <w:sz w:val="24"/>
          <w:highlight w:val="none"/>
          <w:lang w:val="zh-CN"/>
        </w:rPr>
        <w:t>传真:                                    传真:</w:t>
      </w:r>
    </w:p>
    <w:p w14:paraId="54532B4A">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lang w:val="zh-CN"/>
        </w:rPr>
        <w:t>电子邮箱：                               电子邮箱：</w:t>
      </w:r>
    </w:p>
    <w:p w14:paraId="3385055D">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开户银行：                               开户银行： </w:t>
      </w:r>
    </w:p>
    <w:p w14:paraId="36627445">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 xml:space="preserve">开户名称：                               开户名称： </w:t>
      </w:r>
    </w:p>
    <w:p w14:paraId="79D55CE5">
      <w:pPr>
        <w:spacing w:line="360" w:lineRule="auto"/>
        <w:ind w:firstLine="200"/>
        <w:rPr>
          <w:rFonts w:ascii="仿宋_GB2312" w:hAnsi="楷体" w:eastAsia="仿宋_GB2312"/>
          <w:color w:val="auto"/>
          <w:sz w:val="24"/>
          <w:highlight w:val="none"/>
        </w:rPr>
      </w:pPr>
      <w:r>
        <w:rPr>
          <w:rFonts w:hint="eastAsia" w:ascii="仿宋_GB2312" w:hAnsi="楷体" w:eastAsia="仿宋_GB2312"/>
          <w:color w:val="auto"/>
          <w:sz w:val="24"/>
          <w:highlight w:val="none"/>
        </w:rPr>
        <w:t>开户账号：</w:t>
      </w:r>
      <w:r>
        <w:rPr>
          <w:rFonts w:hint="eastAsia" w:ascii="仿宋_GB2312" w:hAnsi="楷体" w:eastAsia="仿宋_GB2312"/>
          <w:color w:val="auto"/>
          <w:sz w:val="24"/>
          <w:highlight w:val="none"/>
          <w:lang w:val="zh-CN"/>
        </w:rPr>
        <w:t xml:space="preserve">                               </w:t>
      </w:r>
      <w:r>
        <w:rPr>
          <w:rFonts w:hint="eastAsia" w:ascii="仿宋_GB2312" w:hAnsi="楷体" w:eastAsia="仿宋_GB2312"/>
          <w:color w:val="auto"/>
          <w:sz w:val="24"/>
          <w:highlight w:val="none"/>
        </w:rPr>
        <w:t>开户账号：</w:t>
      </w:r>
    </w:p>
    <w:p w14:paraId="49AFC557">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_GB2312" w:hAnsi="楷体" w:eastAsia="仿宋_GB2312"/>
          <w:b/>
          <w:color w:val="auto"/>
          <w:highlight w:val="none"/>
        </w:rPr>
      </w:pPr>
      <w:bookmarkStart w:id="191" w:name="_Toc331685783"/>
      <w:r>
        <w:rPr>
          <w:rFonts w:hint="eastAsia" w:ascii="仿宋_GB2312" w:hAnsi="楷体" w:eastAsia="仿宋_GB2312"/>
          <w:b/>
          <w:color w:val="auto"/>
          <w:highlight w:val="none"/>
        </w:rPr>
        <w:br w:type="page"/>
      </w:r>
    </w:p>
    <w:p w14:paraId="18ABA136">
      <w:pPr>
        <w:spacing w:line="360" w:lineRule="auto"/>
        <w:ind w:firstLine="200"/>
        <w:jc w:val="center"/>
        <w:rPr>
          <w:rFonts w:ascii="仿宋_GB2312" w:hAnsi="楷体" w:eastAsia="仿宋_GB2312"/>
          <w:b/>
          <w:color w:val="auto"/>
          <w:sz w:val="28"/>
          <w:szCs w:val="28"/>
          <w:highlight w:val="none"/>
        </w:rPr>
      </w:pPr>
      <w:r>
        <w:rPr>
          <w:rFonts w:hint="eastAsia" w:ascii="仿宋_GB2312" w:hAnsi="楷体" w:eastAsia="仿宋_GB2312"/>
          <w:b/>
          <w:color w:val="auto"/>
          <w:sz w:val="28"/>
          <w:szCs w:val="28"/>
          <w:highlight w:val="none"/>
        </w:rPr>
        <w:t>第二部分 合同一般条款</w:t>
      </w:r>
      <w:bookmarkEnd w:id="191"/>
    </w:p>
    <w:p w14:paraId="218367DE">
      <w:pPr>
        <w:spacing w:line="360" w:lineRule="auto"/>
        <w:ind w:firstLine="482" w:firstLineChars="200"/>
        <w:rPr>
          <w:rFonts w:ascii="仿宋_GB2312" w:hAnsi="楷体" w:eastAsia="仿宋_GB2312"/>
          <w:b/>
          <w:color w:val="auto"/>
          <w:sz w:val="24"/>
          <w:highlight w:val="none"/>
        </w:rPr>
      </w:pPr>
      <w:bookmarkStart w:id="192" w:name="_Toc487900349"/>
      <w:bookmarkStart w:id="193" w:name="_Ref467378404"/>
      <w:bookmarkStart w:id="194" w:name="_Ref467379205"/>
      <w:bookmarkStart w:id="195" w:name="_Ref467378463"/>
      <w:bookmarkStart w:id="196" w:name="_Ref467379225"/>
      <w:bookmarkStart w:id="197" w:name="_Ref467379109"/>
      <w:bookmarkStart w:id="198" w:name="_Ref467379195"/>
      <w:bookmarkStart w:id="199" w:name="_Toc16917"/>
      <w:bookmarkStart w:id="200" w:name="_Ref467379101"/>
      <w:bookmarkStart w:id="201" w:name="_Ref467379214"/>
      <w:bookmarkStart w:id="202" w:name="_Ref467378499"/>
      <w:bookmarkStart w:id="203" w:name="_Toc28763"/>
      <w:bookmarkStart w:id="204" w:name="_Toc259093669"/>
      <w:bookmarkStart w:id="205" w:name="_Ref467379094"/>
      <w:bookmarkStart w:id="206" w:name="_Toc279701240"/>
      <w:bookmarkStart w:id="207" w:name="_Toc19614"/>
      <w:r>
        <w:rPr>
          <w:rFonts w:hint="eastAsia" w:ascii="仿宋_GB2312" w:hAnsi="楷体" w:eastAsia="仿宋_GB2312"/>
          <w:b/>
          <w:color w:val="auto"/>
          <w:sz w:val="24"/>
          <w:highlight w:val="none"/>
        </w:rPr>
        <w:t>2.1 定义</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D5A541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本合同中的下列词语应按以下内容进行解释：</w:t>
      </w:r>
    </w:p>
    <w:p w14:paraId="0DE8C34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2.1.1 “合同”系指采购人和中标人签订的载明双方当事人所达成的协议，并包括所有的附件、附录和构成合同的其他文件。</w:t>
      </w:r>
    </w:p>
    <w:p w14:paraId="1197502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2.1.2 “合同价”系指根据合同约定，中标人在完全履行合同义务后，采购人应支付给中标人的价格。</w:t>
      </w:r>
    </w:p>
    <w:p w14:paraId="586D546C">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AA959EB">
      <w:pPr>
        <w:spacing w:line="360" w:lineRule="auto"/>
        <w:ind w:firstLine="480" w:firstLineChars="200"/>
        <w:rPr>
          <w:rFonts w:ascii="仿宋_GB2312" w:hAnsi="楷体" w:eastAsia="仿宋_GB2312"/>
          <w:color w:val="auto"/>
          <w:sz w:val="24"/>
          <w:highlight w:val="none"/>
        </w:rPr>
      </w:pPr>
      <w:bookmarkStart w:id="208" w:name="_Ref467378840"/>
      <w:r>
        <w:rPr>
          <w:rFonts w:hint="eastAsia" w:ascii="仿宋_GB2312" w:hAnsi="楷体" w:eastAsia="仿宋_GB2312"/>
          <w:color w:val="auto"/>
          <w:sz w:val="24"/>
          <w:highlight w:val="none"/>
        </w:rPr>
        <w:t>2.1.4 “甲方”系指与中标人签署合同的采购人</w:t>
      </w:r>
      <w:bookmarkEnd w:id="208"/>
      <w:r>
        <w:rPr>
          <w:rFonts w:hint="eastAsia" w:ascii="仿宋_GB2312" w:hAnsi="楷体" w:eastAsia="仿宋_GB2312"/>
          <w:color w:val="auto"/>
          <w:sz w:val="24"/>
          <w:highlight w:val="none"/>
        </w:rPr>
        <w:t>；采购人委托采购机构代表其与乙方签订合同的，采购人的授权委托书作为合同附件。</w:t>
      </w:r>
    </w:p>
    <w:p w14:paraId="5A8EF179">
      <w:pPr>
        <w:spacing w:line="360" w:lineRule="auto"/>
        <w:ind w:firstLine="480" w:firstLineChars="200"/>
        <w:rPr>
          <w:rFonts w:ascii="仿宋_GB2312" w:hAnsi="楷体" w:eastAsia="仿宋_GB2312"/>
          <w:color w:val="auto"/>
          <w:sz w:val="24"/>
          <w:highlight w:val="none"/>
        </w:rPr>
      </w:pPr>
      <w:bookmarkStart w:id="209" w:name="_Ref467379400"/>
      <w:r>
        <w:rPr>
          <w:rFonts w:hint="eastAsia" w:ascii="仿宋_GB2312" w:hAnsi="楷体" w:eastAsia="仿宋_GB2312"/>
          <w:color w:val="auto"/>
          <w:sz w:val="24"/>
          <w:highlight w:val="none"/>
        </w:rPr>
        <w:t>2.1.5 “乙方”系指根据合同约定交付标的物的</w:t>
      </w:r>
      <w:bookmarkEnd w:id="209"/>
      <w:r>
        <w:rPr>
          <w:rFonts w:hint="eastAsia" w:ascii="仿宋_GB2312" w:hAnsi="楷体" w:eastAsia="仿宋_GB2312"/>
          <w:color w:val="auto"/>
          <w:sz w:val="24"/>
          <w:highlight w:val="none"/>
          <w:lang w:val="en-US" w:eastAsia="zh-CN"/>
        </w:rPr>
        <w:t>成交供应商</w:t>
      </w:r>
      <w:r>
        <w:rPr>
          <w:rFonts w:hint="eastAsia" w:ascii="仿宋_GB2312" w:hAnsi="楷体" w:eastAsia="仿宋_GB2312"/>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008E192">
      <w:pPr>
        <w:spacing w:line="360" w:lineRule="auto"/>
        <w:ind w:firstLine="480" w:firstLineChars="200"/>
        <w:rPr>
          <w:rFonts w:ascii="仿宋_GB2312" w:hAnsi="楷体" w:eastAsia="仿宋_GB2312"/>
          <w:color w:val="auto"/>
          <w:sz w:val="24"/>
          <w:highlight w:val="none"/>
        </w:rPr>
      </w:pPr>
      <w:bookmarkStart w:id="210" w:name="_Ref467379436"/>
      <w:r>
        <w:rPr>
          <w:rFonts w:hint="eastAsia" w:ascii="仿宋_GB2312" w:hAnsi="楷体" w:eastAsia="仿宋_GB2312"/>
          <w:color w:val="auto"/>
          <w:sz w:val="24"/>
          <w:highlight w:val="none"/>
        </w:rPr>
        <w:t>2.1.6 “现场”系指合同约定标的物将要运至或者实施或者安装的地点。</w:t>
      </w:r>
      <w:bookmarkEnd w:id="210"/>
    </w:p>
    <w:p w14:paraId="549E6A38">
      <w:pPr>
        <w:spacing w:line="360" w:lineRule="auto"/>
        <w:ind w:firstLine="482" w:firstLineChars="200"/>
        <w:rPr>
          <w:rFonts w:ascii="仿宋_GB2312" w:hAnsi="楷体" w:eastAsia="仿宋_GB2312"/>
          <w:b/>
          <w:color w:val="auto"/>
          <w:sz w:val="24"/>
          <w:highlight w:val="none"/>
        </w:rPr>
      </w:pPr>
      <w:bookmarkStart w:id="211" w:name="_Toc27635"/>
      <w:bookmarkStart w:id="212" w:name="_Toc487900350"/>
      <w:bookmarkStart w:id="213" w:name="_Toc259093670"/>
      <w:bookmarkStart w:id="214" w:name="_Toc13336"/>
      <w:bookmarkStart w:id="215" w:name="_Toc279701241"/>
      <w:bookmarkStart w:id="216" w:name="_Toc32504"/>
      <w:r>
        <w:rPr>
          <w:rFonts w:hint="eastAsia" w:ascii="仿宋_GB2312" w:hAnsi="楷体" w:eastAsia="仿宋_GB2312"/>
          <w:b/>
          <w:color w:val="auto"/>
          <w:sz w:val="24"/>
          <w:highlight w:val="none"/>
        </w:rPr>
        <w:t>2.2 技术规范</w:t>
      </w:r>
      <w:bookmarkEnd w:id="211"/>
      <w:bookmarkEnd w:id="212"/>
      <w:bookmarkEnd w:id="213"/>
      <w:bookmarkEnd w:id="214"/>
      <w:bookmarkEnd w:id="215"/>
      <w:bookmarkEnd w:id="216"/>
    </w:p>
    <w:p w14:paraId="6223087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2B6658D6">
      <w:pPr>
        <w:spacing w:line="360" w:lineRule="auto"/>
        <w:ind w:firstLine="482" w:firstLineChars="200"/>
        <w:rPr>
          <w:rFonts w:ascii="仿宋_GB2312" w:hAnsi="楷体" w:eastAsia="仿宋_GB2312"/>
          <w:b/>
          <w:color w:val="auto"/>
          <w:sz w:val="24"/>
          <w:highlight w:val="none"/>
        </w:rPr>
      </w:pPr>
      <w:bookmarkStart w:id="217" w:name="_Toc31634"/>
      <w:bookmarkStart w:id="218" w:name="_Toc9829"/>
      <w:bookmarkStart w:id="219" w:name="_Toc487900351"/>
      <w:bookmarkStart w:id="220" w:name="_Toc259093671"/>
      <w:bookmarkStart w:id="221" w:name="_Toc279701242"/>
      <w:bookmarkStart w:id="222" w:name="_Toc27853"/>
      <w:r>
        <w:rPr>
          <w:rFonts w:hint="eastAsia" w:ascii="仿宋_GB2312" w:hAnsi="楷体" w:eastAsia="仿宋_GB2312"/>
          <w:b/>
          <w:color w:val="auto"/>
          <w:sz w:val="24"/>
          <w:highlight w:val="none"/>
        </w:rPr>
        <w:t>2.3 知识产权</w:t>
      </w:r>
      <w:bookmarkEnd w:id="217"/>
      <w:bookmarkEnd w:id="218"/>
      <w:bookmarkEnd w:id="219"/>
      <w:bookmarkEnd w:id="220"/>
      <w:bookmarkEnd w:id="221"/>
      <w:bookmarkEnd w:id="222"/>
    </w:p>
    <w:p w14:paraId="5572DBC2">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E2DBE7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2.3.2具有知识产权的计算机软件等标的物的知识产权归属，详见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5A91B4D4">
      <w:pPr>
        <w:spacing w:line="360" w:lineRule="auto"/>
        <w:ind w:firstLine="482" w:firstLineChars="200"/>
        <w:rPr>
          <w:rFonts w:ascii="仿宋_GB2312" w:hAnsi="楷体" w:eastAsia="仿宋_GB2312"/>
          <w:b/>
          <w:color w:val="auto"/>
          <w:sz w:val="24"/>
          <w:highlight w:val="none"/>
        </w:rPr>
      </w:pPr>
      <w:bookmarkStart w:id="223" w:name="_Toc4194"/>
      <w:bookmarkStart w:id="224" w:name="_Toc11932"/>
      <w:bookmarkStart w:id="225" w:name="_Toc29149"/>
      <w:r>
        <w:rPr>
          <w:rFonts w:hint="eastAsia" w:ascii="仿宋_GB2312" w:hAnsi="楷体" w:eastAsia="仿宋_GB2312"/>
          <w:b/>
          <w:color w:val="auto"/>
          <w:sz w:val="24"/>
          <w:highlight w:val="none"/>
        </w:rPr>
        <w:t>2.4 包装和装运</w:t>
      </w:r>
      <w:bookmarkEnd w:id="223"/>
      <w:bookmarkEnd w:id="224"/>
      <w:bookmarkEnd w:id="225"/>
    </w:p>
    <w:p w14:paraId="390CC81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2.4.1除</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F41321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2.4.2 装运标的物的要求和通知，详见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229EA9F9">
      <w:pPr>
        <w:spacing w:line="360" w:lineRule="auto"/>
        <w:ind w:firstLine="482" w:firstLineChars="200"/>
        <w:rPr>
          <w:rFonts w:ascii="仿宋_GB2312" w:hAnsi="楷体" w:eastAsia="仿宋_GB2312"/>
          <w:b/>
          <w:color w:val="auto"/>
          <w:sz w:val="24"/>
          <w:highlight w:val="none"/>
        </w:rPr>
      </w:pPr>
      <w:bookmarkStart w:id="226" w:name="_Ref467379542"/>
      <w:bookmarkStart w:id="227" w:name="_Toc487900354"/>
      <w:bookmarkStart w:id="228" w:name="_Ref467379527"/>
      <w:bookmarkStart w:id="229" w:name="_Ref467379536"/>
      <w:bookmarkStart w:id="230" w:name="_Toc279701245"/>
      <w:bookmarkStart w:id="231" w:name="_Toc259093674"/>
      <w:bookmarkStart w:id="232" w:name="_Ref467378541"/>
      <w:bookmarkStart w:id="233" w:name="_Ref467378591"/>
      <w:bookmarkStart w:id="234" w:name="_Toc19074"/>
      <w:bookmarkStart w:id="235" w:name="_Toc26182"/>
      <w:bookmarkStart w:id="236" w:name="_Toc30272"/>
      <w:r>
        <w:rPr>
          <w:rFonts w:hint="eastAsia" w:ascii="仿宋_GB2312" w:hAnsi="楷体" w:eastAsia="仿宋_GB2312"/>
          <w:b/>
          <w:color w:val="auto"/>
          <w:sz w:val="24"/>
          <w:highlight w:val="none"/>
        </w:rPr>
        <w:t>2.</w:t>
      </w:r>
      <w:bookmarkEnd w:id="226"/>
      <w:bookmarkEnd w:id="227"/>
      <w:bookmarkEnd w:id="228"/>
      <w:bookmarkEnd w:id="229"/>
      <w:bookmarkEnd w:id="230"/>
      <w:bookmarkEnd w:id="231"/>
      <w:bookmarkEnd w:id="232"/>
      <w:bookmarkEnd w:id="233"/>
      <w:r>
        <w:rPr>
          <w:rFonts w:hint="eastAsia" w:ascii="仿宋_GB2312" w:hAnsi="楷体" w:eastAsia="仿宋_GB2312"/>
          <w:b/>
          <w:color w:val="auto"/>
          <w:sz w:val="24"/>
          <w:highlight w:val="none"/>
        </w:rPr>
        <w:t>5 履约检查和问题反馈</w:t>
      </w:r>
      <w:bookmarkEnd w:id="234"/>
      <w:bookmarkEnd w:id="235"/>
      <w:bookmarkEnd w:id="236"/>
    </w:p>
    <w:p w14:paraId="43B0C3C8">
      <w:pPr>
        <w:spacing w:line="360" w:lineRule="auto"/>
        <w:ind w:firstLine="480" w:firstLineChars="200"/>
        <w:rPr>
          <w:rFonts w:ascii="仿宋_GB2312" w:hAnsi="楷体" w:eastAsia="仿宋_GB2312"/>
          <w:color w:val="auto"/>
          <w:sz w:val="24"/>
          <w:highlight w:val="none"/>
        </w:rPr>
      </w:pPr>
      <w:bookmarkStart w:id="237" w:name="_Ref467379657"/>
      <w:r>
        <w:rPr>
          <w:rFonts w:hint="eastAsia" w:ascii="仿宋_GB2312" w:hAnsi="楷体" w:eastAsia="仿宋_GB2312"/>
          <w:color w:val="auto"/>
          <w:sz w:val="24"/>
          <w:highlight w:val="none"/>
        </w:rPr>
        <w:t>2.5.1</w:t>
      </w:r>
      <w:bookmarkEnd w:id="237"/>
      <w:bookmarkStart w:id="238" w:name="_Toc186431854"/>
      <w:bookmarkStart w:id="239" w:name="_Ref467379807"/>
      <w:bookmarkStart w:id="240" w:name="_Ref467379793"/>
      <w:bookmarkStart w:id="241" w:name="_Toc487900357"/>
      <w:bookmarkStart w:id="242" w:name="_Toc279701247"/>
      <w:bookmarkStart w:id="243" w:name="_Toc259093676"/>
      <w:r>
        <w:rPr>
          <w:rFonts w:hint="eastAsia" w:ascii="仿宋_GB2312" w:hAnsi="楷体" w:eastAsia="仿宋_GB2312"/>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4292865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2.5.2 合同履行期间，甲方有权将履行过程中出现的问题反馈给乙方，双方当事人应以书面形式约定需要完善和改进的内容</w:t>
      </w:r>
      <w:bookmarkEnd w:id="238"/>
      <w:bookmarkStart w:id="244" w:name="_Toc186431855"/>
      <w:r>
        <w:rPr>
          <w:rFonts w:hint="eastAsia" w:ascii="仿宋_GB2312" w:hAnsi="楷体" w:eastAsia="仿宋_GB2312"/>
          <w:color w:val="auto"/>
          <w:sz w:val="24"/>
          <w:highlight w:val="none"/>
        </w:rPr>
        <w:t>。</w:t>
      </w:r>
    </w:p>
    <w:bookmarkEnd w:id="244"/>
    <w:p w14:paraId="0D78E861">
      <w:pPr>
        <w:spacing w:line="360" w:lineRule="auto"/>
        <w:ind w:firstLine="482" w:firstLineChars="200"/>
        <w:rPr>
          <w:rFonts w:ascii="仿宋_GB2312" w:hAnsi="楷体" w:eastAsia="仿宋_GB2312"/>
          <w:b/>
          <w:color w:val="auto"/>
          <w:sz w:val="24"/>
          <w:highlight w:val="none"/>
        </w:rPr>
      </w:pPr>
      <w:bookmarkStart w:id="245" w:name="_Toc19219"/>
      <w:bookmarkStart w:id="246" w:name="_Toc7836"/>
      <w:bookmarkStart w:id="247" w:name="_Toc28451"/>
      <w:r>
        <w:rPr>
          <w:rFonts w:hint="eastAsia" w:ascii="仿宋_GB2312" w:hAnsi="楷体" w:eastAsia="仿宋_GB2312"/>
          <w:b/>
          <w:color w:val="auto"/>
          <w:sz w:val="24"/>
          <w:highlight w:val="none"/>
        </w:rPr>
        <w:t>2.6 结算方式和付款条件</w:t>
      </w:r>
      <w:bookmarkEnd w:id="239"/>
      <w:bookmarkEnd w:id="240"/>
      <w:bookmarkEnd w:id="241"/>
      <w:bookmarkEnd w:id="242"/>
      <w:bookmarkEnd w:id="243"/>
      <w:bookmarkEnd w:id="245"/>
      <w:bookmarkEnd w:id="246"/>
      <w:bookmarkEnd w:id="247"/>
    </w:p>
    <w:p w14:paraId="6CB21B5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37C24512">
      <w:pPr>
        <w:spacing w:line="360" w:lineRule="auto"/>
        <w:ind w:firstLine="482" w:firstLineChars="200"/>
        <w:rPr>
          <w:rFonts w:ascii="仿宋_GB2312" w:hAnsi="楷体" w:eastAsia="仿宋_GB2312"/>
          <w:b/>
          <w:color w:val="auto"/>
          <w:sz w:val="24"/>
          <w:highlight w:val="none"/>
        </w:rPr>
      </w:pPr>
      <w:bookmarkStart w:id="248" w:name="_Toc487900358"/>
      <w:bookmarkStart w:id="249" w:name="_Ref467379863"/>
      <w:bookmarkStart w:id="250" w:name="_Toc259093677"/>
      <w:bookmarkStart w:id="251" w:name="_Toc279701248"/>
      <w:bookmarkStart w:id="252" w:name="_Ref467379923"/>
      <w:bookmarkStart w:id="253" w:name="_Ref467379852"/>
      <w:bookmarkStart w:id="254" w:name="_Toc16110"/>
      <w:bookmarkStart w:id="255" w:name="_Toc774"/>
      <w:bookmarkStart w:id="256" w:name="_Toc3225"/>
      <w:r>
        <w:rPr>
          <w:rFonts w:hint="eastAsia" w:ascii="仿宋_GB2312" w:hAnsi="楷体" w:eastAsia="仿宋_GB2312"/>
          <w:b/>
          <w:color w:val="auto"/>
          <w:sz w:val="24"/>
          <w:highlight w:val="none"/>
        </w:rPr>
        <w:t>2.7 技术资料</w:t>
      </w:r>
      <w:bookmarkEnd w:id="248"/>
      <w:bookmarkEnd w:id="249"/>
      <w:bookmarkEnd w:id="250"/>
      <w:bookmarkEnd w:id="251"/>
      <w:bookmarkEnd w:id="252"/>
      <w:bookmarkEnd w:id="253"/>
      <w:r>
        <w:rPr>
          <w:rFonts w:hint="eastAsia" w:ascii="仿宋_GB2312" w:hAnsi="楷体" w:eastAsia="仿宋_GB2312"/>
          <w:b/>
          <w:color w:val="auto"/>
          <w:sz w:val="24"/>
          <w:highlight w:val="none"/>
        </w:rPr>
        <w:t>和保密义务</w:t>
      </w:r>
      <w:bookmarkEnd w:id="254"/>
      <w:bookmarkEnd w:id="255"/>
      <w:bookmarkEnd w:id="256"/>
    </w:p>
    <w:p w14:paraId="71E7B7D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2.7.1 乙方有权依据合同约定和项目需要，向甲方了解有关情况，调阅有关资料等，甲方应予积极配合；</w:t>
      </w:r>
    </w:p>
    <w:p w14:paraId="137EAA3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2.7.2 乙方有义务妥善保管和保护由甲方提供的前款信息和资料等；</w:t>
      </w:r>
    </w:p>
    <w:p w14:paraId="61B5937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90EEEB5">
      <w:pPr>
        <w:spacing w:line="360" w:lineRule="auto"/>
        <w:ind w:firstLine="482" w:firstLineChars="200"/>
        <w:rPr>
          <w:rFonts w:ascii="仿宋_GB2312" w:hAnsi="楷体" w:eastAsia="仿宋_GB2312"/>
          <w:b/>
          <w:color w:val="auto"/>
          <w:sz w:val="24"/>
          <w:highlight w:val="none"/>
        </w:rPr>
      </w:pPr>
      <w:bookmarkStart w:id="257" w:name="_Toc7860"/>
      <w:r>
        <w:rPr>
          <w:rFonts w:hint="eastAsia" w:ascii="仿宋_GB2312" w:hAnsi="楷体" w:eastAsia="仿宋_GB2312"/>
          <w:b/>
          <w:color w:val="auto"/>
          <w:sz w:val="24"/>
          <w:highlight w:val="none"/>
        </w:rPr>
        <w:t>2.8 质量保证</w:t>
      </w:r>
      <w:bookmarkEnd w:id="257"/>
    </w:p>
    <w:p w14:paraId="4A6B33C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2.8.1 乙方应建立和完善履行合同的内部质量保证体系，并提供相关内部规章制度给甲方，以便甲方进行监督检查；</w:t>
      </w:r>
    </w:p>
    <w:p w14:paraId="2547493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2.8.2 乙方应保证履行合同的人员数量和素质、软件和硬件设备的配置、场地、环境和设施等满足全面履行合同的要求，并应接受甲方的监督检查。</w:t>
      </w:r>
    </w:p>
    <w:p w14:paraId="4B6D79A1">
      <w:pPr>
        <w:spacing w:line="360" w:lineRule="auto"/>
        <w:ind w:firstLine="480" w:firstLineChars="200"/>
        <w:rPr>
          <w:rFonts w:ascii="仿宋_GB2312" w:hAnsi="仿宋" w:eastAsia="仿宋_GB2312" w:cs="仿宋_GB2312"/>
          <w:color w:val="auto"/>
          <w:kern w:val="0"/>
          <w:sz w:val="24"/>
          <w:highlight w:val="none"/>
        </w:rPr>
      </w:pPr>
      <w:r>
        <w:rPr>
          <w:rFonts w:hint="eastAsia" w:ascii="仿宋_GB2312" w:hAnsi="仿宋" w:eastAsia="仿宋_GB2312"/>
          <w:color w:val="auto"/>
          <w:sz w:val="24"/>
          <w:highlight w:val="none"/>
        </w:rPr>
        <w:t>2.8.3乙方应确保项目技术人员的数量和水平与</w:t>
      </w:r>
      <w:r>
        <w:rPr>
          <w:rFonts w:hint="eastAsia" w:ascii="仿宋_GB2312" w:hAnsi="仿宋" w:eastAsia="仿宋_GB2312"/>
          <w:color w:val="auto"/>
          <w:sz w:val="24"/>
          <w:highlight w:val="none"/>
          <w:lang w:eastAsia="zh-CN"/>
        </w:rPr>
        <w:t>竞标响应文件</w:t>
      </w:r>
      <w:r>
        <w:rPr>
          <w:rFonts w:hint="eastAsia" w:ascii="仿宋_GB2312" w:hAnsi="仿宋" w:eastAsia="仿宋_GB2312"/>
          <w:color w:val="auto"/>
          <w:sz w:val="24"/>
          <w:highlight w:val="none"/>
        </w:rPr>
        <w:t>一致。未经甲方书面同意，乙方不得擅自更换</w:t>
      </w:r>
      <w:r>
        <w:rPr>
          <w:rFonts w:hint="eastAsia" w:ascii="仿宋_GB2312" w:hAnsi="仿宋" w:eastAsia="仿宋_GB2312"/>
          <w:color w:val="auto"/>
          <w:sz w:val="24"/>
          <w:highlight w:val="none"/>
          <w:lang w:eastAsia="zh-CN"/>
        </w:rPr>
        <w:t>竞标响应文件</w:t>
      </w:r>
      <w:r>
        <w:rPr>
          <w:rFonts w:hint="eastAsia" w:ascii="仿宋_GB2312" w:hAnsi="仿宋" w:eastAsia="仿宋_GB2312"/>
          <w:color w:val="auto"/>
          <w:sz w:val="24"/>
          <w:highlight w:val="none"/>
        </w:rPr>
        <w:t>中注明的项目经理和技术负责人。否则</w:t>
      </w:r>
      <w:r>
        <w:rPr>
          <w:rFonts w:hint="eastAsia" w:ascii="仿宋_GB2312" w:hAnsi="仿宋" w:eastAsia="仿宋_GB2312" w:cs="仿宋_GB2312"/>
          <w:color w:val="auto"/>
          <w:kern w:val="0"/>
          <w:sz w:val="24"/>
          <w:highlight w:val="none"/>
        </w:rPr>
        <w:t>甲方有权放弃或终止合同，并没收履约保证金。</w:t>
      </w:r>
    </w:p>
    <w:p w14:paraId="1B739319">
      <w:pPr>
        <w:spacing w:line="360" w:lineRule="auto"/>
        <w:ind w:firstLine="480" w:firstLineChars="200"/>
        <w:rPr>
          <w:rFonts w:ascii="仿宋_GB2312" w:hAnsi="楷体" w:eastAsia="仿宋_GB2312"/>
          <w:color w:val="auto"/>
          <w:sz w:val="24"/>
          <w:highlight w:val="none"/>
        </w:rPr>
      </w:pPr>
      <w:r>
        <w:rPr>
          <w:rFonts w:hint="eastAsia" w:ascii="仿宋_GB2312" w:hAnsi="仿宋" w:eastAsia="仿宋_GB2312"/>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auto"/>
          <w:sz w:val="24"/>
          <w:highlight w:val="none"/>
          <w:u w:val="single"/>
        </w:rPr>
        <w:t>30%</w:t>
      </w:r>
      <w:r>
        <w:rPr>
          <w:rFonts w:hint="eastAsia" w:ascii="仿宋_GB2312" w:hAnsi="仿宋" w:eastAsia="仿宋_GB2312"/>
          <w:color w:val="auto"/>
          <w:sz w:val="24"/>
          <w:highlight w:val="none"/>
        </w:rPr>
        <w:t>（根据项目实际情况填写，一般为30%）。</w:t>
      </w:r>
    </w:p>
    <w:p w14:paraId="413D140C">
      <w:pPr>
        <w:spacing w:line="360" w:lineRule="auto"/>
        <w:ind w:firstLine="482" w:firstLineChars="200"/>
        <w:rPr>
          <w:rFonts w:ascii="仿宋_GB2312" w:hAnsi="楷体" w:eastAsia="仿宋_GB2312"/>
          <w:b/>
          <w:color w:val="auto"/>
          <w:sz w:val="24"/>
          <w:highlight w:val="none"/>
        </w:rPr>
      </w:pPr>
      <w:bookmarkStart w:id="258" w:name="_Toc17244"/>
      <w:bookmarkStart w:id="259" w:name="_Toc487900362"/>
      <w:bookmarkStart w:id="260" w:name="_Toc279701252"/>
      <w:bookmarkStart w:id="261" w:name="_Toc259093681"/>
      <w:r>
        <w:rPr>
          <w:rFonts w:hint="eastAsia" w:ascii="仿宋_GB2312" w:hAnsi="楷体" w:eastAsia="仿宋_GB2312"/>
          <w:b/>
          <w:color w:val="auto"/>
          <w:sz w:val="24"/>
          <w:highlight w:val="none"/>
        </w:rPr>
        <w:t>2.9 标的物的风险负担</w:t>
      </w:r>
      <w:bookmarkEnd w:id="258"/>
    </w:p>
    <w:p w14:paraId="647F5970">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w:t>
      </w:r>
    </w:p>
    <w:p w14:paraId="6E470CE5">
      <w:pPr>
        <w:spacing w:line="360" w:lineRule="auto"/>
        <w:ind w:firstLine="482" w:firstLineChars="200"/>
        <w:rPr>
          <w:rFonts w:ascii="仿宋_GB2312" w:hAnsi="楷体" w:eastAsia="仿宋_GB2312"/>
          <w:b/>
          <w:color w:val="auto"/>
          <w:sz w:val="24"/>
          <w:highlight w:val="none"/>
        </w:rPr>
      </w:pPr>
      <w:bookmarkStart w:id="262" w:name="_Toc14055"/>
      <w:r>
        <w:rPr>
          <w:rFonts w:hint="eastAsia" w:ascii="仿宋_GB2312" w:hAnsi="楷体" w:eastAsia="仿宋_GB2312"/>
          <w:b/>
          <w:color w:val="auto"/>
          <w:sz w:val="24"/>
          <w:highlight w:val="none"/>
        </w:rPr>
        <w:t>2.10 延迟交货</w:t>
      </w:r>
      <w:bookmarkEnd w:id="259"/>
      <w:bookmarkEnd w:id="260"/>
      <w:bookmarkEnd w:id="261"/>
      <w:bookmarkEnd w:id="262"/>
      <w:r>
        <w:rPr>
          <w:rFonts w:hint="eastAsia" w:ascii="仿宋_GB2312" w:hAnsi="楷体" w:eastAsia="仿宋_GB2312"/>
          <w:b/>
          <w:color w:val="auto"/>
          <w:sz w:val="24"/>
          <w:highlight w:val="none"/>
        </w:rPr>
        <w:t>/交付</w:t>
      </w:r>
    </w:p>
    <w:p w14:paraId="5177040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A4F0955">
      <w:pPr>
        <w:spacing w:line="360" w:lineRule="auto"/>
        <w:ind w:firstLine="482" w:firstLineChars="200"/>
        <w:rPr>
          <w:rFonts w:ascii="仿宋_GB2312" w:hAnsi="楷体" w:eastAsia="仿宋_GB2312"/>
          <w:b/>
          <w:color w:val="auto"/>
          <w:sz w:val="24"/>
          <w:highlight w:val="none"/>
        </w:rPr>
      </w:pPr>
      <w:bookmarkStart w:id="263" w:name="_Toc7502"/>
      <w:bookmarkStart w:id="264" w:name="_Ref467378121"/>
      <w:bookmarkStart w:id="265" w:name="_Toc259093683"/>
      <w:bookmarkStart w:id="266" w:name="_Toc279701254"/>
      <w:bookmarkStart w:id="267" w:name="_Toc487900364"/>
      <w:r>
        <w:rPr>
          <w:rFonts w:hint="eastAsia" w:ascii="仿宋_GB2312" w:hAnsi="楷体" w:eastAsia="仿宋_GB2312"/>
          <w:b/>
          <w:color w:val="auto"/>
          <w:sz w:val="24"/>
          <w:highlight w:val="none"/>
        </w:rPr>
        <w:t>2.11 合同变更</w:t>
      </w:r>
      <w:bookmarkEnd w:id="263"/>
    </w:p>
    <w:p w14:paraId="65821425">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CDE661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68" w:name="_Toc279701259"/>
      <w:bookmarkStart w:id="269" w:name="_Toc259093688"/>
      <w:bookmarkStart w:id="270" w:name="_Toc487900369"/>
    </w:p>
    <w:p w14:paraId="602D19F1">
      <w:pPr>
        <w:spacing w:line="360" w:lineRule="auto"/>
        <w:ind w:firstLine="482" w:firstLineChars="200"/>
        <w:rPr>
          <w:rFonts w:ascii="仿宋_GB2312" w:hAnsi="楷体" w:eastAsia="仿宋_GB2312"/>
          <w:b/>
          <w:color w:val="auto"/>
          <w:sz w:val="24"/>
          <w:highlight w:val="none"/>
        </w:rPr>
      </w:pPr>
      <w:bookmarkStart w:id="271" w:name="_Toc22955"/>
      <w:bookmarkStart w:id="272" w:name="_Toc15237"/>
      <w:bookmarkStart w:id="273" w:name="_Toc10366"/>
      <w:r>
        <w:rPr>
          <w:rFonts w:hint="eastAsia" w:ascii="仿宋_GB2312" w:hAnsi="楷体" w:eastAsia="仿宋_GB2312"/>
          <w:b/>
          <w:color w:val="auto"/>
          <w:sz w:val="24"/>
          <w:highlight w:val="none"/>
        </w:rPr>
        <w:t>2.12 合同转让</w:t>
      </w:r>
      <w:bookmarkEnd w:id="268"/>
      <w:bookmarkEnd w:id="269"/>
      <w:bookmarkEnd w:id="270"/>
      <w:r>
        <w:rPr>
          <w:rFonts w:hint="eastAsia" w:ascii="仿宋_GB2312" w:hAnsi="楷体" w:eastAsia="仿宋_GB2312"/>
          <w:b/>
          <w:color w:val="auto"/>
          <w:sz w:val="24"/>
          <w:highlight w:val="none"/>
        </w:rPr>
        <w:t>和分包</w:t>
      </w:r>
      <w:bookmarkEnd w:id="271"/>
      <w:bookmarkEnd w:id="272"/>
      <w:bookmarkEnd w:id="273"/>
    </w:p>
    <w:p w14:paraId="680B368A">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5850BBC">
      <w:pPr>
        <w:spacing w:line="360" w:lineRule="auto"/>
        <w:ind w:firstLine="482" w:firstLineChars="200"/>
        <w:rPr>
          <w:rFonts w:ascii="仿宋_GB2312" w:hAnsi="楷体" w:eastAsia="仿宋_GB2312"/>
          <w:b/>
          <w:color w:val="auto"/>
          <w:sz w:val="24"/>
          <w:highlight w:val="none"/>
        </w:rPr>
      </w:pPr>
      <w:bookmarkStart w:id="274" w:name="_Toc13566"/>
      <w:bookmarkStart w:id="275" w:name="_Toc16508"/>
      <w:bookmarkStart w:id="276" w:name="_Toc14066"/>
      <w:r>
        <w:rPr>
          <w:rFonts w:hint="eastAsia" w:ascii="仿宋_GB2312" w:hAnsi="楷体" w:eastAsia="仿宋_GB2312"/>
          <w:b/>
          <w:color w:val="auto"/>
          <w:sz w:val="24"/>
          <w:highlight w:val="none"/>
        </w:rPr>
        <w:t>2.13 不可抗力</w:t>
      </w:r>
      <w:bookmarkEnd w:id="274"/>
      <w:bookmarkEnd w:id="275"/>
      <w:bookmarkEnd w:id="276"/>
    </w:p>
    <w:p w14:paraId="0A90B7F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2.13.1如果任何一方遭遇法律规定的不可抗力，致使合同履行受阻时，履行合同的期限应予延长，延长的期限应相当于不可抗力所影响的时间；</w:t>
      </w:r>
    </w:p>
    <w:p w14:paraId="1A32E0F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约定时间内以书面形式通知对方当事人，并在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约定时间内，将有关部门出具的证明文件送达对方当事人。</w:t>
      </w:r>
    </w:p>
    <w:p w14:paraId="7A3ED91B">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2.13.3 因不可抗力致使不能实现合同目的的，当事人可以解除合同；</w:t>
      </w:r>
    </w:p>
    <w:p w14:paraId="5E0494C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2.13.4 因不可抗力致使合同有变更必要的，双方当事人应在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约定时间内以书面形式变更合同；</w:t>
      </w:r>
    </w:p>
    <w:p w14:paraId="52EA491A">
      <w:pPr>
        <w:spacing w:line="360" w:lineRule="auto"/>
        <w:ind w:firstLine="482" w:firstLineChars="200"/>
        <w:rPr>
          <w:rFonts w:ascii="仿宋_GB2312" w:hAnsi="楷体" w:eastAsia="仿宋_GB2312"/>
          <w:b/>
          <w:color w:val="auto"/>
          <w:sz w:val="24"/>
          <w:highlight w:val="none"/>
        </w:rPr>
      </w:pPr>
      <w:bookmarkStart w:id="277" w:name="_Toc6969"/>
      <w:bookmarkStart w:id="278" w:name="_Toc259093684"/>
      <w:bookmarkStart w:id="279" w:name="_Toc279701255"/>
      <w:bookmarkStart w:id="280" w:name="_Toc689"/>
      <w:bookmarkStart w:id="281" w:name="_Toc487900365"/>
      <w:bookmarkStart w:id="282" w:name="_Toc30676"/>
      <w:r>
        <w:rPr>
          <w:rFonts w:hint="eastAsia" w:ascii="仿宋_GB2312" w:hAnsi="楷体" w:eastAsia="仿宋_GB2312"/>
          <w:b/>
          <w:color w:val="auto"/>
          <w:sz w:val="24"/>
          <w:highlight w:val="none"/>
        </w:rPr>
        <w:t>2.14 税费</w:t>
      </w:r>
      <w:bookmarkEnd w:id="277"/>
      <w:bookmarkEnd w:id="278"/>
      <w:bookmarkEnd w:id="279"/>
      <w:bookmarkEnd w:id="280"/>
      <w:bookmarkEnd w:id="281"/>
      <w:bookmarkEnd w:id="282"/>
    </w:p>
    <w:p w14:paraId="2ABFAE2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与合同有关的一切税费，均按照中华人民共和国法律的相关规定执行。</w:t>
      </w:r>
    </w:p>
    <w:p w14:paraId="072DFDF7">
      <w:pPr>
        <w:spacing w:line="360" w:lineRule="auto"/>
        <w:ind w:firstLine="482" w:firstLineChars="200"/>
        <w:rPr>
          <w:rFonts w:ascii="仿宋_GB2312" w:hAnsi="楷体" w:eastAsia="仿宋_GB2312"/>
          <w:b/>
          <w:color w:val="auto"/>
          <w:sz w:val="24"/>
          <w:highlight w:val="none"/>
        </w:rPr>
      </w:pPr>
      <w:bookmarkStart w:id="283" w:name="_Toc487900368"/>
      <w:bookmarkStart w:id="284" w:name="_Toc8298"/>
      <w:bookmarkStart w:id="285" w:name="_Toc7102"/>
      <w:bookmarkStart w:id="286" w:name="_Toc259093687"/>
      <w:bookmarkStart w:id="287" w:name="_Toc279701258"/>
      <w:bookmarkStart w:id="288" w:name="_Toc16959"/>
      <w:r>
        <w:rPr>
          <w:rFonts w:hint="eastAsia" w:ascii="仿宋_GB2312" w:hAnsi="楷体" w:eastAsia="仿宋_GB2312"/>
          <w:b/>
          <w:color w:val="auto"/>
          <w:sz w:val="24"/>
          <w:highlight w:val="none"/>
        </w:rPr>
        <w:t>2.15 乙方破产</w:t>
      </w:r>
      <w:bookmarkEnd w:id="283"/>
      <w:bookmarkEnd w:id="284"/>
      <w:bookmarkEnd w:id="285"/>
      <w:bookmarkEnd w:id="286"/>
      <w:bookmarkEnd w:id="287"/>
      <w:bookmarkEnd w:id="288"/>
    </w:p>
    <w:p w14:paraId="642C462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84D1973">
      <w:pPr>
        <w:spacing w:line="360" w:lineRule="auto"/>
        <w:ind w:firstLine="482" w:firstLineChars="200"/>
        <w:rPr>
          <w:rFonts w:ascii="仿宋_GB2312" w:hAnsi="楷体" w:eastAsia="仿宋_GB2312"/>
          <w:b/>
          <w:color w:val="auto"/>
          <w:sz w:val="24"/>
          <w:highlight w:val="none"/>
        </w:rPr>
      </w:pPr>
      <w:bookmarkStart w:id="289" w:name="_Toc29333"/>
      <w:bookmarkStart w:id="290" w:name="_Toc15387"/>
      <w:bookmarkStart w:id="291" w:name="_Toc6134"/>
      <w:r>
        <w:rPr>
          <w:rFonts w:hint="eastAsia" w:ascii="仿宋_GB2312" w:hAnsi="楷体" w:eastAsia="仿宋_GB2312"/>
          <w:b/>
          <w:color w:val="auto"/>
          <w:sz w:val="24"/>
          <w:highlight w:val="none"/>
        </w:rPr>
        <w:t>2.16 合同中止、终止</w:t>
      </w:r>
      <w:bookmarkEnd w:id="289"/>
      <w:bookmarkEnd w:id="290"/>
      <w:bookmarkEnd w:id="291"/>
    </w:p>
    <w:p w14:paraId="1F46FB5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2.16.1 双方当事人不得擅自中止或者终止合同；</w:t>
      </w:r>
    </w:p>
    <w:p w14:paraId="2D40CB9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18876FE8">
      <w:pPr>
        <w:spacing w:line="360" w:lineRule="auto"/>
        <w:ind w:firstLine="482" w:firstLineChars="200"/>
        <w:rPr>
          <w:rFonts w:ascii="仿宋_GB2312" w:hAnsi="楷体" w:eastAsia="仿宋_GB2312"/>
          <w:b/>
          <w:color w:val="auto"/>
          <w:sz w:val="24"/>
          <w:highlight w:val="none"/>
        </w:rPr>
      </w:pPr>
      <w:bookmarkStart w:id="292" w:name="_Toc14563"/>
      <w:bookmarkStart w:id="293" w:name="_Toc6596"/>
      <w:bookmarkStart w:id="294" w:name="_Toc1125"/>
      <w:r>
        <w:rPr>
          <w:rFonts w:hint="eastAsia" w:ascii="仿宋_GB2312" w:hAnsi="楷体" w:eastAsia="仿宋_GB2312"/>
          <w:b/>
          <w:color w:val="auto"/>
          <w:sz w:val="24"/>
          <w:highlight w:val="none"/>
        </w:rPr>
        <w:t>2.17 检验和验收</w:t>
      </w:r>
      <w:bookmarkEnd w:id="292"/>
      <w:bookmarkEnd w:id="293"/>
      <w:bookmarkEnd w:id="294"/>
    </w:p>
    <w:p w14:paraId="2B9998B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auto"/>
          <w:sz w:val="24"/>
          <w:highlight w:val="none"/>
          <w:u w:val="single"/>
        </w:rPr>
        <w:t>合同专用条款</w:t>
      </w:r>
      <w:r>
        <w:rPr>
          <w:rFonts w:hint="eastAsia" w:ascii="仿宋_GB2312" w:hAnsi="楷体" w:eastAsia="仿宋_GB2312"/>
          <w:color w:val="auto"/>
          <w:sz w:val="24"/>
          <w:highlight w:val="none"/>
        </w:rPr>
        <w:t>约定时间内组织验收，并可依法邀请相关方参加，验收应出具验收书。</w:t>
      </w:r>
    </w:p>
    <w:p w14:paraId="419D5270">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090F2A61">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检验和验收标准、程序等具体内容以及前述验收书的效力详见</w:t>
      </w:r>
      <w:r>
        <w:rPr>
          <w:rFonts w:hint="eastAsia" w:ascii="仿宋_GB2312" w:hAnsi="楷体" w:eastAsia="仿宋_GB2312"/>
          <w:b/>
          <w:i/>
          <w:color w:val="auto"/>
          <w:sz w:val="24"/>
          <w:highlight w:val="none"/>
          <w:u w:val="single"/>
        </w:rPr>
        <w:t>合同专用条款</w:t>
      </w:r>
      <w:r>
        <w:rPr>
          <w:rFonts w:hint="eastAsia" w:ascii="仿宋_GB2312" w:hAnsi="楷体" w:eastAsia="仿宋_GB2312"/>
          <w:i/>
          <w:color w:val="auto"/>
          <w:sz w:val="24"/>
          <w:highlight w:val="none"/>
        </w:rPr>
        <w:t>。</w:t>
      </w:r>
    </w:p>
    <w:bookmarkEnd w:id="264"/>
    <w:bookmarkEnd w:id="265"/>
    <w:bookmarkEnd w:id="266"/>
    <w:bookmarkEnd w:id="267"/>
    <w:p w14:paraId="78ECB7D7">
      <w:pPr>
        <w:spacing w:line="360" w:lineRule="auto"/>
        <w:ind w:firstLine="482" w:firstLineChars="200"/>
        <w:rPr>
          <w:rFonts w:ascii="仿宋_GB2312" w:hAnsi="楷体" w:eastAsia="仿宋_GB2312"/>
          <w:b/>
          <w:color w:val="auto"/>
          <w:sz w:val="24"/>
          <w:highlight w:val="none"/>
        </w:rPr>
      </w:pPr>
      <w:bookmarkStart w:id="295" w:name="_Toc259093690"/>
      <w:bookmarkStart w:id="296" w:name="_Toc279701261"/>
      <w:bookmarkStart w:id="297" w:name="_Toc487900371"/>
      <w:bookmarkStart w:id="298" w:name="_Toc25182"/>
      <w:bookmarkStart w:id="299" w:name="_Toc19604"/>
      <w:bookmarkStart w:id="300" w:name="_Toc11284"/>
      <w:r>
        <w:rPr>
          <w:rFonts w:hint="eastAsia" w:ascii="仿宋_GB2312" w:hAnsi="楷体" w:eastAsia="仿宋_GB2312"/>
          <w:b/>
          <w:color w:val="auto"/>
          <w:sz w:val="24"/>
          <w:highlight w:val="none"/>
        </w:rPr>
        <w:t>2.18 通知</w:t>
      </w:r>
      <w:bookmarkEnd w:id="295"/>
      <w:bookmarkEnd w:id="296"/>
      <w:bookmarkEnd w:id="297"/>
      <w:r>
        <w:rPr>
          <w:rFonts w:hint="eastAsia" w:ascii="仿宋_GB2312" w:hAnsi="楷体" w:eastAsia="仿宋_GB2312"/>
          <w:b/>
          <w:color w:val="auto"/>
          <w:sz w:val="24"/>
          <w:highlight w:val="none"/>
        </w:rPr>
        <w:t>和送达</w:t>
      </w:r>
      <w:bookmarkEnd w:id="298"/>
      <w:bookmarkEnd w:id="299"/>
      <w:bookmarkEnd w:id="300"/>
    </w:p>
    <w:p w14:paraId="7F4EF9FE">
      <w:pPr>
        <w:spacing w:line="360" w:lineRule="auto"/>
        <w:ind w:firstLine="480" w:firstLineChars="200"/>
        <w:rPr>
          <w:rFonts w:ascii="仿宋_GB2312" w:hAnsi="楷体" w:eastAsia="仿宋_GB2312"/>
          <w:color w:val="auto"/>
          <w:sz w:val="24"/>
          <w:highlight w:val="none"/>
        </w:rPr>
      </w:pPr>
      <w:bookmarkStart w:id="301" w:name="_Toc3135"/>
      <w:bookmarkStart w:id="302" w:name="_Toc6698"/>
      <w:bookmarkStart w:id="303" w:name="_Toc487900372"/>
      <w:bookmarkStart w:id="304" w:name="_Toc259093691"/>
      <w:bookmarkStart w:id="305" w:name="_Toc279701262"/>
      <w:r>
        <w:rPr>
          <w:rFonts w:hint="eastAsia" w:ascii="仿宋_GB2312" w:hAnsi="楷体" w:eastAsia="仿宋_GB2312"/>
          <w:color w:val="auto"/>
          <w:sz w:val="24"/>
          <w:highlight w:val="none"/>
        </w:rPr>
        <w:t>2.18.1 任何一方因履行合同而以合同第一部分尾部所列明的</w:t>
      </w:r>
      <w:r>
        <w:rPr>
          <w:rFonts w:hint="eastAsia" w:ascii="仿宋_GB2312" w:hAnsi="楷体" w:eastAsia="仿宋_GB2312"/>
          <w:color w:val="auto"/>
          <w:sz w:val="24"/>
          <w:highlight w:val="none"/>
          <w:u w:val="single"/>
        </w:rPr>
        <w:t>“约定送达地址”</w:t>
      </w:r>
      <w:r>
        <w:rPr>
          <w:rFonts w:hint="eastAsia" w:ascii="仿宋_GB2312" w:hAnsi="楷体" w:eastAsia="仿宋_GB2312"/>
          <w:color w:val="auto"/>
          <w:sz w:val="24"/>
          <w:highlight w:val="none"/>
        </w:rPr>
        <w:t>为收件地址的所有通知、文件、材料，均视为已向对方当事人送达；任何一方变更上述送达方式或者地址的，应于</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个工作日内书面通知对方当事人，在对方当事人收到有关变更通知之前，变更前的约定送达方式或者地址仍视为有效。</w:t>
      </w:r>
      <w:bookmarkEnd w:id="301"/>
      <w:bookmarkEnd w:id="302"/>
    </w:p>
    <w:p w14:paraId="1A238C88">
      <w:pPr>
        <w:spacing w:line="360" w:lineRule="auto"/>
        <w:ind w:firstLine="480" w:firstLineChars="200"/>
        <w:rPr>
          <w:rFonts w:ascii="仿宋_GB2312" w:hAnsi="楷体" w:eastAsia="仿宋_GB2312"/>
          <w:color w:val="auto"/>
          <w:sz w:val="24"/>
          <w:highlight w:val="none"/>
        </w:rPr>
      </w:pPr>
      <w:bookmarkStart w:id="306" w:name="_Toc23294"/>
      <w:bookmarkStart w:id="307" w:name="_Toc23128"/>
      <w:r>
        <w:rPr>
          <w:rFonts w:hint="eastAsia" w:ascii="仿宋_GB2312" w:hAnsi="楷体" w:eastAsia="仿宋_GB2312"/>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306"/>
      <w:bookmarkEnd w:id="307"/>
    </w:p>
    <w:p w14:paraId="3B20E919">
      <w:pPr>
        <w:spacing w:line="360" w:lineRule="auto"/>
        <w:ind w:firstLine="482" w:firstLineChars="200"/>
        <w:rPr>
          <w:rFonts w:ascii="仿宋_GB2312" w:hAnsi="楷体" w:eastAsia="仿宋_GB2312"/>
          <w:b/>
          <w:color w:val="auto"/>
          <w:sz w:val="24"/>
          <w:highlight w:val="none"/>
        </w:rPr>
      </w:pPr>
      <w:bookmarkStart w:id="308" w:name="_Toc30599"/>
      <w:bookmarkStart w:id="309" w:name="_Toc4355"/>
      <w:bookmarkStart w:id="310" w:name="_Toc18540"/>
      <w:r>
        <w:rPr>
          <w:rFonts w:hint="eastAsia" w:ascii="仿宋_GB2312" w:hAnsi="楷体" w:eastAsia="仿宋_GB2312"/>
          <w:b/>
          <w:color w:val="auto"/>
          <w:sz w:val="24"/>
          <w:highlight w:val="none"/>
        </w:rPr>
        <w:t>2.19 计量单位</w:t>
      </w:r>
      <w:bookmarkEnd w:id="303"/>
      <w:bookmarkEnd w:id="304"/>
      <w:bookmarkEnd w:id="305"/>
      <w:bookmarkEnd w:id="308"/>
      <w:bookmarkEnd w:id="309"/>
      <w:bookmarkEnd w:id="310"/>
    </w:p>
    <w:p w14:paraId="60182763">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除技术规范中另有规定外,合同的计量单位均使用国家法定计量单位。</w:t>
      </w:r>
    </w:p>
    <w:p w14:paraId="6BB9CC40">
      <w:pPr>
        <w:spacing w:line="360" w:lineRule="auto"/>
        <w:ind w:firstLine="482" w:firstLineChars="200"/>
        <w:rPr>
          <w:rFonts w:ascii="仿宋_GB2312" w:hAnsi="楷体" w:eastAsia="仿宋_GB2312"/>
          <w:b/>
          <w:color w:val="auto"/>
          <w:sz w:val="24"/>
          <w:highlight w:val="none"/>
        </w:rPr>
      </w:pPr>
      <w:bookmarkStart w:id="311" w:name="_Toc487900373"/>
      <w:bookmarkStart w:id="312" w:name="_Toc18567"/>
      <w:bookmarkStart w:id="313" w:name="_Toc259093692"/>
      <w:bookmarkStart w:id="314" w:name="_Toc279701263"/>
      <w:bookmarkStart w:id="315" w:name="_Toc12773"/>
      <w:bookmarkStart w:id="316" w:name="_Toc10330"/>
      <w:r>
        <w:rPr>
          <w:rFonts w:hint="eastAsia" w:ascii="仿宋_GB2312" w:hAnsi="楷体" w:eastAsia="仿宋_GB2312"/>
          <w:b/>
          <w:color w:val="auto"/>
          <w:sz w:val="24"/>
          <w:highlight w:val="none"/>
        </w:rPr>
        <w:t>2.20 合同使用的文字和适用的法律</w:t>
      </w:r>
      <w:bookmarkEnd w:id="311"/>
      <w:bookmarkEnd w:id="312"/>
      <w:bookmarkEnd w:id="313"/>
      <w:bookmarkEnd w:id="314"/>
      <w:bookmarkEnd w:id="315"/>
      <w:bookmarkEnd w:id="316"/>
    </w:p>
    <w:p w14:paraId="3CBB3BF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2.20.1 合同使用汉语书就、变更和解释；</w:t>
      </w:r>
    </w:p>
    <w:p w14:paraId="64F127F9">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2.20.2 合同适用中华人民共和国法律。</w:t>
      </w:r>
    </w:p>
    <w:p w14:paraId="7CF8C4B9">
      <w:pPr>
        <w:spacing w:line="360" w:lineRule="auto"/>
        <w:ind w:firstLine="482" w:firstLineChars="200"/>
        <w:rPr>
          <w:rFonts w:ascii="仿宋_GB2312" w:hAnsi="楷体" w:eastAsia="仿宋_GB2312"/>
          <w:b/>
          <w:color w:val="auto"/>
          <w:sz w:val="24"/>
          <w:highlight w:val="none"/>
        </w:rPr>
      </w:pPr>
      <w:bookmarkStart w:id="317" w:name="_Toc259093693"/>
      <w:bookmarkStart w:id="318" w:name="_Toc12004"/>
      <w:bookmarkStart w:id="319" w:name="_Toc3148"/>
      <w:bookmarkStart w:id="320" w:name="_Toc16673"/>
      <w:bookmarkStart w:id="321" w:name="_Toc279701264"/>
      <w:bookmarkStart w:id="322" w:name="_Toc487900374"/>
      <w:r>
        <w:rPr>
          <w:rFonts w:hint="eastAsia" w:ascii="仿宋_GB2312" w:hAnsi="楷体" w:eastAsia="仿宋_GB2312"/>
          <w:b/>
          <w:color w:val="auto"/>
          <w:sz w:val="24"/>
          <w:highlight w:val="none"/>
        </w:rPr>
        <w:t>2.21 履约保证金</w:t>
      </w:r>
      <w:bookmarkEnd w:id="317"/>
      <w:bookmarkEnd w:id="318"/>
      <w:bookmarkEnd w:id="319"/>
      <w:bookmarkEnd w:id="320"/>
      <w:bookmarkEnd w:id="321"/>
    </w:p>
    <w:p w14:paraId="406009E6">
      <w:pPr>
        <w:spacing w:line="360" w:lineRule="auto"/>
        <w:ind w:firstLine="480" w:firstLineChars="200"/>
        <w:rPr>
          <w:rFonts w:ascii="仿宋_GB2312" w:hAnsi="仿宋" w:eastAsia="仿宋_GB2312" w:cs="Arial"/>
          <w:snapToGrid w:val="0"/>
          <w:color w:val="auto"/>
          <w:kern w:val="0"/>
          <w:sz w:val="24"/>
          <w:highlight w:val="none"/>
        </w:rPr>
      </w:pPr>
      <w:r>
        <w:rPr>
          <w:rFonts w:hint="eastAsia" w:ascii="仿宋_GB2312" w:hAnsi="楷体" w:eastAsia="仿宋_GB2312"/>
          <w:color w:val="auto"/>
          <w:sz w:val="24"/>
          <w:highlight w:val="none"/>
        </w:rPr>
        <w:t>本项目不收取履约保证金</w:t>
      </w:r>
    </w:p>
    <w:p w14:paraId="3B1C3C5F">
      <w:pPr>
        <w:spacing w:line="360" w:lineRule="auto"/>
        <w:ind w:firstLine="482" w:firstLineChars="200"/>
        <w:rPr>
          <w:rFonts w:ascii="仿宋_GB2312" w:hAnsi="仿宋" w:eastAsia="仿宋_GB2312"/>
          <w:color w:val="auto"/>
          <w:kern w:val="0"/>
          <w:sz w:val="24"/>
          <w:highlight w:val="none"/>
          <w:lang w:val="zh-CN"/>
        </w:rPr>
      </w:pPr>
      <w:r>
        <w:rPr>
          <w:rFonts w:hint="eastAsia" w:ascii="仿宋_GB2312" w:hAnsi="楷体" w:eastAsia="仿宋_GB2312"/>
          <w:b/>
          <w:color w:val="auto"/>
          <w:sz w:val="24"/>
          <w:highlight w:val="none"/>
        </w:rPr>
        <w:t>2.22 中小企业政策</w:t>
      </w:r>
    </w:p>
    <w:p w14:paraId="72202C0C">
      <w:pPr>
        <w:spacing w:line="360" w:lineRule="auto"/>
        <w:ind w:firstLine="480" w:firstLineChars="200"/>
        <w:rPr>
          <w:rFonts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2.22.1本合同（□是  □否）为可融资合同，关于中小企业信用融资事项见采购文件“投标人须知正文”。</w:t>
      </w:r>
    </w:p>
    <w:p w14:paraId="3A5017B9">
      <w:pPr>
        <w:spacing w:line="360" w:lineRule="auto"/>
        <w:ind w:firstLine="480" w:firstLineChars="200"/>
        <w:rPr>
          <w:rFonts w:ascii="仿宋_GB2312" w:hAnsi="仿宋" w:eastAsia="仿宋_GB2312"/>
          <w:color w:val="auto"/>
          <w:kern w:val="0"/>
          <w:sz w:val="24"/>
          <w:highlight w:val="none"/>
          <w:lang w:val="zh-CN"/>
        </w:rPr>
      </w:pPr>
      <w:r>
        <w:rPr>
          <w:rFonts w:hint="eastAsia" w:ascii="仿宋_GB2312" w:hAnsi="仿宋" w:eastAsia="仿宋_GB2312"/>
          <w:color w:val="auto"/>
          <w:kern w:val="0"/>
          <w:sz w:val="24"/>
          <w:highlight w:val="none"/>
          <w:lang w:val="zh-CN"/>
        </w:rPr>
        <w:t>2.22.2</w:t>
      </w:r>
      <w:r>
        <w:rPr>
          <w:rFonts w:ascii="仿宋_GB2312" w:hAnsi="仿宋" w:eastAsia="仿宋_GB2312"/>
          <w:color w:val="auto"/>
          <w:kern w:val="0"/>
          <w:sz w:val="24"/>
          <w:highlight w:val="none"/>
          <w:lang w:val="zh-CN"/>
        </w:rPr>
        <w:t xml:space="preserve">本合同（□是  </w:t>
      </w:r>
      <w:r>
        <w:rPr>
          <w:rFonts w:hint="eastAsia" w:ascii="仿宋_GB2312" w:hAnsi="仿宋" w:eastAsia="仿宋_GB2312"/>
          <w:color w:val="auto"/>
          <w:kern w:val="0"/>
          <w:sz w:val="24"/>
          <w:highlight w:val="none"/>
          <w:lang w:val="zh-CN"/>
        </w:rPr>
        <w:t>□否）为中小企业预留合同。</w:t>
      </w:r>
    </w:p>
    <w:bookmarkEnd w:id="322"/>
    <w:p w14:paraId="315E6E17">
      <w:pPr>
        <w:spacing w:line="360" w:lineRule="auto"/>
        <w:ind w:firstLine="482" w:firstLineChars="200"/>
        <w:rPr>
          <w:rFonts w:ascii="仿宋_GB2312" w:hAnsi="楷体" w:eastAsia="仿宋_GB2312"/>
          <w:b/>
          <w:color w:val="auto"/>
          <w:sz w:val="24"/>
          <w:highlight w:val="none"/>
        </w:rPr>
      </w:pPr>
      <w:bookmarkStart w:id="323" w:name="_Toc14001"/>
      <w:bookmarkStart w:id="324" w:name="_Toc6885"/>
      <w:bookmarkStart w:id="325" w:name="_Toc19890"/>
      <w:r>
        <w:rPr>
          <w:rFonts w:hint="eastAsia" w:ascii="仿宋_GB2312" w:hAnsi="楷体" w:eastAsia="仿宋_GB2312"/>
          <w:b/>
          <w:color w:val="auto"/>
          <w:sz w:val="24"/>
          <w:highlight w:val="none"/>
        </w:rPr>
        <w:t>2.23 合同份数</w:t>
      </w:r>
      <w:bookmarkEnd w:id="323"/>
      <w:bookmarkEnd w:id="324"/>
      <w:bookmarkEnd w:id="325"/>
    </w:p>
    <w:p w14:paraId="55976C25">
      <w:pPr>
        <w:spacing w:line="360" w:lineRule="auto"/>
        <w:ind w:firstLine="480" w:firstLineChars="200"/>
        <w:rPr>
          <w:rFonts w:ascii="仿宋_GB2312" w:hAnsi="楷体" w:eastAsia="仿宋_GB2312"/>
          <w:color w:val="auto"/>
          <w:sz w:val="24"/>
          <w:highlight w:val="none"/>
        </w:rPr>
      </w:pPr>
      <w:r>
        <w:rPr>
          <w:rFonts w:hint="eastAsia" w:ascii="仿宋_GB2312" w:hAnsi="宋体" w:eastAsia="仿宋_GB2312"/>
          <w:color w:val="auto"/>
          <w:sz w:val="24"/>
          <w:highlight w:val="none"/>
        </w:rPr>
        <w:t>本合同壹式</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 xml:space="preserve">  </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rPr>
        <w:t>份，乙方执</w:t>
      </w:r>
      <w:r>
        <w:rPr>
          <w:rFonts w:hint="eastAsia" w:ascii="仿宋_GB2312" w:hAnsi="仿宋" w:eastAsia="仿宋_GB2312"/>
          <w:color w:val="auto"/>
          <w:sz w:val="24"/>
          <w:highlight w:val="none"/>
          <w:u w:val="single"/>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份。</w:t>
      </w:r>
      <w:r>
        <w:rPr>
          <w:rFonts w:hint="eastAsia" w:ascii="仿宋_GB2312" w:hAnsi="楷体" w:eastAsia="仿宋_GB2312"/>
          <w:color w:val="auto"/>
          <w:sz w:val="24"/>
          <w:highlight w:val="none"/>
        </w:rPr>
        <w:t>每份均具有同等法律效力。</w:t>
      </w:r>
    </w:p>
    <w:p w14:paraId="406C32A6">
      <w:pPr>
        <w:spacing w:line="360" w:lineRule="auto"/>
        <w:jc w:val="center"/>
        <w:rPr>
          <w:rFonts w:ascii="仿宋_GB2312" w:hAnsi="楷体" w:eastAsia="仿宋_GB2312"/>
          <w:b/>
          <w:color w:val="auto"/>
          <w:sz w:val="28"/>
          <w:szCs w:val="28"/>
          <w:highlight w:val="none"/>
        </w:rPr>
      </w:pPr>
      <w:r>
        <w:rPr>
          <w:rFonts w:hint="eastAsia" w:ascii="仿宋_GB2312" w:hAnsi="楷体" w:eastAsia="仿宋_GB2312"/>
          <w:color w:val="auto"/>
          <w:highlight w:val="none"/>
        </w:rPr>
        <w:br w:type="page"/>
      </w:r>
      <w:bookmarkStart w:id="326" w:name="_Toc331685784"/>
      <w:r>
        <w:rPr>
          <w:rFonts w:hint="eastAsia" w:ascii="仿宋_GB2312" w:hAnsi="楷体" w:eastAsia="仿宋_GB2312"/>
          <w:b/>
          <w:color w:val="auto"/>
          <w:sz w:val="28"/>
          <w:szCs w:val="28"/>
          <w:highlight w:val="none"/>
        </w:rPr>
        <w:t>第三部分  合同专用条款</w:t>
      </w:r>
      <w:bookmarkEnd w:id="326"/>
    </w:p>
    <w:p w14:paraId="3FACE424">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0C9C304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2.3.2具有知识产权的标的物知识产权归属：</w:t>
      </w:r>
    </w:p>
    <w:p w14:paraId="4AA0003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 xml:space="preserve">           </w:t>
      </w:r>
    </w:p>
    <w:p w14:paraId="59CA258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2.4.1包装和装运专用条款（如果有）：</w:t>
      </w:r>
    </w:p>
    <w:p w14:paraId="29E7E7DC">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2182D14E">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2.4.2装运标的物的要求和通知：</w:t>
      </w:r>
    </w:p>
    <w:p w14:paraId="5E692C5F">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16AAB365">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2.6</w:t>
      </w:r>
      <w:r>
        <w:rPr>
          <w:rFonts w:hint="eastAsia" w:ascii="仿宋_GB2312" w:hAnsi="楷体" w:eastAsia="仿宋_GB2312"/>
          <w:b/>
          <w:color w:val="auto"/>
          <w:sz w:val="24"/>
          <w:highlight w:val="none"/>
        </w:rPr>
        <w:t>结算方式和付款条件</w:t>
      </w:r>
    </w:p>
    <w:p w14:paraId="0EA19426">
      <w:pPr>
        <w:spacing w:line="360" w:lineRule="auto"/>
        <w:ind w:firstLine="480" w:firstLineChars="200"/>
        <w:rPr>
          <w:rFonts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本次项目合同总价为大写人民币</w:t>
      </w:r>
      <w:r>
        <w:rPr>
          <w:rFonts w:hint="eastAsia" w:ascii="仿宋_GB2312" w:eastAsia="仿宋_GB2312" w:cs="仿宋_GB2312"/>
          <w:color w:val="auto"/>
          <w:kern w:val="0"/>
          <w:sz w:val="24"/>
          <w:highlight w:val="none"/>
          <w:u w:val="single"/>
          <w:lang w:val="zh-CN"/>
        </w:rPr>
        <w:t xml:space="preserve">            （</w:t>
      </w:r>
      <w:r>
        <w:rPr>
          <w:rFonts w:hint="eastAsia" w:ascii="仿宋_GB2312" w:eastAsia="仿宋_GB2312" w:cs="仿宋_GB2312"/>
          <w:color w:val="auto"/>
          <w:kern w:val="0"/>
          <w:sz w:val="24"/>
          <w:highlight w:val="none"/>
          <w:lang w:val="zh-CN"/>
        </w:rPr>
        <w:t>¥    元）。本项目采用以下勾选结算方式进行支付：</w:t>
      </w:r>
    </w:p>
    <w:p w14:paraId="4DD3054C">
      <w:pPr>
        <w:spacing w:line="360" w:lineRule="auto"/>
        <w:ind w:firstLine="480" w:firstLineChars="200"/>
        <w:rPr>
          <w:rFonts w:ascii="仿宋_GB2312" w:eastAsia="仿宋_GB2312" w:cs="仿宋_GB2312"/>
          <w:color w:val="auto"/>
          <w:kern w:val="0"/>
          <w:sz w:val="24"/>
          <w:highlight w:val="none"/>
          <w:lang w:val="zh-CN"/>
        </w:rPr>
      </w:pPr>
      <w:r>
        <w:rPr>
          <w:rFonts w:hint="eastAsia" w:ascii="仿宋_GB2312" w:eastAsia="仿宋_GB2312" w:cs="仿宋_GB2312"/>
          <w:color w:val="auto"/>
          <w:kern w:val="0"/>
          <w:sz w:val="24"/>
          <w:highlight w:val="none"/>
          <w:lang w:val="zh-CN"/>
        </w:rPr>
        <w:t>□采用一次性支付方式，付款条件为：</w:t>
      </w:r>
      <w:r>
        <w:rPr>
          <w:rFonts w:hint="eastAsia" w:ascii="仿宋_GB2312" w:eastAsia="仿宋_GB2312" w:cs="仿宋_GB2312"/>
          <w:color w:val="auto"/>
          <w:kern w:val="0"/>
          <w:sz w:val="24"/>
          <w:highlight w:val="none"/>
          <w:u w:val="single"/>
        </w:rPr>
        <w:t xml:space="preserve">           </w:t>
      </w:r>
    </w:p>
    <w:p w14:paraId="5A49AD51">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t>□采用分期付款方式，付款条件为</w:t>
      </w:r>
      <w:r>
        <w:rPr>
          <w:rFonts w:hint="eastAsia" w:ascii="仿宋_GB2312" w:eastAsia="仿宋_GB2312" w:cs="仿宋_GB2312"/>
          <w:color w:val="auto"/>
          <w:kern w:val="0"/>
          <w:sz w:val="24"/>
          <w:highlight w:val="none"/>
        </w:rPr>
        <w:t>：</w:t>
      </w:r>
    </w:p>
    <w:p w14:paraId="21E59548">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lang w:val="zh-CN"/>
        </w:rPr>
        <w:t>第一期付款</w:t>
      </w:r>
      <w:r>
        <w:rPr>
          <w:rFonts w:hint="eastAsia" w:ascii="仿宋_GB2312" w:eastAsia="仿宋_GB2312" w:cs="仿宋_GB2312"/>
          <w:color w:val="auto"/>
          <w:kern w:val="0"/>
          <w:sz w:val="24"/>
          <w:highlight w:val="none"/>
        </w:rPr>
        <w:t>：</w:t>
      </w:r>
      <w:r>
        <w:rPr>
          <w:rFonts w:hint="eastAsia" w:ascii="仿宋_GB2312" w:eastAsia="仿宋_GB2312" w:cs="仿宋_GB2312"/>
          <w:color w:val="auto"/>
          <w:kern w:val="0"/>
          <w:sz w:val="24"/>
          <w:highlight w:val="none"/>
          <w:u w:val="single"/>
        </w:rPr>
        <w:t xml:space="preserve">                                        </w:t>
      </w:r>
    </w:p>
    <w:p w14:paraId="5810D3F4">
      <w:pPr>
        <w:spacing w:line="360" w:lineRule="auto"/>
        <w:ind w:firstLine="480" w:firstLineChars="200"/>
        <w:rPr>
          <w:rFonts w:ascii="仿宋_GB2312" w:eastAsia="仿宋_GB2312" w:cs="仿宋_GB2312"/>
          <w:color w:val="auto"/>
          <w:kern w:val="0"/>
          <w:sz w:val="24"/>
          <w:highlight w:val="none"/>
          <w:u w:val="single"/>
        </w:rPr>
      </w:pPr>
      <w:r>
        <w:rPr>
          <w:rFonts w:hint="eastAsia" w:ascii="仿宋_GB2312" w:eastAsia="仿宋_GB2312" w:cs="仿宋_GB2312"/>
          <w:color w:val="auto"/>
          <w:kern w:val="0"/>
          <w:sz w:val="24"/>
          <w:highlight w:val="none"/>
          <w:lang w:val="zh-CN"/>
        </w:rPr>
        <w:t>第</w:t>
      </w:r>
      <w:r>
        <w:rPr>
          <w:rFonts w:hint="eastAsia" w:ascii="仿宋_GB2312" w:eastAsia="仿宋_GB2312" w:cs="仿宋_GB2312"/>
          <w:color w:val="auto"/>
          <w:kern w:val="0"/>
          <w:sz w:val="24"/>
          <w:highlight w:val="none"/>
        </w:rPr>
        <w:t>二</w:t>
      </w:r>
      <w:r>
        <w:rPr>
          <w:rFonts w:hint="eastAsia" w:ascii="仿宋_GB2312" w:eastAsia="仿宋_GB2312" w:cs="仿宋_GB2312"/>
          <w:color w:val="auto"/>
          <w:kern w:val="0"/>
          <w:sz w:val="24"/>
          <w:highlight w:val="none"/>
          <w:lang w:val="zh-CN"/>
        </w:rPr>
        <w:t>期付款</w:t>
      </w:r>
      <w:r>
        <w:rPr>
          <w:rFonts w:hint="eastAsia" w:ascii="仿宋_GB2312" w:eastAsia="仿宋_GB2312" w:cs="仿宋_GB2312"/>
          <w:color w:val="auto"/>
          <w:kern w:val="0"/>
          <w:sz w:val="24"/>
          <w:highlight w:val="none"/>
        </w:rPr>
        <w:t>：</w:t>
      </w:r>
      <w:r>
        <w:rPr>
          <w:rFonts w:hint="eastAsia" w:ascii="仿宋_GB2312" w:eastAsia="仿宋_GB2312" w:cs="仿宋_GB2312"/>
          <w:color w:val="auto"/>
          <w:kern w:val="0"/>
          <w:sz w:val="24"/>
          <w:highlight w:val="none"/>
          <w:u w:val="single"/>
        </w:rPr>
        <w:t xml:space="preserve">                                        </w:t>
      </w:r>
    </w:p>
    <w:p w14:paraId="3A6C17A8">
      <w:pPr>
        <w:spacing w:line="360" w:lineRule="auto"/>
        <w:ind w:firstLine="480" w:firstLineChars="200"/>
        <w:rPr>
          <w:rFonts w:ascii="仿宋_GB2312" w:eastAsia="仿宋_GB2312" w:cs="仿宋_GB2312"/>
          <w:color w:val="auto"/>
          <w:kern w:val="0"/>
          <w:sz w:val="24"/>
          <w:highlight w:val="none"/>
        </w:rPr>
      </w:pPr>
      <w:r>
        <w:rPr>
          <w:rFonts w:hint="eastAsia" w:ascii="仿宋_GB2312" w:eastAsia="仿宋_GB2312" w:cs="仿宋_GB2312"/>
          <w:color w:val="auto"/>
          <w:kern w:val="0"/>
          <w:sz w:val="24"/>
          <w:highlight w:val="none"/>
        </w:rPr>
        <w:t>……</w:t>
      </w:r>
    </w:p>
    <w:p w14:paraId="0412517D">
      <w:pPr>
        <w:spacing w:line="360" w:lineRule="auto"/>
        <w:ind w:firstLine="480" w:firstLineChars="200"/>
        <w:rPr>
          <w:rFonts w:ascii="仿宋_GB2312" w:eastAsia="仿宋_GB2312" w:cs="仿宋_GB2312"/>
          <w:color w:val="auto"/>
          <w:kern w:val="0"/>
          <w:sz w:val="24"/>
          <w:highlight w:val="none"/>
          <w:lang w:val="zh-CN"/>
        </w:rPr>
      </w:pPr>
      <w:r>
        <w:rPr>
          <w:rFonts w:hint="eastAsia" w:ascii="仿宋_GB2312" w:hAnsi="仿宋" w:eastAsia="仿宋_GB2312"/>
          <w:color w:val="auto"/>
          <w:sz w:val="24"/>
          <w:highlight w:val="none"/>
        </w:rPr>
        <w:t>甲方无故逾期支付货物费用的，按照每逾期一日支付欠付货物费额度的</w:t>
      </w:r>
      <w:r>
        <w:rPr>
          <w:rFonts w:hint="eastAsia" w:ascii="仿宋_GB2312" w:hAnsi="仿宋" w:eastAsia="仿宋_GB2312"/>
          <w:color w:val="auto"/>
          <w:sz w:val="24"/>
          <w:highlight w:val="none"/>
          <w:u w:val="single"/>
        </w:rPr>
        <w:t>万分之五</w:t>
      </w:r>
      <w:r>
        <w:rPr>
          <w:rFonts w:hint="eastAsia" w:ascii="仿宋_GB2312" w:hAnsi="仿宋" w:eastAsia="仿宋_GB2312"/>
          <w:color w:val="auto"/>
          <w:sz w:val="24"/>
          <w:highlight w:val="none"/>
        </w:rPr>
        <w:t>（</w:t>
      </w:r>
      <w:r>
        <w:rPr>
          <w:rFonts w:hint="eastAsia" w:ascii="仿宋_GB2312" w:hAnsi="楷体" w:eastAsia="仿宋_GB2312"/>
          <w:color w:val="auto"/>
          <w:sz w:val="24"/>
          <w:highlight w:val="none"/>
        </w:rPr>
        <w:t>根据项目实际填写，一般为万分之五</w:t>
      </w:r>
      <w:r>
        <w:rPr>
          <w:rFonts w:hint="eastAsia" w:ascii="仿宋_GB2312" w:hAnsi="仿宋" w:eastAsia="仿宋_GB2312"/>
          <w:color w:val="auto"/>
          <w:sz w:val="24"/>
          <w:highlight w:val="none"/>
        </w:rPr>
        <w:t>）承担违约责任，违约金上限按照《合同书》约定执行。</w:t>
      </w:r>
    </w:p>
    <w:p w14:paraId="25FBAEC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（温馨提示：根据《广西壮族自治区财政厅关于进一步发挥政府采购政策功能促进企业发展的通知》（</w:t>
      </w:r>
      <w:r>
        <w:rPr>
          <w:rFonts w:hint="eastAsia" w:ascii="仿宋_GB2312" w:hAnsi="楷体" w:eastAsia="仿宋_GB2312" w:cs="Times New Roman"/>
          <w:color w:val="auto"/>
          <w:sz w:val="24"/>
          <w:highlight w:val="none"/>
        </w:rPr>
        <w:t>《广西壮族自治区财政厅关于</w:t>
      </w:r>
      <w:r>
        <w:rPr>
          <w:rFonts w:hint="eastAsia" w:ascii="仿宋_GB2312" w:hAnsi="楷体" w:eastAsia="仿宋_GB2312" w:cs="Times New Roman"/>
          <w:color w:val="auto"/>
          <w:sz w:val="24"/>
          <w:highlight w:val="none"/>
          <w:lang w:val="en-US" w:eastAsia="zh-CN"/>
        </w:rPr>
        <w:t>持续优化政府采购营商环境推动商质量发展的</w:t>
      </w:r>
      <w:r>
        <w:rPr>
          <w:rFonts w:hint="eastAsia" w:ascii="仿宋_GB2312" w:hAnsi="楷体" w:eastAsia="仿宋_GB2312" w:cs="Times New Roman"/>
          <w:color w:val="auto"/>
          <w:sz w:val="24"/>
          <w:highlight w:val="none"/>
        </w:rPr>
        <w:t>通知》（桂财采〔202</w:t>
      </w:r>
      <w:r>
        <w:rPr>
          <w:rFonts w:hint="eastAsia" w:ascii="仿宋_GB2312" w:hAnsi="楷体" w:eastAsia="仿宋_GB2312" w:cs="Times New Roman"/>
          <w:color w:val="auto"/>
          <w:sz w:val="24"/>
          <w:highlight w:val="none"/>
          <w:lang w:val="en-US" w:eastAsia="zh-CN"/>
        </w:rPr>
        <w:t>4</w:t>
      </w:r>
      <w:r>
        <w:rPr>
          <w:rFonts w:hint="eastAsia" w:ascii="仿宋_GB2312" w:hAnsi="楷体" w:eastAsia="仿宋_GB2312" w:cs="Times New Roman"/>
          <w:color w:val="auto"/>
          <w:sz w:val="24"/>
          <w:highlight w:val="none"/>
        </w:rPr>
        <w:t>〕</w:t>
      </w:r>
      <w:r>
        <w:rPr>
          <w:rFonts w:hint="eastAsia" w:ascii="仿宋_GB2312" w:hAnsi="楷体" w:eastAsia="仿宋_GB2312" w:cs="Times New Roman"/>
          <w:color w:val="auto"/>
          <w:sz w:val="24"/>
          <w:highlight w:val="none"/>
          <w:lang w:val="en-US" w:eastAsia="zh-CN"/>
        </w:rPr>
        <w:t>55</w:t>
      </w:r>
      <w:r>
        <w:rPr>
          <w:rFonts w:hint="eastAsia" w:ascii="仿宋_GB2312" w:hAnsi="楷体" w:eastAsia="仿宋_GB2312" w:cs="Times New Roman"/>
          <w:color w:val="auto"/>
          <w:sz w:val="24"/>
          <w:highlight w:val="none"/>
        </w:rPr>
        <w:t>号）</w:t>
      </w:r>
      <w:r>
        <w:rPr>
          <w:rFonts w:hint="eastAsia" w:ascii="仿宋_GB2312" w:hAnsi="楷体" w:eastAsia="仿宋_GB2312"/>
          <w:color w:val="auto"/>
          <w:sz w:val="24"/>
          <w:highlight w:val="none"/>
        </w:rPr>
        <w:t>及《2023年广西优化营商环境行动方案》等规定，政府采购货物和服务的采购人在政府采购合同中约定预付款比例的，采购合同履行期超过30天，对中小企业合同预付款比例应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68ED6263">
      <w:pPr>
        <w:spacing w:line="360" w:lineRule="auto"/>
        <w:ind w:firstLine="480" w:firstLineChars="200"/>
        <w:rPr>
          <w:rFonts w:ascii="仿宋_GB2312" w:hAnsi="楷体" w:eastAsia="仿宋_GB2312"/>
          <w:b/>
          <w:color w:val="auto"/>
          <w:sz w:val="24"/>
          <w:highlight w:val="none"/>
        </w:rPr>
      </w:pPr>
      <w:r>
        <w:rPr>
          <w:rFonts w:hint="eastAsia" w:ascii="仿宋_GB2312" w:hAnsi="楷体" w:eastAsia="仿宋_GB2312"/>
          <w:color w:val="auto"/>
          <w:sz w:val="24"/>
          <w:highlight w:val="none"/>
        </w:rPr>
        <w:t>2.9</w:t>
      </w:r>
      <w:r>
        <w:rPr>
          <w:rFonts w:hint="eastAsia" w:ascii="仿宋_GB2312" w:hAnsi="楷体" w:eastAsia="仿宋_GB2312"/>
          <w:b/>
          <w:color w:val="auto"/>
          <w:sz w:val="24"/>
          <w:highlight w:val="none"/>
        </w:rPr>
        <w:t>标的物的风险负担</w:t>
      </w:r>
    </w:p>
    <w:p w14:paraId="1091C94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标的物或者在途标的物或者交付给第一承运人后的标的物毁损、灭失的风险负担：</w:t>
      </w:r>
    </w:p>
    <w:p w14:paraId="123AEA2E">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乙方                                                                       </w:t>
      </w:r>
    </w:p>
    <w:p w14:paraId="064DB716">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2.13.2受不可抗力影响的一方在不可抗力发生后，应在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日内以书面形式通知对方当事人，并在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日内，将有关部门出具的证明文件送达对方当事人。</w:t>
      </w:r>
    </w:p>
    <w:p w14:paraId="3DBEC127">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2.13.4因不可抗力致使合同有变更必要的，双方当事人应在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日内以书面形式变更合同；</w:t>
      </w:r>
    </w:p>
    <w:p w14:paraId="1C374168">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日内发起验收，并可依法邀请相关方参加，验收应出具验收书。</w:t>
      </w:r>
    </w:p>
    <w:p w14:paraId="09F1172D">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2.17.3 检验和验收标准、程序等具体内容以及前述验收书的效力：</w:t>
      </w:r>
    </w:p>
    <w:p w14:paraId="21506F5B">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2EC68F8F">
      <w:pPr>
        <w:spacing w:line="360" w:lineRule="auto"/>
        <w:ind w:firstLine="480" w:firstLineChars="200"/>
        <w:rPr>
          <w:rFonts w:ascii="仿宋_GB2312" w:hAnsi="楷体" w:eastAsia="仿宋_GB2312"/>
          <w:color w:val="auto"/>
          <w:sz w:val="24"/>
          <w:highlight w:val="none"/>
        </w:rPr>
      </w:pPr>
      <w:r>
        <w:rPr>
          <w:rFonts w:hint="eastAsia" w:ascii="仿宋_GB2312" w:hAnsi="楷体" w:eastAsia="仿宋_GB2312"/>
          <w:color w:val="auto"/>
          <w:sz w:val="24"/>
          <w:highlight w:val="none"/>
        </w:rPr>
        <w:t>3.1 其他：</w:t>
      </w:r>
    </w:p>
    <w:p w14:paraId="70EDEE3B">
      <w:pPr>
        <w:spacing w:line="360" w:lineRule="auto"/>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项目验收：</w:t>
      </w:r>
    </w:p>
    <w:p w14:paraId="7604005C">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098550EB">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F4893D8">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2A8AF9B">
      <w:pPr>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4、验收产生的费用首次验收费用：</w:t>
      </w:r>
    </w:p>
    <w:p w14:paraId="6C03EBFC">
      <w:pPr>
        <w:pStyle w:val="2"/>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首次验收费用由</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承担，如首次验收不合格，后续验收费用由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支付。</w:t>
      </w:r>
    </w:p>
    <w:p w14:paraId="3968147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5、验收内容及资料要求：</w:t>
      </w:r>
    </w:p>
    <w:p w14:paraId="4722B7D3">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根根据采购文件确定的技术指标或者货物要求确定验收指标和标准。未进行相应约定的，应当符合国家强制性规定、政策要求、安全标准、行业或企业有关标准等。</w:t>
      </w:r>
    </w:p>
    <w:p w14:paraId="6C14965B">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5.1验收内容</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61B5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noWrap w:val="0"/>
            <w:vAlign w:val="center"/>
          </w:tcPr>
          <w:p w14:paraId="102D5B11">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1914" w:type="dxa"/>
            <w:noWrap w:val="0"/>
            <w:vAlign w:val="center"/>
          </w:tcPr>
          <w:p w14:paraId="4DB3A6E8">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5930" w:type="dxa"/>
            <w:noWrap w:val="0"/>
            <w:vAlign w:val="center"/>
          </w:tcPr>
          <w:p w14:paraId="25583EA4">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验收标准</w:t>
            </w:r>
          </w:p>
        </w:tc>
      </w:tr>
      <w:tr w14:paraId="2D5C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noWrap w:val="0"/>
            <w:vAlign w:val="center"/>
          </w:tcPr>
          <w:p w14:paraId="2EDBBA11">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1914" w:type="dxa"/>
            <w:noWrap w:val="0"/>
            <w:vAlign w:val="center"/>
          </w:tcPr>
          <w:p w14:paraId="4209BE1D">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交货产品数量</w:t>
            </w:r>
          </w:p>
        </w:tc>
        <w:tc>
          <w:tcPr>
            <w:tcW w:w="5930" w:type="dxa"/>
            <w:noWrap w:val="0"/>
            <w:vAlign w:val="center"/>
          </w:tcPr>
          <w:p w14:paraId="56106F84">
            <w:pPr>
              <w:widowControl/>
              <w:spacing w:line="360" w:lineRule="auto"/>
              <w:ind w:firstLine="200"/>
              <w:jc w:val="center"/>
              <w:rPr>
                <w:rFonts w:ascii="仿宋" w:hAnsi="仿宋" w:eastAsia="仿宋" w:cs="仿宋"/>
                <w:color w:val="auto"/>
                <w:kern w:val="0"/>
                <w:sz w:val="24"/>
                <w:highlight w:val="none"/>
              </w:rPr>
            </w:pPr>
          </w:p>
        </w:tc>
      </w:tr>
      <w:tr w14:paraId="562D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noWrap w:val="0"/>
            <w:vAlign w:val="center"/>
          </w:tcPr>
          <w:p w14:paraId="1E2D7664">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2</w:t>
            </w:r>
          </w:p>
        </w:tc>
        <w:tc>
          <w:tcPr>
            <w:tcW w:w="1914" w:type="dxa"/>
            <w:noWrap w:val="0"/>
            <w:vAlign w:val="center"/>
          </w:tcPr>
          <w:p w14:paraId="09A6437C">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交货产品的质量文件</w:t>
            </w:r>
          </w:p>
        </w:tc>
        <w:tc>
          <w:tcPr>
            <w:tcW w:w="5930" w:type="dxa"/>
            <w:noWrap w:val="0"/>
            <w:vAlign w:val="center"/>
          </w:tcPr>
          <w:p w14:paraId="43D44B64">
            <w:pPr>
              <w:widowControl/>
              <w:spacing w:line="360" w:lineRule="auto"/>
              <w:ind w:firstLine="200"/>
              <w:jc w:val="center"/>
              <w:rPr>
                <w:rFonts w:ascii="仿宋" w:hAnsi="仿宋" w:eastAsia="仿宋" w:cs="仿宋"/>
                <w:color w:val="auto"/>
                <w:kern w:val="0"/>
                <w:sz w:val="24"/>
                <w:highlight w:val="none"/>
              </w:rPr>
            </w:pPr>
          </w:p>
        </w:tc>
      </w:tr>
      <w:tr w14:paraId="7DA8F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noWrap w:val="0"/>
            <w:vAlign w:val="center"/>
          </w:tcPr>
          <w:p w14:paraId="3CEC6CA4">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4</w:t>
            </w:r>
          </w:p>
        </w:tc>
        <w:tc>
          <w:tcPr>
            <w:tcW w:w="1914" w:type="dxa"/>
            <w:noWrap w:val="0"/>
            <w:vAlign w:val="center"/>
          </w:tcPr>
          <w:p w14:paraId="5F054FF5">
            <w:pPr>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交货产品技术、性能指标 </w:t>
            </w:r>
          </w:p>
        </w:tc>
        <w:tc>
          <w:tcPr>
            <w:tcW w:w="5930" w:type="dxa"/>
            <w:noWrap w:val="0"/>
            <w:vAlign w:val="center"/>
          </w:tcPr>
          <w:p w14:paraId="7CDA414F">
            <w:pPr>
              <w:pStyle w:val="2"/>
              <w:spacing w:after="0" w:line="360" w:lineRule="auto"/>
              <w:ind w:firstLine="200"/>
              <w:jc w:val="left"/>
              <w:rPr>
                <w:rFonts w:ascii="仿宋" w:hAnsi="仿宋" w:eastAsia="仿宋" w:cs="仿宋"/>
                <w:color w:val="auto"/>
                <w:highlight w:val="none"/>
              </w:rPr>
            </w:pPr>
          </w:p>
        </w:tc>
      </w:tr>
      <w:tr w14:paraId="5DCE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noWrap w:val="0"/>
            <w:vAlign w:val="center"/>
          </w:tcPr>
          <w:p w14:paraId="76EE4EA1">
            <w:pPr>
              <w:widowControl/>
              <w:spacing w:line="360" w:lineRule="auto"/>
              <w:ind w:firstLine="20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1914" w:type="dxa"/>
            <w:noWrap w:val="0"/>
            <w:vAlign w:val="center"/>
          </w:tcPr>
          <w:p w14:paraId="0FFE3086">
            <w:pPr>
              <w:spacing w:line="360" w:lineRule="auto"/>
              <w:ind w:firstLine="200"/>
              <w:jc w:val="center"/>
              <w:rPr>
                <w:rFonts w:ascii="仿宋" w:hAnsi="仿宋" w:eastAsia="仿宋" w:cs="仿宋"/>
                <w:color w:val="auto"/>
                <w:sz w:val="24"/>
                <w:highlight w:val="none"/>
              </w:rPr>
            </w:pPr>
            <w:r>
              <w:rPr>
                <w:rFonts w:hint="eastAsia" w:ascii="仿宋" w:hAnsi="仿宋" w:eastAsia="仿宋" w:cs="仿宋"/>
                <w:color w:val="auto"/>
                <w:sz w:val="24"/>
                <w:highlight w:val="none"/>
              </w:rPr>
              <w:t>售后货物</w:t>
            </w:r>
          </w:p>
          <w:p w14:paraId="6AC083B2">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color w:val="auto"/>
                <w:sz w:val="24"/>
                <w:highlight w:val="none"/>
              </w:rPr>
              <w:t>承诺</w:t>
            </w:r>
          </w:p>
        </w:tc>
        <w:tc>
          <w:tcPr>
            <w:tcW w:w="5930" w:type="dxa"/>
            <w:noWrap w:val="0"/>
            <w:vAlign w:val="center"/>
          </w:tcPr>
          <w:p w14:paraId="7A154353">
            <w:pPr>
              <w:widowControl/>
              <w:spacing w:line="360" w:lineRule="auto"/>
              <w:ind w:firstLine="200"/>
              <w:jc w:val="center"/>
              <w:rPr>
                <w:rFonts w:ascii="仿宋" w:hAnsi="仿宋" w:eastAsia="仿宋" w:cs="仿宋"/>
                <w:color w:val="auto"/>
                <w:kern w:val="0"/>
                <w:sz w:val="24"/>
                <w:highlight w:val="none"/>
              </w:rPr>
            </w:pPr>
          </w:p>
        </w:tc>
      </w:tr>
      <w:tr w14:paraId="02D7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noWrap w:val="0"/>
            <w:vAlign w:val="center"/>
          </w:tcPr>
          <w:p w14:paraId="409A4B57">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6</w:t>
            </w:r>
          </w:p>
        </w:tc>
        <w:tc>
          <w:tcPr>
            <w:tcW w:w="1914" w:type="dxa"/>
            <w:noWrap w:val="0"/>
            <w:vAlign w:val="center"/>
          </w:tcPr>
          <w:p w14:paraId="1FE68EC1">
            <w:pPr>
              <w:widowControl/>
              <w:spacing w:line="360" w:lineRule="auto"/>
              <w:ind w:firstLine="200"/>
              <w:jc w:val="center"/>
              <w:rPr>
                <w:rFonts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其他工作</w:t>
            </w:r>
          </w:p>
        </w:tc>
        <w:tc>
          <w:tcPr>
            <w:tcW w:w="5930" w:type="dxa"/>
            <w:noWrap w:val="0"/>
            <w:vAlign w:val="center"/>
          </w:tcPr>
          <w:p w14:paraId="3886AED5">
            <w:pPr>
              <w:widowControl/>
              <w:spacing w:line="360" w:lineRule="auto"/>
              <w:ind w:firstLine="200"/>
              <w:jc w:val="left"/>
              <w:rPr>
                <w:rFonts w:ascii="仿宋" w:hAnsi="仿宋" w:eastAsia="仿宋" w:cs="仿宋"/>
                <w:color w:val="auto"/>
                <w:kern w:val="0"/>
                <w:sz w:val="24"/>
                <w:highlight w:val="none"/>
              </w:rPr>
            </w:pPr>
          </w:p>
        </w:tc>
      </w:tr>
    </w:tbl>
    <w:p w14:paraId="226562D1">
      <w:pPr>
        <w:tabs>
          <w:tab w:val="left" w:pos="904"/>
        </w:tabs>
        <w:snapToGrid w:val="0"/>
        <w:spacing w:line="360" w:lineRule="auto"/>
        <w:ind w:firstLine="480" w:firstLineChars="200"/>
        <w:jc w:val="left"/>
        <w:rPr>
          <w:rFonts w:ascii="仿宋" w:hAnsi="仿宋" w:eastAsia="仿宋" w:cs="仿宋"/>
          <w:color w:val="auto"/>
          <w:sz w:val="24"/>
          <w:highlight w:val="none"/>
        </w:rPr>
      </w:pPr>
    </w:p>
    <w:p w14:paraId="69D95E3D">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5.2验收资料要求</w:t>
      </w:r>
    </w:p>
    <w:p w14:paraId="46FFF5DD">
      <w:pPr>
        <w:tabs>
          <w:tab w:val="left" w:pos="904"/>
        </w:tabs>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4C3C2DE5">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3701E696">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eastAsia="zh-CN"/>
        </w:rPr>
        <w:t>竞标响应文件</w:t>
      </w:r>
      <w:r>
        <w:rPr>
          <w:rFonts w:hint="eastAsia" w:ascii="仿宋" w:hAnsi="仿宋" w:eastAsia="仿宋" w:cs="仿宋"/>
          <w:color w:val="auto"/>
          <w:sz w:val="24"/>
          <w:highlight w:val="none"/>
        </w:rPr>
        <w:t>；</w:t>
      </w:r>
    </w:p>
    <w:p w14:paraId="6B980B2D">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3BE4A801">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（4）其他需要提供的相关资料：（业主根据项目实际增减第（4）点验收资料内容）</w:t>
      </w:r>
    </w:p>
    <w:p w14:paraId="67B2C7D6">
      <w:pPr>
        <w:tabs>
          <w:tab w:val="left" w:pos="904"/>
        </w:tabs>
        <w:adjustRightInd w:val="0"/>
        <w:snapToGrid w:val="0"/>
        <w:spacing w:line="360" w:lineRule="auto"/>
        <w:ind w:firstLine="240" w:firstLineChars="100"/>
        <w:jc w:val="left"/>
        <w:rPr>
          <w:rFonts w:ascii="仿宋" w:hAnsi="仿宋" w:eastAsia="仿宋" w:cs="仿宋"/>
          <w:color w:val="auto"/>
          <w:sz w:val="24"/>
          <w:highlight w:val="none"/>
        </w:rPr>
      </w:pPr>
      <w:r>
        <w:rPr>
          <w:rFonts w:hint="eastAsia" w:ascii="仿宋" w:hAnsi="仿宋" w:eastAsia="仿宋" w:cs="仿宋"/>
          <w:color w:val="auto"/>
          <w:sz w:val="24"/>
          <w:highlight w:val="none"/>
        </w:rPr>
        <w:t>（5）其他需提供的相关材料。</w:t>
      </w:r>
    </w:p>
    <w:p w14:paraId="71D10844">
      <w:pPr>
        <w:widowControl/>
        <w:ind w:firstLine="720" w:firstLineChars="300"/>
        <w:jc w:val="left"/>
        <w:rPr>
          <w:rFonts w:ascii="仿宋" w:hAnsi="仿宋" w:eastAsia="仿宋"/>
          <w:bCs/>
          <w:color w:val="auto"/>
          <w:sz w:val="24"/>
          <w:highlight w:val="none"/>
        </w:rPr>
      </w:pPr>
    </w:p>
    <w:p w14:paraId="3A517FA2">
      <w:pPr>
        <w:spacing w:line="360" w:lineRule="auto"/>
        <w:ind w:firstLine="480" w:firstLineChars="200"/>
        <w:rPr>
          <w:rFonts w:ascii="仿宋_GB2312" w:hAnsi="楷体" w:eastAsia="仿宋_GB2312"/>
          <w:color w:val="auto"/>
          <w:sz w:val="24"/>
          <w:highlight w:val="none"/>
          <w:u w:val="single"/>
        </w:rPr>
      </w:pPr>
      <w:r>
        <w:rPr>
          <w:rFonts w:hint="eastAsia" w:ascii="仿宋_GB2312" w:hAnsi="楷体" w:eastAsia="仿宋_GB2312"/>
          <w:color w:val="auto"/>
          <w:sz w:val="24"/>
          <w:highlight w:val="none"/>
          <w:u w:val="single"/>
        </w:rPr>
        <w:t xml:space="preserve">                                                                       </w:t>
      </w:r>
    </w:p>
    <w:p w14:paraId="47AE3F80">
      <w:pPr>
        <w:spacing w:line="360" w:lineRule="auto"/>
        <w:ind w:left="720" w:firstLine="723" w:firstLineChars="200"/>
        <w:rPr>
          <w:rFonts w:ascii="仿宋" w:hAnsi="仿宋" w:eastAsia="仿宋" w:cs="仿宋_GB2312"/>
          <w:b/>
          <w:color w:val="auto"/>
          <w:sz w:val="36"/>
          <w:szCs w:val="20"/>
          <w:highlight w:val="none"/>
        </w:rPr>
      </w:pPr>
    </w:p>
    <w:p w14:paraId="4DFE10A8">
      <w:pPr>
        <w:tabs>
          <w:tab w:val="left" w:pos="7380"/>
        </w:tabs>
        <w:spacing w:line="360" w:lineRule="auto"/>
        <w:jc w:val="center"/>
        <w:rPr>
          <w:rFonts w:ascii="宋体" w:hAnsi="宋体" w:cs="仿宋_GB2312"/>
          <w:b/>
          <w:color w:val="auto"/>
          <w:sz w:val="44"/>
          <w:szCs w:val="44"/>
          <w:highlight w:val="none"/>
        </w:rPr>
      </w:pPr>
    </w:p>
    <w:p w14:paraId="502EDEB7">
      <w:pPr>
        <w:tabs>
          <w:tab w:val="left" w:pos="3261"/>
        </w:tabs>
        <w:spacing w:line="360" w:lineRule="auto"/>
        <w:jc w:val="center"/>
        <w:rPr>
          <w:rFonts w:ascii="宋体" w:hAnsi="宋体" w:cs="仿宋_GB2312"/>
          <w:b/>
          <w:color w:val="auto"/>
          <w:sz w:val="44"/>
          <w:szCs w:val="44"/>
          <w:highlight w:val="none"/>
        </w:rPr>
      </w:pPr>
    </w:p>
    <w:p w14:paraId="37E0BDBC">
      <w:pPr>
        <w:tabs>
          <w:tab w:val="left" w:pos="3261"/>
        </w:tabs>
        <w:spacing w:line="360" w:lineRule="auto"/>
        <w:jc w:val="center"/>
        <w:rPr>
          <w:rFonts w:ascii="宋体" w:hAnsi="宋体" w:cs="仿宋_GB2312"/>
          <w:b/>
          <w:color w:val="auto"/>
          <w:sz w:val="44"/>
          <w:szCs w:val="44"/>
          <w:highlight w:val="none"/>
        </w:rPr>
      </w:pPr>
    </w:p>
    <w:p w14:paraId="3E953907">
      <w:pPr>
        <w:tabs>
          <w:tab w:val="left" w:pos="3261"/>
        </w:tabs>
        <w:spacing w:line="360" w:lineRule="auto"/>
        <w:jc w:val="center"/>
        <w:rPr>
          <w:rFonts w:ascii="宋体" w:hAnsi="宋体" w:cs="仿宋_GB2312"/>
          <w:b/>
          <w:color w:val="auto"/>
          <w:sz w:val="44"/>
          <w:szCs w:val="44"/>
          <w:highlight w:val="none"/>
        </w:rPr>
      </w:pPr>
    </w:p>
    <w:p w14:paraId="1AAA5422">
      <w:pPr>
        <w:tabs>
          <w:tab w:val="left" w:pos="3261"/>
        </w:tabs>
        <w:spacing w:line="360" w:lineRule="auto"/>
        <w:jc w:val="center"/>
        <w:rPr>
          <w:rFonts w:ascii="宋体" w:hAnsi="宋体" w:cs="仿宋_GB2312"/>
          <w:b/>
          <w:color w:val="auto"/>
          <w:sz w:val="44"/>
          <w:szCs w:val="44"/>
          <w:highlight w:val="none"/>
        </w:rPr>
      </w:pPr>
    </w:p>
    <w:p w14:paraId="45E9FD5D">
      <w:pPr>
        <w:rPr>
          <w:color w:val="auto"/>
          <w:highlight w:val="none"/>
        </w:rPr>
      </w:pPr>
    </w:p>
    <w:p w14:paraId="1530B5D6">
      <w:pPr>
        <w:rPr>
          <w:color w:val="auto"/>
          <w:highlight w:val="none"/>
        </w:rPr>
      </w:pPr>
    </w:p>
    <w:p w14:paraId="7BDD1043">
      <w:pPr>
        <w:pStyle w:val="3"/>
        <w:jc w:val="center"/>
        <w:rPr>
          <w:rFonts w:hint="eastAsia" w:ascii="宋体" w:hAnsi="宋体" w:cs="仿宋_GB2312"/>
          <w:b w:val="0"/>
          <w:color w:val="auto"/>
          <w:highlight w:val="none"/>
        </w:rPr>
      </w:pPr>
      <w:bookmarkStart w:id="327" w:name="_Toc30243"/>
      <w:bookmarkStart w:id="328" w:name="_Toc12687"/>
      <w:bookmarkStart w:id="329" w:name="_Toc14429"/>
      <w:bookmarkStart w:id="330" w:name="_Toc80205947"/>
      <w:bookmarkStart w:id="331" w:name="_Toc12736"/>
    </w:p>
    <w:p w14:paraId="08D67436">
      <w:pPr>
        <w:pStyle w:val="3"/>
        <w:jc w:val="center"/>
        <w:rPr>
          <w:rFonts w:ascii="宋体" w:hAnsi="宋体" w:cs="仿宋_GB2312"/>
          <w:color w:val="auto"/>
          <w:highlight w:val="none"/>
        </w:rPr>
      </w:pPr>
      <w:r>
        <w:rPr>
          <w:rFonts w:hint="eastAsia" w:ascii="宋体" w:hAnsi="宋体" w:cs="仿宋_GB2312"/>
          <w:b w:val="0"/>
          <w:color w:val="auto"/>
          <w:highlight w:val="none"/>
        </w:rPr>
        <w:t>第七章 质疑、投诉材料格式</w:t>
      </w:r>
      <w:bookmarkEnd w:id="327"/>
      <w:bookmarkEnd w:id="328"/>
      <w:bookmarkEnd w:id="329"/>
      <w:bookmarkEnd w:id="330"/>
      <w:bookmarkEnd w:id="331"/>
    </w:p>
    <w:p w14:paraId="4079CF7B">
      <w:pPr>
        <w:widowControl/>
        <w:spacing w:line="576" w:lineRule="auto"/>
        <w:jc w:val="left"/>
        <w:rPr>
          <w:rFonts w:ascii="宋体" w:hAnsi="宋体" w:cs="仿宋_GB2312"/>
          <w:b/>
          <w:bCs/>
          <w:color w:val="auto"/>
          <w:kern w:val="44"/>
          <w:sz w:val="44"/>
          <w:szCs w:val="44"/>
          <w:highlight w:val="none"/>
        </w:rPr>
        <w:sectPr>
          <w:pgSz w:w="11910" w:h="16840"/>
          <w:pgMar w:top="1340" w:right="1500" w:bottom="280" w:left="1680" w:header="720" w:footer="720" w:gutter="0"/>
          <w:cols w:space="720" w:num="1"/>
        </w:sectPr>
      </w:pPr>
    </w:p>
    <w:p w14:paraId="192D4D97">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质疑函（格式）</w:t>
      </w:r>
    </w:p>
    <w:p w14:paraId="59B7E208">
      <w:pPr>
        <w:pStyle w:val="18"/>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一、质疑供应商基本信息：</w:t>
      </w:r>
    </w:p>
    <w:p w14:paraId="6C0C2498">
      <w:pPr>
        <w:pStyle w:val="18"/>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质疑供应商：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6D9688B4">
      <w:pPr>
        <w:pStyle w:val="18"/>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049A0CC">
      <w:pPr>
        <w:pStyle w:val="18"/>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5A52FF8C">
      <w:pPr>
        <w:pStyle w:val="18"/>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p>
    <w:p w14:paraId="70D3CDD1">
      <w:pPr>
        <w:pStyle w:val="18"/>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03502439">
      <w:pPr>
        <w:pStyle w:val="18"/>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2CB2CD8">
      <w:pPr>
        <w:pStyle w:val="18"/>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二、质疑项目基本情况：</w:t>
      </w:r>
    </w:p>
    <w:p w14:paraId="40397F89">
      <w:pPr>
        <w:pStyle w:val="18"/>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项目的名称：</w:t>
      </w:r>
    </w:p>
    <w:p w14:paraId="7532808E">
      <w:pPr>
        <w:pStyle w:val="18"/>
        <w:spacing w:line="360" w:lineRule="auto"/>
        <w:ind w:left="25" w:leftChars="12" w:firstLine="472" w:firstLineChars="197"/>
        <w:contextualSpacing/>
        <w:rPr>
          <w:rFonts w:hAnsi="宋体"/>
          <w:color w:val="auto"/>
          <w:sz w:val="24"/>
          <w:szCs w:val="24"/>
          <w:highlight w:val="none"/>
        </w:rPr>
      </w:pPr>
      <w:r>
        <w:rPr>
          <w:rFonts w:hint="eastAsia" w:hAnsi="宋体"/>
          <w:bCs/>
          <w:color w:val="auto"/>
          <w:sz w:val="24"/>
          <w:szCs w:val="24"/>
          <w:highlight w:val="none"/>
        </w:rPr>
        <w:t>质疑</w:t>
      </w:r>
      <w:r>
        <w:rPr>
          <w:rFonts w:hint="eastAsia" w:hAnsi="宋体"/>
          <w:color w:val="auto"/>
          <w:sz w:val="24"/>
          <w:szCs w:val="24"/>
          <w:highlight w:val="none"/>
        </w:rPr>
        <w:t>项目的编号：</w:t>
      </w:r>
    </w:p>
    <w:p w14:paraId="13C6CF2E">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采购人名称：</w:t>
      </w:r>
    </w:p>
    <w:p w14:paraId="0302C647">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w:t>
      </w:r>
    </w:p>
    <w:p w14:paraId="658D2EFC">
      <w:pPr>
        <w:pStyle w:val="18"/>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□采购文件   采购文件获取日期：</w:t>
      </w:r>
      <w:r>
        <w:rPr>
          <w:rFonts w:hint="eastAsia" w:hAnsi="宋体"/>
          <w:bCs/>
          <w:color w:val="auto"/>
          <w:sz w:val="24"/>
          <w:szCs w:val="24"/>
          <w:highlight w:val="none"/>
          <w:u w:val="single"/>
        </w:rPr>
        <w:t xml:space="preserve">                                   </w:t>
      </w:r>
    </w:p>
    <w:p w14:paraId="3592CA09">
      <w:pPr>
        <w:pStyle w:val="18"/>
        <w:spacing w:line="360" w:lineRule="auto"/>
        <w:ind w:left="25" w:leftChars="12" w:firstLine="352" w:firstLineChars="147"/>
        <w:contextualSpacing/>
        <w:rPr>
          <w:rFonts w:hAnsi="宋体"/>
          <w:color w:val="auto"/>
          <w:sz w:val="24"/>
          <w:szCs w:val="24"/>
          <w:highlight w:val="none"/>
        </w:rPr>
      </w:pPr>
      <w:r>
        <w:rPr>
          <w:rFonts w:hint="eastAsia" w:hAnsi="宋体"/>
          <w:color w:val="auto"/>
          <w:sz w:val="24"/>
          <w:szCs w:val="24"/>
          <w:highlight w:val="none"/>
        </w:rPr>
        <w:t xml:space="preserve">□采购过程   </w:t>
      </w:r>
    </w:p>
    <w:p w14:paraId="2B0D3FC7">
      <w:pPr>
        <w:pStyle w:val="18"/>
        <w:spacing w:line="360" w:lineRule="auto"/>
        <w:ind w:left="25" w:leftChars="12" w:firstLine="352" w:firstLineChars="147"/>
        <w:contextualSpacing/>
        <w:rPr>
          <w:rFonts w:hAnsi="宋体"/>
          <w:bCs/>
          <w:color w:val="auto"/>
          <w:sz w:val="24"/>
          <w:szCs w:val="24"/>
          <w:highlight w:val="none"/>
          <w:u w:val="single"/>
        </w:rPr>
      </w:pPr>
      <w:r>
        <w:rPr>
          <w:rFonts w:hint="eastAsia" w:hAnsi="宋体"/>
          <w:color w:val="auto"/>
          <w:sz w:val="24"/>
          <w:szCs w:val="24"/>
          <w:highlight w:val="none"/>
        </w:rPr>
        <w:t xml:space="preserve">□成交结果   </w:t>
      </w:r>
    </w:p>
    <w:p w14:paraId="27F89C56">
      <w:pPr>
        <w:pStyle w:val="18"/>
        <w:spacing w:line="360" w:lineRule="auto"/>
        <w:ind w:left="25" w:leftChars="12" w:firstLine="472" w:firstLineChars="196"/>
        <w:contextualSpacing/>
        <w:rPr>
          <w:rFonts w:hAnsi="宋体"/>
          <w:b/>
          <w:color w:val="auto"/>
          <w:sz w:val="24"/>
          <w:szCs w:val="24"/>
          <w:highlight w:val="none"/>
        </w:rPr>
      </w:pPr>
      <w:r>
        <w:rPr>
          <w:rFonts w:hint="eastAsia" w:hAnsi="宋体"/>
          <w:b/>
          <w:color w:val="auto"/>
          <w:sz w:val="24"/>
          <w:szCs w:val="24"/>
          <w:highlight w:val="none"/>
        </w:rPr>
        <w:t>三、质疑事项具体内容</w:t>
      </w:r>
    </w:p>
    <w:p w14:paraId="58717F47">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质疑事项1：</w:t>
      </w:r>
      <w:r>
        <w:rPr>
          <w:rFonts w:hint="eastAsia" w:hAnsi="宋体"/>
          <w:bCs/>
          <w:color w:val="auto"/>
          <w:sz w:val="24"/>
          <w:szCs w:val="24"/>
          <w:highlight w:val="none"/>
          <w:u w:val="single"/>
        </w:rPr>
        <w:t xml:space="preserve">                                                                    </w:t>
      </w:r>
    </w:p>
    <w:p w14:paraId="496B9BCC">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事实依据：</w:t>
      </w:r>
      <w:r>
        <w:rPr>
          <w:rFonts w:hint="eastAsia" w:hAnsi="宋体"/>
          <w:bCs/>
          <w:color w:val="auto"/>
          <w:sz w:val="24"/>
          <w:szCs w:val="24"/>
          <w:highlight w:val="none"/>
          <w:u w:val="single"/>
        </w:rPr>
        <w:t xml:space="preserve">                                                                      </w:t>
      </w:r>
    </w:p>
    <w:p w14:paraId="61A5B4C7">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法律依据：</w:t>
      </w:r>
      <w:r>
        <w:rPr>
          <w:rFonts w:hint="eastAsia" w:hAnsi="宋体"/>
          <w:color w:val="auto"/>
          <w:sz w:val="24"/>
          <w:szCs w:val="24"/>
          <w:highlight w:val="none"/>
          <w:u w:val="single"/>
        </w:rPr>
        <w:t xml:space="preserve">                                                        </w:t>
      </w:r>
      <w:r>
        <w:rPr>
          <w:rFonts w:hint="eastAsia" w:hAnsi="宋体"/>
          <w:bCs/>
          <w:color w:val="auto"/>
          <w:sz w:val="24"/>
          <w:szCs w:val="24"/>
          <w:highlight w:val="none"/>
          <w:u w:val="single"/>
        </w:rPr>
        <w:t xml:space="preserve">               </w:t>
      </w:r>
    </w:p>
    <w:p w14:paraId="35EFA446">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质疑事项2</w:t>
      </w:r>
    </w:p>
    <w:p w14:paraId="344166AF">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w:t>
      </w:r>
    </w:p>
    <w:p w14:paraId="7140F2D3">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四、与质疑事项相关的质疑请求：</w:t>
      </w:r>
    </w:p>
    <w:p w14:paraId="14E6EF05">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7C1F7722">
      <w:pPr>
        <w:pStyle w:val="18"/>
        <w:spacing w:line="360" w:lineRule="auto"/>
        <w:ind w:left="25" w:leftChars="12" w:firstLine="352" w:firstLineChars="147"/>
        <w:contextualSpacing/>
        <w:rPr>
          <w:rFonts w:hAnsi="宋体"/>
          <w:color w:val="auto"/>
          <w:sz w:val="24"/>
          <w:szCs w:val="24"/>
          <w:highlight w:val="none"/>
        </w:rPr>
      </w:pPr>
    </w:p>
    <w:p w14:paraId="76F38628">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签字（签章）：                                       公章：</w:t>
      </w:r>
    </w:p>
    <w:p w14:paraId="1430C920">
      <w:pPr>
        <w:pStyle w:val="18"/>
        <w:spacing w:line="360" w:lineRule="auto"/>
        <w:ind w:left="25" w:leftChars="12" w:firstLine="352" w:firstLineChars="147"/>
        <w:contextualSpacing/>
        <w:rPr>
          <w:rFonts w:hAnsi="宋体"/>
          <w:color w:val="auto"/>
          <w:sz w:val="24"/>
          <w:szCs w:val="24"/>
          <w:highlight w:val="none"/>
        </w:rPr>
      </w:pPr>
    </w:p>
    <w:p w14:paraId="21EF7EF1">
      <w:pPr>
        <w:pStyle w:val="18"/>
        <w:spacing w:line="360" w:lineRule="auto"/>
        <w:ind w:left="25" w:leftChars="12" w:firstLine="472" w:firstLineChars="197"/>
        <w:contextualSpacing/>
        <w:rPr>
          <w:rFonts w:hAnsi="宋体"/>
          <w:color w:val="auto"/>
          <w:sz w:val="24"/>
          <w:szCs w:val="24"/>
          <w:highlight w:val="none"/>
        </w:rPr>
      </w:pPr>
      <w:r>
        <w:rPr>
          <w:rFonts w:hint="eastAsia" w:hAnsi="宋体"/>
          <w:color w:val="auto"/>
          <w:sz w:val="24"/>
          <w:szCs w:val="24"/>
          <w:highlight w:val="none"/>
        </w:rPr>
        <w:t>日期：</w:t>
      </w:r>
    </w:p>
    <w:p w14:paraId="0E0CCA18">
      <w:pPr>
        <w:pStyle w:val="18"/>
        <w:spacing w:line="360" w:lineRule="auto"/>
        <w:ind w:firstLine="482"/>
        <w:rPr>
          <w:rFonts w:hAnsi="宋体"/>
          <w:b/>
          <w:color w:val="auto"/>
          <w:sz w:val="24"/>
          <w:szCs w:val="24"/>
          <w:highlight w:val="none"/>
        </w:rPr>
      </w:pPr>
    </w:p>
    <w:p w14:paraId="560DA40D">
      <w:pPr>
        <w:pStyle w:val="18"/>
        <w:spacing w:line="360" w:lineRule="auto"/>
        <w:ind w:firstLine="482"/>
        <w:rPr>
          <w:rFonts w:hAnsi="宋体"/>
          <w:b/>
          <w:color w:val="auto"/>
          <w:sz w:val="24"/>
          <w:szCs w:val="24"/>
          <w:highlight w:val="none"/>
        </w:rPr>
      </w:pPr>
    </w:p>
    <w:p w14:paraId="2FBFB875">
      <w:pPr>
        <w:pStyle w:val="18"/>
        <w:spacing w:line="360" w:lineRule="auto"/>
        <w:ind w:firstLine="482"/>
        <w:rPr>
          <w:rFonts w:hAnsi="宋体"/>
          <w:b/>
          <w:color w:val="auto"/>
          <w:sz w:val="24"/>
          <w:szCs w:val="24"/>
          <w:highlight w:val="none"/>
        </w:rPr>
      </w:pPr>
      <w:r>
        <w:rPr>
          <w:rFonts w:hint="eastAsia" w:hAnsi="宋体"/>
          <w:b/>
          <w:color w:val="auto"/>
          <w:sz w:val="24"/>
          <w:szCs w:val="24"/>
          <w:highlight w:val="none"/>
        </w:rPr>
        <w:t>说明：</w:t>
      </w:r>
    </w:p>
    <w:p w14:paraId="3AC823FA">
      <w:pPr>
        <w:pStyle w:val="18"/>
        <w:spacing w:line="360" w:lineRule="auto"/>
        <w:ind w:left="25" w:leftChars="12" w:firstLine="354" w:firstLineChars="147"/>
        <w:contextualSpacing/>
        <w:rPr>
          <w:rFonts w:hAnsi="宋体"/>
          <w:b/>
          <w:bCs/>
          <w:color w:val="auto"/>
          <w:sz w:val="24"/>
          <w:szCs w:val="24"/>
          <w:highlight w:val="none"/>
        </w:rPr>
      </w:pPr>
      <w:r>
        <w:rPr>
          <w:rFonts w:hint="eastAsia" w:hAnsi="宋体"/>
          <w:b/>
          <w:color w:val="auto"/>
          <w:sz w:val="24"/>
          <w:szCs w:val="24"/>
          <w:highlight w:val="none"/>
        </w:rPr>
        <w:t>1.供应商提出质疑时，应提交质疑函和必要的证明材料</w:t>
      </w:r>
      <w:r>
        <w:rPr>
          <w:rFonts w:hint="eastAsia" w:hAnsi="宋体"/>
          <w:b/>
          <w:bCs/>
          <w:color w:val="auto"/>
          <w:sz w:val="24"/>
          <w:szCs w:val="24"/>
          <w:highlight w:val="none"/>
        </w:rPr>
        <w:t>。</w:t>
      </w:r>
    </w:p>
    <w:p w14:paraId="62F74E64">
      <w:pPr>
        <w:pStyle w:val="18"/>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74B0B1">
      <w:pPr>
        <w:pStyle w:val="18"/>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3.质疑函的质疑事项应具体、明确，并有必要的事实依据和法律依据。</w:t>
      </w:r>
    </w:p>
    <w:p w14:paraId="4BE86A45">
      <w:pPr>
        <w:pStyle w:val="18"/>
        <w:spacing w:line="360" w:lineRule="auto"/>
        <w:ind w:left="25" w:leftChars="12" w:firstLine="354" w:firstLineChars="147"/>
        <w:contextualSpacing/>
        <w:rPr>
          <w:rFonts w:hAnsi="宋体"/>
          <w:b/>
          <w:color w:val="auto"/>
          <w:sz w:val="24"/>
          <w:szCs w:val="24"/>
          <w:highlight w:val="none"/>
        </w:rPr>
      </w:pPr>
      <w:r>
        <w:rPr>
          <w:rFonts w:hint="eastAsia" w:hAnsi="宋体"/>
          <w:b/>
          <w:color w:val="auto"/>
          <w:sz w:val="24"/>
          <w:szCs w:val="24"/>
          <w:highlight w:val="none"/>
        </w:rPr>
        <w:t>4.质疑函的质疑请求应与质疑事项相关。</w:t>
      </w:r>
    </w:p>
    <w:p w14:paraId="4336ED07">
      <w:pPr>
        <w:pStyle w:val="18"/>
        <w:spacing w:line="360" w:lineRule="auto"/>
        <w:ind w:left="25" w:leftChars="12" w:firstLine="354" w:firstLineChars="147"/>
        <w:contextualSpacing/>
        <w:rPr>
          <w:rFonts w:hAnsi="宋体"/>
          <w:b/>
          <w:color w:val="auto"/>
          <w:highlight w:val="none"/>
        </w:rPr>
      </w:pPr>
      <w:r>
        <w:rPr>
          <w:rFonts w:hint="eastAsia" w:hAnsi="宋体"/>
          <w:b/>
          <w:color w:val="auto"/>
          <w:sz w:val="24"/>
          <w:szCs w:val="24"/>
          <w:highlight w:val="none"/>
        </w:rPr>
        <w:t>5.质疑供应商为法人或者其他组织的，质疑函应由法定代表人、主要负责人，或者其授权代表签字或者盖章，并加盖公章。</w:t>
      </w:r>
    </w:p>
    <w:p w14:paraId="5BBB245B">
      <w:pPr>
        <w:pStyle w:val="18"/>
        <w:snapToGrid w:val="0"/>
        <w:ind w:firstLine="482"/>
        <w:rPr>
          <w:b/>
          <w:color w:val="auto"/>
          <w:sz w:val="24"/>
          <w:szCs w:val="24"/>
          <w:highlight w:val="none"/>
        </w:rPr>
      </w:pPr>
    </w:p>
    <w:p w14:paraId="336F9CED">
      <w:pPr>
        <w:spacing w:line="460" w:lineRule="exact"/>
        <w:jc w:val="center"/>
        <w:rPr>
          <w:rFonts w:eastAsia="隶书"/>
          <w:color w:val="auto"/>
          <w:sz w:val="44"/>
          <w:highlight w:val="none"/>
        </w:rPr>
      </w:pPr>
      <w:r>
        <w:rPr>
          <w:rFonts w:eastAsia="隶书"/>
          <w:color w:val="auto"/>
          <w:sz w:val="44"/>
          <w:highlight w:val="none"/>
        </w:rPr>
        <w:br w:type="page"/>
      </w:r>
    </w:p>
    <w:p w14:paraId="0EC84082">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投诉书（格式）</w:t>
      </w:r>
    </w:p>
    <w:p w14:paraId="7586F17A">
      <w:pPr>
        <w:pStyle w:val="18"/>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一、投诉相关主体基本情况：</w:t>
      </w:r>
    </w:p>
    <w:p w14:paraId="688245FA">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供应商：</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7B857E71">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43073C06">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法定代表人/主要负责人：</w:t>
      </w:r>
      <w:r>
        <w:rPr>
          <w:rFonts w:hint="eastAsia" w:hAnsi="宋体"/>
          <w:bCs/>
          <w:color w:val="auto"/>
          <w:sz w:val="24"/>
          <w:szCs w:val="24"/>
          <w:highlight w:val="none"/>
          <w:u w:val="single"/>
        </w:rPr>
        <w:t xml:space="preserve">                                                         </w:t>
      </w:r>
    </w:p>
    <w:p w14:paraId="04A40AD8">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1B712E8E">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授权代表：</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4A50F60B">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7991E51C">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525C0F95">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被投诉人1：</w:t>
      </w:r>
    </w:p>
    <w:p w14:paraId="1FDC42EC">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p>
    <w:p w14:paraId="1F103B10">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3BAB84F1">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p>
    <w:p w14:paraId="0EFB477F">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被投诉人2：</w:t>
      </w:r>
    </w:p>
    <w:p w14:paraId="640A479E">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w:t>
      </w:r>
    </w:p>
    <w:p w14:paraId="00471D0D">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相关供应商：</w:t>
      </w:r>
      <w:r>
        <w:rPr>
          <w:rFonts w:hint="eastAsia" w:hAnsi="宋体"/>
          <w:bCs/>
          <w:color w:val="auto"/>
          <w:sz w:val="24"/>
          <w:szCs w:val="24"/>
          <w:highlight w:val="none"/>
          <w:u w:val="single"/>
        </w:rPr>
        <w:t xml:space="preserve">                                                                       </w:t>
      </w:r>
    </w:p>
    <w:p w14:paraId="0A58B25D">
      <w:pPr>
        <w:pStyle w:val="18"/>
        <w:snapToGrid w:val="0"/>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地址：</w:t>
      </w:r>
      <w:r>
        <w:rPr>
          <w:rFonts w:hint="eastAsia" w:hAnsi="宋体"/>
          <w:bCs/>
          <w:color w:val="auto"/>
          <w:sz w:val="24"/>
          <w:szCs w:val="24"/>
          <w:highlight w:val="none"/>
          <w:u w:val="single"/>
        </w:rPr>
        <w:t xml:space="preserve">                                              </w:t>
      </w:r>
      <w:r>
        <w:rPr>
          <w:rFonts w:hint="eastAsia" w:hAnsi="宋体"/>
          <w:bCs/>
          <w:color w:val="auto"/>
          <w:sz w:val="24"/>
          <w:szCs w:val="24"/>
          <w:highlight w:val="none"/>
        </w:rPr>
        <w:t>邮编：</w:t>
      </w:r>
      <w:r>
        <w:rPr>
          <w:rFonts w:hint="eastAsia" w:hAnsi="宋体"/>
          <w:bCs/>
          <w:color w:val="auto"/>
          <w:sz w:val="24"/>
          <w:szCs w:val="24"/>
          <w:highlight w:val="none"/>
          <w:u w:val="single"/>
        </w:rPr>
        <w:t xml:space="preserve">                         </w:t>
      </w:r>
    </w:p>
    <w:p w14:paraId="6BB8D6F3">
      <w:pPr>
        <w:pStyle w:val="18"/>
        <w:snapToGrid w:val="0"/>
        <w:spacing w:line="360" w:lineRule="auto"/>
        <w:ind w:firstLine="480" w:firstLineChars="200"/>
        <w:rPr>
          <w:rFonts w:hAnsi="宋体"/>
          <w:bCs/>
          <w:color w:val="auto"/>
          <w:sz w:val="24"/>
          <w:szCs w:val="24"/>
          <w:highlight w:val="none"/>
        </w:rPr>
      </w:pPr>
      <w:r>
        <w:rPr>
          <w:rFonts w:hint="eastAsia" w:hAnsi="宋体"/>
          <w:bCs/>
          <w:color w:val="auto"/>
          <w:sz w:val="24"/>
          <w:szCs w:val="24"/>
          <w:highlight w:val="none"/>
        </w:rPr>
        <w:t>联系人：</w:t>
      </w:r>
      <w:r>
        <w:rPr>
          <w:rFonts w:hint="eastAsia" w:hAnsi="宋体"/>
          <w:bCs/>
          <w:color w:val="auto"/>
          <w:sz w:val="24"/>
          <w:szCs w:val="24"/>
          <w:highlight w:val="none"/>
          <w:u w:val="single"/>
        </w:rPr>
        <w:t xml:space="preserve">                                            </w:t>
      </w:r>
      <w:r>
        <w:rPr>
          <w:rFonts w:hint="eastAsia" w:hAnsi="宋体"/>
          <w:bCs/>
          <w:color w:val="auto"/>
          <w:sz w:val="24"/>
          <w:szCs w:val="24"/>
          <w:highlight w:val="none"/>
        </w:rPr>
        <w:t>联系电话：</w:t>
      </w:r>
      <w:r>
        <w:rPr>
          <w:rFonts w:hint="eastAsia" w:hAnsi="宋体"/>
          <w:bCs/>
          <w:color w:val="auto"/>
          <w:sz w:val="24"/>
          <w:szCs w:val="24"/>
          <w:highlight w:val="none"/>
          <w:u w:val="single"/>
        </w:rPr>
        <w:t xml:space="preserve">                     </w:t>
      </w:r>
      <w:r>
        <w:rPr>
          <w:rFonts w:hint="eastAsia" w:hAnsi="宋体"/>
          <w:bCs/>
          <w:color w:val="auto"/>
          <w:sz w:val="24"/>
          <w:szCs w:val="24"/>
          <w:highlight w:val="none"/>
        </w:rPr>
        <w:t xml:space="preserve">                </w:t>
      </w:r>
    </w:p>
    <w:p w14:paraId="109F8124">
      <w:pPr>
        <w:pStyle w:val="18"/>
        <w:snapToGrid w:val="0"/>
        <w:spacing w:line="360" w:lineRule="auto"/>
        <w:ind w:firstLine="482" w:firstLineChars="200"/>
        <w:rPr>
          <w:rFonts w:hAnsi="宋体"/>
          <w:b/>
          <w:bCs/>
          <w:color w:val="auto"/>
          <w:sz w:val="24"/>
          <w:szCs w:val="24"/>
          <w:highlight w:val="none"/>
        </w:rPr>
      </w:pPr>
      <w:r>
        <w:rPr>
          <w:rFonts w:hint="eastAsia" w:hAnsi="宋体"/>
          <w:b/>
          <w:bCs/>
          <w:color w:val="auto"/>
          <w:sz w:val="24"/>
          <w:szCs w:val="24"/>
          <w:highlight w:val="none"/>
        </w:rPr>
        <w:t>二、投诉项目基本情况：</w:t>
      </w:r>
    </w:p>
    <w:p w14:paraId="3F156F24">
      <w:pPr>
        <w:pStyle w:val="18"/>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项目的名称：</w:t>
      </w:r>
    </w:p>
    <w:p w14:paraId="47ABB7D6">
      <w:pPr>
        <w:pStyle w:val="18"/>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采购</w:t>
      </w:r>
      <w:r>
        <w:rPr>
          <w:rFonts w:hint="eastAsia" w:hAnsi="宋体"/>
          <w:color w:val="auto"/>
          <w:sz w:val="24"/>
          <w:szCs w:val="24"/>
          <w:highlight w:val="none"/>
        </w:rPr>
        <w:t>项目的编号：</w:t>
      </w:r>
    </w:p>
    <w:p w14:paraId="068F1CEE">
      <w:pPr>
        <w:pStyle w:val="18"/>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采购人名称：</w:t>
      </w:r>
    </w:p>
    <w:p w14:paraId="561A21B5">
      <w:pPr>
        <w:pStyle w:val="18"/>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代理机构名称：</w:t>
      </w:r>
    </w:p>
    <w:p w14:paraId="08AB3F04">
      <w:pPr>
        <w:pStyle w:val="18"/>
        <w:spacing w:line="360" w:lineRule="auto"/>
        <w:ind w:left="25" w:leftChars="12" w:firstLine="472" w:firstLineChars="197"/>
        <w:rPr>
          <w:rFonts w:hAnsi="宋体"/>
          <w:bCs/>
          <w:color w:val="auto"/>
          <w:sz w:val="24"/>
          <w:szCs w:val="24"/>
          <w:highlight w:val="none"/>
          <w:u w:val="single"/>
        </w:rPr>
      </w:pPr>
      <w:r>
        <w:rPr>
          <w:rFonts w:hint="eastAsia" w:hAnsi="宋体"/>
          <w:bCs/>
          <w:color w:val="auto"/>
          <w:sz w:val="24"/>
          <w:szCs w:val="24"/>
          <w:highlight w:val="none"/>
          <w:lang w:eastAsia="zh-CN"/>
        </w:rPr>
        <w:t>采购文件</w:t>
      </w:r>
      <w:r>
        <w:rPr>
          <w:rFonts w:hint="eastAsia" w:hAnsi="宋体"/>
          <w:bCs/>
          <w:color w:val="auto"/>
          <w:sz w:val="24"/>
          <w:szCs w:val="24"/>
          <w:highlight w:val="none"/>
        </w:rPr>
        <w:t>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4D64D84B">
      <w:pPr>
        <w:pStyle w:val="18"/>
        <w:spacing w:line="360" w:lineRule="auto"/>
        <w:ind w:left="25" w:leftChars="12" w:firstLine="472" w:firstLineChars="197"/>
        <w:rPr>
          <w:rFonts w:hAnsi="宋体"/>
          <w:b/>
          <w:color w:val="auto"/>
          <w:sz w:val="24"/>
          <w:szCs w:val="24"/>
          <w:highlight w:val="none"/>
        </w:rPr>
      </w:pPr>
      <w:r>
        <w:rPr>
          <w:rFonts w:hint="eastAsia" w:hAnsi="宋体"/>
          <w:bCs/>
          <w:color w:val="auto"/>
          <w:sz w:val="24"/>
          <w:szCs w:val="24"/>
          <w:highlight w:val="none"/>
        </w:rPr>
        <w:t>采购结果公告：</w:t>
      </w:r>
      <w:r>
        <w:rPr>
          <w:rFonts w:hint="eastAsia" w:hAnsi="宋体"/>
          <w:bCs/>
          <w:color w:val="auto"/>
          <w:sz w:val="24"/>
          <w:szCs w:val="24"/>
          <w:highlight w:val="none"/>
          <w:u w:val="single"/>
        </w:rPr>
        <w:t>是/否</w:t>
      </w:r>
      <w:r>
        <w:rPr>
          <w:rFonts w:hint="eastAsia" w:hAnsi="宋体"/>
          <w:bCs/>
          <w:color w:val="auto"/>
          <w:sz w:val="24"/>
          <w:szCs w:val="24"/>
          <w:highlight w:val="none"/>
        </w:rPr>
        <w:t>公告期限：</w:t>
      </w:r>
      <w:r>
        <w:rPr>
          <w:rFonts w:hint="eastAsia" w:hAnsi="宋体"/>
          <w:bCs/>
          <w:color w:val="auto"/>
          <w:sz w:val="24"/>
          <w:szCs w:val="24"/>
          <w:highlight w:val="none"/>
          <w:u w:val="single"/>
        </w:rPr>
        <w:t xml:space="preserve">                                                       </w:t>
      </w:r>
    </w:p>
    <w:p w14:paraId="5A24BEC3">
      <w:pPr>
        <w:pStyle w:val="18"/>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三、质疑基本情况</w:t>
      </w:r>
    </w:p>
    <w:p w14:paraId="283BCC87">
      <w:pPr>
        <w:pStyle w:val="18"/>
        <w:spacing w:line="360" w:lineRule="auto"/>
        <w:ind w:firstLine="480" w:firstLineChars="200"/>
        <w:rPr>
          <w:rFonts w:hAnsi="宋体"/>
          <w:color w:val="auto"/>
          <w:sz w:val="24"/>
          <w:szCs w:val="24"/>
          <w:highlight w:val="none"/>
        </w:rPr>
      </w:pPr>
      <w:r>
        <w:rPr>
          <w:rFonts w:hint="eastAsia" w:hAnsi="宋体"/>
          <w:color w:val="auto"/>
          <w:sz w:val="24"/>
          <w:szCs w:val="24"/>
          <w:highlight w:val="none"/>
        </w:rPr>
        <w:t>投诉人于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日，向</w:t>
      </w:r>
      <w:r>
        <w:rPr>
          <w:rFonts w:hint="eastAsia" w:hAnsi="宋体"/>
          <w:color w:val="auto"/>
          <w:sz w:val="24"/>
          <w:szCs w:val="24"/>
          <w:highlight w:val="none"/>
          <w:u w:val="single"/>
        </w:rPr>
        <w:t xml:space="preserve">                                </w:t>
      </w:r>
      <w:r>
        <w:rPr>
          <w:rFonts w:hint="eastAsia" w:hAnsi="宋体"/>
          <w:color w:val="auto"/>
          <w:sz w:val="24"/>
          <w:szCs w:val="24"/>
          <w:highlight w:val="none"/>
        </w:rPr>
        <w:t>提出质疑，质疑事项为：</w:t>
      </w:r>
    </w:p>
    <w:p w14:paraId="480F9746">
      <w:pPr>
        <w:pStyle w:val="18"/>
        <w:spacing w:line="360" w:lineRule="auto"/>
        <w:ind w:firstLine="480"/>
        <w:rPr>
          <w:rFonts w:hAnsi="宋体"/>
          <w:bCs/>
          <w:color w:val="auto"/>
          <w:sz w:val="24"/>
          <w:szCs w:val="24"/>
          <w:highlight w:val="none"/>
          <w:u w:val="single"/>
        </w:rPr>
      </w:pP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0BEB6E3">
      <w:pPr>
        <w:pStyle w:val="18"/>
        <w:spacing w:line="360" w:lineRule="auto"/>
        <w:ind w:firstLine="480"/>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A646F91">
      <w:pPr>
        <w:pStyle w:val="18"/>
        <w:spacing w:line="360" w:lineRule="auto"/>
        <w:ind w:firstLine="480" w:firstLineChars="200"/>
        <w:rPr>
          <w:rFonts w:hAnsi="宋体"/>
          <w:color w:val="auto"/>
          <w:sz w:val="24"/>
          <w:szCs w:val="24"/>
          <w:highlight w:val="none"/>
        </w:rPr>
      </w:pPr>
      <w:r>
        <w:rPr>
          <w:rFonts w:hint="eastAsia" w:hAnsi="宋体"/>
          <w:bCs/>
          <w:color w:val="auto"/>
          <w:sz w:val="24"/>
          <w:szCs w:val="24"/>
          <w:highlight w:val="none"/>
          <w:u w:val="single"/>
        </w:rPr>
        <w:t>采购人/代理机构</w:t>
      </w:r>
      <w:r>
        <w:rPr>
          <w:rFonts w:hint="eastAsia" w:hAnsi="宋体"/>
          <w:bCs/>
          <w:color w:val="auto"/>
          <w:sz w:val="24"/>
          <w:szCs w:val="24"/>
          <w:highlight w:val="none"/>
        </w:rPr>
        <w:t>于</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r>
        <w:rPr>
          <w:rFonts w:hint="eastAsia" w:hAnsi="宋体"/>
          <w:bCs/>
          <w:color w:val="auto"/>
          <w:sz w:val="24"/>
          <w:szCs w:val="24"/>
          <w:highlight w:val="none"/>
        </w:rPr>
        <w:t xml:space="preserve">就质疑事项作出了答复/没有在法定期限内作出答复。                                                                                             </w:t>
      </w:r>
    </w:p>
    <w:p w14:paraId="6AC47232">
      <w:pPr>
        <w:pStyle w:val="18"/>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四、投诉事项具体内容</w:t>
      </w:r>
    </w:p>
    <w:p w14:paraId="7C150F86">
      <w:pPr>
        <w:pStyle w:val="18"/>
        <w:spacing w:line="360" w:lineRule="auto"/>
        <w:ind w:left="25" w:leftChars="12" w:firstLine="472" w:firstLineChars="197"/>
        <w:rPr>
          <w:rFonts w:hAnsi="宋体"/>
          <w:bCs/>
          <w:color w:val="auto"/>
          <w:sz w:val="24"/>
          <w:szCs w:val="24"/>
          <w:highlight w:val="none"/>
          <w:u w:val="single"/>
        </w:rPr>
      </w:pPr>
      <w:r>
        <w:rPr>
          <w:rFonts w:hint="eastAsia" w:hAnsi="宋体"/>
          <w:color w:val="auto"/>
          <w:sz w:val="24"/>
          <w:szCs w:val="24"/>
          <w:highlight w:val="none"/>
        </w:rPr>
        <w:t>投诉事项1：</w:t>
      </w:r>
      <w:r>
        <w:rPr>
          <w:rFonts w:hint="eastAsia" w:hAnsi="宋体"/>
          <w:bCs/>
          <w:color w:val="auto"/>
          <w:sz w:val="24"/>
          <w:szCs w:val="24"/>
          <w:highlight w:val="none"/>
          <w:u w:val="single"/>
        </w:rPr>
        <w:t xml:space="preserve">                                                                           </w:t>
      </w:r>
    </w:p>
    <w:p w14:paraId="1F2520E2">
      <w:pPr>
        <w:pStyle w:val="18"/>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事实依据：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A2A22A7">
      <w:pPr>
        <w:pStyle w:val="18"/>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u w:val="single"/>
        </w:rPr>
        <w:t xml:space="preserve">                                                                                        </w:t>
      </w:r>
    </w:p>
    <w:p w14:paraId="3FE80B92">
      <w:pPr>
        <w:pStyle w:val="18"/>
        <w:spacing w:line="360" w:lineRule="auto"/>
        <w:ind w:firstLine="480" w:firstLineChars="200"/>
        <w:rPr>
          <w:rFonts w:hAnsi="宋体"/>
          <w:bCs/>
          <w:color w:val="auto"/>
          <w:sz w:val="24"/>
          <w:szCs w:val="24"/>
          <w:highlight w:val="none"/>
          <w:u w:val="single"/>
        </w:rPr>
      </w:pPr>
      <w:r>
        <w:rPr>
          <w:rFonts w:hint="eastAsia" w:hAnsi="宋体"/>
          <w:bCs/>
          <w:color w:val="auto"/>
          <w:sz w:val="24"/>
          <w:szCs w:val="24"/>
          <w:highlight w:val="none"/>
        </w:rPr>
        <w:t>法律依据：</w:t>
      </w:r>
      <w:r>
        <w:rPr>
          <w:rFonts w:hint="eastAsia" w:hAnsi="宋体"/>
          <w:color w:val="auto"/>
          <w:sz w:val="24"/>
          <w:szCs w:val="24"/>
          <w:highlight w:val="none"/>
        </w:rPr>
        <w:t xml:space="preserve"> </w:t>
      </w:r>
      <w:r>
        <w:rPr>
          <w:rFonts w:hint="eastAsia" w:hAnsi="宋体"/>
          <w:bCs/>
          <w:color w:val="auto"/>
          <w:sz w:val="24"/>
          <w:szCs w:val="24"/>
          <w:highlight w:val="none"/>
          <w:u w:val="single"/>
        </w:rPr>
        <w:t xml:space="preserve">                                                                                      </w:t>
      </w:r>
    </w:p>
    <w:p w14:paraId="7638280E">
      <w:pPr>
        <w:pStyle w:val="18"/>
        <w:spacing w:line="360" w:lineRule="auto"/>
        <w:ind w:left="25" w:leftChars="12" w:firstLine="352" w:firstLineChars="147"/>
        <w:rPr>
          <w:rFonts w:hAnsi="宋体"/>
          <w:bCs/>
          <w:color w:val="auto"/>
          <w:sz w:val="24"/>
          <w:szCs w:val="24"/>
          <w:highlight w:val="none"/>
          <w:u w:val="single"/>
        </w:rPr>
      </w:pP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p w14:paraId="38C6ACA5">
      <w:pPr>
        <w:pStyle w:val="18"/>
        <w:spacing w:line="360" w:lineRule="auto"/>
        <w:ind w:left="25" w:leftChars="12" w:firstLine="472" w:firstLineChars="197"/>
        <w:rPr>
          <w:rFonts w:hAnsi="宋体"/>
          <w:bCs/>
          <w:color w:val="auto"/>
          <w:sz w:val="24"/>
          <w:szCs w:val="24"/>
          <w:highlight w:val="none"/>
        </w:rPr>
      </w:pPr>
      <w:r>
        <w:rPr>
          <w:rFonts w:hint="eastAsia" w:hAnsi="宋体"/>
          <w:color w:val="auto"/>
          <w:sz w:val="24"/>
          <w:szCs w:val="24"/>
          <w:highlight w:val="none"/>
        </w:rPr>
        <w:t xml:space="preserve">投诉事项2  </w:t>
      </w:r>
      <w:r>
        <w:rPr>
          <w:rFonts w:hint="eastAsia" w:hAnsi="宋体"/>
          <w:bCs/>
          <w:color w:val="auto"/>
          <w:sz w:val="24"/>
          <w:szCs w:val="24"/>
          <w:highlight w:val="none"/>
        </w:rPr>
        <w:t xml:space="preserve">   </w:t>
      </w:r>
    </w:p>
    <w:p w14:paraId="5ECE3CE8">
      <w:pPr>
        <w:pStyle w:val="18"/>
        <w:spacing w:line="360" w:lineRule="auto"/>
        <w:ind w:left="25" w:leftChars="12" w:firstLine="472" w:firstLineChars="197"/>
        <w:rPr>
          <w:rFonts w:hAnsi="宋体"/>
          <w:bCs/>
          <w:color w:val="auto"/>
          <w:sz w:val="24"/>
          <w:szCs w:val="24"/>
          <w:highlight w:val="none"/>
        </w:rPr>
      </w:pPr>
      <w:r>
        <w:rPr>
          <w:rFonts w:hint="eastAsia" w:hAnsi="宋体"/>
          <w:bCs/>
          <w:color w:val="auto"/>
          <w:sz w:val="24"/>
          <w:szCs w:val="24"/>
          <w:highlight w:val="none"/>
        </w:rPr>
        <w:t>……</w:t>
      </w:r>
    </w:p>
    <w:p w14:paraId="6B2D1325">
      <w:pPr>
        <w:pStyle w:val="18"/>
        <w:spacing w:line="360" w:lineRule="auto"/>
        <w:ind w:left="25" w:leftChars="12" w:firstLine="472" w:firstLineChars="196"/>
        <w:rPr>
          <w:rFonts w:hAnsi="宋体"/>
          <w:b/>
          <w:color w:val="auto"/>
          <w:sz w:val="24"/>
          <w:szCs w:val="24"/>
          <w:highlight w:val="none"/>
        </w:rPr>
      </w:pPr>
      <w:r>
        <w:rPr>
          <w:rFonts w:hint="eastAsia" w:hAnsi="宋体"/>
          <w:b/>
          <w:color w:val="auto"/>
          <w:sz w:val="24"/>
          <w:szCs w:val="24"/>
          <w:highlight w:val="none"/>
        </w:rPr>
        <w:t>五、与投诉事项相关的投诉请求：</w:t>
      </w:r>
    </w:p>
    <w:p w14:paraId="224F475C">
      <w:pPr>
        <w:pStyle w:val="18"/>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请求：</w:t>
      </w:r>
      <w:r>
        <w:rPr>
          <w:rFonts w:hint="eastAsia" w:hAnsi="宋体"/>
          <w:bCs/>
          <w:color w:val="auto"/>
          <w:sz w:val="24"/>
          <w:szCs w:val="24"/>
          <w:highlight w:val="none"/>
          <w:u w:val="single"/>
        </w:rPr>
        <w:t xml:space="preserve">                                                                                 </w:t>
      </w:r>
    </w:p>
    <w:p w14:paraId="627DB47F">
      <w:pPr>
        <w:pStyle w:val="18"/>
        <w:spacing w:line="360" w:lineRule="auto"/>
        <w:ind w:left="25" w:leftChars="12" w:firstLine="352" w:firstLineChars="147"/>
        <w:rPr>
          <w:rFonts w:hAnsi="宋体"/>
          <w:color w:val="auto"/>
          <w:sz w:val="24"/>
          <w:szCs w:val="24"/>
          <w:highlight w:val="none"/>
        </w:rPr>
      </w:pPr>
    </w:p>
    <w:p w14:paraId="25A44168">
      <w:pPr>
        <w:pStyle w:val="18"/>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签字（签章）：                                       公章：</w:t>
      </w:r>
    </w:p>
    <w:p w14:paraId="054F8CA6">
      <w:pPr>
        <w:pStyle w:val="18"/>
        <w:spacing w:line="360" w:lineRule="auto"/>
        <w:ind w:left="25" w:leftChars="12" w:firstLine="352" w:firstLineChars="147"/>
        <w:rPr>
          <w:rFonts w:hAnsi="宋体"/>
          <w:color w:val="auto"/>
          <w:sz w:val="24"/>
          <w:szCs w:val="24"/>
          <w:highlight w:val="none"/>
        </w:rPr>
      </w:pPr>
    </w:p>
    <w:p w14:paraId="7E180187">
      <w:pPr>
        <w:pStyle w:val="18"/>
        <w:spacing w:line="360" w:lineRule="auto"/>
        <w:ind w:left="25" w:leftChars="12" w:firstLine="472" w:firstLineChars="197"/>
        <w:rPr>
          <w:rFonts w:hAnsi="宋体"/>
          <w:color w:val="auto"/>
          <w:sz w:val="24"/>
          <w:szCs w:val="24"/>
          <w:highlight w:val="none"/>
        </w:rPr>
      </w:pPr>
      <w:r>
        <w:rPr>
          <w:rFonts w:hint="eastAsia" w:hAnsi="宋体"/>
          <w:color w:val="auto"/>
          <w:sz w:val="24"/>
          <w:szCs w:val="24"/>
          <w:highlight w:val="none"/>
        </w:rPr>
        <w:t>日期：</w:t>
      </w:r>
    </w:p>
    <w:p w14:paraId="36A74BC0">
      <w:pPr>
        <w:pStyle w:val="18"/>
        <w:spacing w:line="360" w:lineRule="auto"/>
        <w:ind w:left="25" w:leftChars="12" w:firstLine="472" w:firstLineChars="197"/>
        <w:rPr>
          <w:rFonts w:hAnsi="宋体"/>
          <w:color w:val="auto"/>
          <w:sz w:val="24"/>
          <w:szCs w:val="24"/>
          <w:highlight w:val="none"/>
        </w:rPr>
      </w:pPr>
      <w:r>
        <w:rPr>
          <w:rFonts w:hint="eastAsia" w:hAnsi="宋体"/>
          <w:bCs/>
          <w:color w:val="auto"/>
          <w:sz w:val="24"/>
          <w:szCs w:val="24"/>
          <w:highlight w:val="none"/>
        </w:rPr>
        <w:t xml:space="preserve">                                                                                 </w:t>
      </w:r>
    </w:p>
    <w:p w14:paraId="3CADFCF4">
      <w:pPr>
        <w:pStyle w:val="18"/>
        <w:snapToGrid w:val="0"/>
        <w:spacing w:line="360" w:lineRule="auto"/>
        <w:ind w:firstLine="482"/>
        <w:rPr>
          <w:rFonts w:hAnsi="宋体"/>
          <w:b/>
          <w:color w:val="auto"/>
          <w:sz w:val="24"/>
          <w:szCs w:val="24"/>
          <w:highlight w:val="none"/>
        </w:rPr>
      </w:pPr>
    </w:p>
    <w:p w14:paraId="653337BD">
      <w:pPr>
        <w:pStyle w:val="18"/>
        <w:snapToGrid w:val="0"/>
        <w:spacing w:line="360" w:lineRule="auto"/>
        <w:ind w:firstLine="482"/>
        <w:rPr>
          <w:rFonts w:hAnsi="宋体"/>
          <w:b/>
          <w:color w:val="auto"/>
          <w:sz w:val="24"/>
          <w:szCs w:val="24"/>
          <w:highlight w:val="none"/>
        </w:rPr>
      </w:pPr>
      <w:r>
        <w:rPr>
          <w:rFonts w:hint="eastAsia" w:hAnsi="宋体"/>
          <w:b/>
          <w:color w:val="auto"/>
          <w:sz w:val="24"/>
          <w:szCs w:val="24"/>
          <w:highlight w:val="none"/>
        </w:rPr>
        <w:t>说明：</w:t>
      </w:r>
    </w:p>
    <w:p w14:paraId="6A358AA4">
      <w:pPr>
        <w:pStyle w:val="18"/>
        <w:spacing w:line="360" w:lineRule="auto"/>
        <w:ind w:left="25" w:leftChars="12" w:firstLine="354" w:firstLineChars="147"/>
        <w:rPr>
          <w:rFonts w:hAnsi="宋体"/>
          <w:b/>
          <w:bCs/>
          <w:color w:val="auto"/>
          <w:sz w:val="24"/>
          <w:szCs w:val="24"/>
          <w:highlight w:val="none"/>
        </w:rPr>
      </w:pPr>
      <w:r>
        <w:rPr>
          <w:rFonts w:hint="eastAsia" w:hAnsi="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b/>
          <w:bCs/>
          <w:color w:val="auto"/>
          <w:sz w:val="24"/>
          <w:szCs w:val="24"/>
          <w:highlight w:val="none"/>
        </w:rPr>
        <w:t>。</w:t>
      </w:r>
    </w:p>
    <w:p w14:paraId="35509D9E">
      <w:pPr>
        <w:pStyle w:val="18"/>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8441D4E">
      <w:pPr>
        <w:pStyle w:val="18"/>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3.投诉书应简要列明质疑事项，质疑函、质疑答复等作为附件材料提供。</w:t>
      </w:r>
    </w:p>
    <w:p w14:paraId="25DC7925">
      <w:pPr>
        <w:pStyle w:val="18"/>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4.投诉书的投诉事项应具体、明确，并有必要的事实依据和法律依据。</w:t>
      </w:r>
    </w:p>
    <w:p w14:paraId="0D3D75B1">
      <w:pPr>
        <w:pStyle w:val="18"/>
        <w:spacing w:line="360" w:lineRule="auto"/>
        <w:ind w:left="25" w:leftChars="12" w:firstLine="354" w:firstLineChars="147"/>
        <w:rPr>
          <w:rFonts w:hAnsi="宋体"/>
          <w:b/>
          <w:color w:val="auto"/>
          <w:sz w:val="24"/>
          <w:szCs w:val="24"/>
          <w:highlight w:val="none"/>
        </w:rPr>
      </w:pPr>
      <w:r>
        <w:rPr>
          <w:rFonts w:hint="eastAsia" w:hAnsi="宋体"/>
          <w:b/>
          <w:color w:val="auto"/>
          <w:sz w:val="24"/>
          <w:szCs w:val="24"/>
          <w:highlight w:val="none"/>
        </w:rPr>
        <w:t>5.投诉书的投诉请求应与投诉事项相关。</w:t>
      </w:r>
    </w:p>
    <w:p w14:paraId="41CBC7D2">
      <w:pPr>
        <w:pStyle w:val="18"/>
        <w:spacing w:line="360" w:lineRule="auto"/>
        <w:ind w:left="25" w:leftChars="12" w:firstLine="354" w:firstLineChars="147"/>
        <w:rPr>
          <w:rFonts w:hAnsi="宋体"/>
          <w:b/>
          <w:color w:val="auto"/>
          <w:highlight w:val="none"/>
        </w:rPr>
      </w:pPr>
      <w:r>
        <w:rPr>
          <w:rFonts w:hint="eastAsia" w:hAnsi="宋体"/>
          <w:b/>
          <w:color w:val="auto"/>
          <w:sz w:val="24"/>
          <w:szCs w:val="24"/>
          <w:highlight w:val="none"/>
        </w:rPr>
        <w:t>6.投诉人为法人或者其他组织的，投诉书应由法定代表人、主要负责人，或者其授权代表签字或者盖章，并加盖公章。</w:t>
      </w:r>
    </w:p>
    <w:p w14:paraId="2AEBA7D3">
      <w:pPr>
        <w:rPr>
          <w:color w:val="auto"/>
          <w:highlight w:val="none"/>
        </w:rPr>
      </w:pPr>
    </w:p>
    <w:sectPr>
      <w:footerReference r:id="rId7" w:type="first"/>
      <w:footerReference r:id="rId6"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roman"/>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201060103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E221F">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D3762">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5126"/>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41146D1E">
                          <w:pPr>
                            <w:pStyle w:val="21"/>
                          </w:pPr>
                          <w:r>
                            <w:fldChar w:fldCharType="begin"/>
                          </w:r>
                          <w:r>
                            <w:instrText xml:space="preserve"> PAGE  \* MERGEFORMAT </w:instrText>
                          </w:r>
                          <w:r>
                            <w:fldChar w:fldCharType="separate"/>
                          </w:r>
                          <w:r>
                            <w:t>85</w:t>
                          </w:r>
                          <w:r>
                            <w:fldChar w:fldCharType="end"/>
                          </w:r>
                        </w:p>
                      </w:txbxContent>
                    </wps:txbx>
                    <wps:bodyPr rot="0" vert="horz" wrap="none" lIns="0" tIns="0" rIns="0" bIns="0" anchor="t" anchorCtr="0" upright="1">
                      <a:spAutoFit/>
                    </wps:bodyPr>
                  </wps:wsp>
                </a:graphicData>
              </a:graphic>
            </wp:anchor>
          </w:drawing>
        </mc:Choice>
        <mc:Fallback>
          <w:pict>
            <v:shape id="文本框 51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PlfknQAAAAAwEAAA8AAAAAAAAAAQAgAAAAIgAAAGRy&#10;cy9kb3ducmV2LnhtbFBLAQIUABQAAAAIAIdO4kCVHF/rDQIAAAUEAAAOAAAAAAAAAAEAIAAAAB8B&#10;AABkcnMvZTJvRG9jLnhtbFBLBQYAAAAABgAGAFkBAACeBQAAAAA=&#10;">
              <v:fill on="f" focussize="0,0"/>
              <v:stroke on="f"/>
              <v:imagedata o:title=""/>
              <o:lock v:ext="edit" aspectratio="f"/>
              <v:textbox inset="0mm,0mm,0mm,0mm" style="mso-fit-shape-to-text:t;">
                <w:txbxContent>
                  <w:p w14:paraId="41146D1E">
                    <w:pPr>
                      <w:pStyle w:val="21"/>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2D6D">
    <w:pPr>
      <w:pStyle w:val="2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24940D26">
                          <w:pPr>
                            <w:pStyle w:val="21"/>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Qa1WfNAQAAl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sVNoMRxiwM//vp5/P33+OcH&#10;qbI8fYAas24D5qXhvR9y6uQHdGbWg4o2f5EPwTiKeziLK4dERH5ULd5eXlEiMFRdVovFVUZh949D&#10;hPRBekuy0dCIsyuS8v0nSGPqKSXXcv5GG4N+Xhv3wIGY2cNy52OH2UrDZpja3vj2gGx6HHtDHW45&#10;JeajQ1XzhpyMeDI2J2MXot52ZYVyPQjvdgmbKL3lCiPsVBjnVdhNu5UX4t97ybr/n1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JQa1WfNAQAAlwMAAA4AAAAAAAAAAQAgAAAAHwEAAGRycy9l&#10;Mm9Eb2MueG1sUEsFBgAAAAAGAAYAWQEAAF4FAAAAAA==&#10;">
              <v:fill on="f" focussize="0,0"/>
              <v:stroke on="f"/>
              <v:imagedata o:title=""/>
              <o:lock v:ext="edit" aspectratio="f"/>
              <v:textbox inset="0mm,0mm,0mm,0mm" style="mso-fit-shape-to-text:t;">
                <w:txbxContent>
                  <w:p w14:paraId="24940D26">
                    <w:pPr>
                      <w:pStyle w:val="21"/>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74B97">
    <w:pPr>
      <w:pStyle w:val="21"/>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7"/>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6C9DBDB">
                          <w:pPr>
                            <w:pStyle w:val="21"/>
                          </w:pPr>
                          <w:r>
                            <w:fldChar w:fldCharType="begin"/>
                          </w:r>
                          <w:r>
                            <w:instrText xml:space="preserve"> PAGE  \* MERGEFORMAT </w:instrText>
                          </w:r>
                          <w:r>
                            <w:fldChar w:fldCharType="separate"/>
                          </w:r>
                          <w:r>
                            <w:t>94</w:t>
                          </w:r>
                          <w:r>
                            <w:fldChar w:fldCharType="end"/>
                          </w:r>
                        </w:p>
                      </w:txbxContent>
                    </wps:txbx>
                    <wps:bodyPr rot="0" vert="horz" wrap="none" lIns="0" tIns="0" rIns="0" bIns="0" anchor="t" anchorCtr="0" upright="1">
                      <a:spAutoFit/>
                    </wps:bodyPr>
                  </wps:wsp>
                </a:graphicData>
              </a:graphic>
            </wp:anchor>
          </w:drawing>
        </mc:Choice>
        <mc:Fallback>
          <w:pict>
            <v:shape id="文本框 51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Fk/7/YHAgAABwQAAA4AAAAAAAAAAQAgAAAAHgEAAGRycy9l&#10;Mm9Eb2MueG1sUEsFBgAAAAAGAAYAWQEAAJcFAAAAAA==&#10;">
              <v:fill on="f" focussize="0,0"/>
              <v:stroke on="f"/>
              <v:imagedata o:title=""/>
              <o:lock v:ext="edit" aspectratio="f"/>
              <v:textbox inset="0mm,0mm,0mm,0mm" style="mso-fit-shape-to-text:t;">
                <w:txbxContent>
                  <w:p w14:paraId="56C9DBDB">
                    <w:pPr>
                      <w:pStyle w:val="21"/>
                    </w:pPr>
                    <w:r>
                      <w:fldChar w:fldCharType="begin"/>
                    </w:r>
                    <w:r>
                      <w:instrText xml:space="preserve"> PAGE  \* MERGEFORMAT </w:instrText>
                    </w:r>
                    <w:r>
                      <w:fldChar w:fldCharType="separate"/>
                    </w:r>
                    <w:r>
                      <w:t>94</w:t>
                    </w:r>
                    <w:r>
                      <w:fldChar w:fldCharType="end"/>
                    </w:r>
                  </w:p>
                </w:txbxContent>
              </v:textbox>
            </v:shape>
          </w:pict>
        </mc:Fallback>
      </mc:AlternateContent>
    </w:r>
  </w:p>
  <w:p w14:paraId="416A81A5">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B6F27">
    <w:pPr>
      <w:pStyle w:val="2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DFB5634">
                          <w:pPr>
                            <w:pStyle w:val="2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OivP+oHAgAABwQAAA4AAAAAAAAAAQAgAAAAHgEAAGRycy9l&#10;Mm9Eb2MueG1sUEsFBgAAAAAGAAYAWQEAAJcFAAAAAA==&#10;">
              <v:fill on="f" focussize="0,0"/>
              <v:stroke on="f"/>
              <v:imagedata o:title=""/>
              <o:lock v:ext="edit" aspectratio="f"/>
              <v:textbox inset="0mm,0mm,0mm,0mm" style="mso-fit-shape-to-text:t;">
                <w:txbxContent>
                  <w:p w14:paraId="5DFB5634">
                    <w:pPr>
                      <w:pStyle w:val="21"/>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5D0456"/>
    <w:multiLevelType w:val="singleLevel"/>
    <w:tmpl w:val="D85D0456"/>
    <w:lvl w:ilvl="0" w:tentative="0">
      <w:start w:val="2"/>
      <w:numFmt w:val="chineseCounting"/>
      <w:suff w:val="nothing"/>
      <w:lvlText w:val="%1、"/>
      <w:lvlJc w:val="left"/>
      <w:rPr>
        <w:rFonts w:hint="eastAsia"/>
      </w:rPr>
    </w:lvl>
  </w:abstractNum>
  <w:abstractNum w:abstractNumId="1">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2">
    <w:nsid w:val="657FA02C"/>
    <w:multiLevelType w:val="singleLevel"/>
    <w:tmpl w:val="657FA02C"/>
    <w:lvl w:ilvl="0" w:tentative="0">
      <w:start w:val="1"/>
      <w:numFmt w:val="decimal"/>
      <w:suff w:val="nothing"/>
      <w:lvlText w:val="%1、"/>
      <w:lvlJc w:val="left"/>
    </w:lvl>
  </w:abstractNum>
  <w:abstractNum w:abstractNumId="3">
    <w:nsid w:val="748D16CD"/>
    <w:multiLevelType w:val="multilevel"/>
    <w:tmpl w:val="748D16CD"/>
    <w:lvl w:ilvl="0" w:tentative="0">
      <w:start w:val="1"/>
      <w:numFmt w:val="decimal"/>
      <w:pStyle w:val="119"/>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3MmZmMGE3NGQzMjdlNWU5ZGI3NTk3OWNmZjk3NjgifQ=="/>
  </w:docVars>
  <w:rsids>
    <w:rsidRoot w:val="00172A27"/>
    <w:rsid w:val="00000672"/>
    <w:rsid w:val="00001013"/>
    <w:rsid w:val="00001799"/>
    <w:rsid w:val="00001AF2"/>
    <w:rsid w:val="00001ECA"/>
    <w:rsid w:val="00002D29"/>
    <w:rsid w:val="00003B93"/>
    <w:rsid w:val="0000474D"/>
    <w:rsid w:val="00005FDF"/>
    <w:rsid w:val="000070B3"/>
    <w:rsid w:val="000076B8"/>
    <w:rsid w:val="00007C19"/>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40571"/>
    <w:rsid w:val="00040973"/>
    <w:rsid w:val="0004156E"/>
    <w:rsid w:val="00041713"/>
    <w:rsid w:val="0004440C"/>
    <w:rsid w:val="00046B5E"/>
    <w:rsid w:val="000470CB"/>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7ACA"/>
    <w:rsid w:val="00077C70"/>
    <w:rsid w:val="000813B5"/>
    <w:rsid w:val="00081BA3"/>
    <w:rsid w:val="00081D2E"/>
    <w:rsid w:val="00081F89"/>
    <w:rsid w:val="00082619"/>
    <w:rsid w:val="00082D02"/>
    <w:rsid w:val="00082D4B"/>
    <w:rsid w:val="00083871"/>
    <w:rsid w:val="00083B91"/>
    <w:rsid w:val="0008473C"/>
    <w:rsid w:val="0008520B"/>
    <w:rsid w:val="000859AA"/>
    <w:rsid w:val="000860BD"/>
    <w:rsid w:val="000871B8"/>
    <w:rsid w:val="000916DA"/>
    <w:rsid w:val="00092442"/>
    <w:rsid w:val="000929EF"/>
    <w:rsid w:val="000933BE"/>
    <w:rsid w:val="00093CD4"/>
    <w:rsid w:val="0009560F"/>
    <w:rsid w:val="0009588E"/>
    <w:rsid w:val="000959EE"/>
    <w:rsid w:val="00097183"/>
    <w:rsid w:val="000972CB"/>
    <w:rsid w:val="00097608"/>
    <w:rsid w:val="000977BD"/>
    <w:rsid w:val="000A13F3"/>
    <w:rsid w:val="000A23B1"/>
    <w:rsid w:val="000A2B0E"/>
    <w:rsid w:val="000A398F"/>
    <w:rsid w:val="000A39AD"/>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387"/>
    <w:rsid w:val="000B2585"/>
    <w:rsid w:val="000B2BC6"/>
    <w:rsid w:val="000B2D03"/>
    <w:rsid w:val="000B3815"/>
    <w:rsid w:val="000B3C7B"/>
    <w:rsid w:val="000B4321"/>
    <w:rsid w:val="000B6A6B"/>
    <w:rsid w:val="000B6C95"/>
    <w:rsid w:val="000B79FC"/>
    <w:rsid w:val="000C0181"/>
    <w:rsid w:val="000C02B1"/>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E1C51"/>
    <w:rsid w:val="000E2137"/>
    <w:rsid w:val="000E28AB"/>
    <w:rsid w:val="000E2E3E"/>
    <w:rsid w:val="000E3583"/>
    <w:rsid w:val="000E3AF0"/>
    <w:rsid w:val="000E4E04"/>
    <w:rsid w:val="000E693B"/>
    <w:rsid w:val="000E6EC9"/>
    <w:rsid w:val="000E70B4"/>
    <w:rsid w:val="000E7391"/>
    <w:rsid w:val="000E7B62"/>
    <w:rsid w:val="000F0E1E"/>
    <w:rsid w:val="000F1A1B"/>
    <w:rsid w:val="000F28AD"/>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925"/>
    <w:rsid w:val="00104EDE"/>
    <w:rsid w:val="00105CDA"/>
    <w:rsid w:val="00106BEE"/>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2FC"/>
    <w:rsid w:val="00117AE7"/>
    <w:rsid w:val="00117CBD"/>
    <w:rsid w:val="0012006A"/>
    <w:rsid w:val="00121979"/>
    <w:rsid w:val="00122064"/>
    <w:rsid w:val="00122C12"/>
    <w:rsid w:val="00122D01"/>
    <w:rsid w:val="00123A31"/>
    <w:rsid w:val="00124341"/>
    <w:rsid w:val="00124492"/>
    <w:rsid w:val="00124B12"/>
    <w:rsid w:val="001250A0"/>
    <w:rsid w:val="001263B8"/>
    <w:rsid w:val="0012763E"/>
    <w:rsid w:val="00130217"/>
    <w:rsid w:val="00130783"/>
    <w:rsid w:val="00130A47"/>
    <w:rsid w:val="00130D7C"/>
    <w:rsid w:val="001313DA"/>
    <w:rsid w:val="00131A6A"/>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65D6"/>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4EE2"/>
    <w:rsid w:val="00165627"/>
    <w:rsid w:val="00165929"/>
    <w:rsid w:val="001661A3"/>
    <w:rsid w:val="00167226"/>
    <w:rsid w:val="0016782B"/>
    <w:rsid w:val="0016784D"/>
    <w:rsid w:val="00167FF5"/>
    <w:rsid w:val="0017170D"/>
    <w:rsid w:val="00172A27"/>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6278"/>
    <w:rsid w:val="00186FE1"/>
    <w:rsid w:val="00187A14"/>
    <w:rsid w:val="0019171E"/>
    <w:rsid w:val="00192368"/>
    <w:rsid w:val="001923A0"/>
    <w:rsid w:val="001928B1"/>
    <w:rsid w:val="00193537"/>
    <w:rsid w:val="00193846"/>
    <w:rsid w:val="00195424"/>
    <w:rsid w:val="001955FF"/>
    <w:rsid w:val="00196698"/>
    <w:rsid w:val="001975B5"/>
    <w:rsid w:val="00197EDD"/>
    <w:rsid w:val="001A02B3"/>
    <w:rsid w:val="001A04BB"/>
    <w:rsid w:val="001A08D0"/>
    <w:rsid w:val="001A1B39"/>
    <w:rsid w:val="001A2120"/>
    <w:rsid w:val="001A28C6"/>
    <w:rsid w:val="001A2E69"/>
    <w:rsid w:val="001A3440"/>
    <w:rsid w:val="001A3C34"/>
    <w:rsid w:val="001A3EDE"/>
    <w:rsid w:val="001A4222"/>
    <w:rsid w:val="001A50EA"/>
    <w:rsid w:val="001A5E24"/>
    <w:rsid w:val="001A6B27"/>
    <w:rsid w:val="001A6D8B"/>
    <w:rsid w:val="001A6DAA"/>
    <w:rsid w:val="001A7717"/>
    <w:rsid w:val="001A793A"/>
    <w:rsid w:val="001B125A"/>
    <w:rsid w:val="001B1EBA"/>
    <w:rsid w:val="001B2142"/>
    <w:rsid w:val="001B2F2B"/>
    <w:rsid w:val="001B325A"/>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F6F"/>
    <w:rsid w:val="001E68B8"/>
    <w:rsid w:val="001F2001"/>
    <w:rsid w:val="001F2A2E"/>
    <w:rsid w:val="001F3356"/>
    <w:rsid w:val="001F3C63"/>
    <w:rsid w:val="001F4460"/>
    <w:rsid w:val="001F5262"/>
    <w:rsid w:val="001F711A"/>
    <w:rsid w:val="001F75B0"/>
    <w:rsid w:val="00200B4C"/>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2CD8"/>
    <w:rsid w:val="002533CD"/>
    <w:rsid w:val="002535EA"/>
    <w:rsid w:val="00253805"/>
    <w:rsid w:val="00254EAB"/>
    <w:rsid w:val="002557AF"/>
    <w:rsid w:val="0025589C"/>
    <w:rsid w:val="00255B62"/>
    <w:rsid w:val="002566B1"/>
    <w:rsid w:val="002575E3"/>
    <w:rsid w:val="00257A74"/>
    <w:rsid w:val="002603C1"/>
    <w:rsid w:val="002606D3"/>
    <w:rsid w:val="002609A1"/>
    <w:rsid w:val="002612B1"/>
    <w:rsid w:val="00266165"/>
    <w:rsid w:val="002662FE"/>
    <w:rsid w:val="00266F2C"/>
    <w:rsid w:val="0027045C"/>
    <w:rsid w:val="00270B88"/>
    <w:rsid w:val="00270D48"/>
    <w:rsid w:val="0027125E"/>
    <w:rsid w:val="00271767"/>
    <w:rsid w:val="00272293"/>
    <w:rsid w:val="002723C8"/>
    <w:rsid w:val="002725C1"/>
    <w:rsid w:val="00273C2A"/>
    <w:rsid w:val="00273CBE"/>
    <w:rsid w:val="002746B1"/>
    <w:rsid w:val="00274BAD"/>
    <w:rsid w:val="002810DD"/>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52B1"/>
    <w:rsid w:val="00295D11"/>
    <w:rsid w:val="00296FB6"/>
    <w:rsid w:val="002A0001"/>
    <w:rsid w:val="002A0BD9"/>
    <w:rsid w:val="002A0C3A"/>
    <w:rsid w:val="002A1130"/>
    <w:rsid w:val="002A1880"/>
    <w:rsid w:val="002A23B7"/>
    <w:rsid w:val="002A3A57"/>
    <w:rsid w:val="002A4B4F"/>
    <w:rsid w:val="002A57A8"/>
    <w:rsid w:val="002A5C8F"/>
    <w:rsid w:val="002A6DEF"/>
    <w:rsid w:val="002A6E42"/>
    <w:rsid w:val="002A770B"/>
    <w:rsid w:val="002A7EB1"/>
    <w:rsid w:val="002B013E"/>
    <w:rsid w:val="002B017B"/>
    <w:rsid w:val="002B058D"/>
    <w:rsid w:val="002B0C16"/>
    <w:rsid w:val="002B2AC5"/>
    <w:rsid w:val="002B3080"/>
    <w:rsid w:val="002B3528"/>
    <w:rsid w:val="002B3539"/>
    <w:rsid w:val="002B4532"/>
    <w:rsid w:val="002B5042"/>
    <w:rsid w:val="002B69CC"/>
    <w:rsid w:val="002B6D71"/>
    <w:rsid w:val="002B7562"/>
    <w:rsid w:val="002C0A38"/>
    <w:rsid w:val="002C0C1C"/>
    <w:rsid w:val="002C54C2"/>
    <w:rsid w:val="002C5D34"/>
    <w:rsid w:val="002C60BB"/>
    <w:rsid w:val="002C661A"/>
    <w:rsid w:val="002D0D6F"/>
    <w:rsid w:val="002D25FC"/>
    <w:rsid w:val="002D4AC6"/>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D61"/>
    <w:rsid w:val="002E5FED"/>
    <w:rsid w:val="002E68A7"/>
    <w:rsid w:val="002E6E6C"/>
    <w:rsid w:val="002F0522"/>
    <w:rsid w:val="002F0B85"/>
    <w:rsid w:val="002F16DD"/>
    <w:rsid w:val="002F199D"/>
    <w:rsid w:val="002F19EA"/>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74F"/>
    <w:rsid w:val="00301ADC"/>
    <w:rsid w:val="00301EC6"/>
    <w:rsid w:val="00302BCF"/>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5ED0"/>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2DA"/>
    <w:rsid w:val="003A5728"/>
    <w:rsid w:val="003A60E7"/>
    <w:rsid w:val="003A7045"/>
    <w:rsid w:val="003A7092"/>
    <w:rsid w:val="003A72A1"/>
    <w:rsid w:val="003A7611"/>
    <w:rsid w:val="003A7D1F"/>
    <w:rsid w:val="003B0B6A"/>
    <w:rsid w:val="003B22F7"/>
    <w:rsid w:val="003B29CF"/>
    <w:rsid w:val="003B3A90"/>
    <w:rsid w:val="003B3E4E"/>
    <w:rsid w:val="003B534F"/>
    <w:rsid w:val="003B7A79"/>
    <w:rsid w:val="003C0FE1"/>
    <w:rsid w:val="003C151A"/>
    <w:rsid w:val="003C350C"/>
    <w:rsid w:val="003C3903"/>
    <w:rsid w:val="003C3BA0"/>
    <w:rsid w:val="003C4580"/>
    <w:rsid w:val="003C5C5E"/>
    <w:rsid w:val="003C65FC"/>
    <w:rsid w:val="003C6746"/>
    <w:rsid w:val="003C7555"/>
    <w:rsid w:val="003C7898"/>
    <w:rsid w:val="003D0D43"/>
    <w:rsid w:val="003D0FF5"/>
    <w:rsid w:val="003D11A3"/>
    <w:rsid w:val="003D1537"/>
    <w:rsid w:val="003D183C"/>
    <w:rsid w:val="003D2D1B"/>
    <w:rsid w:val="003D48C7"/>
    <w:rsid w:val="003D4C27"/>
    <w:rsid w:val="003D7109"/>
    <w:rsid w:val="003D7CE8"/>
    <w:rsid w:val="003E03FA"/>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7AE0"/>
    <w:rsid w:val="00417BAA"/>
    <w:rsid w:val="00417F51"/>
    <w:rsid w:val="0042042B"/>
    <w:rsid w:val="00420B45"/>
    <w:rsid w:val="00420D7A"/>
    <w:rsid w:val="00421257"/>
    <w:rsid w:val="00422193"/>
    <w:rsid w:val="004223DE"/>
    <w:rsid w:val="00422A10"/>
    <w:rsid w:val="004249C0"/>
    <w:rsid w:val="00424D17"/>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61EB"/>
    <w:rsid w:val="00467EF8"/>
    <w:rsid w:val="00471FC4"/>
    <w:rsid w:val="00472429"/>
    <w:rsid w:val="004725E5"/>
    <w:rsid w:val="00472751"/>
    <w:rsid w:val="00473128"/>
    <w:rsid w:val="00475078"/>
    <w:rsid w:val="00475767"/>
    <w:rsid w:val="004765FB"/>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694A"/>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D93"/>
    <w:rsid w:val="004B1FA4"/>
    <w:rsid w:val="004B29AC"/>
    <w:rsid w:val="004B35DF"/>
    <w:rsid w:val="004B3627"/>
    <w:rsid w:val="004B4922"/>
    <w:rsid w:val="004B57DF"/>
    <w:rsid w:val="004B5976"/>
    <w:rsid w:val="004B6EEC"/>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2D79"/>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7160"/>
    <w:rsid w:val="00500258"/>
    <w:rsid w:val="00500B2D"/>
    <w:rsid w:val="00501A99"/>
    <w:rsid w:val="00503180"/>
    <w:rsid w:val="005038A4"/>
    <w:rsid w:val="00505450"/>
    <w:rsid w:val="005055C4"/>
    <w:rsid w:val="00505A05"/>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1BBA"/>
    <w:rsid w:val="0054358E"/>
    <w:rsid w:val="00543AF4"/>
    <w:rsid w:val="00544191"/>
    <w:rsid w:val="0054440C"/>
    <w:rsid w:val="005448EC"/>
    <w:rsid w:val="00544C0A"/>
    <w:rsid w:val="00544F39"/>
    <w:rsid w:val="00546F90"/>
    <w:rsid w:val="00547EFB"/>
    <w:rsid w:val="00550723"/>
    <w:rsid w:val="005522F2"/>
    <w:rsid w:val="005531DF"/>
    <w:rsid w:val="00553874"/>
    <w:rsid w:val="00554577"/>
    <w:rsid w:val="00554AD8"/>
    <w:rsid w:val="00554F78"/>
    <w:rsid w:val="00555DA1"/>
    <w:rsid w:val="00556BF7"/>
    <w:rsid w:val="00557F60"/>
    <w:rsid w:val="00561730"/>
    <w:rsid w:val="00561B97"/>
    <w:rsid w:val="00562149"/>
    <w:rsid w:val="005678D5"/>
    <w:rsid w:val="00567B5D"/>
    <w:rsid w:val="00570757"/>
    <w:rsid w:val="0057172C"/>
    <w:rsid w:val="00573733"/>
    <w:rsid w:val="00573A2B"/>
    <w:rsid w:val="00573D73"/>
    <w:rsid w:val="00573E3F"/>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CDB"/>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119D"/>
    <w:rsid w:val="005B2B11"/>
    <w:rsid w:val="005B32A4"/>
    <w:rsid w:val="005B3371"/>
    <w:rsid w:val="005B338D"/>
    <w:rsid w:val="005B36D7"/>
    <w:rsid w:val="005B3BAF"/>
    <w:rsid w:val="005B4DA3"/>
    <w:rsid w:val="005B5BEE"/>
    <w:rsid w:val="005B77D2"/>
    <w:rsid w:val="005C019B"/>
    <w:rsid w:val="005C08D0"/>
    <w:rsid w:val="005C1AED"/>
    <w:rsid w:val="005C203C"/>
    <w:rsid w:val="005C292F"/>
    <w:rsid w:val="005C30C7"/>
    <w:rsid w:val="005C30F5"/>
    <w:rsid w:val="005C3176"/>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1EF5"/>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0A2"/>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2D04"/>
    <w:rsid w:val="00634367"/>
    <w:rsid w:val="00640082"/>
    <w:rsid w:val="00640291"/>
    <w:rsid w:val="006408B6"/>
    <w:rsid w:val="00640EFE"/>
    <w:rsid w:val="00641D6D"/>
    <w:rsid w:val="00641FAC"/>
    <w:rsid w:val="00643664"/>
    <w:rsid w:val="006439A3"/>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5EA"/>
    <w:rsid w:val="00673711"/>
    <w:rsid w:val="00673F82"/>
    <w:rsid w:val="00674F74"/>
    <w:rsid w:val="0067508F"/>
    <w:rsid w:val="00676108"/>
    <w:rsid w:val="00677576"/>
    <w:rsid w:val="0068051E"/>
    <w:rsid w:val="00680B00"/>
    <w:rsid w:val="00680B9D"/>
    <w:rsid w:val="00681F13"/>
    <w:rsid w:val="0068231C"/>
    <w:rsid w:val="00682344"/>
    <w:rsid w:val="00682B23"/>
    <w:rsid w:val="00682F28"/>
    <w:rsid w:val="00683515"/>
    <w:rsid w:val="00684842"/>
    <w:rsid w:val="006859AA"/>
    <w:rsid w:val="00685BD6"/>
    <w:rsid w:val="00686A77"/>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FEE"/>
    <w:rsid w:val="006A703E"/>
    <w:rsid w:val="006A7BE3"/>
    <w:rsid w:val="006A7D32"/>
    <w:rsid w:val="006B01D1"/>
    <w:rsid w:val="006B0261"/>
    <w:rsid w:val="006B0DF4"/>
    <w:rsid w:val="006B0E2B"/>
    <w:rsid w:val="006B16EA"/>
    <w:rsid w:val="006B1780"/>
    <w:rsid w:val="006B224E"/>
    <w:rsid w:val="006B376E"/>
    <w:rsid w:val="006B4589"/>
    <w:rsid w:val="006B610E"/>
    <w:rsid w:val="006B6805"/>
    <w:rsid w:val="006B6DE0"/>
    <w:rsid w:val="006C138B"/>
    <w:rsid w:val="006C16C3"/>
    <w:rsid w:val="006C2187"/>
    <w:rsid w:val="006C32F4"/>
    <w:rsid w:val="006C3C54"/>
    <w:rsid w:val="006C4B6B"/>
    <w:rsid w:val="006C4F9F"/>
    <w:rsid w:val="006C71A2"/>
    <w:rsid w:val="006C73EC"/>
    <w:rsid w:val="006D0C1D"/>
    <w:rsid w:val="006D1D60"/>
    <w:rsid w:val="006D2E9D"/>
    <w:rsid w:val="006D4A4E"/>
    <w:rsid w:val="006D4C42"/>
    <w:rsid w:val="006D5389"/>
    <w:rsid w:val="006D5809"/>
    <w:rsid w:val="006D5AD0"/>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61D8"/>
    <w:rsid w:val="006F62B7"/>
    <w:rsid w:val="006F70BC"/>
    <w:rsid w:val="006F7CE3"/>
    <w:rsid w:val="006F7E7C"/>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E5D"/>
    <w:rsid w:val="007229D4"/>
    <w:rsid w:val="007230F8"/>
    <w:rsid w:val="007233F4"/>
    <w:rsid w:val="00724044"/>
    <w:rsid w:val="007248D3"/>
    <w:rsid w:val="00724DF8"/>
    <w:rsid w:val="00725137"/>
    <w:rsid w:val="00725378"/>
    <w:rsid w:val="00727A43"/>
    <w:rsid w:val="00727F2A"/>
    <w:rsid w:val="00727FF2"/>
    <w:rsid w:val="00730550"/>
    <w:rsid w:val="00730C2A"/>
    <w:rsid w:val="00731434"/>
    <w:rsid w:val="00731E59"/>
    <w:rsid w:val="007323E0"/>
    <w:rsid w:val="00732911"/>
    <w:rsid w:val="00733721"/>
    <w:rsid w:val="00733DE2"/>
    <w:rsid w:val="007352EA"/>
    <w:rsid w:val="0073792F"/>
    <w:rsid w:val="00737CD3"/>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8A"/>
    <w:rsid w:val="00787DFF"/>
    <w:rsid w:val="00787F93"/>
    <w:rsid w:val="00791E6D"/>
    <w:rsid w:val="00791EB5"/>
    <w:rsid w:val="00791FF2"/>
    <w:rsid w:val="007924BB"/>
    <w:rsid w:val="00793696"/>
    <w:rsid w:val="007955DA"/>
    <w:rsid w:val="00796F65"/>
    <w:rsid w:val="007970C7"/>
    <w:rsid w:val="007A11C2"/>
    <w:rsid w:val="007A18BB"/>
    <w:rsid w:val="007A27DD"/>
    <w:rsid w:val="007A41BF"/>
    <w:rsid w:val="007A490A"/>
    <w:rsid w:val="007A7B95"/>
    <w:rsid w:val="007A7D01"/>
    <w:rsid w:val="007B0297"/>
    <w:rsid w:val="007B02FA"/>
    <w:rsid w:val="007B0F53"/>
    <w:rsid w:val="007B21AE"/>
    <w:rsid w:val="007B2570"/>
    <w:rsid w:val="007B3113"/>
    <w:rsid w:val="007B3304"/>
    <w:rsid w:val="007B4CD7"/>
    <w:rsid w:val="007B7490"/>
    <w:rsid w:val="007C0525"/>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2C13"/>
    <w:rsid w:val="007F2CEC"/>
    <w:rsid w:val="007F3435"/>
    <w:rsid w:val="007F4501"/>
    <w:rsid w:val="007F55DE"/>
    <w:rsid w:val="007F564B"/>
    <w:rsid w:val="007F762D"/>
    <w:rsid w:val="007F78F0"/>
    <w:rsid w:val="007F78FF"/>
    <w:rsid w:val="008001C5"/>
    <w:rsid w:val="00800F6C"/>
    <w:rsid w:val="00801065"/>
    <w:rsid w:val="00801CC0"/>
    <w:rsid w:val="00802C0B"/>
    <w:rsid w:val="008051FC"/>
    <w:rsid w:val="008055A9"/>
    <w:rsid w:val="008056C4"/>
    <w:rsid w:val="008057FD"/>
    <w:rsid w:val="00805D8B"/>
    <w:rsid w:val="0080773A"/>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A1A"/>
    <w:rsid w:val="00833B7F"/>
    <w:rsid w:val="00833E8E"/>
    <w:rsid w:val="00834906"/>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104"/>
    <w:rsid w:val="0085788B"/>
    <w:rsid w:val="00857A9E"/>
    <w:rsid w:val="00857DE2"/>
    <w:rsid w:val="0086210F"/>
    <w:rsid w:val="00863A8E"/>
    <w:rsid w:val="0086407F"/>
    <w:rsid w:val="008645E3"/>
    <w:rsid w:val="00864E79"/>
    <w:rsid w:val="0086661F"/>
    <w:rsid w:val="00866A0D"/>
    <w:rsid w:val="00866DB5"/>
    <w:rsid w:val="0086701D"/>
    <w:rsid w:val="0086702B"/>
    <w:rsid w:val="00867181"/>
    <w:rsid w:val="008672E2"/>
    <w:rsid w:val="0086784E"/>
    <w:rsid w:val="0087121C"/>
    <w:rsid w:val="00871FD2"/>
    <w:rsid w:val="00872084"/>
    <w:rsid w:val="00872827"/>
    <w:rsid w:val="00872A32"/>
    <w:rsid w:val="00874911"/>
    <w:rsid w:val="008749EE"/>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3872"/>
    <w:rsid w:val="00895838"/>
    <w:rsid w:val="00895A1E"/>
    <w:rsid w:val="00895A72"/>
    <w:rsid w:val="00895CDF"/>
    <w:rsid w:val="00896679"/>
    <w:rsid w:val="00896D8C"/>
    <w:rsid w:val="008A0836"/>
    <w:rsid w:val="008A0FC9"/>
    <w:rsid w:val="008A17D6"/>
    <w:rsid w:val="008A1956"/>
    <w:rsid w:val="008A1A7C"/>
    <w:rsid w:val="008A2CE2"/>
    <w:rsid w:val="008A40D3"/>
    <w:rsid w:val="008A469C"/>
    <w:rsid w:val="008A51D1"/>
    <w:rsid w:val="008A5DCE"/>
    <w:rsid w:val="008A6AB1"/>
    <w:rsid w:val="008A75D3"/>
    <w:rsid w:val="008B05DD"/>
    <w:rsid w:val="008B07B8"/>
    <w:rsid w:val="008B17E8"/>
    <w:rsid w:val="008B2E7C"/>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62C"/>
    <w:rsid w:val="008E6540"/>
    <w:rsid w:val="008E77D4"/>
    <w:rsid w:val="008E7ADD"/>
    <w:rsid w:val="008F091F"/>
    <w:rsid w:val="008F17B2"/>
    <w:rsid w:val="008F22B3"/>
    <w:rsid w:val="008F357B"/>
    <w:rsid w:val="008F44CA"/>
    <w:rsid w:val="008F49D3"/>
    <w:rsid w:val="008F5DFC"/>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215"/>
    <w:rsid w:val="009238FD"/>
    <w:rsid w:val="00923998"/>
    <w:rsid w:val="00923DB4"/>
    <w:rsid w:val="0092420B"/>
    <w:rsid w:val="0092430E"/>
    <w:rsid w:val="00926112"/>
    <w:rsid w:val="0092625F"/>
    <w:rsid w:val="00926B28"/>
    <w:rsid w:val="00926D9C"/>
    <w:rsid w:val="00927028"/>
    <w:rsid w:val="00927763"/>
    <w:rsid w:val="00927A2D"/>
    <w:rsid w:val="00927B37"/>
    <w:rsid w:val="00930EC8"/>
    <w:rsid w:val="009321B1"/>
    <w:rsid w:val="00932ED7"/>
    <w:rsid w:val="0093422D"/>
    <w:rsid w:val="0093483B"/>
    <w:rsid w:val="00934CF9"/>
    <w:rsid w:val="00934DD7"/>
    <w:rsid w:val="009369A9"/>
    <w:rsid w:val="00936CF7"/>
    <w:rsid w:val="00937783"/>
    <w:rsid w:val="00937AE7"/>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94B"/>
    <w:rsid w:val="00956BD5"/>
    <w:rsid w:val="00956D84"/>
    <w:rsid w:val="009575DE"/>
    <w:rsid w:val="009577B5"/>
    <w:rsid w:val="00960480"/>
    <w:rsid w:val="009608E6"/>
    <w:rsid w:val="00960F57"/>
    <w:rsid w:val="00961C90"/>
    <w:rsid w:val="00962AD6"/>
    <w:rsid w:val="00962E03"/>
    <w:rsid w:val="00963424"/>
    <w:rsid w:val="00964129"/>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D26"/>
    <w:rsid w:val="00983B6E"/>
    <w:rsid w:val="00983FE5"/>
    <w:rsid w:val="009849E9"/>
    <w:rsid w:val="009859E4"/>
    <w:rsid w:val="00985D49"/>
    <w:rsid w:val="00987812"/>
    <w:rsid w:val="00990225"/>
    <w:rsid w:val="00992A13"/>
    <w:rsid w:val="00992B2E"/>
    <w:rsid w:val="00992C78"/>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4284"/>
    <w:rsid w:val="009A57D0"/>
    <w:rsid w:val="009A5DF5"/>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475B"/>
    <w:rsid w:val="009C5AFE"/>
    <w:rsid w:val="009C6606"/>
    <w:rsid w:val="009C69EC"/>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6A8"/>
    <w:rsid w:val="00A73861"/>
    <w:rsid w:val="00A739A6"/>
    <w:rsid w:val="00A740ED"/>
    <w:rsid w:val="00A74C29"/>
    <w:rsid w:val="00A74C62"/>
    <w:rsid w:val="00A75DF5"/>
    <w:rsid w:val="00A75EF9"/>
    <w:rsid w:val="00A8311C"/>
    <w:rsid w:val="00A835D0"/>
    <w:rsid w:val="00A84C5F"/>
    <w:rsid w:val="00A857A7"/>
    <w:rsid w:val="00A85930"/>
    <w:rsid w:val="00A863F7"/>
    <w:rsid w:val="00A86604"/>
    <w:rsid w:val="00A87519"/>
    <w:rsid w:val="00A92040"/>
    <w:rsid w:val="00A9246D"/>
    <w:rsid w:val="00A92CCA"/>
    <w:rsid w:val="00A93BD0"/>
    <w:rsid w:val="00A93CC2"/>
    <w:rsid w:val="00A974CC"/>
    <w:rsid w:val="00AA2001"/>
    <w:rsid w:val="00AA2B5C"/>
    <w:rsid w:val="00AA32D2"/>
    <w:rsid w:val="00AA4016"/>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40B7"/>
    <w:rsid w:val="00AC531F"/>
    <w:rsid w:val="00AC5B36"/>
    <w:rsid w:val="00AC6377"/>
    <w:rsid w:val="00AC66A4"/>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A37"/>
    <w:rsid w:val="00B21D23"/>
    <w:rsid w:val="00B21F62"/>
    <w:rsid w:val="00B22CE0"/>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37DA3"/>
    <w:rsid w:val="00B41D1E"/>
    <w:rsid w:val="00B42264"/>
    <w:rsid w:val="00B434B2"/>
    <w:rsid w:val="00B43D45"/>
    <w:rsid w:val="00B45B3F"/>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81"/>
    <w:rsid w:val="00B662FF"/>
    <w:rsid w:val="00B66679"/>
    <w:rsid w:val="00B67136"/>
    <w:rsid w:val="00B70145"/>
    <w:rsid w:val="00B71A92"/>
    <w:rsid w:val="00B721D8"/>
    <w:rsid w:val="00B730CA"/>
    <w:rsid w:val="00B747C5"/>
    <w:rsid w:val="00B74F2F"/>
    <w:rsid w:val="00B753ED"/>
    <w:rsid w:val="00B76742"/>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54A"/>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96FA8"/>
    <w:rsid w:val="00BA0B39"/>
    <w:rsid w:val="00BA0CB2"/>
    <w:rsid w:val="00BA0E26"/>
    <w:rsid w:val="00BA138B"/>
    <w:rsid w:val="00BA13F3"/>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D67"/>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2EC"/>
    <w:rsid w:val="00BD7616"/>
    <w:rsid w:val="00BE0ACB"/>
    <w:rsid w:val="00BE2260"/>
    <w:rsid w:val="00BE3917"/>
    <w:rsid w:val="00BE50FD"/>
    <w:rsid w:val="00BE51CA"/>
    <w:rsid w:val="00BE537F"/>
    <w:rsid w:val="00BE5D77"/>
    <w:rsid w:val="00BE63F7"/>
    <w:rsid w:val="00BE65F6"/>
    <w:rsid w:val="00BE6D47"/>
    <w:rsid w:val="00BE7032"/>
    <w:rsid w:val="00BE7330"/>
    <w:rsid w:val="00BF01C5"/>
    <w:rsid w:val="00BF061A"/>
    <w:rsid w:val="00BF066A"/>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58AF"/>
    <w:rsid w:val="00C075B6"/>
    <w:rsid w:val="00C124C1"/>
    <w:rsid w:val="00C128AE"/>
    <w:rsid w:val="00C12BA8"/>
    <w:rsid w:val="00C136D6"/>
    <w:rsid w:val="00C13902"/>
    <w:rsid w:val="00C13D5B"/>
    <w:rsid w:val="00C141D7"/>
    <w:rsid w:val="00C14276"/>
    <w:rsid w:val="00C1711B"/>
    <w:rsid w:val="00C17AE2"/>
    <w:rsid w:val="00C17E00"/>
    <w:rsid w:val="00C20140"/>
    <w:rsid w:val="00C20F27"/>
    <w:rsid w:val="00C215CF"/>
    <w:rsid w:val="00C2244B"/>
    <w:rsid w:val="00C22711"/>
    <w:rsid w:val="00C2280A"/>
    <w:rsid w:val="00C22B0D"/>
    <w:rsid w:val="00C22BFF"/>
    <w:rsid w:val="00C231F0"/>
    <w:rsid w:val="00C23522"/>
    <w:rsid w:val="00C240C1"/>
    <w:rsid w:val="00C2421F"/>
    <w:rsid w:val="00C24AED"/>
    <w:rsid w:val="00C250D0"/>
    <w:rsid w:val="00C252AC"/>
    <w:rsid w:val="00C25C0F"/>
    <w:rsid w:val="00C26567"/>
    <w:rsid w:val="00C26923"/>
    <w:rsid w:val="00C27214"/>
    <w:rsid w:val="00C27597"/>
    <w:rsid w:val="00C27E5E"/>
    <w:rsid w:val="00C30056"/>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973"/>
    <w:rsid w:val="00C445E8"/>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2A48"/>
    <w:rsid w:val="00C62AC4"/>
    <w:rsid w:val="00C62B59"/>
    <w:rsid w:val="00C62F96"/>
    <w:rsid w:val="00C631E1"/>
    <w:rsid w:val="00C638D8"/>
    <w:rsid w:val="00C63AE7"/>
    <w:rsid w:val="00C63D26"/>
    <w:rsid w:val="00C6540A"/>
    <w:rsid w:val="00C668A1"/>
    <w:rsid w:val="00C66DEC"/>
    <w:rsid w:val="00C67223"/>
    <w:rsid w:val="00C707B8"/>
    <w:rsid w:val="00C712AC"/>
    <w:rsid w:val="00C71C15"/>
    <w:rsid w:val="00C71F3D"/>
    <w:rsid w:val="00C72F53"/>
    <w:rsid w:val="00C7313D"/>
    <w:rsid w:val="00C74035"/>
    <w:rsid w:val="00C748EA"/>
    <w:rsid w:val="00C77818"/>
    <w:rsid w:val="00C8063F"/>
    <w:rsid w:val="00C81282"/>
    <w:rsid w:val="00C82455"/>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6A42"/>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304C"/>
    <w:rsid w:val="00CB3933"/>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646"/>
    <w:rsid w:val="00CF2BE2"/>
    <w:rsid w:val="00CF3825"/>
    <w:rsid w:val="00CF3DEB"/>
    <w:rsid w:val="00CF55F9"/>
    <w:rsid w:val="00CF7074"/>
    <w:rsid w:val="00CF7495"/>
    <w:rsid w:val="00D0033D"/>
    <w:rsid w:val="00D01CF9"/>
    <w:rsid w:val="00D0334D"/>
    <w:rsid w:val="00D0374D"/>
    <w:rsid w:val="00D03A2D"/>
    <w:rsid w:val="00D06D7B"/>
    <w:rsid w:val="00D06DA5"/>
    <w:rsid w:val="00D07191"/>
    <w:rsid w:val="00D07416"/>
    <w:rsid w:val="00D07F1D"/>
    <w:rsid w:val="00D10558"/>
    <w:rsid w:val="00D106EB"/>
    <w:rsid w:val="00D114EB"/>
    <w:rsid w:val="00D11D4D"/>
    <w:rsid w:val="00D126DC"/>
    <w:rsid w:val="00D129E1"/>
    <w:rsid w:val="00D12B03"/>
    <w:rsid w:val="00D13CEB"/>
    <w:rsid w:val="00D13E70"/>
    <w:rsid w:val="00D13FA5"/>
    <w:rsid w:val="00D15FCD"/>
    <w:rsid w:val="00D16C58"/>
    <w:rsid w:val="00D17019"/>
    <w:rsid w:val="00D17FC8"/>
    <w:rsid w:val="00D20B44"/>
    <w:rsid w:val="00D21168"/>
    <w:rsid w:val="00D2438C"/>
    <w:rsid w:val="00D2585A"/>
    <w:rsid w:val="00D259B0"/>
    <w:rsid w:val="00D26C3F"/>
    <w:rsid w:val="00D27185"/>
    <w:rsid w:val="00D30EF8"/>
    <w:rsid w:val="00D32518"/>
    <w:rsid w:val="00D33488"/>
    <w:rsid w:val="00D33AB3"/>
    <w:rsid w:val="00D33F24"/>
    <w:rsid w:val="00D34160"/>
    <w:rsid w:val="00D34521"/>
    <w:rsid w:val="00D346B8"/>
    <w:rsid w:val="00D34DCA"/>
    <w:rsid w:val="00D35AC8"/>
    <w:rsid w:val="00D36F87"/>
    <w:rsid w:val="00D37E4E"/>
    <w:rsid w:val="00D40DEF"/>
    <w:rsid w:val="00D417D8"/>
    <w:rsid w:val="00D41F78"/>
    <w:rsid w:val="00D42E6C"/>
    <w:rsid w:val="00D4351C"/>
    <w:rsid w:val="00D43B80"/>
    <w:rsid w:val="00D44988"/>
    <w:rsid w:val="00D45B4C"/>
    <w:rsid w:val="00D45BA4"/>
    <w:rsid w:val="00D465D0"/>
    <w:rsid w:val="00D471AF"/>
    <w:rsid w:val="00D4724F"/>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333E"/>
    <w:rsid w:val="00D6405C"/>
    <w:rsid w:val="00D66CE1"/>
    <w:rsid w:val="00D66D8B"/>
    <w:rsid w:val="00D67B88"/>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10C"/>
    <w:rsid w:val="00D873C6"/>
    <w:rsid w:val="00D87F7F"/>
    <w:rsid w:val="00D9074A"/>
    <w:rsid w:val="00D9099E"/>
    <w:rsid w:val="00D9193A"/>
    <w:rsid w:val="00D923B2"/>
    <w:rsid w:val="00D92463"/>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A9A"/>
    <w:rsid w:val="00DE3D2C"/>
    <w:rsid w:val="00DE5E82"/>
    <w:rsid w:val="00DE5F9B"/>
    <w:rsid w:val="00DE5FA6"/>
    <w:rsid w:val="00DE660A"/>
    <w:rsid w:val="00DE6792"/>
    <w:rsid w:val="00DE698B"/>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4C0F"/>
    <w:rsid w:val="00E0570B"/>
    <w:rsid w:val="00E05E04"/>
    <w:rsid w:val="00E10913"/>
    <w:rsid w:val="00E10B87"/>
    <w:rsid w:val="00E121CE"/>
    <w:rsid w:val="00E1478B"/>
    <w:rsid w:val="00E14FAC"/>
    <w:rsid w:val="00E15007"/>
    <w:rsid w:val="00E16277"/>
    <w:rsid w:val="00E16B44"/>
    <w:rsid w:val="00E16BDE"/>
    <w:rsid w:val="00E16EC7"/>
    <w:rsid w:val="00E219CE"/>
    <w:rsid w:val="00E2369C"/>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2C69"/>
    <w:rsid w:val="00E43054"/>
    <w:rsid w:val="00E43655"/>
    <w:rsid w:val="00E44440"/>
    <w:rsid w:val="00E46013"/>
    <w:rsid w:val="00E47099"/>
    <w:rsid w:val="00E47284"/>
    <w:rsid w:val="00E4730A"/>
    <w:rsid w:val="00E477C3"/>
    <w:rsid w:val="00E51E16"/>
    <w:rsid w:val="00E530D0"/>
    <w:rsid w:val="00E53730"/>
    <w:rsid w:val="00E5438D"/>
    <w:rsid w:val="00E54511"/>
    <w:rsid w:val="00E54ADC"/>
    <w:rsid w:val="00E54E50"/>
    <w:rsid w:val="00E55288"/>
    <w:rsid w:val="00E55332"/>
    <w:rsid w:val="00E55FA8"/>
    <w:rsid w:val="00E566CD"/>
    <w:rsid w:val="00E57577"/>
    <w:rsid w:val="00E62043"/>
    <w:rsid w:val="00E626B9"/>
    <w:rsid w:val="00E627C9"/>
    <w:rsid w:val="00E630F3"/>
    <w:rsid w:val="00E6332F"/>
    <w:rsid w:val="00E637C9"/>
    <w:rsid w:val="00E6402D"/>
    <w:rsid w:val="00E658BE"/>
    <w:rsid w:val="00E6680A"/>
    <w:rsid w:val="00E66F0D"/>
    <w:rsid w:val="00E70615"/>
    <w:rsid w:val="00E70C54"/>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C90"/>
    <w:rsid w:val="00EA2E07"/>
    <w:rsid w:val="00EA383B"/>
    <w:rsid w:val="00EA48F3"/>
    <w:rsid w:val="00EA511B"/>
    <w:rsid w:val="00EA60BF"/>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F4E"/>
    <w:rsid w:val="00EC1CEB"/>
    <w:rsid w:val="00EC1DC0"/>
    <w:rsid w:val="00EC1DC2"/>
    <w:rsid w:val="00EC21EC"/>
    <w:rsid w:val="00EC24B8"/>
    <w:rsid w:val="00EC268C"/>
    <w:rsid w:val="00EC3753"/>
    <w:rsid w:val="00EC4E71"/>
    <w:rsid w:val="00EC5F1C"/>
    <w:rsid w:val="00ED01D9"/>
    <w:rsid w:val="00ED0365"/>
    <w:rsid w:val="00ED0865"/>
    <w:rsid w:val="00ED1C60"/>
    <w:rsid w:val="00ED2084"/>
    <w:rsid w:val="00ED2EB9"/>
    <w:rsid w:val="00ED3722"/>
    <w:rsid w:val="00ED3A31"/>
    <w:rsid w:val="00ED43DA"/>
    <w:rsid w:val="00ED43E8"/>
    <w:rsid w:val="00ED4469"/>
    <w:rsid w:val="00ED5424"/>
    <w:rsid w:val="00ED5F23"/>
    <w:rsid w:val="00ED6A00"/>
    <w:rsid w:val="00ED6DC0"/>
    <w:rsid w:val="00ED7A7A"/>
    <w:rsid w:val="00EE0327"/>
    <w:rsid w:val="00EE038C"/>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BA2"/>
    <w:rsid w:val="00EE7CB0"/>
    <w:rsid w:val="00EF08A8"/>
    <w:rsid w:val="00EF12E4"/>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DF3"/>
    <w:rsid w:val="00F069EA"/>
    <w:rsid w:val="00F070E5"/>
    <w:rsid w:val="00F07AAA"/>
    <w:rsid w:val="00F07DDE"/>
    <w:rsid w:val="00F11675"/>
    <w:rsid w:val="00F12557"/>
    <w:rsid w:val="00F13599"/>
    <w:rsid w:val="00F13B28"/>
    <w:rsid w:val="00F13DB6"/>
    <w:rsid w:val="00F14E01"/>
    <w:rsid w:val="00F156A0"/>
    <w:rsid w:val="00F15730"/>
    <w:rsid w:val="00F164B0"/>
    <w:rsid w:val="00F176A6"/>
    <w:rsid w:val="00F202C2"/>
    <w:rsid w:val="00F212F6"/>
    <w:rsid w:val="00F22756"/>
    <w:rsid w:val="00F23248"/>
    <w:rsid w:val="00F23890"/>
    <w:rsid w:val="00F2504D"/>
    <w:rsid w:val="00F2637F"/>
    <w:rsid w:val="00F268F7"/>
    <w:rsid w:val="00F305C0"/>
    <w:rsid w:val="00F30B83"/>
    <w:rsid w:val="00F30BDB"/>
    <w:rsid w:val="00F30CF8"/>
    <w:rsid w:val="00F31EDF"/>
    <w:rsid w:val="00F32CDE"/>
    <w:rsid w:val="00F32D4C"/>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4033"/>
    <w:rsid w:val="00F84802"/>
    <w:rsid w:val="00F85B72"/>
    <w:rsid w:val="00F86540"/>
    <w:rsid w:val="00F865CE"/>
    <w:rsid w:val="00F8766F"/>
    <w:rsid w:val="00F91082"/>
    <w:rsid w:val="00F9116D"/>
    <w:rsid w:val="00F91A9A"/>
    <w:rsid w:val="00F91C67"/>
    <w:rsid w:val="00F9203B"/>
    <w:rsid w:val="00F93251"/>
    <w:rsid w:val="00F93ABB"/>
    <w:rsid w:val="00F94D79"/>
    <w:rsid w:val="00F9658C"/>
    <w:rsid w:val="00F97A7F"/>
    <w:rsid w:val="00FA0889"/>
    <w:rsid w:val="00FA16E7"/>
    <w:rsid w:val="00FA31C7"/>
    <w:rsid w:val="00FA472D"/>
    <w:rsid w:val="00FB0CBF"/>
    <w:rsid w:val="00FB18F6"/>
    <w:rsid w:val="00FB23E5"/>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22A"/>
    <w:rsid w:val="00FD0525"/>
    <w:rsid w:val="00FD0AB7"/>
    <w:rsid w:val="00FD297D"/>
    <w:rsid w:val="00FD2D13"/>
    <w:rsid w:val="00FD374D"/>
    <w:rsid w:val="00FD6071"/>
    <w:rsid w:val="00FD633B"/>
    <w:rsid w:val="00FD7D07"/>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AF3D99"/>
    <w:rsid w:val="01CA3F1A"/>
    <w:rsid w:val="021669B9"/>
    <w:rsid w:val="02455BE1"/>
    <w:rsid w:val="02511F9D"/>
    <w:rsid w:val="029872C4"/>
    <w:rsid w:val="02AC5D67"/>
    <w:rsid w:val="036B7036"/>
    <w:rsid w:val="03895E7E"/>
    <w:rsid w:val="03A314B8"/>
    <w:rsid w:val="03A964DC"/>
    <w:rsid w:val="03BB7608"/>
    <w:rsid w:val="03D82B98"/>
    <w:rsid w:val="03F3744F"/>
    <w:rsid w:val="03F83E8B"/>
    <w:rsid w:val="043E06E5"/>
    <w:rsid w:val="045A77D7"/>
    <w:rsid w:val="047E601B"/>
    <w:rsid w:val="04D249EE"/>
    <w:rsid w:val="052F51CD"/>
    <w:rsid w:val="055A33F8"/>
    <w:rsid w:val="055F5D82"/>
    <w:rsid w:val="058C6C47"/>
    <w:rsid w:val="05BC1DCB"/>
    <w:rsid w:val="05C56868"/>
    <w:rsid w:val="061D5695"/>
    <w:rsid w:val="061E60A2"/>
    <w:rsid w:val="069E2A3C"/>
    <w:rsid w:val="06AE22EB"/>
    <w:rsid w:val="06CF0C6F"/>
    <w:rsid w:val="06E47525"/>
    <w:rsid w:val="06FB0FDA"/>
    <w:rsid w:val="07054AEE"/>
    <w:rsid w:val="07072999"/>
    <w:rsid w:val="071103AA"/>
    <w:rsid w:val="074319D5"/>
    <w:rsid w:val="07723089"/>
    <w:rsid w:val="077F4DEF"/>
    <w:rsid w:val="07A95DDF"/>
    <w:rsid w:val="07B72767"/>
    <w:rsid w:val="07F6721E"/>
    <w:rsid w:val="08077E72"/>
    <w:rsid w:val="083253FB"/>
    <w:rsid w:val="087201A2"/>
    <w:rsid w:val="08882DD0"/>
    <w:rsid w:val="089D7C92"/>
    <w:rsid w:val="09287EA3"/>
    <w:rsid w:val="094F34E1"/>
    <w:rsid w:val="096D6090"/>
    <w:rsid w:val="097D1872"/>
    <w:rsid w:val="0999792E"/>
    <w:rsid w:val="09AB2883"/>
    <w:rsid w:val="09B70F0F"/>
    <w:rsid w:val="09CC2AAC"/>
    <w:rsid w:val="09D26E76"/>
    <w:rsid w:val="09DB5391"/>
    <w:rsid w:val="0A3A144A"/>
    <w:rsid w:val="0A652D3E"/>
    <w:rsid w:val="0A8D5341"/>
    <w:rsid w:val="0AAA5F4C"/>
    <w:rsid w:val="0AB872AE"/>
    <w:rsid w:val="0ACF355F"/>
    <w:rsid w:val="0AE66B11"/>
    <w:rsid w:val="0B1D638E"/>
    <w:rsid w:val="0B2E3315"/>
    <w:rsid w:val="0B326F2A"/>
    <w:rsid w:val="0B564043"/>
    <w:rsid w:val="0B715E08"/>
    <w:rsid w:val="0B732F2C"/>
    <w:rsid w:val="0C05627A"/>
    <w:rsid w:val="0C1E2888"/>
    <w:rsid w:val="0C5D60B6"/>
    <w:rsid w:val="0C600D89"/>
    <w:rsid w:val="0C92213C"/>
    <w:rsid w:val="0C9B68F6"/>
    <w:rsid w:val="0CAD78BF"/>
    <w:rsid w:val="0CD168A0"/>
    <w:rsid w:val="0D1975CB"/>
    <w:rsid w:val="0D366907"/>
    <w:rsid w:val="0D84032B"/>
    <w:rsid w:val="0D845CB5"/>
    <w:rsid w:val="0E0A1A3E"/>
    <w:rsid w:val="0E1A3CB8"/>
    <w:rsid w:val="0EC30DA3"/>
    <w:rsid w:val="0EDD0115"/>
    <w:rsid w:val="0EE26D22"/>
    <w:rsid w:val="0EE51B3D"/>
    <w:rsid w:val="0F2A74C4"/>
    <w:rsid w:val="0F862124"/>
    <w:rsid w:val="0FA455D3"/>
    <w:rsid w:val="0FBA55CD"/>
    <w:rsid w:val="0FBE28A6"/>
    <w:rsid w:val="0FEA3245"/>
    <w:rsid w:val="10445630"/>
    <w:rsid w:val="104B2919"/>
    <w:rsid w:val="10A27F31"/>
    <w:rsid w:val="10BC7123"/>
    <w:rsid w:val="10CB554B"/>
    <w:rsid w:val="10F13271"/>
    <w:rsid w:val="10F80974"/>
    <w:rsid w:val="115B3AB6"/>
    <w:rsid w:val="117B6FDE"/>
    <w:rsid w:val="11927058"/>
    <w:rsid w:val="11BF69DB"/>
    <w:rsid w:val="122810BC"/>
    <w:rsid w:val="122D3986"/>
    <w:rsid w:val="126322B2"/>
    <w:rsid w:val="12A54313"/>
    <w:rsid w:val="12AF695D"/>
    <w:rsid w:val="12B26A30"/>
    <w:rsid w:val="12C81DAF"/>
    <w:rsid w:val="130F5C30"/>
    <w:rsid w:val="136C1C19"/>
    <w:rsid w:val="139A5140"/>
    <w:rsid w:val="13AF4F03"/>
    <w:rsid w:val="13BA3DEE"/>
    <w:rsid w:val="13D14CAF"/>
    <w:rsid w:val="141C71CB"/>
    <w:rsid w:val="144B713C"/>
    <w:rsid w:val="14736E66"/>
    <w:rsid w:val="1476603A"/>
    <w:rsid w:val="147F458F"/>
    <w:rsid w:val="14846AB8"/>
    <w:rsid w:val="148A4B58"/>
    <w:rsid w:val="14B97FC8"/>
    <w:rsid w:val="14CD60A2"/>
    <w:rsid w:val="14D958EC"/>
    <w:rsid w:val="150115A9"/>
    <w:rsid w:val="1534169A"/>
    <w:rsid w:val="155B37B1"/>
    <w:rsid w:val="158E2078"/>
    <w:rsid w:val="15C03E03"/>
    <w:rsid w:val="15DA2D47"/>
    <w:rsid w:val="15E06C6E"/>
    <w:rsid w:val="162669D4"/>
    <w:rsid w:val="162A25EB"/>
    <w:rsid w:val="167D7355"/>
    <w:rsid w:val="16AA172D"/>
    <w:rsid w:val="16B94831"/>
    <w:rsid w:val="16CE3345"/>
    <w:rsid w:val="16E2707E"/>
    <w:rsid w:val="16F25628"/>
    <w:rsid w:val="16FD2A55"/>
    <w:rsid w:val="17067C1A"/>
    <w:rsid w:val="17113C2D"/>
    <w:rsid w:val="17366761"/>
    <w:rsid w:val="17386264"/>
    <w:rsid w:val="17637A86"/>
    <w:rsid w:val="176411FD"/>
    <w:rsid w:val="17756E0B"/>
    <w:rsid w:val="177C01F0"/>
    <w:rsid w:val="17CE6630"/>
    <w:rsid w:val="18304140"/>
    <w:rsid w:val="18363C5F"/>
    <w:rsid w:val="185C488C"/>
    <w:rsid w:val="187A32CC"/>
    <w:rsid w:val="187A71FD"/>
    <w:rsid w:val="18E74375"/>
    <w:rsid w:val="19745C07"/>
    <w:rsid w:val="19C63BE9"/>
    <w:rsid w:val="1A0717EC"/>
    <w:rsid w:val="1A09363E"/>
    <w:rsid w:val="1A6745A4"/>
    <w:rsid w:val="1A7B3BAB"/>
    <w:rsid w:val="1AAE7437"/>
    <w:rsid w:val="1AB51EDA"/>
    <w:rsid w:val="1ACF7F26"/>
    <w:rsid w:val="1AFF0AFE"/>
    <w:rsid w:val="1B4F19F8"/>
    <w:rsid w:val="1B7F025E"/>
    <w:rsid w:val="1B9E2E38"/>
    <w:rsid w:val="1BD9327F"/>
    <w:rsid w:val="1BF16E40"/>
    <w:rsid w:val="1C126EA7"/>
    <w:rsid w:val="1C226F03"/>
    <w:rsid w:val="1C3739EA"/>
    <w:rsid w:val="1CA278A4"/>
    <w:rsid w:val="1CE65C54"/>
    <w:rsid w:val="1D022362"/>
    <w:rsid w:val="1D7F5241"/>
    <w:rsid w:val="1DC60515"/>
    <w:rsid w:val="1DE654C7"/>
    <w:rsid w:val="1E782C63"/>
    <w:rsid w:val="1E935967"/>
    <w:rsid w:val="1EA85D8B"/>
    <w:rsid w:val="1EBB0A1A"/>
    <w:rsid w:val="1EC27FFB"/>
    <w:rsid w:val="1ECB5ABE"/>
    <w:rsid w:val="1ECC44FA"/>
    <w:rsid w:val="1EF72FB7"/>
    <w:rsid w:val="1F06319F"/>
    <w:rsid w:val="1F063325"/>
    <w:rsid w:val="1FB1732E"/>
    <w:rsid w:val="1FBC5DF5"/>
    <w:rsid w:val="1FCA53B9"/>
    <w:rsid w:val="1FD15B56"/>
    <w:rsid w:val="1FF90588"/>
    <w:rsid w:val="200B777F"/>
    <w:rsid w:val="202C1505"/>
    <w:rsid w:val="20804FFF"/>
    <w:rsid w:val="20954A5B"/>
    <w:rsid w:val="209E3448"/>
    <w:rsid w:val="20BF27AE"/>
    <w:rsid w:val="20C3623F"/>
    <w:rsid w:val="21781212"/>
    <w:rsid w:val="21857A15"/>
    <w:rsid w:val="218B0B78"/>
    <w:rsid w:val="21946573"/>
    <w:rsid w:val="21B83F86"/>
    <w:rsid w:val="221178A8"/>
    <w:rsid w:val="221213CF"/>
    <w:rsid w:val="2217457B"/>
    <w:rsid w:val="22284619"/>
    <w:rsid w:val="22327A92"/>
    <w:rsid w:val="22813677"/>
    <w:rsid w:val="228D0601"/>
    <w:rsid w:val="22993768"/>
    <w:rsid w:val="230A1F70"/>
    <w:rsid w:val="231D53A2"/>
    <w:rsid w:val="236D5383"/>
    <w:rsid w:val="23765ED6"/>
    <w:rsid w:val="23796068"/>
    <w:rsid w:val="23920AE3"/>
    <w:rsid w:val="23AB0F1B"/>
    <w:rsid w:val="23B7504C"/>
    <w:rsid w:val="23D65198"/>
    <w:rsid w:val="23EB3467"/>
    <w:rsid w:val="24304BEB"/>
    <w:rsid w:val="243279D1"/>
    <w:rsid w:val="243B4AD7"/>
    <w:rsid w:val="24571307"/>
    <w:rsid w:val="245D6371"/>
    <w:rsid w:val="248717A9"/>
    <w:rsid w:val="24B23C3F"/>
    <w:rsid w:val="24CA184B"/>
    <w:rsid w:val="24DE5462"/>
    <w:rsid w:val="25110A2A"/>
    <w:rsid w:val="2540611D"/>
    <w:rsid w:val="256C0944"/>
    <w:rsid w:val="259D7757"/>
    <w:rsid w:val="25C7239A"/>
    <w:rsid w:val="25D45722"/>
    <w:rsid w:val="25F03A59"/>
    <w:rsid w:val="26025181"/>
    <w:rsid w:val="260F5709"/>
    <w:rsid w:val="26446DE3"/>
    <w:rsid w:val="266C0887"/>
    <w:rsid w:val="269669E7"/>
    <w:rsid w:val="26C935A3"/>
    <w:rsid w:val="26D7699F"/>
    <w:rsid w:val="27363334"/>
    <w:rsid w:val="275D39A9"/>
    <w:rsid w:val="278D11DB"/>
    <w:rsid w:val="27A3000D"/>
    <w:rsid w:val="27DC212D"/>
    <w:rsid w:val="28162039"/>
    <w:rsid w:val="28167ADE"/>
    <w:rsid w:val="2846758F"/>
    <w:rsid w:val="28972291"/>
    <w:rsid w:val="28A13246"/>
    <w:rsid w:val="28EC6436"/>
    <w:rsid w:val="28F32C25"/>
    <w:rsid w:val="294869C7"/>
    <w:rsid w:val="294D515D"/>
    <w:rsid w:val="29AE620A"/>
    <w:rsid w:val="29B36EBE"/>
    <w:rsid w:val="29BE3608"/>
    <w:rsid w:val="29CE1F49"/>
    <w:rsid w:val="2A832513"/>
    <w:rsid w:val="2A8940C2"/>
    <w:rsid w:val="2ADA29E4"/>
    <w:rsid w:val="2B032707"/>
    <w:rsid w:val="2B2C517A"/>
    <w:rsid w:val="2B6F2C13"/>
    <w:rsid w:val="2B774624"/>
    <w:rsid w:val="2B9647A2"/>
    <w:rsid w:val="2BC543EE"/>
    <w:rsid w:val="2BD13E3D"/>
    <w:rsid w:val="2C111CF1"/>
    <w:rsid w:val="2C7A72BE"/>
    <w:rsid w:val="2C8B138E"/>
    <w:rsid w:val="2C9A7D75"/>
    <w:rsid w:val="2CAB5D4F"/>
    <w:rsid w:val="2CB9754B"/>
    <w:rsid w:val="2CC17412"/>
    <w:rsid w:val="2CCE21C1"/>
    <w:rsid w:val="2CD02273"/>
    <w:rsid w:val="2CD258AD"/>
    <w:rsid w:val="2CED6B8B"/>
    <w:rsid w:val="2D342B31"/>
    <w:rsid w:val="2D3E0CD9"/>
    <w:rsid w:val="2D8C63A3"/>
    <w:rsid w:val="2E3E1DAD"/>
    <w:rsid w:val="2E4772DA"/>
    <w:rsid w:val="2E9976CE"/>
    <w:rsid w:val="2EB93005"/>
    <w:rsid w:val="2EF75E08"/>
    <w:rsid w:val="2F0D2540"/>
    <w:rsid w:val="2F255C02"/>
    <w:rsid w:val="2F3520EE"/>
    <w:rsid w:val="2F401D3C"/>
    <w:rsid w:val="2F5B24E1"/>
    <w:rsid w:val="2F606C3B"/>
    <w:rsid w:val="2F975A6C"/>
    <w:rsid w:val="2FA0723D"/>
    <w:rsid w:val="2FA95C88"/>
    <w:rsid w:val="2FAD2601"/>
    <w:rsid w:val="303D45F9"/>
    <w:rsid w:val="3041370F"/>
    <w:rsid w:val="30643669"/>
    <w:rsid w:val="307070E7"/>
    <w:rsid w:val="30CC3707"/>
    <w:rsid w:val="30D34E59"/>
    <w:rsid w:val="30F43287"/>
    <w:rsid w:val="30F878AC"/>
    <w:rsid w:val="31010E56"/>
    <w:rsid w:val="312B50A3"/>
    <w:rsid w:val="318E37F1"/>
    <w:rsid w:val="31A33FB6"/>
    <w:rsid w:val="32103FFA"/>
    <w:rsid w:val="323064EB"/>
    <w:rsid w:val="324105F3"/>
    <w:rsid w:val="32453A27"/>
    <w:rsid w:val="3263064A"/>
    <w:rsid w:val="32A43132"/>
    <w:rsid w:val="32A77828"/>
    <w:rsid w:val="32AB107A"/>
    <w:rsid w:val="32AC0C06"/>
    <w:rsid w:val="32CD31E6"/>
    <w:rsid w:val="32D850B3"/>
    <w:rsid w:val="3317670F"/>
    <w:rsid w:val="33344EF5"/>
    <w:rsid w:val="33495115"/>
    <w:rsid w:val="335D0E27"/>
    <w:rsid w:val="33C95381"/>
    <w:rsid w:val="33F17BD0"/>
    <w:rsid w:val="33F85ED1"/>
    <w:rsid w:val="34237336"/>
    <w:rsid w:val="342D18BD"/>
    <w:rsid w:val="34784F8C"/>
    <w:rsid w:val="347E2C0E"/>
    <w:rsid w:val="34835AA8"/>
    <w:rsid w:val="34915851"/>
    <w:rsid w:val="34A31AAC"/>
    <w:rsid w:val="3537750C"/>
    <w:rsid w:val="3537798C"/>
    <w:rsid w:val="356A7DA5"/>
    <w:rsid w:val="35B04BF9"/>
    <w:rsid w:val="35C13FC9"/>
    <w:rsid w:val="35D25433"/>
    <w:rsid w:val="35D648BC"/>
    <w:rsid w:val="36015385"/>
    <w:rsid w:val="362232F4"/>
    <w:rsid w:val="36362319"/>
    <w:rsid w:val="364257B6"/>
    <w:rsid w:val="364C66D0"/>
    <w:rsid w:val="36522785"/>
    <w:rsid w:val="366C6D72"/>
    <w:rsid w:val="36CB620C"/>
    <w:rsid w:val="36CD0061"/>
    <w:rsid w:val="36EE0774"/>
    <w:rsid w:val="36F47456"/>
    <w:rsid w:val="37A121AB"/>
    <w:rsid w:val="37D50FAB"/>
    <w:rsid w:val="37EA5922"/>
    <w:rsid w:val="38072F34"/>
    <w:rsid w:val="38276B93"/>
    <w:rsid w:val="38613044"/>
    <w:rsid w:val="3862042D"/>
    <w:rsid w:val="387205DE"/>
    <w:rsid w:val="388B2B78"/>
    <w:rsid w:val="38AC3431"/>
    <w:rsid w:val="38DD2A23"/>
    <w:rsid w:val="38FD0E8E"/>
    <w:rsid w:val="390A4B0C"/>
    <w:rsid w:val="391B6EBA"/>
    <w:rsid w:val="392F2E16"/>
    <w:rsid w:val="398E34A3"/>
    <w:rsid w:val="399809B3"/>
    <w:rsid w:val="39B604EC"/>
    <w:rsid w:val="39C25921"/>
    <w:rsid w:val="39CB4D8C"/>
    <w:rsid w:val="39D76BE6"/>
    <w:rsid w:val="39E00529"/>
    <w:rsid w:val="39E66E3B"/>
    <w:rsid w:val="3A0B64A7"/>
    <w:rsid w:val="3A574DDA"/>
    <w:rsid w:val="3AB21AFF"/>
    <w:rsid w:val="3AD01F1E"/>
    <w:rsid w:val="3AD3075A"/>
    <w:rsid w:val="3AF74C02"/>
    <w:rsid w:val="3B0A6B5A"/>
    <w:rsid w:val="3B31621B"/>
    <w:rsid w:val="3B7C5418"/>
    <w:rsid w:val="3BD11D17"/>
    <w:rsid w:val="3BDD3973"/>
    <w:rsid w:val="3BEA662E"/>
    <w:rsid w:val="3C0059A5"/>
    <w:rsid w:val="3C083808"/>
    <w:rsid w:val="3C134E78"/>
    <w:rsid w:val="3C1F6635"/>
    <w:rsid w:val="3C574A22"/>
    <w:rsid w:val="3C7C6416"/>
    <w:rsid w:val="3C8D17F0"/>
    <w:rsid w:val="3CED04E1"/>
    <w:rsid w:val="3CF7310E"/>
    <w:rsid w:val="3D464014"/>
    <w:rsid w:val="3D5763EA"/>
    <w:rsid w:val="3D600CB3"/>
    <w:rsid w:val="3DA7442F"/>
    <w:rsid w:val="3DBF00CF"/>
    <w:rsid w:val="3DEC7285"/>
    <w:rsid w:val="3DF6345D"/>
    <w:rsid w:val="3E0875B9"/>
    <w:rsid w:val="3E13515A"/>
    <w:rsid w:val="3E2B5515"/>
    <w:rsid w:val="3E4D4F28"/>
    <w:rsid w:val="3E642A25"/>
    <w:rsid w:val="3EAD617A"/>
    <w:rsid w:val="3ECC290E"/>
    <w:rsid w:val="3ECE0A85"/>
    <w:rsid w:val="3EE13701"/>
    <w:rsid w:val="3F1146D1"/>
    <w:rsid w:val="3F1A4BB3"/>
    <w:rsid w:val="3F440D9C"/>
    <w:rsid w:val="3F6750E2"/>
    <w:rsid w:val="3FA956C6"/>
    <w:rsid w:val="400002FD"/>
    <w:rsid w:val="40052480"/>
    <w:rsid w:val="400B1BF8"/>
    <w:rsid w:val="4017644F"/>
    <w:rsid w:val="40192BA6"/>
    <w:rsid w:val="402D0E7A"/>
    <w:rsid w:val="40A44E40"/>
    <w:rsid w:val="40B45331"/>
    <w:rsid w:val="40C743F6"/>
    <w:rsid w:val="4153020C"/>
    <w:rsid w:val="41766EA9"/>
    <w:rsid w:val="417F2A33"/>
    <w:rsid w:val="41971C08"/>
    <w:rsid w:val="41AF2C0C"/>
    <w:rsid w:val="41C43607"/>
    <w:rsid w:val="41C8432B"/>
    <w:rsid w:val="41E2613A"/>
    <w:rsid w:val="420F765A"/>
    <w:rsid w:val="4210318F"/>
    <w:rsid w:val="42382962"/>
    <w:rsid w:val="423A1058"/>
    <w:rsid w:val="42550A18"/>
    <w:rsid w:val="42690D8C"/>
    <w:rsid w:val="4292190E"/>
    <w:rsid w:val="42980EEF"/>
    <w:rsid w:val="429D496A"/>
    <w:rsid w:val="42A67168"/>
    <w:rsid w:val="42AE426E"/>
    <w:rsid w:val="42F473A1"/>
    <w:rsid w:val="43064F17"/>
    <w:rsid w:val="43090BC2"/>
    <w:rsid w:val="432A1FD7"/>
    <w:rsid w:val="4387289C"/>
    <w:rsid w:val="43A435A3"/>
    <w:rsid w:val="43B00699"/>
    <w:rsid w:val="43C62092"/>
    <w:rsid w:val="43CC39F8"/>
    <w:rsid w:val="43DB3550"/>
    <w:rsid w:val="441E62C0"/>
    <w:rsid w:val="444511FD"/>
    <w:rsid w:val="446F25DC"/>
    <w:rsid w:val="44840E02"/>
    <w:rsid w:val="44846C8C"/>
    <w:rsid w:val="44932CBE"/>
    <w:rsid w:val="44956C6B"/>
    <w:rsid w:val="44BB5016"/>
    <w:rsid w:val="44E27FDF"/>
    <w:rsid w:val="45266F9C"/>
    <w:rsid w:val="45325D14"/>
    <w:rsid w:val="45811C7C"/>
    <w:rsid w:val="45906116"/>
    <w:rsid w:val="45D60F8B"/>
    <w:rsid w:val="45FA236C"/>
    <w:rsid w:val="46277145"/>
    <w:rsid w:val="46282CE7"/>
    <w:rsid w:val="46625A9C"/>
    <w:rsid w:val="466E222C"/>
    <w:rsid w:val="46711C9D"/>
    <w:rsid w:val="468B3EFB"/>
    <w:rsid w:val="46A936CA"/>
    <w:rsid w:val="46CC5605"/>
    <w:rsid w:val="46CF7B75"/>
    <w:rsid w:val="46D80C11"/>
    <w:rsid w:val="470A6193"/>
    <w:rsid w:val="47385210"/>
    <w:rsid w:val="47821DE5"/>
    <w:rsid w:val="478351D6"/>
    <w:rsid w:val="47991EBF"/>
    <w:rsid w:val="479F65D2"/>
    <w:rsid w:val="47C17D57"/>
    <w:rsid w:val="47CB2FFE"/>
    <w:rsid w:val="47DC4F5C"/>
    <w:rsid w:val="47E04A28"/>
    <w:rsid w:val="47E91D1C"/>
    <w:rsid w:val="48293109"/>
    <w:rsid w:val="48903779"/>
    <w:rsid w:val="48B40671"/>
    <w:rsid w:val="48F21359"/>
    <w:rsid w:val="49025314"/>
    <w:rsid w:val="494D2CE2"/>
    <w:rsid w:val="499B5738"/>
    <w:rsid w:val="499F244D"/>
    <w:rsid w:val="49C471B8"/>
    <w:rsid w:val="49CE42B1"/>
    <w:rsid w:val="49D2473F"/>
    <w:rsid w:val="4A3E37AC"/>
    <w:rsid w:val="4A6163E1"/>
    <w:rsid w:val="4A815B23"/>
    <w:rsid w:val="4A973F3F"/>
    <w:rsid w:val="4AD00659"/>
    <w:rsid w:val="4AD4683C"/>
    <w:rsid w:val="4ADB24E9"/>
    <w:rsid w:val="4AF43FD0"/>
    <w:rsid w:val="4AF96BC7"/>
    <w:rsid w:val="4B0054F6"/>
    <w:rsid w:val="4B10510D"/>
    <w:rsid w:val="4B3C3537"/>
    <w:rsid w:val="4B4D6CAD"/>
    <w:rsid w:val="4B54694B"/>
    <w:rsid w:val="4B575D09"/>
    <w:rsid w:val="4B5A416B"/>
    <w:rsid w:val="4B667DDC"/>
    <w:rsid w:val="4B862A85"/>
    <w:rsid w:val="4B9768B7"/>
    <w:rsid w:val="4C360121"/>
    <w:rsid w:val="4C4113CF"/>
    <w:rsid w:val="4C8D3147"/>
    <w:rsid w:val="4CD77134"/>
    <w:rsid w:val="4CEF36E2"/>
    <w:rsid w:val="4CEF4DC5"/>
    <w:rsid w:val="4CEF5BAF"/>
    <w:rsid w:val="4D554456"/>
    <w:rsid w:val="4D6640C5"/>
    <w:rsid w:val="4D7C38E7"/>
    <w:rsid w:val="4D97427D"/>
    <w:rsid w:val="4D9A6F3C"/>
    <w:rsid w:val="4DB12CB8"/>
    <w:rsid w:val="4E2352F3"/>
    <w:rsid w:val="4E257655"/>
    <w:rsid w:val="4E6A4689"/>
    <w:rsid w:val="4E8E7871"/>
    <w:rsid w:val="4E9C71F1"/>
    <w:rsid w:val="4EFD0A57"/>
    <w:rsid w:val="4F07605D"/>
    <w:rsid w:val="4F0911AA"/>
    <w:rsid w:val="4F372380"/>
    <w:rsid w:val="4F372FFB"/>
    <w:rsid w:val="4F4C744F"/>
    <w:rsid w:val="4F561F16"/>
    <w:rsid w:val="4F824AB9"/>
    <w:rsid w:val="4F8366F9"/>
    <w:rsid w:val="4F855F8A"/>
    <w:rsid w:val="4FBA06F6"/>
    <w:rsid w:val="4FDA2B47"/>
    <w:rsid w:val="4FEF639E"/>
    <w:rsid w:val="50051787"/>
    <w:rsid w:val="5025116D"/>
    <w:rsid w:val="505C7A00"/>
    <w:rsid w:val="507B2BDD"/>
    <w:rsid w:val="508140DB"/>
    <w:rsid w:val="50E33C7D"/>
    <w:rsid w:val="511F0D62"/>
    <w:rsid w:val="51302F4C"/>
    <w:rsid w:val="513E7B7F"/>
    <w:rsid w:val="514566E6"/>
    <w:rsid w:val="51DB4692"/>
    <w:rsid w:val="52084F42"/>
    <w:rsid w:val="52395ECD"/>
    <w:rsid w:val="52C10D75"/>
    <w:rsid w:val="52E56554"/>
    <w:rsid w:val="532E1648"/>
    <w:rsid w:val="536B3D9A"/>
    <w:rsid w:val="53C27FF8"/>
    <w:rsid w:val="53EB426F"/>
    <w:rsid w:val="53EE1575"/>
    <w:rsid w:val="53FC29DA"/>
    <w:rsid w:val="540B4F82"/>
    <w:rsid w:val="542720D3"/>
    <w:rsid w:val="545E1F1C"/>
    <w:rsid w:val="549E1A80"/>
    <w:rsid w:val="54C658F4"/>
    <w:rsid w:val="54F70294"/>
    <w:rsid w:val="550C4BD7"/>
    <w:rsid w:val="5515091E"/>
    <w:rsid w:val="554C1D56"/>
    <w:rsid w:val="55572986"/>
    <w:rsid w:val="555C6705"/>
    <w:rsid w:val="558D57D6"/>
    <w:rsid w:val="558F1CDD"/>
    <w:rsid w:val="5596490A"/>
    <w:rsid w:val="55BC4E91"/>
    <w:rsid w:val="55C062DD"/>
    <w:rsid w:val="55D31987"/>
    <w:rsid w:val="55E32EEB"/>
    <w:rsid w:val="563858E9"/>
    <w:rsid w:val="563E0B4C"/>
    <w:rsid w:val="56497927"/>
    <w:rsid w:val="564E2E48"/>
    <w:rsid w:val="565340FA"/>
    <w:rsid w:val="568D708B"/>
    <w:rsid w:val="56B51C18"/>
    <w:rsid w:val="56BD0981"/>
    <w:rsid w:val="56BF0946"/>
    <w:rsid w:val="56D852AB"/>
    <w:rsid w:val="57174680"/>
    <w:rsid w:val="571F7091"/>
    <w:rsid w:val="57212E09"/>
    <w:rsid w:val="5723343E"/>
    <w:rsid w:val="573B211D"/>
    <w:rsid w:val="573D7EAB"/>
    <w:rsid w:val="575E4971"/>
    <w:rsid w:val="576553EC"/>
    <w:rsid w:val="579541DE"/>
    <w:rsid w:val="57D15389"/>
    <w:rsid w:val="57F912D5"/>
    <w:rsid w:val="580112A0"/>
    <w:rsid w:val="5814778D"/>
    <w:rsid w:val="581D7386"/>
    <w:rsid w:val="58485949"/>
    <w:rsid w:val="58690F0C"/>
    <w:rsid w:val="588340B8"/>
    <w:rsid w:val="5903572A"/>
    <w:rsid w:val="590F566F"/>
    <w:rsid w:val="591304B3"/>
    <w:rsid w:val="592554A0"/>
    <w:rsid w:val="59710552"/>
    <w:rsid w:val="59954D11"/>
    <w:rsid w:val="5A241638"/>
    <w:rsid w:val="5A2F2CC8"/>
    <w:rsid w:val="5A6A489E"/>
    <w:rsid w:val="5A70032F"/>
    <w:rsid w:val="5A7374B7"/>
    <w:rsid w:val="5A9E62F7"/>
    <w:rsid w:val="5AD91CE5"/>
    <w:rsid w:val="5AEC039A"/>
    <w:rsid w:val="5B0603AD"/>
    <w:rsid w:val="5B3C14D1"/>
    <w:rsid w:val="5B5D4F6F"/>
    <w:rsid w:val="5BA26962"/>
    <w:rsid w:val="5BEC476F"/>
    <w:rsid w:val="5C00401E"/>
    <w:rsid w:val="5C10702D"/>
    <w:rsid w:val="5C152601"/>
    <w:rsid w:val="5C591F03"/>
    <w:rsid w:val="5C6B3E1A"/>
    <w:rsid w:val="5C7165E1"/>
    <w:rsid w:val="5C8A1B2F"/>
    <w:rsid w:val="5C907063"/>
    <w:rsid w:val="5C9C130B"/>
    <w:rsid w:val="5CB63FF4"/>
    <w:rsid w:val="5D243653"/>
    <w:rsid w:val="5D3446A6"/>
    <w:rsid w:val="5D417D61"/>
    <w:rsid w:val="5D914004"/>
    <w:rsid w:val="5DCF3C9F"/>
    <w:rsid w:val="5DD706C5"/>
    <w:rsid w:val="5DDC3134"/>
    <w:rsid w:val="5E4A2B46"/>
    <w:rsid w:val="5E5C603E"/>
    <w:rsid w:val="5E727BD3"/>
    <w:rsid w:val="5E9513A3"/>
    <w:rsid w:val="5EAE5142"/>
    <w:rsid w:val="5EC40C4A"/>
    <w:rsid w:val="5ECC34F1"/>
    <w:rsid w:val="5EDE0790"/>
    <w:rsid w:val="5F06742C"/>
    <w:rsid w:val="5F116D17"/>
    <w:rsid w:val="5F561B72"/>
    <w:rsid w:val="5FC6346D"/>
    <w:rsid w:val="60122F2B"/>
    <w:rsid w:val="602A4BC0"/>
    <w:rsid w:val="603D6371"/>
    <w:rsid w:val="606007BB"/>
    <w:rsid w:val="60661778"/>
    <w:rsid w:val="60A83E8F"/>
    <w:rsid w:val="60AC408B"/>
    <w:rsid w:val="60AC7F66"/>
    <w:rsid w:val="60BD204E"/>
    <w:rsid w:val="60E03D35"/>
    <w:rsid w:val="60E755F6"/>
    <w:rsid w:val="60EC26DA"/>
    <w:rsid w:val="61314591"/>
    <w:rsid w:val="61907509"/>
    <w:rsid w:val="61A74EB7"/>
    <w:rsid w:val="61BF10D9"/>
    <w:rsid w:val="61DA3D4C"/>
    <w:rsid w:val="61F06089"/>
    <w:rsid w:val="61FA1CBD"/>
    <w:rsid w:val="61FA2BD4"/>
    <w:rsid w:val="621F5361"/>
    <w:rsid w:val="62402CDD"/>
    <w:rsid w:val="624125B1"/>
    <w:rsid w:val="62AC22DC"/>
    <w:rsid w:val="62DA0672"/>
    <w:rsid w:val="62F835B8"/>
    <w:rsid w:val="633322DF"/>
    <w:rsid w:val="637833E8"/>
    <w:rsid w:val="638C065D"/>
    <w:rsid w:val="63B707FA"/>
    <w:rsid w:val="63ED0C43"/>
    <w:rsid w:val="63EF7017"/>
    <w:rsid w:val="6454585B"/>
    <w:rsid w:val="64704B66"/>
    <w:rsid w:val="64A97B66"/>
    <w:rsid w:val="64B41681"/>
    <w:rsid w:val="64D03FF0"/>
    <w:rsid w:val="64D414D9"/>
    <w:rsid w:val="64E45EF7"/>
    <w:rsid w:val="64F07291"/>
    <w:rsid w:val="652F7039"/>
    <w:rsid w:val="653E102A"/>
    <w:rsid w:val="655514E5"/>
    <w:rsid w:val="65735178"/>
    <w:rsid w:val="65D6014C"/>
    <w:rsid w:val="66083B12"/>
    <w:rsid w:val="6618187B"/>
    <w:rsid w:val="6631645C"/>
    <w:rsid w:val="665A1B35"/>
    <w:rsid w:val="6691014E"/>
    <w:rsid w:val="66A17AC3"/>
    <w:rsid w:val="66AE4E78"/>
    <w:rsid w:val="66C87CCE"/>
    <w:rsid w:val="67042BE2"/>
    <w:rsid w:val="67544816"/>
    <w:rsid w:val="677435B2"/>
    <w:rsid w:val="67884D69"/>
    <w:rsid w:val="67EF75F1"/>
    <w:rsid w:val="6804286A"/>
    <w:rsid w:val="68046788"/>
    <w:rsid w:val="68167410"/>
    <w:rsid w:val="682D7592"/>
    <w:rsid w:val="68425AD9"/>
    <w:rsid w:val="687234C5"/>
    <w:rsid w:val="68B406B1"/>
    <w:rsid w:val="68F93BE6"/>
    <w:rsid w:val="68F93E51"/>
    <w:rsid w:val="69124F16"/>
    <w:rsid w:val="694A5205"/>
    <w:rsid w:val="6953779A"/>
    <w:rsid w:val="695B5E11"/>
    <w:rsid w:val="69A5608E"/>
    <w:rsid w:val="69CD5C14"/>
    <w:rsid w:val="69CF0D33"/>
    <w:rsid w:val="6A251F66"/>
    <w:rsid w:val="6A3C6480"/>
    <w:rsid w:val="6A4C5F97"/>
    <w:rsid w:val="6A7264BF"/>
    <w:rsid w:val="6A794FDE"/>
    <w:rsid w:val="6A9856FA"/>
    <w:rsid w:val="6AF6063A"/>
    <w:rsid w:val="6B274C67"/>
    <w:rsid w:val="6B2C4DAB"/>
    <w:rsid w:val="6B5B2936"/>
    <w:rsid w:val="6B623CC4"/>
    <w:rsid w:val="6B80239C"/>
    <w:rsid w:val="6B9946B3"/>
    <w:rsid w:val="6C2C29A8"/>
    <w:rsid w:val="6C4767C1"/>
    <w:rsid w:val="6C662189"/>
    <w:rsid w:val="6C7007C7"/>
    <w:rsid w:val="6C7C2B64"/>
    <w:rsid w:val="6C854893"/>
    <w:rsid w:val="6C865F43"/>
    <w:rsid w:val="6C8B3EEA"/>
    <w:rsid w:val="6CC8224D"/>
    <w:rsid w:val="6CEC4AEA"/>
    <w:rsid w:val="6D043537"/>
    <w:rsid w:val="6D4065BB"/>
    <w:rsid w:val="6D490F8D"/>
    <w:rsid w:val="6D827452"/>
    <w:rsid w:val="6DA46816"/>
    <w:rsid w:val="6DDE33AA"/>
    <w:rsid w:val="6DE76850"/>
    <w:rsid w:val="6DF41010"/>
    <w:rsid w:val="6DFD35E2"/>
    <w:rsid w:val="6E0E0133"/>
    <w:rsid w:val="6E5825C0"/>
    <w:rsid w:val="6E5C4A91"/>
    <w:rsid w:val="6EB26E73"/>
    <w:rsid w:val="6EB557D6"/>
    <w:rsid w:val="6EB66FF0"/>
    <w:rsid w:val="6ECA5BFE"/>
    <w:rsid w:val="6ED270C0"/>
    <w:rsid w:val="6F5D40FB"/>
    <w:rsid w:val="6F8C6D1F"/>
    <w:rsid w:val="6FB20BD4"/>
    <w:rsid w:val="6FB40867"/>
    <w:rsid w:val="6FB650F7"/>
    <w:rsid w:val="6FBA59BE"/>
    <w:rsid w:val="6FCA1E38"/>
    <w:rsid w:val="6FD97D65"/>
    <w:rsid w:val="6FEE1FCA"/>
    <w:rsid w:val="6FF060E5"/>
    <w:rsid w:val="70163976"/>
    <w:rsid w:val="70296B3E"/>
    <w:rsid w:val="70324462"/>
    <w:rsid w:val="703674CE"/>
    <w:rsid w:val="70611204"/>
    <w:rsid w:val="706D7011"/>
    <w:rsid w:val="70A17418"/>
    <w:rsid w:val="70A55EB9"/>
    <w:rsid w:val="70B739C2"/>
    <w:rsid w:val="70BF3967"/>
    <w:rsid w:val="70D72D05"/>
    <w:rsid w:val="713F2836"/>
    <w:rsid w:val="717B54B0"/>
    <w:rsid w:val="718030F6"/>
    <w:rsid w:val="71C53547"/>
    <w:rsid w:val="71D4789D"/>
    <w:rsid w:val="722E6DA8"/>
    <w:rsid w:val="723B526F"/>
    <w:rsid w:val="727B1160"/>
    <w:rsid w:val="728D0F67"/>
    <w:rsid w:val="732857F3"/>
    <w:rsid w:val="73355FC3"/>
    <w:rsid w:val="73445350"/>
    <w:rsid w:val="73740BE5"/>
    <w:rsid w:val="737F0A54"/>
    <w:rsid w:val="73B078B9"/>
    <w:rsid w:val="73BE71F7"/>
    <w:rsid w:val="73FE7C5E"/>
    <w:rsid w:val="74275AAB"/>
    <w:rsid w:val="743D08B1"/>
    <w:rsid w:val="74E25FB2"/>
    <w:rsid w:val="74FA2C30"/>
    <w:rsid w:val="754D5C4B"/>
    <w:rsid w:val="75692A3F"/>
    <w:rsid w:val="759035E2"/>
    <w:rsid w:val="75907B95"/>
    <w:rsid w:val="7593171B"/>
    <w:rsid w:val="75A849CA"/>
    <w:rsid w:val="75A9073C"/>
    <w:rsid w:val="760D2A7F"/>
    <w:rsid w:val="762A3B3C"/>
    <w:rsid w:val="764566BC"/>
    <w:rsid w:val="76533709"/>
    <w:rsid w:val="76712CF5"/>
    <w:rsid w:val="767177EF"/>
    <w:rsid w:val="767C52C9"/>
    <w:rsid w:val="7690710D"/>
    <w:rsid w:val="76C240A7"/>
    <w:rsid w:val="770F6327"/>
    <w:rsid w:val="772061FD"/>
    <w:rsid w:val="77444BC6"/>
    <w:rsid w:val="775246B7"/>
    <w:rsid w:val="778D7873"/>
    <w:rsid w:val="77997CB8"/>
    <w:rsid w:val="77B97118"/>
    <w:rsid w:val="77E370B7"/>
    <w:rsid w:val="77F3775D"/>
    <w:rsid w:val="77FE2FC7"/>
    <w:rsid w:val="780D6D66"/>
    <w:rsid w:val="780E0C3D"/>
    <w:rsid w:val="781E0F73"/>
    <w:rsid w:val="781E69D1"/>
    <w:rsid w:val="78370287"/>
    <w:rsid w:val="783E61D3"/>
    <w:rsid w:val="786C7ECE"/>
    <w:rsid w:val="788E4D89"/>
    <w:rsid w:val="789206FB"/>
    <w:rsid w:val="78C33085"/>
    <w:rsid w:val="793741EC"/>
    <w:rsid w:val="79823784"/>
    <w:rsid w:val="799E55D2"/>
    <w:rsid w:val="79D62C1A"/>
    <w:rsid w:val="79E169B7"/>
    <w:rsid w:val="79FF50EC"/>
    <w:rsid w:val="7A21626D"/>
    <w:rsid w:val="7A263B6B"/>
    <w:rsid w:val="7A403480"/>
    <w:rsid w:val="7A4957EB"/>
    <w:rsid w:val="7A6D7F90"/>
    <w:rsid w:val="7AF46346"/>
    <w:rsid w:val="7B0628DD"/>
    <w:rsid w:val="7B0F5EBF"/>
    <w:rsid w:val="7B130FB9"/>
    <w:rsid w:val="7B161C49"/>
    <w:rsid w:val="7B29035B"/>
    <w:rsid w:val="7B4E1F6D"/>
    <w:rsid w:val="7B543619"/>
    <w:rsid w:val="7B894B6D"/>
    <w:rsid w:val="7BC43CF7"/>
    <w:rsid w:val="7BD40338"/>
    <w:rsid w:val="7BF64EDE"/>
    <w:rsid w:val="7C007131"/>
    <w:rsid w:val="7C310CB0"/>
    <w:rsid w:val="7C400C1E"/>
    <w:rsid w:val="7C8A683B"/>
    <w:rsid w:val="7C8C4263"/>
    <w:rsid w:val="7C943EFA"/>
    <w:rsid w:val="7C9655F2"/>
    <w:rsid w:val="7CB97790"/>
    <w:rsid w:val="7CF24C4C"/>
    <w:rsid w:val="7D1929C3"/>
    <w:rsid w:val="7D6236F6"/>
    <w:rsid w:val="7D7832DC"/>
    <w:rsid w:val="7D8B6869"/>
    <w:rsid w:val="7D952C5E"/>
    <w:rsid w:val="7DAF1FAE"/>
    <w:rsid w:val="7DC205F3"/>
    <w:rsid w:val="7DD11708"/>
    <w:rsid w:val="7E064983"/>
    <w:rsid w:val="7E0B454E"/>
    <w:rsid w:val="7E75793C"/>
    <w:rsid w:val="7E9006F1"/>
    <w:rsid w:val="7EB01E44"/>
    <w:rsid w:val="7EBD579E"/>
    <w:rsid w:val="7EC167BD"/>
    <w:rsid w:val="7ED4640A"/>
    <w:rsid w:val="7EE747B5"/>
    <w:rsid w:val="7F272D9E"/>
    <w:rsid w:val="7F2812DE"/>
    <w:rsid w:val="7F2A1AD4"/>
    <w:rsid w:val="7F2C456B"/>
    <w:rsid w:val="7F935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99"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4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45"/>
    <w:qFormat/>
    <w:uiPriority w:val="9"/>
    <w:pPr>
      <w:keepNext/>
      <w:keepLines/>
      <w:spacing w:before="260" w:after="260" w:line="416" w:lineRule="auto"/>
      <w:outlineLvl w:val="2"/>
    </w:pPr>
    <w:rPr>
      <w:b/>
      <w:bCs/>
      <w:sz w:val="32"/>
      <w:szCs w:val="32"/>
    </w:rPr>
  </w:style>
  <w:style w:type="paragraph" w:styleId="6">
    <w:name w:val="heading 4"/>
    <w:basedOn w:val="1"/>
    <w:next w:val="1"/>
    <w:autoRedefine/>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1"/>
    <w:next w:val="8"/>
    <w:link w:val="46"/>
    <w:autoRedefine/>
    <w:qFormat/>
    <w:uiPriority w:val="9"/>
    <w:pPr>
      <w:keepNext/>
      <w:keepLines/>
      <w:spacing w:before="280" w:after="290" w:line="376" w:lineRule="auto"/>
      <w:outlineLvl w:val="4"/>
    </w:pPr>
    <w:rPr>
      <w:b/>
      <w:bCs/>
      <w:sz w:val="28"/>
      <w:szCs w:val="28"/>
    </w:rPr>
  </w:style>
  <w:style w:type="paragraph" w:styleId="9">
    <w:name w:val="heading 8"/>
    <w:basedOn w:val="1"/>
    <w:next w:val="1"/>
    <w:link w:val="47"/>
    <w:autoRedefine/>
    <w:qFormat/>
    <w:uiPriority w:val="9"/>
    <w:pPr>
      <w:keepNext/>
      <w:keepLines/>
      <w:spacing w:before="240" w:after="64" w:line="320" w:lineRule="auto"/>
      <w:outlineLvl w:val="7"/>
    </w:pPr>
    <w:rPr>
      <w:rFonts w:ascii="等线 Light" w:hAnsi="等线 Light" w:eastAsia="等线 Light"/>
      <w:sz w:val="24"/>
    </w:rPr>
  </w:style>
  <w:style w:type="paragraph" w:styleId="10">
    <w:name w:val="heading 9"/>
    <w:basedOn w:val="1"/>
    <w:next w:val="1"/>
    <w:link w:val="48"/>
    <w:autoRedefine/>
    <w:qFormat/>
    <w:uiPriority w:val="9"/>
    <w:pPr>
      <w:keepNext/>
      <w:keepLines/>
      <w:spacing w:before="240" w:after="64" w:line="320" w:lineRule="auto"/>
      <w:outlineLvl w:val="8"/>
    </w:pPr>
    <w:rPr>
      <w:rFonts w:ascii="Cambria" w:hAnsi="Cambria"/>
      <w:szCs w:val="21"/>
    </w:rPr>
  </w:style>
  <w:style w:type="character" w:default="1" w:styleId="34">
    <w:name w:val="Default Paragraph Font"/>
    <w:autoRedefine/>
    <w:semiHidden/>
    <w:unhideWhenUsed/>
    <w:qFormat/>
    <w:uiPriority w:val="1"/>
  </w:style>
  <w:style w:type="table" w:default="1" w:styleId="3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2"/>
    <w:autoRedefine/>
    <w:qFormat/>
    <w:uiPriority w:val="99"/>
    <w:pPr>
      <w:spacing w:after="120"/>
    </w:pPr>
  </w:style>
  <w:style w:type="paragraph" w:styleId="8">
    <w:name w:val="Normal Indent"/>
    <w:basedOn w:val="1"/>
    <w:autoRedefine/>
    <w:qFormat/>
    <w:uiPriority w:val="0"/>
    <w:pPr>
      <w:ind w:firstLine="420"/>
    </w:pPr>
    <w:rPr>
      <w:szCs w:val="20"/>
    </w:rPr>
  </w:style>
  <w:style w:type="paragraph" w:styleId="11">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2">
    <w:name w:val="Document Map"/>
    <w:basedOn w:val="1"/>
    <w:link w:val="49"/>
    <w:autoRedefine/>
    <w:qFormat/>
    <w:uiPriority w:val="0"/>
    <w:rPr>
      <w:rFonts w:ascii="宋体"/>
      <w:sz w:val="18"/>
      <w:szCs w:val="18"/>
    </w:rPr>
  </w:style>
  <w:style w:type="paragraph" w:styleId="13">
    <w:name w:val="annotation text"/>
    <w:basedOn w:val="1"/>
    <w:link w:val="50"/>
    <w:autoRedefine/>
    <w:qFormat/>
    <w:uiPriority w:val="99"/>
    <w:pPr>
      <w:jc w:val="left"/>
    </w:pPr>
  </w:style>
  <w:style w:type="paragraph" w:styleId="14">
    <w:name w:val="Body Text 3"/>
    <w:basedOn w:val="1"/>
    <w:link w:val="51"/>
    <w:autoRedefine/>
    <w:qFormat/>
    <w:uiPriority w:val="99"/>
    <w:pPr>
      <w:spacing w:after="120"/>
    </w:pPr>
    <w:rPr>
      <w:sz w:val="16"/>
      <w:szCs w:val="16"/>
    </w:rPr>
  </w:style>
  <w:style w:type="paragraph" w:styleId="15">
    <w:name w:val="Body Text Indent"/>
    <w:basedOn w:val="1"/>
    <w:link w:val="40"/>
    <w:autoRedefine/>
    <w:qFormat/>
    <w:uiPriority w:val="99"/>
    <w:pPr>
      <w:ind w:firstLine="830" w:firstLineChars="352"/>
    </w:pPr>
    <w:rPr>
      <w:rFonts w:ascii="仿宋_GB2312" w:eastAsia="仿宋_GB2312"/>
      <w:kern w:val="0"/>
      <w:sz w:val="32"/>
      <w:szCs w:val="20"/>
    </w:rPr>
  </w:style>
  <w:style w:type="paragraph" w:styleId="16">
    <w:name w:val="List 2"/>
    <w:basedOn w:val="1"/>
    <w:autoRedefine/>
    <w:qFormat/>
    <w:uiPriority w:val="0"/>
    <w:pPr>
      <w:ind w:left="100" w:leftChars="200" w:hanging="200" w:hangingChars="200"/>
      <w:contextualSpacing/>
    </w:pPr>
  </w:style>
  <w:style w:type="paragraph" w:styleId="17">
    <w:name w:val="toc 3"/>
    <w:basedOn w:val="1"/>
    <w:next w:val="1"/>
    <w:autoRedefine/>
    <w:qFormat/>
    <w:uiPriority w:val="0"/>
    <w:pPr>
      <w:ind w:left="840" w:leftChars="400"/>
    </w:pPr>
  </w:style>
  <w:style w:type="paragraph" w:styleId="18">
    <w:name w:val="Plain Text"/>
    <w:basedOn w:val="1"/>
    <w:next w:val="6"/>
    <w:link w:val="52"/>
    <w:autoRedefine/>
    <w:qFormat/>
    <w:uiPriority w:val="99"/>
    <w:rPr>
      <w:rFonts w:ascii="宋体" w:hAnsi="Courier New"/>
      <w:kern w:val="0"/>
      <w:sz w:val="20"/>
      <w:szCs w:val="21"/>
    </w:rPr>
  </w:style>
  <w:style w:type="paragraph" w:styleId="19">
    <w:name w:val="Date"/>
    <w:basedOn w:val="1"/>
    <w:next w:val="1"/>
    <w:link w:val="53"/>
    <w:autoRedefine/>
    <w:qFormat/>
    <w:uiPriority w:val="99"/>
    <w:pPr>
      <w:ind w:left="100" w:leftChars="2500"/>
    </w:pPr>
  </w:style>
  <w:style w:type="paragraph" w:styleId="20">
    <w:name w:val="Balloon Text"/>
    <w:basedOn w:val="1"/>
    <w:link w:val="54"/>
    <w:autoRedefine/>
    <w:qFormat/>
    <w:uiPriority w:val="99"/>
    <w:rPr>
      <w:sz w:val="18"/>
      <w:szCs w:val="18"/>
    </w:rPr>
  </w:style>
  <w:style w:type="paragraph" w:styleId="21">
    <w:name w:val="footer"/>
    <w:basedOn w:val="1"/>
    <w:link w:val="55"/>
    <w:autoRedefine/>
    <w:qFormat/>
    <w:uiPriority w:val="99"/>
    <w:pPr>
      <w:tabs>
        <w:tab w:val="center" w:pos="4153"/>
        <w:tab w:val="right" w:pos="8306"/>
      </w:tabs>
      <w:snapToGrid w:val="0"/>
      <w:jc w:val="left"/>
    </w:pPr>
    <w:rPr>
      <w:kern w:val="0"/>
      <w:sz w:val="18"/>
      <w:szCs w:val="18"/>
    </w:rPr>
  </w:style>
  <w:style w:type="paragraph" w:styleId="22">
    <w:name w:val="header"/>
    <w:basedOn w:val="1"/>
    <w:link w:val="56"/>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23">
    <w:name w:val="toc 1"/>
    <w:basedOn w:val="24"/>
    <w:next w:val="1"/>
    <w:autoRedefine/>
    <w:qFormat/>
    <w:uiPriority w:val="0"/>
  </w:style>
  <w:style w:type="paragraph" w:styleId="24">
    <w:name w:val="index 1"/>
    <w:basedOn w:val="1"/>
    <w:next w:val="1"/>
    <w:autoRedefine/>
    <w:qFormat/>
    <w:uiPriority w:val="0"/>
    <w:pPr>
      <w:spacing w:line="400" w:lineRule="exact"/>
      <w:ind w:firstLine="420" w:firstLineChars="200"/>
    </w:pPr>
    <w:rPr>
      <w:rFonts w:ascii="宋体" w:hAnsi="Courier New"/>
      <w:b/>
      <w:szCs w:val="20"/>
    </w:rPr>
  </w:style>
  <w:style w:type="paragraph" w:styleId="25">
    <w:name w:val="List"/>
    <w:basedOn w:val="1"/>
    <w:autoRedefine/>
    <w:qFormat/>
    <w:uiPriority w:val="0"/>
    <w:pPr>
      <w:ind w:left="200" w:hanging="200" w:hangingChars="200"/>
      <w:contextualSpacing/>
    </w:pPr>
  </w:style>
  <w:style w:type="paragraph" w:styleId="26">
    <w:name w:val="toc 2"/>
    <w:basedOn w:val="1"/>
    <w:next w:val="1"/>
    <w:autoRedefine/>
    <w:qFormat/>
    <w:uiPriority w:val="0"/>
    <w:pPr>
      <w:tabs>
        <w:tab w:val="right" w:leader="dot" w:pos="8296"/>
      </w:tabs>
      <w:ind w:left="420" w:leftChars="200"/>
    </w:pPr>
  </w:style>
  <w:style w:type="paragraph" w:styleId="27">
    <w:name w:val="Normal (Web)"/>
    <w:basedOn w:val="1"/>
    <w:autoRedefine/>
    <w:qFormat/>
    <w:uiPriority w:val="0"/>
    <w:rPr>
      <w:rFonts w:ascii="Calibri" w:hAnsi="Calibri"/>
      <w:kern w:val="0"/>
      <w:sz w:val="24"/>
    </w:rPr>
  </w:style>
  <w:style w:type="paragraph" w:styleId="28">
    <w:name w:val="Title"/>
    <w:basedOn w:val="1"/>
    <w:link w:val="57"/>
    <w:autoRedefine/>
    <w:qFormat/>
    <w:uiPriority w:val="10"/>
    <w:pPr>
      <w:widowControl/>
      <w:overflowPunct w:val="0"/>
      <w:autoSpaceDE w:val="0"/>
      <w:autoSpaceDN w:val="0"/>
      <w:adjustRightInd w:val="0"/>
      <w:jc w:val="center"/>
      <w:textAlignment w:val="baseline"/>
    </w:pPr>
    <w:rPr>
      <w:rFonts w:ascii="Cambria" w:hAnsi="Cambria"/>
      <w:b/>
      <w:bCs/>
      <w:sz w:val="32"/>
      <w:szCs w:val="32"/>
    </w:rPr>
  </w:style>
  <w:style w:type="paragraph" w:styleId="29">
    <w:name w:val="annotation subject"/>
    <w:basedOn w:val="13"/>
    <w:next w:val="13"/>
    <w:link w:val="58"/>
    <w:autoRedefine/>
    <w:qFormat/>
    <w:uiPriority w:val="99"/>
    <w:rPr>
      <w:b/>
      <w:bCs/>
    </w:rPr>
  </w:style>
  <w:style w:type="paragraph" w:styleId="30">
    <w:name w:val="Body Text First Indent"/>
    <w:basedOn w:val="2"/>
    <w:autoRedefine/>
    <w:qFormat/>
    <w:uiPriority w:val="0"/>
    <w:pPr>
      <w:ind w:firstLine="420" w:firstLineChars="100"/>
    </w:pPr>
  </w:style>
  <w:style w:type="paragraph" w:styleId="31">
    <w:name w:val="Body Text First Indent 2"/>
    <w:basedOn w:val="15"/>
    <w:link w:val="41"/>
    <w:autoRedefine/>
    <w:qFormat/>
    <w:uiPriority w:val="99"/>
    <w:pPr>
      <w:spacing w:after="120"/>
      <w:ind w:left="420" w:leftChars="200" w:firstLine="420" w:firstLineChars="200"/>
    </w:pPr>
    <w:rPr>
      <w:rFonts w:ascii="Times New Roman" w:eastAsia="宋体"/>
      <w:kern w:val="2"/>
      <w:sz w:val="21"/>
      <w:szCs w:val="24"/>
    </w:rPr>
  </w:style>
  <w:style w:type="table" w:styleId="33">
    <w:name w:val="Table Grid"/>
    <w:basedOn w:val="32"/>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endnote reference"/>
    <w:autoRedefine/>
    <w:qFormat/>
    <w:uiPriority w:val="99"/>
    <w:rPr>
      <w:vertAlign w:val="superscript"/>
    </w:rPr>
  </w:style>
  <w:style w:type="character" w:styleId="36">
    <w:name w:val="page number"/>
    <w:autoRedefine/>
    <w:qFormat/>
    <w:uiPriority w:val="0"/>
    <w:rPr>
      <w:rFonts w:ascii="Arial" w:hAnsi="Arial" w:eastAsia="黑体" w:cs="Arial"/>
      <w:snapToGrid w:val="0"/>
      <w:kern w:val="0"/>
      <w:szCs w:val="21"/>
    </w:rPr>
  </w:style>
  <w:style w:type="character" w:styleId="37">
    <w:name w:val="FollowedHyperlink"/>
    <w:autoRedefine/>
    <w:qFormat/>
    <w:uiPriority w:val="0"/>
    <w:rPr>
      <w:color w:val="800080"/>
      <w:u w:val="single"/>
    </w:rPr>
  </w:style>
  <w:style w:type="character" w:styleId="38">
    <w:name w:val="Hyperlink"/>
    <w:autoRedefine/>
    <w:qFormat/>
    <w:uiPriority w:val="0"/>
    <w:rPr>
      <w:color w:val="0000FF"/>
      <w:u w:val="single"/>
    </w:rPr>
  </w:style>
  <w:style w:type="character" w:styleId="39">
    <w:name w:val="annotation reference"/>
    <w:autoRedefine/>
    <w:qFormat/>
    <w:uiPriority w:val="0"/>
    <w:rPr>
      <w:sz w:val="21"/>
      <w:szCs w:val="21"/>
    </w:rPr>
  </w:style>
  <w:style w:type="character" w:customStyle="1" w:styleId="40">
    <w:name w:val="正文文本缩进 Char1"/>
    <w:link w:val="15"/>
    <w:autoRedefine/>
    <w:qFormat/>
    <w:uiPriority w:val="99"/>
    <w:rPr>
      <w:rFonts w:ascii="仿宋_GB2312" w:hAnsi="Times New Roman" w:eastAsia="仿宋_GB2312" w:cs="Times New Roman"/>
      <w:sz w:val="32"/>
      <w:szCs w:val="20"/>
    </w:rPr>
  </w:style>
  <w:style w:type="character" w:customStyle="1" w:styleId="41">
    <w:name w:val="正文首行缩进 2 Char"/>
    <w:link w:val="31"/>
    <w:autoRedefine/>
    <w:qFormat/>
    <w:uiPriority w:val="99"/>
    <w:rPr>
      <w:kern w:val="2"/>
      <w:sz w:val="21"/>
      <w:szCs w:val="24"/>
    </w:rPr>
  </w:style>
  <w:style w:type="character" w:customStyle="1" w:styleId="42">
    <w:name w:val="正文文本 Char2"/>
    <w:link w:val="2"/>
    <w:autoRedefine/>
    <w:qFormat/>
    <w:uiPriority w:val="99"/>
    <w:rPr>
      <w:rFonts w:ascii="Times New Roman" w:hAnsi="Times New Roman"/>
      <w:kern w:val="2"/>
      <w:sz w:val="21"/>
      <w:szCs w:val="24"/>
    </w:rPr>
  </w:style>
  <w:style w:type="character" w:customStyle="1" w:styleId="43">
    <w:name w:val="标题 1 Char1"/>
    <w:link w:val="3"/>
    <w:autoRedefine/>
    <w:qFormat/>
    <w:uiPriority w:val="9"/>
    <w:rPr>
      <w:b/>
      <w:bCs/>
      <w:kern w:val="44"/>
      <w:sz w:val="44"/>
      <w:szCs w:val="44"/>
    </w:rPr>
  </w:style>
  <w:style w:type="character" w:customStyle="1" w:styleId="44">
    <w:name w:val="标题 2 Char2"/>
    <w:link w:val="4"/>
    <w:autoRedefine/>
    <w:qFormat/>
    <w:uiPriority w:val="9"/>
    <w:rPr>
      <w:rFonts w:ascii="Cambria" w:hAnsi="Cambria" w:eastAsia="宋体" w:cs="Times New Roman"/>
      <w:b/>
      <w:bCs/>
      <w:kern w:val="2"/>
      <w:sz w:val="32"/>
      <w:szCs w:val="32"/>
    </w:rPr>
  </w:style>
  <w:style w:type="character" w:customStyle="1" w:styleId="45">
    <w:name w:val="标题 3 Char1"/>
    <w:link w:val="5"/>
    <w:autoRedefine/>
    <w:qFormat/>
    <w:uiPriority w:val="9"/>
    <w:rPr>
      <w:b/>
      <w:bCs/>
      <w:kern w:val="2"/>
      <w:sz w:val="32"/>
      <w:szCs w:val="32"/>
    </w:rPr>
  </w:style>
  <w:style w:type="character" w:customStyle="1" w:styleId="46">
    <w:name w:val="标题 5 Char1"/>
    <w:link w:val="7"/>
    <w:autoRedefine/>
    <w:qFormat/>
    <w:uiPriority w:val="9"/>
    <w:rPr>
      <w:rFonts w:ascii="Times New Roman" w:hAnsi="Times New Roman"/>
      <w:b/>
      <w:bCs/>
      <w:kern w:val="2"/>
      <w:sz w:val="28"/>
      <w:szCs w:val="28"/>
    </w:rPr>
  </w:style>
  <w:style w:type="character" w:customStyle="1" w:styleId="47">
    <w:name w:val="标题 8 Char2"/>
    <w:link w:val="9"/>
    <w:autoRedefine/>
    <w:qFormat/>
    <w:uiPriority w:val="9"/>
    <w:rPr>
      <w:rFonts w:ascii="等线 Light" w:hAnsi="等线 Light" w:eastAsia="等线 Light" w:cs="Times New Roman"/>
      <w:kern w:val="2"/>
      <w:sz w:val="24"/>
      <w:szCs w:val="24"/>
    </w:rPr>
  </w:style>
  <w:style w:type="character" w:customStyle="1" w:styleId="48">
    <w:name w:val="标题 9 Char"/>
    <w:link w:val="10"/>
    <w:autoRedefine/>
    <w:qFormat/>
    <w:uiPriority w:val="9"/>
    <w:rPr>
      <w:rFonts w:ascii="Cambria" w:hAnsi="Cambria" w:eastAsia="宋体" w:cs="Times New Roman"/>
      <w:kern w:val="2"/>
      <w:sz w:val="21"/>
      <w:szCs w:val="21"/>
    </w:rPr>
  </w:style>
  <w:style w:type="character" w:customStyle="1" w:styleId="49">
    <w:name w:val="文档结构图 Char"/>
    <w:link w:val="12"/>
    <w:autoRedefine/>
    <w:qFormat/>
    <w:uiPriority w:val="0"/>
    <w:rPr>
      <w:rFonts w:ascii="宋体"/>
      <w:kern w:val="2"/>
      <w:sz w:val="18"/>
      <w:szCs w:val="18"/>
    </w:rPr>
  </w:style>
  <w:style w:type="character" w:customStyle="1" w:styleId="50">
    <w:name w:val="批注文字 Char2"/>
    <w:link w:val="13"/>
    <w:autoRedefine/>
    <w:qFormat/>
    <w:uiPriority w:val="99"/>
    <w:rPr>
      <w:rFonts w:ascii="Times New Roman" w:hAnsi="Times New Roman"/>
      <w:kern w:val="2"/>
      <w:sz w:val="21"/>
      <w:szCs w:val="24"/>
    </w:rPr>
  </w:style>
  <w:style w:type="character" w:customStyle="1" w:styleId="51">
    <w:name w:val="正文文本 3 Char1"/>
    <w:link w:val="14"/>
    <w:autoRedefine/>
    <w:qFormat/>
    <w:uiPriority w:val="99"/>
    <w:rPr>
      <w:kern w:val="2"/>
      <w:sz w:val="16"/>
      <w:szCs w:val="16"/>
    </w:rPr>
  </w:style>
  <w:style w:type="character" w:customStyle="1" w:styleId="52">
    <w:name w:val="纯文本 Char3"/>
    <w:link w:val="18"/>
    <w:autoRedefine/>
    <w:qFormat/>
    <w:uiPriority w:val="99"/>
    <w:rPr>
      <w:rFonts w:ascii="宋体" w:hAnsi="Courier New" w:eastAsia="宋体" w:cs="Courier New"/>
      <w:szCs w:val="21"/>
    </w:rPr>
  </w:style>
  <w:style w:type="character" w:customStyle="1" w:styleId="53">
    <w:name w:val="日期 Char1"/>
    <w:link w:val="19"/>
    <w:autoRedefine/>
    <w:qFormat/>
    <w:uiPriority w:val="99"/>
    <w:rPr>
      <w:rFonts w:ascii="Times New Roman" w:hAnsi="Times New Roman"/>
      <w:kern w:val="2"/>
      <w:sz w:val="21"/>
      <w:szCs w:val="24"/>
    </w:rPr>
  </w:style>
  <w:style w:type="character" w:customStyle="1" w:styleId="54">
    <w:name w:val="批注框文本 Char"/>
    <w:link w:val="20"/>
    <w:autoRedefine/>
    <w:semiHidden/>
    <w:qFormat/>
    <w:uiPriority w:val="99"/>
    <w:rPr>
      <w:kern w:val="2"/>
      <w:sz w:val="18"/>
      <w:szCs w:val="18"/>
    </w:rPr>
  </w:style>
  <w:style w:type="character" w:customStyle="1" w:styleId="55">
    <w:name w:val="页脚 Char1"/>
    <w:link w:val="21"/>
    <w:autoRedefine/>
    <w:qFormat/>
    <w:uiPriority w:val="99"/>
    <w:rPr>
      <w:sz w:val="18"/>
      <w:szCs w:val="18"/>
    </w:rPr>
  </w:style>
  <w:style w:type="character" w:customStyle="1" w:styleId="56">
    <w:name w:val="页眉 Char1"/>
    <w:link w:val="22"/>
    <w:autoRedefine/>
    <w:qFormat/>
    <w:uiPriority w:val="99"/>
    <w:rPr>
      <w:sz w:val="18"/>
      <w:szCs w:val="18"/>
    </w:rPr>
  </w:style>
  <w:style w:type="character" w:customStyle="1" w:styleId="57">
    <w:name w:val="标题 Char"/>
    <w:link w:val="28"/>
    <w:autoRedefine/>
    <w:qFormat/>
    <w:uiPriority w:val="10"/>
    <w:rPr>
      <w:rFonts w:ascii="Cambria" w:hAnsi="Cambria" w:cs="Times New Roman"/>
      <w:b/>
      <w:bCs/>
      <w:kern w:val="2"/>
      <w:sz w:val="32"/>
      <w:szCs w:val="32"/>
    </w:rPr>
  </w:style>
  <w:style w:type="character" w:customStyle="1" w:styleId="58">
    <w:name w:val="批注主题 Char1"/>
    <w:link w:val="29"/>
    <w:autoRedefine/>
    <w:qFormat/>
    <w:uiPriority w:val="99"/>
    <w:rPr>
      <w:rFonts w:ascii="Times New Roman" w:hAnsi="Times New Roman"/>
      <w:b/>
      <w:bCs/>
      <w:kern w:val="2"/>
      <w:sz w:val="21"/>
      <w:szCs w:val="24"/>
    </w:rPr>
  </w:style>
  <w:style w:type="character" w:customStyle="1" w:styleId="59">
    <w:name w:val="页脚 Char"/>
    <w:autoRedefine/>
    <w:qFormat/>
    <w:uiPriority w:val="99"/>
    <w:rPr>
      <w:sz w:val="18"/>
      <w:szCs w:val="18"/>
    </w:rPr>
  </w:style>
  <w:style w:type="character" w:customStyle="1" w:styleId="60">
    <w:name w:val="页眉 Char"/>
    <w:autoRedefine/>
    <w:qFormat/>
    <w:uiPriority w:val="99"/>
    <w:rPr>
      <w:lang w:eastAsia="zh-CN"/>
    </w:rPr>
  </w:style>
  <w:style w:type="character" w:customStyle="1" w:styleId="61">
    <w:name w:val="标题 Char1"/>
    <w:autoRedefine/>
    <w:qFormat/>
    <w:uiPriority w:val="0"/>
    <w:rPr>
      <w:rFonts w:ascii="Calibri" w:hAnsi="Calibri"/>
      <w:b/>
      <w:sz w:val="24"/>
      <w:lang w:val="en-GB"/>
    </w:rPr>
  </w:style>
  <w:style w:type="character" w:customStyle="1" w:styleId="62">
    <w:name w:val="标题 8 Char"/>
    <w:autoRedefine/>
    <w:qFormat/>
    <w:uiPriority w:val="0"/>
    <w:rPr>
      <w:rFonts w:ascii="Arial" w:hAnsi="Arial" w:eastAsia="黑体"/>
      <w:kern w:val="2"/>
      <w:sz w:val="24"/>
      <w:szCs w:val="24"/>
    </w:rPr>
  </w:style>
  <w:style w:type="character" w:customStyle="1" w:styleId="6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4">
    <w:name w:val="正文文本 字符"/>
    <w:autoRedefine/>
    <w:qFormat/>
    <w:uiPriority w:val="99"/>
    <w:rPr>
      <w:rFonts w:ascii="Times New Roman" w:hAnsi="Times New Roman"/>
      <w:kern w:val="2"/>
      <w:sz w:val="21"/>
      <w:szCs w:val="24"/>
    </w:rPr>
  </w:style>
  <w:style w:type="character" w:customStyle="1" w:styleId="65">
    <w:name w:val="纯文本 Char"/>
    <w:autoRedefine/>
    <w:qFormat/>
    <w:uiPriority w:val="0"/>
    <w:rPr>
      <w:rFonts w:ascii="宋体" w:hAnsi="Courier New" w:eastAsia="宋体" w:cs="Courier New"/>
      <w:szCs w:val="21"/>
    </w:rPr>
  </w:style>
  <w:style w:type="character" w:customStyle="1" w:styleId="66">
    <w:name w:val="正文文本 Char"/>
    <w:autoRedefine/>
    <w:qFormat/>
    <w:uiPriority w:val="0"/>
    <w:rPr>
      <w:rFonts w:ascii="Times New Roman" w:hAnsi="Times New Roman"/>
      <w:kern w:val="2"/>
      <w:sz w:val="21"/>
      <w:szCs w:val="24"/>
    </w:rPr>
  </w:style>
  <w:style w:type="character" w:customStyle="1" w:styleId="67">
    <w:name w:val="批注文字 字符1"/>
    <w:autoRedefine/>
    <w:qFormat/>
    <w:uiPriority w:val="0"/>
    <w:rPr>
      <w:rFonts w:ascii="Times New Roman" w:hAnsi="Times New Roman"/>
      <w:kern w:val="2"/>
      <w:sz w:val="21"/>
      <w:szCs w:val="24"/>
    </w:rPr>
  </w:style>
  <w:style w:type="character" w:customStyle="1" w:styleId="68">
    <w:name w:val="标题 2 Char"/>
    <w:autoRedefine/>
    <w:qFormat/>
    <w:uiPriority w:val="9"/>
    <w:rPr>
      <w:rFonts w:ascii="Cambria" w:hAnsi="Cambria" w:eastAsia="宋体" w:cs="Times New Roman"/>
      <w:b/>
      <w:bCs/>
      <w:kern w:val="2"/>
      <w:sz w:val="32"/>
      <w:szCs w:val="32"/>
    </w:rPr>
  </w:style>
  <w:style w:type="character" w:customStyle="1" w:styleId="69">
    <w:name w:val="批注文字 字符"/>
    <w:autoRedefine/>
    <w:qFormat/>
    <w:uiPriority w:val="99"/>
    <w:rPr>
      <w:rFonts w:ascii="Times New Roman" w:hAnsi="Times New Roman"/>
      <w:kern w:val="2"/>
      <w:sz w:val="21"/>
      <w:szCs w:val="24"/>
    </w:rPr>
  </w:style>
  <w:style w:type="character" w:customStyle="1" w:styleId="70">
    <w:name w:val="未处理的提及"/>
    <w:autoRedefine/>
    <w:unhideWhenUsed/>
    <w:qFormat/>
    <w:uiPriority w:val="99"/>
    <w:rPr>
      <w:color w:val="605E5C"/>
      <w:shd w:val="clear" w:color="auto" w:fill="E1DFDD"/>
    </w:rPr>
  </w:style>
  <w:style w:type="character" w:customStyle="1" w:styleId="71">
    <w:name w:val="apple-style-span"/>
    <w:autoRedefine/>
    <w:qFormat/>
    <w:uiPriority w:val="0"/>
  </w:style>
  <w:style w:type="character" w:customStyle="1" w:styleId="72">
    <w:name w:val="纯文本 字符2"/>
    <w:autoRedefine/>
    <w:qFormat/>
    <w:uiPriority w:val="0"/>
    <w:rPr>
      <w:rFonts w:ascii="宋体" w:hAnsi="Courier New" w:eastAsia="宋体" w:cs="Courier New"/>
      <w:szCs w:val="21"/>
    </w:rPr>
  </w:style>
  <w:style w:type="character" w:customStyle="1" w:styleId="73">
    <w:name w:val="textcontents"/>
    <w:autoRedefine/>
    <w:qFormat/>
    <w:uiPriority w:val="0"/>
  </w:style>
  <w:style w:type="character" w:customStyle="1" w:styleId="74">
    <w:name w:val="纯文本 字符1"/>
    <w:autoRedefine/>
    <w:qFormat/>
    <w:uiPriority w:val="0"/>
    <w:rPr>
      <w:rFonts w:ascii="宋体" w:hAnsi="Courier New"/>
    </w:rPr>
  </w:style>
  <w:style w:type="character" w:customStyle="1" w:styleId="75">
    <w:name w:val="批注文字 Char"/>
    <w:autoRedefine/>
    <w:qFormat/>
    <w:uiPriority w:val="0"/>
    <w:rPr>
      <w:rFonts w:ascii="Times New Roman" w:hAnsi="Times New Roman"/>
      <w:kern w:val="2"/>
      <w:sz w:val="21"/>
      <w:szCs w:val="24"/>
    </w:rPr>
  </w:style>
  <w:style w:type="character" w:customStyle="1" w:styleId="76">
    <w:name w:val="标题 1 字符1"/>
    <w:autoRedefine/>
    <w:qFormat/>
    <w:uiPriority w:val="0"/>
    <w:rPr>
      <w:b/>
      <w:bCs/>
      <w:kern w:val="44"/>
      <w:sz w:val="44"/>
      <w:szCs w:val="44"/>
    </w:rPr>
  </w:style>
  <w:style w:type="character" w:customStyle="1" w:styleId="77">
    <w:name w:val="纯文本 字符"/>
    <w:autoRedefine/>
    <w:qFormat/>
    <w:uiPriority w:val="99"/>
    <w:rPr>
      <w:rFonts w:ascii="宋体" w:hAnsi="Courier New" w:eastAsia="宋体" w:cs="Courier New"/>
      <w:szCs w:val="21"/>
    </w:rPr>
  </w:style>
  <w:style w:type="paragraph" w:customStyle="1" w:styleId="78">
    <w:name w:val="Char Char Char Char"/>
    <w:basedOn w:val="1"/>
    <w:autoRedefine/>
    <w:qFormat/>
    <w:uiPriority w:val="99"/>
    <w:pPr>
      <w:widowControl/>
      <w:spacing w:after="160" w:line="240" w:lineRule="exact"/>
      <w:jc w:val="left"/>
    </w:pPr>
  </w:style>
  <w:style w:type="paragraph" w:customStyle="1" w:styleId="79">
    <w:name w:val="默认段落字体 Para Char Char Char Char Char Char Char Char Char1 Char Char Char Char"/>
    <w:basedOn w:val="1"/>
    <w:autoRedefine/>
    <w:qFormat/>
    <w:uiPriority w:val="99"/>
    <w:rPr>
      <w:rFonts w:ascii="Tahoma" w:hAnsi="Tahoma"/>
      <w:sz w:val="24"/>
      <w:szCs w:val="20"/>
    </w:rPr>
  </w:style>
  <w:style w:type="paragraph" w:styleId="80">
    <w:name w:val="List Paragraph"/>
    <w:basedOn w:val="1"/>
    <w:autoRedefine/>
    <w:qFormat/>
    <w:uiPriority w:val="99"/>
    <w:pPr>
      <w:ind w:firstLine="420" w:firstLineChars="200"/>
    </w:pPr>
  </w:style>
  <w:style w:type="paragraph" w:customStyle="1" w:styleId="81">
    <w:name w:val="TOC 标题1"/>
    <w:basedOn w:val="3"/>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82">
    <w:name w:val="表内文字"/>
    <w:basedOn w:val="1"/>
    <w:autoRedefine/>
    <w:qFormat/>
    <w:uiPriority w:val="99"/>
    <w:pPr>
      <w:snapToGrid w:val="0"/>
      <w:spacing w:before="50" w:after="50"/>
      <w:jc w:val="center"/>
    </w:pPr>
    <w:rPr>
      <w:rFonts w:ascii="仿宋_GB2312" w:hAnsi="宋体" w:eastAsia="仿宋_GB2312"/>
      <w:b/>
      <w:color w:val="000000"/>
      <w:sz w:val="32"/>
      <w:szCs w:val="32"/>
    </w:rPr>
  </w:style>
  <w:style w:type="paragraph" w:customStyle="1" w:styleId="83">
    <w:name w:val="Table Paragraph"/>
    <w:basedOn w:val="1"/>
    <w:autoRedefine/>
    <w:qFormat/>
    <w:uiPriority w:val="1"/>
    <w:pPr>
      <w:jc w:val="left"/>
    </w:pPr>
    <w:rPr>
      <w:rFonts w:ascii="Calibri" w:hAnsi="Calibri"/>
      <w:kern w:val="0"/>
      <w:sz w:val="22"/>
      <w:szCs w:val="22"/>
      <w:lang w:eastAsia="en-US"/>
    </w:rPr>
  </w:style>
  <w:style w:type="character" w:customStyle="1" w:styleId="84">
    <w:name w:val="正文文本缩进 字符"/>
    <w:autoRedefine/>
    <w:qFormat/>
    <w:uiPriority w:val="99"/>
    <w:rPr>
      <w:rFonts w:ascii="仿宋_GB2312" w:hAnsi="Times New Roman" w:eastAsia="仿宋_GB2312" w:cs="Times New Roman"/>
      <w:sz w:val="32"/>
      <w:szCs w:val="20"/>
    </w:rPr>
  </w:style>
  <w:style w:type="character" w:customStyle="1" w:styleId="85">
    <w:name w:val="正文2 Char Char"/>
    <w:link w:val="86"/>
    <w:autoRedefine/>
    <w:qFormat/>
    <w:uiPriority w:val="0"/>
    <w:rPr>
      <w:sz w:val="24"/>
    </w:rPr>
  </w:style>
  <w:style w:type="paragraph" w:customStyle="1" w:styleId="86">
    <w:name w:val="正文2"/>
    <w:basedOn w:val="1"/>
    <w:link w:val="85"/>
    <w:autoRedefine/>
    <w:qFormat/>
    <w:uiPriority w:val="0"/>
    <w:pPr>
      <w:adjustRightInd w:val="0"/>
      <w:spacing w:before="156" w:line="360" w:lineRule="auto"/>
      <w:ind w:firstLine="510" w:firstLineChars="200"/>
    </w:pPr>
    <w:rPr>
      <w:kern w:val="0"/>
      <w:sz w:val="24"/>
      <w:szCs w:val="20"/>
    </w:rPr>
  </w:style>
  <w:style w:type="character" w:customStyle="1" w:styleId="87">
    <w:name w:val="纯文本 Char2"/>
    <w:autoRedefine/>
    <w:qFormat/>
    <w:uiPriority w:val="0"/>
    <w:rPr>
      <w:rFonts w:ascii="宋体" w:hAnsi="Courier New" w:cs="Arial"/>
      <w:snapToGrid w:val="0"/>
      <w:szCs w:val="21"/>
    </w:rPr>
  </w:style>
  <w:style w:type="paragraph" w:customStyle="1" w:styleId="88">
    <w:name w:val="表格文字"/>
    <w:basedOn w:val="1"/>
    <w:next w:val="2"/>
    <w:autoRedefine/>
    <w:qFormat/>
    <w:uiPriority w:val="99"/>
    <w:pPr>
      <w:adjustRightInd w:val="0"/>
      <w:spacing w:line="420" w:lineRule="atLeast"/>
      <w:jc w:val="left"/>
      <w:textAlignment w:val="baseline"/>
    </w:pPr>
    <w:rPr>
      <w:kern w:val="0"/>
    </w:rPr>
  </w:style>
  <w:style w:type="paragraph" w:customStyle="1" w:styleId="89">
    <w:name w:val="样式5"/>
    <w:basedOn w:val="1"/>
    <w:autoRedefine/>
    <w:qFormat/>
    <w:uiPriority w:val="99"/>
    <w:pPr>
      <w:adjustRightInd w:val="0"/>
      <w:spacing w:line="440" w:lineRule="exact"/>
      <w:ind w:left="2" w:firstLine="480" w:firstLineChars="200"/>
    </w:pPr>
    <w:rPr>
      <w:rFonts w:ascii="仿宋_GB2312" w:hAnsi="仿宋" w:eastAsia="仿宋_GB2312"/>
      <w:sz w:val="24"/>
    </w:rPr>
  </w:style>
  <w:style w:type="paragraph" w:customStyle="1" w:styleId="90">
    <w:name w:val="正文缩进1"/>
    <w:basedOn w:val="1"/>
    <w:next w:val="15"/>
    <w:autoRedefine/>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91">
    <w:name w:val="NormalCharacter"/>
    <w:autoRedefine/>
    <w:qFormat/>
    <w:uiPriority w:val="0"/>
  </w:style>
  <w:style w:type="character" w:customStyle="1" w:styleId="92">
    <w:name w:val="正文首行缩进 2 字符"/>
    <w:autoRedefine/>
    <w:qFormat/>
    <w:uiPriority w:val="99"/>
    <w:rPr>
      <w:rFonts w:ascii="仿宋_GB2312" w:hAnsi="Times New Roman" w:eastAsia="仿宋_GB2312" w:cs="Times New Roman"/>
      <w:kern w:val="2"/>
      <w:sz w:val="21"/>
      <w:szCs w:val="24"/>
    </w:rPr>
  </w:style>
  <w:style w:type="character" w:customStyle="1" w:styleId="93">
    <w:name w:val="纯文本 Char1"/>
    <w:autoRedefine/>
    <w:qFormat/>
    <w:uiPriority w:val="0"/>
    <w:rPr>
      <w:rFonts w:ascii="宋体" w:hAnsi="Courier New" w:eastAsia="宋体" w:cs="Times New Roman"/>
      <w:kern w:val="0"/>
      <w:sz w:val="20"/>
      <w:szCs w:val="21"/>
    </w:rPr>
  </w:style>
  <w:style w:type="paragraph" w:customStyle="1" w:styleId="94">
    <w:name w:val="_Style 93"/>
    <w:basedOn w:val="1"/>
    <w:next w:val="80"/>
    <w:autoRedefine/>
    <w:qFormat/>
    <w:uiPriority w:val="99"/>
    <w:pPr>
      <w:ind w:firstLine="420" w:firstLineChars="200"/>
    </w:pPr>
  </w:style>
  <w:style w:type="character" w:customStyle="1" w:styleId="95">
    <w:name w:val="标题 1 Char"/>
    <w:autoRedefine/>
    <w:qFormat/>
    <w:uiPriority w:val="9"/>
    <w:rPr>
      <w:b/>
      <w:bCs/>
      <w:kern w:val="44"/>
      <w:sz w:val="44"/>
      <w:szCs w:val="44"/>
    </w:rPr>
  </w:style>
  <w:style w:type="character" w:customStyle="1" w:styleId="96">
    <w:name w:val="标题 2 Char1"/>
    <w:autoRedefine/>
    <w:qFormat/>
    <w:uiPriority w:val="9"/>
    <w:rPr>
      <w:rFonts w:ascii="Cambria" w:hAnsi="Cambria"/>
      <w:b/>
      <w:bCs/>
      <w:kern w:val="2"/>
      <w:sz w:val="32"/>
      <w:szCs w:val="32"/>
    </w:rPr>
  </w:style>
  <w:style w:type="character" w:customStyle="1" w:styleId="97">
    <w:name w:val="标题 3 Char"/>
    <w:autoRedefine/>
    <w:qFormat/>
    <w:uiPriority w:val="9"/>
    <w:rPr>
      <w:b/>
      <w:bCs/>
      <w:kern w:val="2"/>
      <w:sz w:val="32"/>
      <w:szCs w:val="32"/>
    </w:rPr>
  </w:style>
  <w:style w:type="character" w:customStyle="1" w:styleId="98">
    <w:name w:val="标题 5 Char"/>
    <w:autoRedefine/>
    <w:qFormat/>
    <w:uiPriority w:val="9"/>
    <w:rPr>
      <w:b/>
      <w:bCs/>
      <w:kern w:val="2"/>
      <w:sz w:val="28"/>
      <w:szCs w:val="28"/>
    </w:rPr>
  </w:style>
  <w:style w:type="character" w:customStyle="1" w:styleId="99">
    <w:name w:val="标题 8 Char1"/>
    <w:autoRedefine/>
    <w:qFormat/>
    <w:uiPriority w:val="9"/>
    <w:rPr>
      <w:rFonts w:ascii="等线 Light" w:hAnsi="等线 Light" w:eastAsia="等线 Light"/>
      <w:kern w:val="2"/>
      <w:sz w:val="24"/>
      <w:szCs w:val="24"/>
    </w:rPr>
  </w:style>
  <w:style w:type="character" w:customStyle="1" w:styleId="100">
    <w:name w:val="批注文字 Char1"/>
    <w:autoRedefine/>
    <w:qFormat/>
    <w:uiPriority w:val="0"/>
    <w:rPr>
      <w:kern w:val="2"/>
      <w:sz w:val="21"/>
      <w:szCs w:val="24"/>
    </w:rPr>
  </w:style>
  <w:style w:type="character" w:customStyle="1" w:styleId="101">
    <w:name w:val="正文文本 3 Char"/>
    <w:autoRedefine/>
    <w:qFormat/>
    <w:uiPriority w:val="99"/>
    <w:rPr>
      <w:kern w:val="2"/>
      <w:sz w:val="16"/>
      <w:szCs w:val="16"/>
    </w:rPr>
  </w:style>
  <w:style w:type="character" w:customStyle="1" w:styleId="102">
    <w:name w:val="正文文本 Char1"/>
    <w:autoRedefine/>
    <w:qFormat/>
    <w:uiPriority w:val="0"/>
    <w:rPr>
      <w:kern w:val="2"/>
      <w:sz w:val="21"/>
      <w:szCs w:val="24"/>
    </w:rPr>
  </w:style>
  <w:style w:type="character" w:customStyle="1" w:styleId="103">
    <w:name w:val="正文文本缩进 Char"/>
    <w:autoRedefine/>
    <w:qFormat/>
    <w:uiPriority w:val="0"/>
    <w:rPr>
      <w:rFonts w:ascii="仿宋_GB2312" w:eastAsia="仿宋_GB2312"/>
      <w:sz w:val="32"/>
    </w:rPr>
  </w:style>
  <w:style w:type="character" w:customStyle="1" w:styleId="104">
    <w:name w:val="日期 Char"/>
    <w:autoRedefine/>
    <w:qFormat/>
    <w:uiPriority w:val="99"/>
    <w:rPr>
      <w:kern w:val="2"/>
      <w:sz w:val="21"/>
      <w:szCs w:val="24"/>
    </w:rPr>
  </w:style>
  <w:style w:type="character" w:customStyle="1" w:styleId="105">
    <w:name w:val="批注主题 Char"/>
    <w:autoRedefine/>
    <w:qFormat/>
    <w:uiPriority w:val="99"/>
    <w:rPr>
      <w:b/>
      <w:bCs/>
      <w:kern w:val="2"/>
      <w:sz w:val="21"/>
      <w:szCs w:val="24"/>
    </w:rPr>
  </w:style>
  <w:style w:type="paragraph" w:customStyle="1" w:styleId="106">
    <w:name w:val="_Style 106"/>
    <w:autoRedefine/>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7">
    <w:name w:val="_Style 107"/>
    <w:basedOn w:val="1"/>
    <w:next w:val="1"/>
    <w:autoRedefine/>
    <w:unhideWhenUsed/>
    <w:qFormat/>
    <w:uiPriority w:val="99"/>
    <w:pPr>
      <w:tabs>
        <w:tab w:val="right" w:leader="dot" w:pos="8296"/>
      </w:tabs>
      <w:ind w:left="420" w:leftChars="200"/>
    </w:pPr>
  </w:style>
  <w:style w:type="character" w:customStyle="1" w:styleId="108">
    <w:name w:val="正文首行缩进 2 字符1"/>
    <w:autoRedefine/>
    <w:semiHidden/>
    <w:qFormat/>
    <w:uiPriority w:val="99"/>
    <w:rPr>
      <w:rFonts w:ascii="仿宋_GB2312" w:hAnsi="Times New Roman" w:eastAsia="仿宋_GB2312" w:cs="Times New Roman"/>
      <w:kern w:val="2"/>
      <w:sz w:val="21"/>
      <w:szCs w:val="24"/>
    </w:rPr>
  </w:style>
  <w:style w:type="character" w:customStyle="1" w:styleId="109">
    <w:name w:val="正文首行缩进 2 字符2"/>
    <w:autoRedefine/>
    <w:semiHidden/>
    <w:qFormat/>
    <w:uiPriority w:val="99"/>
    <w:rPr>
      <w:rFonts w:ascii="仿宋_GB2312" w:hAnsi="Times New Roman" w:eastAsia="仿宋_GB2312" w:cs="Times New Roman"/>
      <w:kern w:val="2"/>
      <w:sz w:val="21"/>
      <w:szCs w:val="24"/>
    </w:rPr>
  </w:style>
  <w:style w:type="paragraph" w:customStyle="1" w:styleId="110">
    <w:name w:val="msonormal"/>
    <w:basedOn w:val="1"/>
    <w:autoRedefine/>
    <w:qFormat/>
    <w:uiPriority w:val="99"/>
    <w:rPr>
      <w:rFonts w:ascii="Calibri" w:hAnsi="Calibri"/>
      <w:kern w:val="0"/>
      <w:sz w:val="24"/>
    </w:rPr>
  </w:style>
  <w:style w:type="character" w:customStyle="1" w:styleId="111">
    <w:name w:val="正文首行缩进 2 字符3"/>
    <w:autoRedefine/>
    <w:semiHidden/>
    <w:qFormat/>
    <w:locked/>
    <w:uiPriority w:val="99"/>
    <w:rPr>
      <w:rFonts w:ascii="仿宋_GB2312" w:hAnsi="Times New Roman" w:eastAsia="仿宋_GB2312" w:cs="Times New Roman"/>
      <w:kern w:val="2"/>
      <w:sz w:val="21"/>
      <w:szCs w:val="24"/>
    </w:rPr>
  </w:style>
  <w:style w:type="paragraph" w:customStyle="1" w:styleId="112">
    <w:name w:val="Char Char Char Char1"/>
    <w:basedOn w:val="1"/>
    <w:autoRedefine/>
    <w:qFormat/>
    <w:uiPriority w:val="0"/>
    <w:rPr>
      <w:rFonts w:ascii="Tahoma" w:hAnsi="Tahoma"/>
      <w:sz w:val="24"/>
      <w:szCs w:val="20"/>
    </w:rPr>
  </w:style>
  <w:style w:type="paragraph" w:customStyle="1" w:styleId="113">
    <w:name w:val="列出段落1"/>
    <w:basedOn w:val="1"/>
    <w:autoRedefine/>
    <w:qFormat/>
    <w:uiPriority w:val="0"/>
    <w:pPr>
      <w:ind w:firstLine="420" w:firstLineChars="200"/>
    </w:pPr>
    <w:rPr>
      <w:rFonts w:ascii="Calibri" w:hAnsi="Calibri"/>
      <w:szCs w:val="21"/>
    </w:rPr>
  </w:style>
  <w:style w:type="paragraph" w:customStyle="1" w:styleId="114">
    <w:name w:val="_Style 3"/>
    <w:basedOn w:val="1"/>
    <w:next w:val="80"/>
    <w:autoRedefine/>
    <w:qFormat/>
    <w:uiPriority w:val="34"/>
    <w:pPr>
      <w:ind w:firstLine="420" w:firstLineChars="200"/>
    </w:pPr>
    <w:rPr>
      <w:rFonts w:ascii="Calibri" w:hAnsi="Calibri"/>
      <w:szCs w:val="22"/>
    </w:rPr>
  </w:style>
  <w:style w:type="paragraph" w:styleId="115">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6">
    <w:name w:val="列出段落2"/>
    <w:basedOn w:val="1"/>
    <w:autoRedefine/>
    <w:qFormat/>
    <w:uiPriority w:val="34"/>
    <w:pPr>
      <w:ind w:firstLine="420" w:firstLineChars="200"/>
    </w:pPr>
  </w:style>
  <w:style w:type="character" w:customStyle="1" w:styleId="117">
    <w:name w:val="font31"/>
    <w:basedOn w:val="34"/>
    <w:qFormat/>
    <w:uiPriority w:val="0"/>
    <w:rPr>
      <w:rFonts w:hint="eastAsia" w:ascii="宋体" w:hAnsi="宋体" w:eastAsia="宋体" w:cs="宋体"/>
      <w:color w:val="000000"/>
      <w:sz w:val="18"/>
      <w:szCs w:val="18"/>
      <w:u w:val="none"/>
    </w:rPr>
  </w:style>
  <w:style w:type="paragraph" w:customStyle="1" w:styleId="118">
    <w:name w:val="引言二级条标题"/>
    <w:basedOn w:val="119"/>
    <w:next w:val="120"/>
    <w:qFormat/>
    <w:uiPriority w:val="0"/>
    <w:pPr>
      <w:numPr>
        <w:ilvl w:val="1"/>
        <w:numId w:val="0"/>
      </w:numPr>
      <w:tabs>
        <w:tab w:val="left" w:pos="360"/>
        <w:tab w:val="left" w:pos="1200"/>
      </w:tabs>
    </w:pPr>
    <w:rPr>
      <w:rFonts w:ascii="宋体" w:hAnsi="宋体"/>
      <w:b w:val="0"/>
      <w:szCs w:val="20"/>
    </w:rPr>
  </w:style>
  <w:style w:type="paragraph" w:customStyle="1" w:styleId="119">
    <w:name w:val="引言一级条标题"/>
    <w:basedOn w:val="1"/>
    <w:next w:val="120"/>
    <w:qFormat/>
    <w:uiPriority w:val="0"/>
    <w:pPr>
      <w:widowControl/>
      <w:numPr>
        <w:ilvl w:val="0"/>
        <w:numId w:val="1"/>
      </w:numPr>
    </w:pPr>
    <w:rPr>
      <w:rFonts w:eastAsia="黑体"/>
      <w:b/>
    </w:rPr>
  </w:style>
  <w:style w:type="paragraph" w:customStyle="1" w:styleId="12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108</Pages>
  <Words>21325</Words>
  <Characters>24327</Characters>
  <Lines>449</Lines>
  <Paragraphs>126</Paragraphs>
  <TotalTime>79</TotalTime>
  <ScaleCrop>false</ScaleCrop>
  <LinksUpToDate>false</LinksUpToDate>
  <CharactersWithSpaces>24499</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2023-11-01T08:30:00Z</dcterms:created>
  <dc:creator>天眼</dc:creator>
  <cp:lastModifiedBy>Zzz</cp:lastModifiedBy>
  <cp:lastPrinted>2023-11-07T03:10:00Z</cp:lastPrinted>
  <dcterms:modified xsi:type="dcterms:W3CDTF">2026-07-20T06:56:11Z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962A7FD36BD14A8DA86504A3CDA00CFC_13</vt:lpwstr>
  </property>
  <property fmtid="{D5CDD505-2E9C-101B-9397-08002B2CF9AE}" pid="4" name="KSOTemplateDocerSaveRecord">
    <vt:lpwstr>eyJoZGlkIjoiMmVkMzE2NjZhMmU0NjBlZWI2ZjcyMDA3MmMxYTc1YWEiLCJ1c2VySWQiOiI1MDc1OTgxODAifQ==</vt:lpwstr>
  </property>
</Properties>
</file>