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F6E25A">
      <w:pPr>
        <w:jc w:val="center"/>
        <w:rPr>
          <w:rFonts w:hint="eastAsia" w:ascii="宋体" w:hAnsi="宋体" w:cs="宋体"/>
          <w:b/>
          <w:bCs/>
          <w:color w:val="auto"/>
          <w:sz w:val="48"/>
          <w:szCs w:val="48"/>
          <w:highlight w:val="none"/>
        </w:rPr>
      </w:pPr>
      <w:bookmarkStart w:id="0" w:name="OLE_LINK15"/>
      <w:bookmarkStart w:id="1" w:name="OLE_LINK8"/>
      <w:bookmarkStart w:id="2" w:name="OLE_LINK10"/>
      <w:bookmarkStart w:id="3" w:name="OLE_LINK11"/>
      <w:bookmarkStart w:id="4" w:name="OLE_LINK7"/>
    </w:p>
    <w:p w14:paraId="154ABD2A">
      <w:pPr>
        <w:jc w:val="right"/>
        <w:rPr>
          <w:rFonts w:hint="eastAsia" w:ascii="宋体" w:hAnsi="宋体" w:eastAsia="宋体" w:cs="宋体"/>
          <w:b/>
          <w:bCs/>
          <w:color w:val="auto"/>
          <w:sz w:val="48"/>
          <w:szCs w:val="48"/>
          <w:highlight w:val="none"/>
          <w:lang w:eastAsia="zh-CN"/>
        </w:rPr>
      </w:pPr>
      <w:r>
        <w:rPr>
          <w:rFonts w:hint="eastAsia" w:ascii="宋体" w:hAnsi="宋体" w:eastAsia="宋体" w:cs="宋体"/>
          <w:b/>
          <w:bCs/>
          <w:color w:val="auto"/>
          <w:sz w:val="48"/>
          <w:szCs w:val="48"/>
          <w:highlight w:val="none"/>
          <w:lang w:eastAsia="zh-CN"/>
        </w:rPr>
        <w:drawing>
          <wp:inline distT="0" distB="0" distL="114300" distR="114300">
            <wp:extent cx="5347335" cy="630555"/>
            <wp:effectExtent l="0" t="0" r="5715" b="17145"/>
            <wp:docPr id="2" name="图片 2" descr="828f7ba50ad1d84eaff4ae79095e7a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28f7ba50ad1d84eaff4ae79095e7ae9"/>
                    <pic:cNvPicPr>
                      <a:picLocks noChangeAspect="1"/>
                    </pic:cNvPicPr>
                  </pic:nvPicPr>
                  <pic:blipFill>
                    <a:blip r:embed="rId20"/>
                    <a:stretch>
                      <a:fillRect/>
                    </a:stretch>
                  </pic:blipFill>
                  <pic:spPr>
                    <a:xfrm>
                      <a:off x="0" y="0"/>
                      <a:ext cx="5347335" cy="630555"/>
                    </a:xfrm>
                    <a:prstGeom prst="rect">
                      <a:avLst/>
                    </a:prstGeom>
                  </pic:spPr>
                </pic:pic>
              </a:graphicData>
            </a:graphic>
          </wp:inline>
        </w:drawing>
      </w:r>
    </w:p>
    <w:bookmarkEnd w:id="0"/>
    <w:p w14:paraId="5664A3D9">
      <w:pPr>
        <w:spacing w:line="360" w:lineRule="auto"/>
        <w:jc w:val="center"/>
        <w:rPr>
          <w:rFonts w:hint="eastAsia" w:ascii="宋体" w:hAnsi="宋体" w:cs="宋体"/>
          <w:b/>
          <w:color w:val="auto"/>
          <w:sz w:val="36"/>
          <w:szCs w:val="36"/>
          <w:highlight w:val="none"/>
        </w:rPr>
      </w:pPr>
      <w:r>
        <w:rPr>
          <w:rFonts w:hint="eastAsia" w:ascii="宋体" w:hAnsi="宋体" w:cs="宋体"/>
          <w:color w:val="auto"/>
          <w:sz w:val="20"/>
          <w:highlight w:val="none"/>
        </w:rPr>
        <mc:AlternateContent>
          <mc:Choice Requires="wps">
            <w:drawing>
              <wp:anchor distT="0" distB="0" distL="114300" distR="114300" simplePos="0" relativeHeight="251659264" behindDoc="0" locked="0" layoutInCell="1" allowOverlap="1">
                <wp:simplePos x="0" y="0"/>
                <wp:positionH relativeFrom="column">
                  <wp:posOffset>-180975</wp:posOffset>
                </wp:positionH>
                <wp:positionV relativeFrom="paragraph">
                  <wp:posOffset>159385</wp:posOffset>
                </wp:positionV>
                <wp:extent cx="5944235" cy="8255"/>
                <wp:effectExtent l="0" t="0" r="0" b="0"/>
                <wp:wrapNone/>
                <wp:docPr id="1"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14.25pt;margin-top:12.55pt;height:0.65pt;width:468.05pt;z-index:251659264;mso-width-relative:page;mso-height-relative:page;" filled="f" stroked="t" coordsize="21600,21600" o:gfxdata="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AEhyWNgAAAAJAQAADwAAAAAAAAABACAAAAAiAAAAZHJzL2Rvd25yZXYueG1sUEsB&#10;AhQAFAAAAAgAh07iQApIYfX1AQAA9wMAAA4AAAAAAAAAAQAgAAAAJwEAAGRycy9lMm9Eb2MueG1s&#10;UEsFBgAAAAAGAAYAWQEAAI4FAAAAAA==&#10;">
                <v:fill on="f" focussize="0,0"/>
                <v:stroke weight="2.25pt" color="#000000" joinstyle="round"/>
                <v:imagedata o:title=""/>
                <o:lock v:ext="edit" aspectratio="f"/>
              </v:line>
            </w:pict>
          </mc:Fallback>
        </mc:AlternateContent>
      </w:r>
      <w:r>
        <w:rPr>
          <w:rFonts w:hint="eastAsia" w:ascii="宋体" w:hAnsi="宋体" w:cs="宋体"/>
          <w:b/>
          <w:bCs/>
          <w:color w:val="auto"/>
          <w:sz w:val="10"/>
          <w:highlight w:val="none"/>
        </w:rPr>
        <w:t xml:space="preserve">                                                                         </w:t>
      </w:r>
    </w:p>
    <w:p w14:paraId="646FAADE">
      <w:pPr>
        <w:pStyle w:val="20"/>
        <w:jc w:val="center"/>
        <w:rPr>
          <w:rFonts w:hint="eastAsia" w:hAnsi="宋体" w:cs="宋体"/>
          <w:color w:val="auto"/>
          <w:sz w:val="72"/>
          <w:szCs w:val="72"/>
          <w:highlight w:val="none"/>
        </w:rPr>
      </w:pPr>
    </w:p>
    <w:p w14:paraId="473F27DF">
      <w:pPr>
        <w:pStyle w:val="20"/>
        <w:jc w:val="center"/>
        <w:rPr>
          <w:rFonts w:hint="eastAsia" w:hAnsi="宋体" w:cs="宋体"/>
          <w:b/>
          <w:bCs/>
          <w:color w:val="auto"/>
          <w:sz w:val="110"/>
          <w:szCs w:val="110"/>
          <w:highlight w:val="none"/>
        </w:rPr>
      </w:pPr>
      <w:r>
        <w:rPr>
          <w:rFonts w:hint="eastAsia" w:hAnsi="宋体" w:cs="宋体"/>
          <w:color w:val="auto"/>
          <w:sz w:val="110"/>
          <w:szCs w:val="110"/>
          <w:highlight w:val="none"/>
        </w:rPr>
        <w:t>招 标 文 件</w:t>
      </w:r>
    </w:p>
    <w:p w14:paraId="0093AB02">
      <w:pPr>
        <w:jc w:val="center"/>
        <w:rPr>
          <w:rFonts w:hint="eastAsia" w:ascii="宋体" w:hAnsi="宋体" w:cs="宋体"/>
          <w:b/>
          <w:color w:val="auto"/>
          <w:sz w:val="36"/>
          <w:szCs w:val="36"/>
          <w:highlight w:val="none"/>
        </w:rPr>
      </w:pPr>
    </w:p>
    <w:p w14:paraId="092DE0F4">
      <w:pPr>
        <w:pStyle w:val="20"/>
        <w:spacing w:line="360" w:lineRule="auto"/>
        <w:ind w:firstLine="753" w:firstLineChars="250"/>
        <w:jc w:val="left"/>
        <w:rPr>
          <w:rFonts w:hint="eastAsia" w:hAnsi="宋体" w:cs="宋体"/>
          <w:b/>
          <w:color w:val="auto"/>
          <w:sz w:val="30"/>
          <w:szCs w:val="30"/>
          <w:highlight w:val="none"/>
        </w:rPr>
      </w:pPr>
    </w:p>
    <w:p w14:paraId="12CCDC5B">
      <w:pPr>
        <w:snapToGrid w:val="0"/>
        <w:spacing w:before="120" w:beforeLines="50" w:line="360" w:lineRule="auto"/>
        <w:jc w:val="center"/>
        <w:rPr>
          <w:rFonts w:hint="eastAsia"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14:paraId="14A8EDA0">
      <w:pPr>
        <w:pStyle w:val="20"/>
        <w:spacing w:line="360" w:lineRule="auto"/>
        <w:ind w:firstLine="753" w:firstLineChars="250"/>
        <w:jc w:val="left"/>
        <w:rPr>
          <w:rFonts w:hint="eastAsia" w:hAnsi="宋体" w:cs="宋体"/>
          <w:b/>
          <w:color w:val="auto"/>
          <w:sz w:val="30"/>
          <w:szCs w:val="30"/>
          <w:highlight w:val="none"/>
        </w:rPr>
      </w:pPr>
    </w:p>
    <w:p w14:paraId="21742D6E">
      <w:pPr>
        <w:pStyle w:val="20"/>
        <w:spacing w:line="360" w:lineRule="auto"/>
        <w:ind w:firstLine="753" w:firstLineChars="250"/>
        <w:jc w:val="left"/>
        <w:rPr>
          <w:rFonts w:hint="eastAsia" w:hAnsi="宋体" w:cs="宋体"/>
          <w:b/>
          <w:color w:val="auto"/>
          <w:sz w:val="30"/>
          <w:szCs w:val="30"/>
          <w:highlight w:val="none"/>
        </w:rPr>
      </w:pPr>
    </w:p>
    <w:p w14:paraId="26E79833">
      <w:pPr>
        <w:pStyle w:val="20"/>
        <w:spacing w:line="360" w:lineRule="auto"/>
        <w:ind w:firstLine="753" w:firstLineChars="250"/>
        <w:jc w:val="left"/>
        <w:rPr>
          <w:rFonts w:hint="eastAsia" w:hAnsi="宋体" w:cs="宋体"/>
          <w:b/>
          <w:color w:val="auto"/>
          <w:sz w:val="30"/>
          <w:szCs w:val="30"/>
          <w:highlight w:val="none"/>
        </w:rPr>
      </w:pPr>
    </w:p>
    <w:p w14:paraId="30FCAE6C">
      <w:pPr>
        <w:pStyle w:val="20"/>
        <w:spacing w:line="360" w:lineRule="auto"/>
        <w:ind w:left="2258" w:leftChars="358" w:hanging="1506" w:hangingChars="50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项目名称：</w:t>
      </w:r>
      <w:r>
        <w:rPr>
          <w:rFonts w:hint="eastAsia" w:hAnsi="宋体" w:cs="宋体"/>
          <w:b/>
          <w:color w:val="auto"/>
          <w:sz w:val="30"/>
          <w:szCs w:val="30"/>
          <w:highlight w:val="none"/>
          <w:lang w:eastAsia="zh-CN"/>
        </w:rPr>
        <w:t>2026年农产品检测项目采购</w:t>
      </w:r>
    </w:p>
    <w:p w14:paraId="57973F12">
      <w:pPr>
        <w:pStyle w:val="20"/>
        <w:spacing w:line="360" w:lineRule="auto"/>
        <w:ind w:firstLine="753" w:firstLineChars="250"/>
        <w:jc w:val="left"/>
        <w:rPr>
          <w:rFonts w:hint="default" w:hAnsi="宋体" w:eastAsia="宋体" w:cs="宋体"/>
          <w:b/>
          <w:color w:val="auto"/>
          <w:sz w:val="30"/>
          <w:szCs w:val="30"/>
          <w:highlight w:val="none"/>
          <w:lang w:val="en-US" w:eastAsia="zh-CN"/>
        </w:rPr>
      </w:pPr>
      <w:r>
        <w:rPr>
          <w:rFonts w:hint="eastAsia" w:hAnsi="宋体" w:cs="宋体"/>
          <w:b/>
          <w:color w:val="auto"/>
          <w:sz w:val="30"/>
          <w:szCs w:val="30"/>
          <w:highlight w:val="none"/>
        </w:rPr>
        <w:t>项目编号：</w:t>
      </w:r>
      <w:r>
        <w:rPr>
          <w:rFonts w:hint="eastAsia" w:hAnsi="宋体" w:cs="宋体"/>
          <w:b/>
          <w:color w:val="auto"/>
          <w:sz w:val="30"/>
          <w:szCs w:val="30"/>
          <w:highlight w:val="none"/>
          <w:lang w:val="en-US" w:eastAsia="zh-CN"/>
        </w:rPr>
        <w:t>GXZC2026-G3-002256-JGJD</w:t>
      </w:r>
    </w:p>
    <w:p w14:paraId="7919889D">
      <w:pPr>
        <w:spacing w:line="600" w:lineRule="exact"/>
        <w:ind w:left="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-89535</wp:posOffset>
                </wp:positionH>
                <wp:positionV relativeFrom="paragraph">
                  <wp:posOffset>144145</wp:posOffset>
                </wp:positionV>
                <wp:extent cx="5944235" cy="8255"/>
                <wp:effectExtent l="0" t="0" r="0" b="0"/>
                <wp:wrapNone/>
                <wp:docPr id="3"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7.05pt;margin-top:11.35pt;height:0.65pt;width:468.05pt;z-index:251660288;mso-width-relative:page;mso-height-relative:page;" filled="f" stroked="t" coordsize="21600,21600" o:gfxdata="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vzFLNcAAAAJAQAADwAAAAAAAAABACAAAAAiAAAAZHJzL2Rvd25yZXYueG1sUEsB&#10;AhQAFAAAAAgAh07iQNV1L+72AQAA9wMAAA4AAAAAAAAAAQAgAAAAJgEAAGRycy9lMm9Eb2MueG1s&#10;UEsFBgAAAAAGAAYAWQEAAI4FAAAAAA==&#10;">
                <v:fill on="f" focussize="0,0"/>
                <v:stroke weight="2.25pt" color="#000000" joinstyle="round"/>
                <v:imagedata o:title=""/>
                <o:lock v:ext="edit" aspectratio="f"/>
              </v:line>
            </w:pict>
          </mc:Fallback>
        </mc:AlternateContent>
      </w:r>
    </w:p>
    <w:p w14:paraId="1C941544">
      <w:pPr>
        <w:pStyle w:val="20"/>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采购人：</w:t>
      </w:r>
      <w:r>
        <w:rPr>
          <w:rFonts w:hint="eastAsia" w:hAnsi="宋体" w:cs="宋体"/>
          <w:b/>
          <w:color w:val="auto"/>
          <w:sz w:val="30"/>
          <w:szCs w:val="30"/>
          <w:highlight w:val="none"/>
          <w:lang w:eastAsia="zh-CN"/>
        </w:rPr>
        <w:t>广西壮族自治区农业农村厅</w:t>
      </w:r>
    </w:p>
    <w:p w14:paraId="63430350">
      <w:pPr>
        <w:pStyle w:val="20"/>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采购代理机构：</w:t>
      </w:r>
      <w:r>
        <w:rPr>
          <w:rFonts w:hint="eastAsia" w:hAnsi="宋体" w:cs="宋体"/>
          <w:b/>
          <w:color w:val="auto"/>
          <w:sz w:val="30"/>
          <w:szCs w:val="30"/>
          <w:highlight w:val="none"/>
          <w:lang w:eastAsia="zh-CN"/>
        </w:rPr>
        <w:t>广西建设工程机电设备招标中心有限公司</w:t>
      </w:r>
    </w:p>
    <w:p w14:paraId="314157CC">
      <w:pPr>
        <w:pStyle w:val="20"/>
        <w:spacing w:line="360" w:lineRule="auto"/>
        <w:jc w:val="center"/>
        <w:rPr>
          <w:rFonts w:hint="eastAsia" w:hAnsi="宋体" w:cs="宋体"/>
          <w:b/>
          <w:color w:val="auto"/>
          <w:sz w:val="30"/>
          <w:szCs w:val="30"/>
          <w:highlight w:val="none"/>
        </w:rPr>
      </w:pPr>
    </w:p>
    <w:p w14:paraId="354C8149">
      <w:pPr>
        <w:pStyle w:val="20"/>
        <w:spacing w:line="360" w:lineRule="auto"/>
        <w:jc w:val="center"/>
        <w:rPr>
          <w:rFonts w:hint="default" w:hAnsi="宋体" w:eastAsia="宋体" w:cs="宋体"/>
          <w:b/>
          <w:bCs/>
          <w:color w:val="auto"/>
          <w:spacing w:val="-27"/>
          <w:sz w:val="60"/>
          <w:szCs w:val="60"/>
          <w:highlight w:val="none"/>
          <w:lang w:val="en-US" w:eastAsia="zh-CN"/>
        </w:rPr>
      </w:pPr>
      <w:r>
        <w:rPr>
          <w:rFonts w:hint="eastAsia" w:hAnsi="宋体" w:cs="宋体"/>
          <w:b/>
          <w:color w:val="auto"/>
          <w:sz w:val="30"/>
          <w:szCs w:val="30"/>
          <w:highlight w:val="none"/>
        </w:rPr>
        <w:t>202</w:t>
      </w:r>
      <w:r>
        <w:rPr>
          <w:rFonts w:hint="eastAsia" w:hAnsi="宋体" w:cs="宋体"/>
          <w:b/>
          <w:color w:val="auto"/>
          <w:sz w:val="30"/>
          <w:szCs w:val="30"/>
          <w:highlight w:val="none"/>
          <w:lang w:val="en-US" w:eastAsia="zh-CN"/>
        </w:rPr>
        <w:t>6</w:t>
      </w:r>
      <w:r>
        <w:rPr>
          <w:rFonts w:hint="eastAsia" w:hAnsi="宋体" w:cs="宋体"/>
          <w:b/>
          <w:color w:val="auto"/>
          <w:sz w:val="30"/>
          <w:szCs w:val="30"/>
          <w:highlight w:val="none"/>
        </w:rPr>
        <w:t>年</w:t>
      </w:r>
      <w:r>
        <w:rPr>
          <w:rFonts w:hint="eastAsia" w:hAnsi="宋体" w:cs="宋体"/>
          <w:b/>
          <w:color w:val="auto"/>
          <w:sz w:val="30"/>
          <w:szCs w:val="30"/>
          <w:highlight w:val="none"/>
          <w:lang w:val="en-US" w:eastAsia="zh-CN"/>
        </w:rPr>
        <w:t>7</w:t>
      </w:r>
      <w:r>
        <w:rPr>
          <w:rFonts w:hint="eastAsia" w:hAnsi="宋体" w:cs="宋体"/>
          <w:b/>
          <w:color w:val="auto"/>
          <w:sz w:val="30"/>
          <w:szCs w:val="30"/>
          <w:highlight w:val="none"/>
        </w:rPr>
        <w:t>月</w:t>
      </w:r>
      <w:r>
        <w:rPr>
          <w:rFonts w:hint="eastAsia" w:hAnsi="宋体" w:cs="宋体"/>
          <w:b/>
          <w:color w:val="auto"/>
          <w:sz w:val="30"/>
          <w:szCs w:val="30"/>
          <w:highlight w:val="none"/>
          <w:lang w:val="en-US" w:eastAsia="zh-CN"/>
        </w:rPr>
        <w:t>20日</w:t>
      </w:r>
    </w:p>
    <w:p w14:paraId="16E8D8CF">
      <w:pPr>
        <w:pStyle w:val="20"/>
        <w:spacing w:before="120" w:after="120" w:line="360" w:lineRule="auto"/>
        <w:jc w:val="center"/>
        <w:rPr>
          <w:rFonts w:hint="eastAsia" w:hAnsi="宋体" w:cs="宋体"/>
          <w:b/>
          <w:color w:val="auto"/>
          <w:sz w:val="44"/>
          <w:szCs w:val="44"/>
          <w:highlight w:val="none"/>
        </w:rPr>
        <w:sectPr>
          <w:footerReference r:id="rId6" w:type="first"/>
          <w:headerReference r:id="rId3" w:type="default"/>
          <w:footerReference r:id="rId4" w:type="default"/>
          <w:footerReference r:id="rId5" w:type="even"/>
          <w:pgSz w:w="11906" w:h="16838"/>
          <w:pgMar w:top="1440" w:right="1803" w:bottom="1440" w:left="1803" w:header="850" w:footer="850" w:gutter="0"/>
          <w:pgNumType w:start="0"/>
          <w:cols w:space="720" w:num="1"/>
          <w:titlePg/>
          <w:docGrid w:linePitch="312" w:charSpace="0"/>
        </w:sectPr>
      </w:pPr>
    </w:p>
    <w:p w14:paraId="6140C1BB">
      <w:pPr>
        <w:pStyle w:val="20"/>
        <w:spacing w:before="120" w:after="120" w:line="360" w:lineRule="auto"/>
        <w:jc w:val="center"/>
        <w:rPr>
          <w:rFonts w:hint="eastAsia" w:hAnsi="宋体" w:cs="宋体"/>
          <w:b/>
          <w:color w:val="auto"/>
          <w:sz w:val="44"/>
          <w:szCs w:val="44"/>
          <w:highlight w:val="none"/>
        </w:rPr>
      </w:pPr>
      <w:r>
        <w:rPr>
          <w:rFonts w:hint="eastAsia" w:hAnsi="宋体" w:cs="宋体"/>
          <w:b/>
          <w:color w:val="auto"/>
          <w:sz w:val="44"/>
          <w:szCs w:val="44"/>
          <w:highlight w:val="none"/>
        </w:rPr>
        <w:t>目  录</w:t>
      </w:r>
    </w:p>
    <w:p w14:paraId="734D0756">
      <w:pPr>
        <w:pStyle w:val="27"/>
        <w:tabs>
          <w:tab w:val="right" w:leader="dot" w:pos="9242"/>
        </w:tabs>
        <w:spacing w:line="400" w:lineRule="exact"/>
        <w:rPr>
          <w:color w:val="auto"/>
          <w:highlight w:val="none"/>
        </w:rPr>
      </w:pPr>
      <w:bookmarkStart w:id="5" w:name="OLE_LINK9"/>
      <w:bookmarkStart w:id="6" w:name="OLE_LINK6"/>
      <w:r>
        <w:rPr>
          <w:rFonts w:hint="eastAsia" w:cs="宋体"/>
          <w:b w:val="0"/>
          <w:bCs w:val="0"/>
          <w:color w:val="auto"/>
          <w:highlight w:val="none"/>
        </w:rPr>
        <w:fldChar w:fldCharType="begin"/>
      </w:r>
      <w:r>
        <w:rPr>
          <w:rFonts w:hint="eastAsia" w:cs="宋体"/>
          <w:b w:val="0"/>
          <w:bCs w:val="0"/>
          <w:color w:val="auto"/>
          <w:highlight w:val="none"/>
        </w:rPr>
        <w:instrText xml:space="preserve">TOC \o "1-3" \h \u </w:instrText>
      </w:r>
      <w:r>
        <w:rPr>
          <w:rFonts w:hint="eastAsia" w:cs="宋体"/>
          <w:b w:val="0"/>
          <w:bCs w:val="0"/>
          <w:color w:val="auto"/>
          <w:highlight w:val="none"/>
        </w:rPr>
        <w:fldChar w:fldCharType="separate"/>
      </w:r>
      <w:r>
        <w:rPr>
          <w:rFonts w:hint="eastAsia" w:cs="宋体"/>
          <w:bCs w:val="0"/>
          <w:color w:val="auto"/>
          <w:highlight w:val="none"/>
        </w:rPr>
        <w:fldChar w:fldCharType="begin"/>
      </w:r>
      <w:r>
        <w:rPr>
          <w:rFonts w:hint="eastAsia" w:cs="宋体"/>
          <w:bCs w:val="0"/>
          <w:color w:val="auto"/>
          <w:highlight w:val="none"/>
        </w:rPr>
        <w:instrText xml:space="preserve"> HYPERLINK \l _Toc21030 </w:instrText>
      </w:r>
      <w:r>
        <w:rPr>
          <w:rFonts w:hint="eastAsia" w:cs="宋体"/>
          <w:bCs w:val="0"/>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_Toc21030 \h </w:instrText>
      </w:r>
      <w:r>
        <w:rPr>
          <w:color w:val="auto"/>
          <w:highlight w:val="none"/>
        </w:rPr>
        <w:fldChar w:fldCharType="separate"/>
      </w:r>
      <w:r>
        <w:rPr>
          <w:color w:val="auto"/>
          <w:highlight w:val="none"/>
        </w:rPr>
        <w:t>1</w:t>
      </w:r>
      <w:r>
        <w:rPr>
          <w:color w:val="auto"/>
          <w:highlight w:val="none"/>
        </w:rPr>
        <w:fldChar w:fldCharType="end"/>
      </w:r>
      <w:r>
        <w:rPr>
          <w:rFonts w:hint="eastAsia" w:cs="宋体"/>
          <w:bCs w:val="0"/>
          <w:color w:val="auto"/>
          <w:highlight w:val="none"/>
        </w:rPr>
        <w:fldChar w:fldCharType="end"/>
      </w:r>
    </w:p>
    <w:p w14:paraId="15D0451C">
      <w:pPr>
        <w:pStyle w:val="27"/>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_Toc12941 </w:instrText>
      </w:r>
      <w:r>
        <w:rPr>
          <w:rFonts w:hint="eastAsia" w:ascii="宋体" w:hAnsi="宋体" w:cs="宋体"/>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_Toc12941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highlight w:val="none"/>
        </w:rPr>
        <w:fldChar w:fldCharType="end"/>
      </w:r>
    </w:p>
    <w:p w14:paraId="272D82CD">
      <w:pPr>
        <w:pStyle w:val="27"/>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_Toc24453 </w:instrText>
      </w:r>
      <w:r>
        <w:rPr>
          <w:rFonts w:hint="eastAsia" w:ascii="宋体" w:hAnsi="宋体" w:cs="宋体"/>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_Toc24453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cs="宋体"/>
          <w:color w:val="auto"/>
          <w:highlight w:val="none"/>
        </w:rPr>
        <w:fldChar w:fldCharType="end"/>
      </w:r>
    </w:p>
    <w:p w14:paraId="26FE4983">
      <w:pPr>
        <w:pStyle w:val="31"/>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_Toc3016 </w:instrText>
      </w:r>
      <w:r>
        <w:rPr>
          <w:rFonts w:hint="eastAsia" w:ascii="宋体" w:hAnsi="宋体" w:cs="宋体"/>
          <w:color w:val="auto"/>
          <w:highlight w:val="none"/>
        </w:rPr>
        <w:fldChar w:fldCharType="separate"/>
      </w:r>
      <w:r>
        <w:rPr>
          <w:rFonts w:hint="eastAsia" w:ascii="宋体" w:hAnsi="宋体" w:cs="宋体"/>
          <w:color w:val="auto"/>
          <w:szCs w:val="36"/>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_Toc3016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cs="宋体"/>
          <w:color w:val="auto"/>
          <w:highlight w:val="none"/>
        </w:rPr>
        <w:fldChar w:fldCharType="end"/>
      </w:r>
    </w:p>
    <w:p w14:paraId="60B11369">
      <w:pPr>
        <w:pStyle w:val="31"/>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_Toc21607 </w:instrText>
      </w:r>
      <w:r>
        <w:rPr>
          <w:rFonts w:hint="eastAsia" w:ascii="宋体" w:hAnsi="宋体" w:cs="宋体"/>
          <w:color w:val="auto"/>
          <w:highlight w:val="none"/>
        </w:rPr>
        <w:fldChar w:fldCharType="separate"/>
      </w:r>
      <w:r>
        <w:rPr>
          <w:rFonts w:hint="eastAsia" w:ascii="宋体" w:hAnsi="宋体" w:cs="宋体"/>
          <w:color w:val="auto"/>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_Toc21607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highlight w:val="none"/>
        </w:rPr>
        <w:fldChar w:fldCharType="end"/>
      </w:r>
    </w:p>
    <w:p w14:paraId="76069311">
      <w:pPr>
        <w:pStyle w:val="19"/>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_Toc7551 </w:instrText>
      </w:r>
      <w:r>
        <w:rPr>
          <w:rFonts w:hint="eastAsia" w:ascii="宋体" w:hAnsi="宋体" w:cs="宋体"/>
          <w:color w:val="auto"/>
          <w:highlight w:val="none"/>
        </w:rPr>
        <w:fldChar w:fldCharType="separate"/>
      </w:r>
      <w:r>
        <w:rPr>
          <w:rFonts w:hint="eastAsia" w:ascii="宋体" w:hAnsi="宋体" w:cs="宋体"/>
          <w:color w:val="auto"/>
          <w:highlight w:val="none"/>
        </w:rPr>
        <w:t>一、总  则</w:t>
      </w:r>
      <w:r>
        <w:rPr>
          <w:color w:val="auto"/>
          <w:highlight w:val="none"/>
        </w:rPr>
        <w:tab/>
      </w:r>
      <w:r>
        <w:rPr>
          <w:color w:val="auto"/>
          <w:highlight w:val="none"/>
        </w:rPr>
        <w:fldChar w:fldCharType="begin"/>
      </w:r>
      <w:r>
        <w:rPr>
          <w:color w:val="auto"/>
          <w:highlight w:val="none"/>
        </w:rPr>
        <w:instrText xml:space="preserve"> PAGEREF _Toc7551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highlight w:val="none"/>
        </w:rPr>
        <w:fldChar w:fldCharType="end"/>
      </w:r>
    </w:p>
    <w:p w14:paraId="2B74AFEE">
      <w:pPr>
        <w:pStyle w:val="19"/>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_Toc30666 </w:instrText>
      </w:r>
      <w:r>
        <w:rPr>
          <w:rFonts w:hint="eastAsia" w:ascii="宋体" w:hAnsi="宋体" w:cs="宋体"/>
          <w:color w:val="auto"/>
          <w:highlight w:val="none"/>
        </w:rPr>
        <w:fldChar w:fldCharType="separate"/>
      </w:r>
      <w:r>
        <w:rPr>
          <w:rFonts w:hint="eastAsia" w:ascii="宋体" w:hAnsi="宋体" w:cs="宋体"/>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_Toc30666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cs="宋体"/>
          <w:color w:val="auto"/>
          <w:highlight w:val="none"/>
        </w:rPr>
        <w:fldChar w:fldCharType="end"/>
      </w:r>
    </w:p>
    <w:p w14:paraId="456B893C">
      <w:pPr>
        <w:pStyle w:val="19"/>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_Toc11493 </w:instrText>
      </w:r>
      <w:r>
        <w:rPr>
          <w:rFonts w:hint="eastAsia" w:ascii="宋体" w:hAnsi="宋体" w:cs="宋体"/>
          <w:color w:val="auto"/>
          <w:highlight w:val="none"/>
        </w:rPr>
        <w:fldChar w:fldCharType="separate"/>
      </w:r>
      <w:r>
        <w:rPr>
          <w:rFonts w:hint="eastAsia" w:ascii="宋体" w:hAnsi="宋体" w:cs="宋体"/>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_Toc11493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cs="宋体"/>
          <w:color w:val="auto"/>
          <w:highlight w:val="none"/>
        </w:rPr>
        <w:fldChar w:fldCharType="end"/>
      </w:r>
    </w:p>
    <w:p w14:paraId="1EAF361E">
      <w:pPr>
        <w:pStyle w:val="19"/>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_Toc21393 </w:instrText>
      </w:r>
      <w:r>
        <w:rPr>
          <w:rFonts w:hint="eastAsia" w:ascii="宋体" w:hAnsi="宋体" w:cs="宋体"/>
          <w:color w:val="auto"/>
          <w:highlight w:val="none"/>
        </w:rPr>
        <w:fldChar w:fldCharType="separate"/>
      </w:r>
      <w:r>
        <w:rPr>
          <w:rFonts w:hint="eastAsia" w:ascii="宋体" w:hAnsi="宋体" w:cs="宋体"/>
          <w:color w:val="auto"/>
          <w:highlight w:val="none"/>
        </w:rPr>
        <w:t>四、开  标</w:t>
      </w:r>
      <w:r>
        <w:rPr>
          <w:color w:val="auto"/>
          <w:highlight w:val="none"/>
        </w:rPr>
        <w:tab/>
      </w:r>
      <w:r>
        <w:rPr>
          <w:color w:val="auto"/>
          <w:highlight w:val="none"/>
        </w:rPr>
        <w:fldChar w:fldCharType="begin"/>
      </w:r>
      <w:r>
        <w:rPr>
          <w:color w:val="auto"/>
          <w:highlight w:val="none"/>
        </w:rPr>
        <w:instrText xml:space="preserve"> PAGEREF _Toc21393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cs="宋体"/>
          <w:color w:val="auto"/>
          <w:highlight w:val="none"/>
        </w:rPr>
        <w:fldChar w:fldCharType="end"/>
      </w:r>
    </w:p>
    <w:p w14:paraId="099D5099">
      <w:pPr>
        <w:pStyle w:val="19"/>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_Toc6086 </w:instrText>
      </w:r>
      <w:r>
        <w:rPr>
          <w:rFonts w:hint="eastAsia" w:ascii="宋体" w:hAnsi="宋体" w:cs="宋体"/>
          <w:color w:val="auto"/>
          <w:highlight w:val="none"/>
        </w:rPr>
        <w:fldChar w:fldCharType="separate"/>
      </w:r>
      <w:r>
        <w:rPr>
          <w:rFonts w:hint="eastAsia" w:ascii="宋体" w:hAnsi="宋体" w:cs="宋体"/>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_Toc6086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cs="宋体"/>
          <w:color w:val="auto"/>
          <w:highlight w:val="none"/>
        </w:rPr>
        <w:fldChar w:fldCharType="end"/>
      </w:r>
    </w:p>
    <w:p w14:paraId="585889A2">
      <w:pPr>
        <w:pStyle w:val="19"/>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_Toc17386 </w:instrText>
      </w:r>
      <w:r>
        <w:rPr>
          <w:rFonts w:hint="eastAsia" w:ascii="宋体" w:hAnsi="宋体" w:cs="宋体"/>
          <w:color w:val="auto"/>
          <w:highlight w:val="none"/>
        </w:rPr>
        <w:fldChar w:fldCharType="separate"/>
      </w:r>
      <w:r>
        <w:rPr>
          <w:rFonts w:hint="eastAsia" w:ascii="宋体" w:hAnsi="宋体" w:cs="宋体"/>
          <w:color w:val="auto"/>
          <w:highlight w:val="none"/>
        </w:rPr>
        <w:t>六、评  标</w:t>
      </w:r>
      <w:r>
        <w:rPr>
          <w:color w:val="auto"/>
          <w:highlight w:val="none"/>
        </w:rPr>
        <w:tab/>
      </w:r>
      <w:r>
        <w:rPr>
          <w:color w:val="auto"/>
          <w:highlight w:val="none"/>
        </w:rPr>
        <w:fldChar w:fldCharType="begin"/>
      </w:r>
      <w:r>
        <w:rPr>
          <w:color w:val="auto"/>
          <w:highlight w:val="none"/>
        </w:rPr>
        <w:instrText xml:space="preserve"> PAGEREF _Toc17386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cs="宋体"/>
          <w:color w:val="auto"/>
          <w:highlight w:val="none"/>
        </w:rPr>
        <w:fldChar w:fldCharType="end"/>
      </w:r>
    </w:p>
    <w:p w14:paraId="6C0DE904">
      <w:pPr>
        <w:pStyle w:val="19"/>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_Toc12517 </w:instrText>
      </w:r>
      <w:r>
        <w:rPr>
          <w:rFonts w:hint="eastAsia" w:ascii="宋体" w:hAnsi="宋体" w:cs="宋体"/>
          <w:color w:val="auto"/>
          <w:highlight w:val="none"/>
        </w:rPr>
        <w:fldChar w:fldCharType="separate"/>
      </w:r>
      <w:r>
        <w:rPr>
          <w:rFonts w:hint="eastAsia" w:ascii="宋体" w:hAnsi="宋体" w:cs="宋体"/>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_Toc12517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cs="宋体"/>
          <w:color w:val="auto"/>
          <w:highlight w:val="none"/>
        </w:rPr>
        <w:fldChar w:fldCharType="end"/>
      </w:r>
    </w:p>
    <w:p w14:paraId="51967653">
      <w:pPr>
        <w:pStyle w:val="19"/>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_Toc17072 </w:instrText>
      </w:r>
      <w:r>
        <w:rPr>
          <w:rFonts w:hint="eastAsia" w:ascii="宋体" w:hAnsi="宋体" w:cs="宋体"/>
          <w:color w:val="auto"/>
          <w:highlight w:val="none"/>
        </w:rPr>
        <w:fldChar w:fldCharType="separate"/>
      </w:r>
      <w:r>
        <w:rPr>
          <w:rFonts w:hint="eastAsia" w:ascii="宋体" w:hAnsi="宋体" w:cs="宋体"/>
          <w:color w:val="auto"/>
          <w:highlight w:val="none"/>
        </w:rPr>
        <w:t>八、其他事项</w:t>
      </w:r>
      <w:r>
        <w:rPr>
          <w:color w:val="auto"/>
          <w:highlight w:val="none"/>
        </w:rPr>
        <w:tab/>
      </w:r>
      <w:r>
        <w:rPr>
          <w:color w:val="auto"/>
          <w:highlight w:val="none"/>
        </w:rPr>
        <w:fldChar w:fldCharType="begin"/>
      </w:r>
      <w:r>
        <w:rPr>
          <w:color w:val="auto"/>
          <w:highlight w:val="none"/>
        </w:rPr>
        <w:instrText xml:space="preserve"> PAGEREF _Toc17072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cs="宋体"/>
          <w:color w:val="auto"/>
          <w:highlight w:val="none"/>
        </w:rPr>
        <w:fldChar w:fldCharType="end"/>
      </w:r>
    </w:p>
    <w:p w14:paraId="324912D8">
      <w:pPr>
        <w:pStyle w:val="27"/>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_Toc15433 </w:instrText>
      </w:r>
      <w:r>
        <w:rPr>
          <w:rFonts w:hint="eastAsia" w:ascii="宋体" w:hAnsi="宋体" w:cs="宋体"/>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_Toc15433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highlight w:val="none"/>
        </w:rPr>
        <w:fldChar w:fldCharType="end"/>
      </w:r>
    </w:p>
    <w:p w14:paraId="67779258">
      <w:pPr>
        <w:pStyle w:val="31"/>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_Toc22273 </w:instrText>
      </w:r>
      <w:r>
        <w:rPr>
          <w:rFonts w:hint="eastAsia" w:ascii="宋体" w:hAnsi="宋体" w:cs="宋体"/>
          <w:color w:val="auto"/>
          <w:highlight w:val="none"/>
        </w:rPr>
        <w:fldChar w:fldCharType="separate"/>
      </w:r>
      <w:r>
        <w:rPr>
          <w:rFonts w:hint="eastAsia" w:ascii="宋体" w:hAnsi="宋体" w:cs="宋体"/>
          <w:color w:val="auto"/>
          <w:highlight w:val="none"/>
        </w:rPr>
        <w:t>一、评标方法</w:t>
      </w:r>
      <w:r>
        <w:rPr>
          <w:color w:val="auto"/>
          <w:highlight w:val="none"/>
        </w:rPr>
        <w:tab/>
      </w:r>
      <w:r>
        <w:rPr>
          <w:color w:val="auto"/>
          <w:highlight w:val="none"/>
        </w:rPr>
        <w:fldChar w:fldCharType="begin"/>
      </w:r>
      <w:r>
        <w:rPr>
          <w:color w:val="auto"/>
          <w:highlight w:val="none"/>
        </w:rPr>
        <w:instrText xml:space="preserve"> PAGEREF _Toc22273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highlight w:val="none"/>
        </w:rPr>
        <w:fldChar w:fldCharType="end"/>
      </w:r>
    </w:p>
    <w:p w14:paraId="527D9AD6">
      <w:pPr>
        <w:pStyle w:val="31"/>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_Toc29445 </w:instrText>
      </w:r>
      <w:r>
        <w:rPr>
          <w:rFonts w:hint="eastAsia" w:ascii="宋体" w:hAnsi="宋体" w:cs="宋体"/>
          <w:color w:val="auto"/>
          <w:highlight w:val="none"/>
        </w:rPr>
        <w:fldChar w:fldCharType="separate"/>
      </w:r>
      <w:r>
        <w:rPr>
          <w:rFonts w:hint="eastAsia" w:ascii="宋体" w:hAnsi="宋体" w:cs="宋体"/>
          <w:color w:val="auto"/>
          <w:highlight w:val="none"/>
        </w:rPr>
        <w:t>二、评标程序</w:t>
      </w:r>
      <w:r>
        <w:rPr>
          <w:color w:val="auto"/>
          <w:highlight w:val="none"/>
        </w:rPr>
        <w:tab/>
      </w:r>
      <w:r>
        <w:rPr>
          <w:color w:val="auto"/>
          <w:highlight w:val="none"/>
        </w:rPr>
        <w:fldChar w:fldCharType="begin"/>
      </w:r>
      <w:r>
        <w:rPr>
          <w:color w:val="auto"/>
          <w:highlight w:val="none"/>
        </w:rPr>
        <w:instrText xml:space="preserve"> PAGEREF _Toc29445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cs="宋体"/>
          <w:color w:val="auto"/>
          <w:highlight w:val="none"/>
        </w:rPr>
        <w:fldChar w:fldCharType="end"/>
      </w:r>
    </w:p>
    <w:p w14:paraId="435F2AE1">
      <w:pPr>
        <w:pStyle w:val="31"/>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_Toc4705 </w:instrText>
      </w:r>
      <w:r>
        <w:rPr>
          <w:rFonts w:hint="eastAsia" w:ascii="宋体" w:hAnsi="宋体" w:cs="宋体"/>
          <w:color w:val="auto"/>
          <w:highlight w:val="none"/>
        </w:rPr>
        <w:fldChar w:fldCharType="separate"/>
      </w:r>
      <w:r>
        <w:rPr>
          <w:rFonts w:hint="eastAsia" w:ascii="宋体" w:hAnsi="宋体" w:cs="宋体"/>
          <w:color w:val="auto"/>
          <w:highlight w:val="none"/>
        </w:rPr>
        <w:t>三、评标标准</w:t>
      </w:r>
      <w:r>
        <w:rPr>
          <w:color w:val="auto"/>
          <w:highlight w:val="none"/>
        </w:rPr>
        <w:tab/>
      </w:r>
      <w:r>
        <w:rPr>
          <w:color w:val="auto"/>
          <w:highlight w:val="none"/>
        </w:rPr>
        <w:fldChar w:fldCharType="begin"/>
      </w:r>
      <w:r>
        <w:rPr>
          <w:color w:val="auto"/>
          <w:highlight w:val="none"/>
        </w:rPr>
        <w:instrText xml:space="preserve"> PAGEREF _Toc4705 \h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cs="宋体"/>
          <w:color w:val="auto"/>
          <w:highlight w:val="none"/>
        </w:rPr>
        <w:fldChar w:fldCharType="end"/>
      </w:r>
    </w:p>
    <w:p w14:paraId="2894ECFB">
      <w:pPr>
        <w:pStyle w:val="31"/>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_Toc29253 </w:instrText>
      </w:r>
      <w:r>
        <w:rPr>
          <w:rFonts w:hint="eastAsia" w:ascii="宋体" w:hAnsi="宋体" w:cs="宋体"/>
          <w:color w:val="auto"/>
          <w:highlight w:val="none"/>
        </w:rPr>
        <w:fldChar w:fldCharType="separate"/>
      </w:r>
      <w:r>
        <w:rPr>
          <w:rFonts w:hint="eastAsia" w:ascii="宋体" w:hAnsi="宋体" w:cs="宋体"/>
          <w:color w:val="auto"/>
          <w:highlight w:val="none"/>
        </w:rPr>
        <w:t>评分标准（综合评分法）</w:t>
      </w:r>
      <w:r>
        <w:rPr>
          <w:color w:val="auto"/>
          <w:highlight w:val="none"/>
        </w:rPr>
        <w:tab/>
      </w:r>
      <w:r>
        <w:rPr>
          <w:color w:val="auto"/>
          <w:highlight w:val="none"/>
        </w:rPr>
        <w:fldChar w:fldCharType="begin"/>
      </w:r>
      <w:r>
        <w:rPr>
          <w:color w:val="auto"/>
          <w:highlight w:val="none"/>
        </w:rPr>
        <w:instrText xml:space="preserve"> PAGEREF _Toc29253 \h </w:instrText>
      </w:r>
      <w:r>
        <w:rPr>
          <w:color w:val="auto"/>
          <w:highlight w:val="none"/>
        </w:rPr>
        <w:fldChar w:fldCharType="separate"/>
      </w:r>
      <w:r>
        <w:rPr>
          <w:color w:val="auto"/>
          <w:highlight w:val="none"/>
        </w:rPr>
        <w:t>58</w:t>
      </w:r>
      <w:r>
        <w:rPr>
          <w:color w:val="auto"/>
          <w:highlight w:val="none"/>
        </w:rPr>
        <w:fldChar w:fldCharType="end"/>
      </w:r>
      <w:r>
        <w:rPr>
          <w:rFonts w:hint="eastAsia" w:ascii="宋体" w:hAnsi="宋体" w:cs="宋体"/>
          <w:color w:val="auto"/>
          <w:highlight w:val="none"/>
        </w:rPr>
        <w:fldChar w:fldCharType="end"/>
      </w:r>
    </w:p>
    <w:p w14:paraId="040D8C75">
      <w:pPr>
        <w:pStyle w:val="31"/>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_Toc4130 </w:instrText>
      </w:r>
      <w:r>
        <w:rPr>
          <w:rFonts w:hint="eastAsia" w:ascii="宋体" w:hAnsi="宋体" w:cs="宋体"/>
          <w:color w:val="auto"/>
          <w:highlight w:val="none"/>
        </w:rPr>
        <w:fldChar w:fldCharType="separate"/>
      </w:r>
      <w:r>
        <w:rPr>
          <w:rFonts w:hint="eastAsia" w:ascii="宋体" w:hAnsi="宋体" w:cs="宋体"/>
          <w:color w:val="auto"/>
          <w:highlight w:val="none"/>
        </w:rPr>
        <w:t>四、中标候选人推荐原则</w:t>
      </w:r>
      <w:r>
        <w:rPr>
          <w:color w:val="auto"/>
          <w:highlight w:val="none"/>
        </w:rPr>
        <w:tab/>
      </w:r>
      <w:r>
        <w:rPr>
          <w:color w:val="auto"/>
          <w:highlight w:val="none"/>
        </w:rPr>
        <w:fldChar w:fldCharType="begin"/>
      </w:r>
      <w:r>
        <w:rPr>
          <w:color w:val="auto"/>
          <w:highlight w:val="none"/>
        </w:rPr>
        <w:instrText xml:space="preserve"> PAGEREF _Toc4130 \h </w:instrText>
      </w:r>
      <w:r>
        <w:rPr>
          <w:color w:val="auto"/>
          <w:highlight w:val="none"/>
        </w:rPr>
        <w:fldChar w:fldCharType="separate"/>
      </w:r>
      <w:r>
        <w:rPr>
          <w:color w:val="auto"/>
          <w:highlight w:val="none"/>
        </w:rPr>
        <w:t>58</w:t>
      </w:r>
      <w:r>
        <w:rPr>
          <w:color w:val="auto"/>
          <w:highlight w:val="none"/>
        </w:rPr>
        <w:fldChar w:fldCharType="end"/>
      </w:r>
      <w:r>
        <w:rPr>
          <w:rFonts w:hint="eastAsia" w:ascii="宋体" w:hAnsi="宋体" w:cs="宋体"/>
          <w:color w:val="auto"/>
          <w:highlight w:val="none"/>
        </w:rPr>
        <w:fldChar w:fldCharType="end"/>
      </w:r>
    </w:p>
    <w:p w14:paraId="139490D8">
      <w:pPr>
        <w:pStyle w:val="27"/>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_Toc22428 </w:instrText>
      </w:r>
      <w:r>
        <w:rPr>
          <w:rFonts w:hint="eastAsia" w:ascii="宋体" w:hAnsi="宋体" w:cs="宋体"/>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_Toc22428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cs="宋体"/>
          <w:color w:val="auto"/>
          <w:highlight w:val="none"/>
        </w:rPr>
        <w:fldChar w:fldCharType="end"/>
      </w:r>
    </w:p>
    <w:p w14:paraId="45D9B982">
      <w:pPr>
        <w:pStyle w:val="27"/>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_Toc20718 </w:instrText>
      </w:r>
      <w:r>
        <w:rPr>
          <w:rFonts w:hint="eastAsia" w:ascii="宋体" w:hAnsi="宋体" w:cs="宋体"/>
          <w:color w:val="auto"/>
          <w:highlight w:val="none"/>
        </w:rPr>
        <w:fldChar w:fldCharType="separate"/>
      </w:r>
      <w:r>
        <w:rPr>
          <w:rFonts w:hint="eastAsia" w:ascii="宋体"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_Toc20718 \h </w:instrText>
      </w:r>
      <w:r>
        <w:rPr>
          <w:color w:val="auto"/>
          <w:highlight w:val="none"/>
        </w:rPr>
        <w:fldChar w:fldCharType="separate"/>
      </w:r>
      <w:r>
        <w:rPr>
          <w:color w:val="auto"/>
          <w:highlight w:val="none"/>
        </w:rPr>
        <w:t>79</w:t>
      </w:r>
      <w:r>
        <w:rPr>
          <w:color w:val="auto"/>
          <w:highlight w:val="none"/>
        </w:rPr>
        <w:fldChar w:fldCharType="end"/>
      </w:r>
      <w:r>
        <w:rPr>
          <w:rFonts w:hint="eastAsia" w:ascii="宋体" w:hAnsi="宋体" w:cs="宋体"/>
          <w:color w:val="auto"/>
          <w:highlight w:val="none"/>
        </w:rPr>
        <w:fldChar w:fldCharType="end"/>
      </w:r>
    </w:p>
    <w:p w14:paraId="59D704AF">
      <w:pPr>
        <w:pStyle w:val="31"/>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_Toc7400 </w:instrText>
      </w:r>
      <w:r>
        <w:rPr>
          <w:rFonts w:hint="eastAsia" w:ascii="宋体" w:hAnsi="宋体" w:cs="宋体"/>
          <w:color w:val="auto"/>
          <w:highlight w:val="none"/>
        </w:rPr>
        <w:fldChar w:fldCharType="separate"/>
      </w:r>
      <w:r>
        <w:rPr>
          <w:rFonts w:hint="eastAsia" w:ascii="宋体" w:hAnsi="宋体" w:cs="宋体"/>
          <w:color w:val="auto"/>
          <w:szCs w:val="28"/>
          <w:highlight w:val="none"/>
        </w:rPr>
        <w:t>一、报价文件格式</w:t>
      </w:r>
      <w:r>
        <w:rPr>
          <w:color w:val="auto"/>
          <w:highlight w:val="none"/>
        </w:rPr>
        <w:tab/>
      </w:r>
      <w:r>
        <w:rPr>
          <w:color w:val="auto"/>
          <w:highlight w:val="none"/>
        </w:rPr>
        <w:fldChar w:fldCharType="begin"/>
      </w:r>
      <w:r>
        <w:rPr>
          <w:color w:val="auto"/>
          <w:highlight w:val="none"/>
        </w:rPr>
        <w:instrText xml:space="preserve"> PAGEREF _Toc7400 \h </w:instrText>
      </w:r>
      <w:r>
        <w:rPr>
          <w:color w:val="auto"/>
          <w:highlight w:val="none"/>
        </w:rPr>
        <w:fldChar w:fldCharType="separate"/>
      </w:r>
      <w:r>
        <w:rPr>
          <w:color w:val="auto"/>
          <w:highlight w:val="none"/>
        </w:rPr>
        <w:t>80</w:t>
      </w:r>
      <w:r>
        <w:rPr>
          <w:color w:val="auto"/>
          <w:highlight w:val="none"/>
        </w:rPr>
        <w:fldChar w:fldCharType="end"/>
      </w:r>
      <w:r>
        <w:rPr>
          <w:rFonts w:hint="eastAsia" w:ascii="宋体" w:hAnsi="宋体" w:cs="宋体"/>
          <w:color w:val="auto"/>
          <w:highlight w:val="none"/>
        </w:rPr>
        <w:fldChar w:fldCharType="end"/>
      </w:r>
    </w:p>
    <w:p w14:paraId="2A4C4A5A">
      <w:pPr>
        <w:pStyle w:val="31"/>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_Toc23452 </w:instrText>
      </w:r>
      <w:r>
        <w:rPr>
          <w:rFonts w:hint="eastAsia" w:ascii="宋体" w:hAnsi="宋体" w:cs="宋体"/>
          <w:color w:val="auto"/>
          <w:highlight w:val="none"/>
        </w:rPr>
        <w:fldChar w:fldCharType="separate"/>
      </w:r>
      <w:r>
        <w:rPr>
          <w:rFonts w:hint="eastAsia"/>
          <w:color w:val="auto"/>
          <w:highlight w:val="none"/>
        </w:rPr>
        <w:t>二、资格证明文件格式</w:t>
      </w:r>
      <w:r>
        <w:rPr>
          <w:color w:val="auto"/>
          <w:highlight w:val="none"/>
        </w:rPr>
        <w:tab/>
      </w:r>
      <w:r>
        <w:rPr>
          <w:color w:val="auto"/>
          <w:highlight w:val="none"/>
        </w:rPr>
        <w:fldChar w:fldCharType="begin"/>
      </w:r>
      <w:r>
        <w:rPr>
          <w:color w:val="auto"/>
          <w:highlight w:val="none"/>
        </w:rPr>
        <w:instrText xml:space="preserve"> PAGEREF _Toc23452 \h </w:instrText>
      </w:r>
      <w:r>
        <w:rPr>
          <w:color w:val="auto"/>
          <w:highlight w:val="none"/>
        </w:rPr>
        <w:fldChar w:fldCharType="separate"/>
      </w:r>
      <w:r>
        <w:rPr>
          <w:color w:val="auto"/>
          <w:highlight w:val="none"/>
        </w:rPr>
        <w:t>86</w:t>
      </w:r>
      <w:r>
        <w:rPr>
          <w:color w:val="auto"/>
          <w:highlight w:val="none"/>
        </w:rPr>
        <w:fldChar w:fldCharType="end"/>
      </w:r>
      <w:r>
        <w:rPr>
          <w:rFonts w:hint="eastAsia" w:ascii="宋体" w:hAnsi="宋体" w:cs="宋体"/>
          <w:color w:val="auto"/>
          <w:highlight w:val="none"/>
        </w:rPr>
        <w:fldChar w:fldCharType="end"/>
      </w:r>
    </w:p>
    <w:p w14:paraId="2AD8090D">
      <w:pPr>
        <w:pStyle w:val="31"/>
        <w:tabs>
          <w:tab w:val="right" w:leader="dot" w:pos="9242"/>
        </w:tabs>
        <w:spacing w:line="400" w:lineRule="exact"/>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_Toc6222 </w:instrText>
      </w:r>
      <w:r>
        <w:rPr>
          <w:rFonts w:hint="eastAsia" w:ascii="宋体" w:hAnsi="宋体" w:cs="宋体"/>
          <w:color w:val="auto"/>
          <w:highlight w:val="none"/>
        </w:rPr>
        <w:fldChar w:fldCharType="separate"/>
      </w:r>
      <w:r>
        <w:rPr>
          <w:rFonts w:hint="eastAsia" w:ascii="宋体" w:hAnsi="宋体" w:cs="宋体"/>
          <w:color w:val="auto"/>
          <w:szCs w:val="28"/>
          <w:highlight w:val="none"/>
        </w:rPr>
        <w:t>三、商务及技术文件格式</w:t>
      </w:r>
      <w:r>
        <w:rPr>
          <w:color w:val="auto"/>
          <w:highlight w:val="none"/>
        </w:rPr>
        <w:tab/>
      </w:r>
      <w:r>
        <w:rPr>
          <w:color w:val="auto"/>
          <w:highlight w:val="none"/>
        </w:rPr>
        <w:fldChar w:fldCharType="begin"/>
      </w:r>
      <w:r>
        <w:rPr>
          <w:color w:val="auto"/>
          <w:highlight w:val="none"/>
        </w:rPr>
        <w:instrText xml:space="preserve"> PAGEREF _Toc6222 \h </w:instrText>
      </w:r>
      <w:r>
        <w:rPr>
          <w:color w:val="auto"/>
          <w:highlight w:val="none"/>
        </w:rPr>
        <w:fldChar w:fldCharType="separate"/>
      </w:r>
      <w:r>
        <w:rPr>
          <w:color w:val="auto"/>
          <w:highlight w:val="none"/>
        </w:rPr>
        <w:t>91</w:t>
      </w:r>
      <w:r>
        <w:rPr>
          <w:color w:val="auto"/>
          <w:highlight w:val="none"/>
        </w:rPr>
        <w:fldChar w:fldCharType="end"/>
      </w:r>
      <w:r>
        <w:rPr>
          <w:rFonts w:hint="eastAsia" w:ascii="宋体" w:hAnsi="宋体" w:cs="宋体"/>
          <w:color w:val="auto"/>
          <w:highlight w:val="none"/>
        </w:rPr>
        <w:fldChar w:fldCharType="end"/>
      </w:r>
    </w:p>
    <w:p w14:paraId="09A00265">
      <w:pPr>
        <w:tabs>
          <w:tab w:val="right" w:leader="dot" w:pos="8789"/>
        </w:tabs>
        <w:snapToGrid w:val="0"/>
        <w:spacing w:line="400" w:lineRule="exact"/>
        <w:rPr>
          <w:rFonts w:hint="eastAsia" w:ascii="宋体" w:hAnsi="宋体" w:cs="宋体"/>
          <w:color w:val="auto"/>
          <w:sz w:val="30"/>
          <w:highlight w:val="none"/>
        </w:rPr>
      </w:pPr>
      <w:r>
        <w:rPr>
          <w:rFonts w:hint="eastAsia" w:ascii="宋体" w:hAnsi="宋体" w:cs="宋体"/>
          <w:color w:val="auto"/>
          <w:highlight w:val="none"/>
        </w:rPr>
        <w:fldChar w:fldCharType="end"/>
      </w:r>
      <w:bookmarkEnd w:id="5"/>
    </w:p>
    <w:bookmarkEnd w:id="6"/>
    <w:p w14:paraId="2197C776">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sectPr>
          <w:footerReference r:id="rId7" w:type="default"/>
          <w:pgSz w:w="11906" w:h="16838"/>
          <w:pgMar w:top="1440" w:right="1800" w:bottom="1440" w:left="1800" w:header="851" w:footer="992" w:gutter="0"/>
          <w:pgNumType w:fmt="decimal" w:start="1"/>
          <w:cols w:space="720" w:num="1"/>
          <w:docGrid w:type="lines" w:linePitch="312" w:charSpace="0"/>
        </w:sectPr>
      </w:pPr>
      <w:bookmarkStart w:id="7" w:name="_Toc254970630"/>
      <w:bookmarkStart w:id="8" w:name="_Toc254970489"/>
      <w:bookmarkStart w:id="9" w:name="_Toc16993"/>
      <w:bookmarkStart w:id="10" w:name="_Toc21030"/>
      <w:bookmarkStart w:id="11" w:name="_Toc5452"/>
    </w:p>
    <w:p w14:paraId="78B8CE3C">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pPr>
      <w:r>
        <w:rPr>
          <w:rFonts w:hint="eastAsia" w:ascii="宋体" w:hAnsi="宋体" w:cs="宋体"/>
          <w:color w:val="auto"/>
          <w:highlight w:val="none"/>
        </w:rPr>
        <w:t>第一章</w:t>
      </w:r>
      <w:bookmarkEnd w:id="7"/>
      <w:bookmarkEnd w:id="8"/>
      <w:bookmarkStart w:id="12" w:name="_Toc35393789"/>
      <w:bookmarkStart w:id="13" w:name="_Toc28359001"/>
      <w:r>
        <w:rPr>
          <w:rFonts w:hint="eastAsia" w:ascii="宋体" w:hAnsi="宋体" w:cs="宋体"/>
          <w:color w:val="auto"/>
          <w:highlight w:val="none"/>
        </w:rPr>
        <w:t xml:space="preserve">  招标公告</w:t>
      </w:r>
      <w:bookmarkEnd w:id="9"/>
      <w:bookmarkEnd w:id="10"/>
      <w:bookmarkEnd w:id="11"/>
      <w:bookmarkEnd w:id="12"/>
      <w:bookmarkEnd w:id="13"/>
    </w:p>
    <w:p w14:paraId="043534C3">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s="宋体"/>
          <w:color w:val="auto"/>
          <w:sz w:val="24"/>
          <w:highlight w:val="none"/>
        </w:rPr>
      </w:pPr>
      <w:r>
        <w:rPr>
          <w:rFonts w:hint="eastAsia" w:ascii="宋体" w:hAnsi="宋体" w:cs="宋体"/>
          <w:b/>
          <w:bCs/>
          <w:color w:val="auto"/>
          <w:sz w:val="24"/>
          <w:highlight w:val="none"/>
          <w:lang w:eastAsia="zh-CN"/>
        </w:rPr>
        <w:t>广西建设工程机电设备招标中心有限公司</w:t>
      </w:r>
      <w:r>
        <w:rPr>
          <w:rFonts w:hint="eastAsia" w:ascii="宋体" w:hAnsi="宋体" w:cs="宋体"/>
          <w:b/>
          <w:bCs/>
          <w:color w:val="auto"/>
          <w:sz w:val="24"/>
          <w:highlight w:val="none"/>
        </w:rPr>
        <w:t>关于</w:t>
      </w:r>
      <w:r>
        <w:rPr>
          <w:rFonts w:hint="eastAsia" w:ascii="宋体" w:hAnsi="宋体" w:cs="宋体"/>
          <w:b/>
          <w:color w:val="auto"/>
          <w:sz w:val="24"/>
          <w:highlight w:val="none"/>
          <w:lang w:eastAsia="zh-CN"/>
        </w:rPr>
        <w:t>2026年农产品检测项目采购</w:t>
      </w:r>
      <w:r>
        <w:rPr>
          <w:rFonts w:hint="eastAsia" w:ascii="宋体" w:hAnsi="宋体" w:cs="宋体"/>
          <w:b/>
          <w:bCs/>
          <w:color w:val="auto"/>
          <w:sz w:val="24"/>
          <w:highlight w:val="none"/>
        </w:rPr>
        <w:t>(项目编号：</w:t>
      </w:r>
      <w:r>
        <w:rPr>
          <w:rFonts w:hint="eastAsia" w:ascii="宋体" w:hAnsi="宋体" w:cs="宋体"/>
          <w:b/>
          <w:bCs/>
          <w:color w:val="auto"/>
          <w:sz w:val="24"/>
          <w:highlight w:val="none"/>
          <w:lang w:eastAsia="zh-CN"/>
        </w:rPr>
        <w:t>GXZC2026-G3-002256-JGJD</w:t>
      </w:r>
      <w:r>
        <w:rPr>
          <w:rFonts w:hint="eastAsia" w:ascii="宋体" w:hAnsi="宋体" w:cs="宋体"/>
          <w:b/>
          <w:bCs/>
          <w:color w:val="auto"/>
          <w:sz w:val="24"/>
          <w:highlight w:val="none"/>
        </w:rPr>
        <w:t>)公开招标公告</w:t>
      </w:r>
    </w:p>
    <w:p w14:paraId="248F3A94">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项目概况</w:t>
      </w:r>
      <w:r>
        <w:rPr>
          <w:rFonts w:hint="eastAsia" w:ascii="宋体" w:hAnsi="宋体" w:cs="宋体"/>
          <w:color w:val="auto"/>
          <w:szCs w:val="21"/>
          <w:highlight w:val="none"/>
          <w:lang w:val="en-US" w:eastAsia="zh-CN"/>
        </w:rPr>
        <w:tab/>
      </w:r>
    </w:p>
    <w:p w14:paraId="08722EB2">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u w:val="single"/>
          <w:lang w:eastAsia="zh-CN"/>
        </w:rPr>
        <w:t>2026年农产品检测项目采购</w:t>
      </w:r>
      <w:r>
        <w:rPr>
          <w:rFonts w:hint="eastAsia" w:ascii="宋体" w:hAnsi="宋体" w:cs="宋体"/>
          <w:color w:val="auto"/>
          <w:szCs w:val="21"/>
          <w:highlight w:val="none"/>
        </w:rPr>
        <w:t>招标项目的潜在投标人应在广西政府采购云平台（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）获取招标文件，并于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10</w:t>
      </w:r>
      <w:r>
        <w:rPr>
          <w:rFonts w:hint="eastAsia" w:ascii="宋体" w:hAnsi="宋体" w:cs="宋体"/>
          <w:bCs/>
          <w:color w:val="auto"/>
          <w:szCs w:val="21"/>
          <w:highlight w:val="none"/>
          <w:u w:val="single"/>
        </w:rPr>
        <w:t>日9时30分（</w:t>
      </w:r>
      <w:r>
        <w:rPr>
          <w:rFonts w:hint="eastAsia" w:ascii="宋体" w:hAnsi="宋体" w:cs="宋体"/>
          <w:bCs/>
          <w:color w:val="auto"/>
          <w:szCs w:val="21"/>
          <w:highlight w:val="none"/>
        </w:rPr>
        <w:t>北京时间）前递交投标文件</w:t>
      </w:r>
      <w:r>
        <w:rPr>
          <w:rFonts w:hint="eastAsia" w:ascii="宋体" w:hAnsi="宋体" w:cs="宋体"/>
          <w:color w:val="auto"/>
          <w:szCs w:val="21"/>
          <w:highlight w:val="none"/>
        </w:rPr>
        <w:t>。</w:t>
      </w:r>
    </w:p>
    <w:p w14:paraId="43486C4D">
      <w:pPr>
        <w:keepNext w:val="0"/>
        <w:keepLines w:val="0"/>
        <w:pageBreakBefore w:val="0"/>
        <w:kinsoku/>
        <w:overflowPunct/>
        <w:topLinePunct w:val="0"/>
        <w:autoSpaceDE/>
        <w:autoSpaceDN/>
        <w:bidi w:val="0"/>
        <w:adjustRightInd/>
        <w:spacing w:line="400" w:lineRule="exact"/>
        <w:textAlignment w:val="auto"/>
        <w:rPr>
          <w:rFonts w:hint="eastAsia" w:ascii="宋体" w:hAnsi="宋体" w:cs="宋体"/>
          <w:b/>
          <w:bCs/>
          <w:color w:val="auto"/>
          <w:sz w:val="24"/>
          <w:highlight w:val="none"/>
        </w:rPr>
      </w:pPr>
      <w:bookmarkStart w:id="14" w:name="_Toc35393621"/>
      <w:bookmarkStart w:id="15" w:name="_Toc28359002"/>
      <w:bookmarkStart w:id="16" w:name="_Toc35393790"/>
      <w:bookmarkStart w:id="17" w:name="_Toc28359079"/>
      <w:bookmarkStart w:id="18" w:name="_Hlk24379207"/>
      <w:r>
        <w:rPr>
          <w:rFonts w:hint="eastAsia" w:ascii="宋体" w:hAnsi="宋体" w:cs="宋体"/>
          <w:b/>
          <w:bCs/>
          <w:color w:val="auto"/>
          <w:sz w:val="24"/>
          <w:highlight w:val="none"/>
        </w:rPr>
        <w:t>一、项目基本情况</w:t>
      </w:r>
      <w:bookmarkEnd w:id="14"/>
      <w:bookmarkEnd w:id="15"/>
      <w:bookmarkEnd w:id="16"/>
      <w:bookmarkEnd w:id="17"/>
    </w:p>
    <w:bookmarkEnd w:id="18"/>
    <w:p w14:paraId="35AD028A">
      <w:pPr>
        <w:keepNext w:val="0"/>
        <w:keepLines w:val="0"/>
        <w:pageBreakBefore w:val="0"/>
        <w:kinsoku/>
        <w:overflowPunct/>
        <w:topLinePunct w:val="0"/>
        <w:autoSpaceDE/>
        <w:autoSpaceDN/>
        <w:bidi w:val="0"/>
        <w:adjustRightInd/>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val="en-US" w:eastAsia="zh-CN"/>
        </w:rPr>
        <w:t>GXZC2026-G3-002256-JGJD（采购计划：广西政采[2026]15002号）</w:t>
      </w:r>
    </w:p>
    <w:p w14:paraId="2FCC98A0">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2026年农产品检测项目采购</w:t>
      </w:r>
    </w:p>
    <w:p w14:paraId="417E17BC">
      <w:pPr>
        <w:keepNext w:val="0"/>
        <w:keepLines w:val="0"/>
        <w:pageBreakBefore w:val="0"/>
        <w:kinsoku/>
        <w:overflowPunct/>
        <w:topLinePunct w:val="0"/>
        <w:autoSpaceDE/>
        <w:autoSpaceDN/>
        <w:bidi w:val="0"/>
        <w:adjustRightInd/>
        <w:spacing w:line="40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rPr>
        <w:t>预算总金额（</w:t>
      </w:r>
      <w:r>
        <w:rPr>
          <w:rFonts w:hint="eastAsia" w:ascii="宋体" w:hAnsi="宋体" w:cs="宋体"/>
          <w:color w:val="auto"/>
          <w:szCs w:val="21"/>
          <w:highlight w:val="none"/>
          <w:lang w:val="en-US" w:eastAsia="zh-CN"/>
        </w:rPr>
        <w:t>万</w:t>
      </w:r>
      <w:r>
        <w:rPr>
          <w:rFonts w:hint="eastAsia" w:ascii="宋体" w:hAnsi="宋体" w:cs="宋体"/>
          <w:color w:val="auto"/>
          <w:szCs w:val="21"/>
          <w:highlight w:val="none"/>
        </w:rPr>
        <w:t>元）：</w:t>
      </w:r>
      <w:r>
        <w:rPr>
          <w:rFonts w:hint="eastAsia" w:ascii="宋体" w:hAnsi="宋体" w:cs="宋体"/>
          <w:color w:val="auto"/>
          <w:szCs w:val="21"/>
          <w:highlight w:val="none"/>
          <w:lang w:val="en-US" w:eastAsia="zh-CN"/>
        </w:rPr>
        <w:t>903.00</w:t>
      </w:r>
      <w:r>
        <w:rPr>
          <w:rFonts w:hint="eastAsia" w:ascii="宋体" w:hAnsi="宋体"/>
          <w:color w:val="auto"/>
          <w:szCs w:val="21"/>
          <w:highlight w:val="none"/>
        </w:rPr>
        <w:t>（其中分标1：</w:t>
      </w:r>
      <w:r>
        <w:rPr>
          <w:rFonts w:hint="eastAsia" w:ascii="宋体" w:hAnsi="宋体"/>
          <w:color w:val="auto"/>
          <w:szCs w:val="21"/>
          <w:highlight w:val="none"/>
          <w:lang w:val="en-US" w:eastAsia="zh-CN"/>
        </w:rPr>
        <w:t>170.00万元</w:t>
      </w:r>
      <w:r>
        <w:rPr>
          <w:rFonts w:hint="eastAsia" w:ascii="宋体" w:hAnsi="宋体"/>
          <w:color w:val="auto"/>
          <w:szCs w:val="21"/>
          <w:highlight w:val="none"/>
        </w:rPr>
        <w:t>；分标2：</w:t>
      </w:r>
      <w:r>
        <w:rPr>
          <w:rFonts w:hint="eastAsia" w:ascii="宋体" w:hAnsi="宋体"/>
          <w:color w:val="auto"/>
          <w:szCs w:val="21"/>
          <w:highlight w:val="none"/>
          <w:lang w:val="en-US" w:eastAsia="zh-CN"/>
        </w:rPr>
        <w:t>170.00万元</w:t>
      </w:r>
      <w:r>
        <w:rPr>
          <w:rFonts w:hint="eastAsia" w:ascii="宋体" w:hAnsi="宋体"/>
          <w:color w:val="auto"/>
          <w:szCs w:val="21"/>
          <w:highlight w:val="none"/>
        </w:rPr>
        <w:t>；分标3：</w:t>
      </w:r>
      <w:r>
        <w:rPr>
          <w:rFonts w:hint="eastAsia" w:ascii="宋体" w:hAnsi="宋体"/>
          <w:color w:val="auto"/>
          <w:szCs w:val="21"/>
          <w:highlight w:val="none"/>
          <w:lang w:val="en-US" w:eastAsia="zh-CN"/>
        </w:rPr>
        <w:t xml:space="preserve"> 170.00万元</w:t>
      </w:r>
      <w:r>
        <w:rPr>
          <w:rFonts w:hint="eastAsia" w:ascii="宋体" w:hAnsi="宋体"/>
          <w:color w:val="auto"/>
          <w:szCs w:val="21"/>
          <w:highlight w:val="none"/>
        </w:rPr>
        <w:t>；分标4：</w:t>
      </w:r>
      <w:r>
        <w:rPr>
          <w:rFonts w:hint="eastAsia" w:ascii="宋体" w:hAnsi="宋体"/>
          <w:color w:val="auto"/>
          <w:szCs w:val="21"/>
          <w:highlight w:val="none"/>
          <w:lang w:val="en-US" w:eastAsia="zh-CN"/>
        </w:rPr>
        <w:t>170.00万元</w:t>
      </w:r>
      <w:r>
        <w:rPr>
          <w:rFonts w:hint="eastAsia" w:ascii="宋体" w:hAnsi="宋体"/>
          <w:color w:val="auto"/>
          <w:szCs w:val="21"/>
          <w:highlight w:val="none"/>
          <w:lang w:eastAsia="zh-CN"/>
        </w:rPr>
        <w:t>；</w:t>
      </w:r>
      <w:r>
        <w:rPr>
          <w:rFonts w:hint="eastAsia" w:ascii="宋体" w:hAnsi="宋体"/>
          <w:color w:val="auto"/>
          <w:szCs w:val="21"/>
          <w:highlight w:val="none"/>
        </w:rPr>
        <w:t>分标</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val="en-US" w:eastAsia="zh-CN"/>
        </w:rPr>
        <w:t>170.00万元</w:t>
      </w:r>
      <w:r>
        <w:rPr>
          <w:rFonts w:hint="eastAsia" w:ascii="宋体" w:hAnsi="宋体"/>
          <w:color w:val="auto"/>
          <w:szCs w:val="21"/>
          <w:highlight w:val="none"/>
          <w:lang w:eastAsia="zh-CN"/>
        </w:rPr>
        <w:t>；</w:t>
      </w:r>
      <w:r>
        <w:rPr>
          <w:rFonts w:hint="eastAsia" w:ascii="宋体" w:hAnsi="宋体"/>
          <w:color w:val="auto"/>
          <w:szCs w:val="21"/>
          <w:highlight w:val="none"/>
        </w:rPr>
        <w:t>分标</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53.00</w:t>
      </w:r>
      <w:r>
        <w:rPr>
          <w:rFonts w:hint="eastAsia" w:ascii="宋体" w:hAnsi="宋体"/>
          <w:color w:val="auto"/>
          <w:szCs w:val="21"/>
          <w:highlight w:val="none"/>
        </w:rPr>
        <w:t>万元）</w:t>
      </w:r>
    </w:p>
    <w:p w14:paraId="08DAE890">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采购需求：</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631"/>
        <w:gridCol w:w="1140"/>
        <w:gridCol w:w="4925"/>
      </w:tblGrid>
      <w:tr w14:paraId="34BB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1" w:type="dxa"/>
            <w:noWrap w:val="0"/>
            <w:vAlign w:val="center"/>
          </w:tcPr>
          <w:p w14:paraId="026B9CBF">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分标</w:t>
            </w:r>
          </w:p>
        </w:tc>
        <w:tc>
          <w:tcPr>
            <w:tcW w:w="1819" w:type="dxa"/>
            <w:noWrap w:val="0"/>
            <w:vAlign w:val="center"/>
          </w:tcPr>
          <w:p w14:paraId="7F0934B6">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标的名称</w:t>
            </w:r>
          </w:p>
        </w:tc>
        <w:tc>
          <w:tcPr>
            <w:tcW w:w="1275" w:type="dxa"/>
            <w:noWrap w:val="0"/>
            <w:vAlign w:val="center"/>
          </w:tcPr>
          <w:p w14:paraId="1D18C136">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单位及数量</w:t>
            </w:r>
          </w:p>
        </w:tc>
        <w:tc>
          <w:tcPr>
            <w:tcW w:w="5694" w:type="dxa"/>
            <w:noWrap w:val="0"/>
            <w:vAlign w:val="center"/>
          </w:tcPr>
          <w:p w14:paraId="2FEEEAB0">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采购需求</w:t>
            </w:r>
          </w:p>
        </w:tc>
      </w:tr>
      <w:tr w14:paraId="4FEF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1" w:type="dxa"/>
            <w:noWrap w:val="0"/>
            <w:vAlign w:val="center"/>
          </w:tcPr>
          <w:p w14:paraId="67CD21AF">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分标1</w:t>
            </w:r>
          </w:p>
        </w:tc>
        <w:tc>
          <w:tcPr>
            <w:tcW w:w="1819" w:type="dxa"/>
            <w:noWrap w:val="0"/>
            <w:vAlign w:val="center"/>
          </w:tcPr>
          <w:p w14:paraId="597B21F6">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s="仿宋_GB2312"/>
                <w:color w:val="auto"/>
                <w:szCs w:val="21"/>
                <w:highlight w:val="none"/>
                <w:lang w:eastAsia="zh-CN"/>
              </w:rPr>
              <w:t>2026年农产品检测项目采购</w:t>
            </w:r>
            <w:r>
              <w:rPr>
                <w:rFonts w:hint="eastAsia" w:ascii="宋体" w:hAnsi="宋体" w:cs="仿宋_GB2312"/>
                <w:color w:val="auto"/>
                <w:szCs w:val="21"/>
                <w:highlight w:val="none"/>
              </w:rPr>
              <w:t>（</w:t>
            </w:r>
            <w:r>
              <w:rPr>
                <w:rFonts w:hint="eastAsia" w:ascii="宋体" w:hAnsi="宋体" w:cs="仿宋_GB2312"/>
                <w:color w:val="auto"/>
                <w:szCs w:val="21"/>
                <w:highlight w:val="none"/>
                <w:lang w:val="en-US" w:eastAsia="zh-CN"/>
              </w:rPr>
              <w:t>种植业一</w:t>
            </w:r>
            <w:r>
              <w:rPr>
                <w:rFonts w:hint="eastAsia" w:ascii="宋体" w:hAnsi="宋体" w:cs="仿宋_GB2312"/>
                <w:color w:val="auto"/>
                <w:szCs w:val="21"/>
                <w:highlight w:val="none"/>
              </w:rPr>
              <w:t>）</w:t>
            </w:r>
          </w:p>
        </w:tc>
        <w:tc>
          <w:tcPr>
            <w:tcW w:w="1275" w:type="dxa"/>
            <w:noWrap w:val="0"/>
            <w:vAlign w:val="center"/>
          </w:tcPr>
          <w:p w14:paraId="676DC120">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1批</w:t>
            </w:r>
          </w:p>
        </w:tc>
        <w:tc>
          <w:tcPr>
            <w:tcW w:w="5694" w:type="dxa"/>
            <w:noWrap w:val="0"/>
            <w:vAlign w:val="center"/>
          </w:tcPr>
          <w:p w14:paraId="3D4E24CD">
            <w:pPr>
              <w:keepNext w:val="0"/>
              <w:keepLines w:val="0"/>
              <w:pageBreakBefore w:val="0"/>
              <w:kinsoku/>
              <w:overflowPunct/>
              <w:topLinePunct w:val="0"/>
              <w:autoSpaceDE/>
              <w:autoSpaceDN/>
              <w:bidi w:val="0"/>
              <w:adjustRightInd/>
              <w:spacing w:line="400" w:lineRule="exact"/>
              <w:textAlignment w:val="auto"/>
              <w:rPr>
                <w:rFonts w:hint="eastAsia" w:ascii="宋体" w:hAnsi="宋体"/>
                <w:color w:val="auto"/>
                <w:szCs w:val="21"/>
                <w:highlight w:val="none"/>
              </w:rPr>
            </w:pPr>
            <w:r>
              <w:rPr>
                <w:rFonts w:hint="eastAsia" w:ascii="宋体" w:hAnsi="宋体"/>
                <w:color w:val="auto"/>
                <w:szCs w:val="21"/>
                <w:highlight w:val="none"/>
                <w:lang w:val="en-US" w:eastAsia="zh-CN"/>
              </w:rPr>
              <w:t>开展种植业产品胶体金速测服务≥2万批次。中标人须按采购人要求到南宁、崇左等指定区域内针对豇豆、甘薯、香蕉、芒果、柑橘类、火龙果等种植业重点品种开展上市前胶体金速测，并提供配套技术培训与支撑，确保达成速测技术推广服务目标。具体内容详见招标文件第二章《采购需求》。</w:t>
            </w:r>
          </w:p>
        </w:tc>
      </w:tr>
      <w:tr w14:paraId="10CE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1" w:type="dxa"/>
            <w:noWrap w:val="0"/>
            <w:vAlign w:val="center"/>
          </w:tcPr>
          <w:p w14:paraId="2E98ADA5">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分标2</w:t>
            </w:r>
          </w:p>
        </w:tc>
        <w:tc>
          <w:tcPr>
            <w:tcW w:w="1819" w:type="dxa"/>
            <w:noWrap w:val="0"/>
            <w:vAlign w:val="center"/>
          </w:tcPr>
          <w:p w14:paraId="4B1B20FA">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s="仿宋_GB2312"/>
                <w:color w:val="auto"/>
                <w:szCs w:val="21"/>
                <w:highlight w:val="none"/>
                <w:lang w:eastAsia="zh-CN"/>
              </w:rPr>
              <w:t>2026年农产品检测项目采购</w:t>
            </w:r>
            <w:r>
              <w:rPr>
                <w:rFonts w:hint="eastAsia" w:ascii="宋体" w:hAnsi="宋体" w:cs="仿宋_GB2312"/>
                <w:color w:val="auto"/>
                <w:szCs w:val="21"/>
                <w:highlight w:val="none"/>
              </w:rPr>
              <w:t>（</w:t>
            </w:r>
            <w:r>
              <w:rPr>
                <w:rFonts w:hint="eastAsia" w:ascii="宋体" w:hAnsi="宋体" w:cs="仿宋_GB2312"/>
                <w:color w:val="auto"/>
                <w:szCs w:val="21"/>
                <w:highlight w:val="none"/>
                <w:lang w:val="en-US" w:eastAsia="zh-CN"/>
              </w:rPr>
              <w:t>种植业二</w:t>
            </w:r>
            <w:r>
              <w:rPr>
                <w:rFonts w:hint="eastAsia" w:ascii="宋体" w:hAnsi="宋体" w:cs="仿宋_GB2312"/>
                <w:color w:val="auto"/>
                <w:szCs w:val="21"/>
                <w:highlight w:val="none"/>
              </w:rPr>
              <w:t>）</w:t>
            </w:r>
          </w:p>
        </w:tc>
        <w:tc>
          <w:tcPr>
            <w:tcW w:w="1275" w:type="dxa"/>
            <w:noWrap w:val="0"/>
            <w:vAlign w:val="center"/>
          </w:tcPr>
          <w:p w14:paraId="2F1E6DBB">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1批</w:t>
            </w:r>
          </w:p>
        </w:tc>
        <w:tc>
          <w:tcPr>
            <w:tcW w:w="5694" w:type="dxa"/>
            <w:noWrap w:val="0"/>
            <w:vAlign w:val="center"/>
          </w:tcPr>
          <w:p w14:paraId="08EF61A0">
            <w:pPr>
              <w:keepNext w:val="0"/>
              <w:keepLines w:val="0"/>
              <w:pageBreakBefore w:val="0"/>
              <w:kinsoku/>
              <w:overflowPunct/>
              <w:topLinePunct w:val="0"/>
              <w:autoSpaceDE/>
              <w:autoSpaceDN/>
              <w:bidi w:val="0"/>
              <w:adjustRightInd/>
              <w:spacing w:line="400" w:lineRule="exact"/>
              <w:textAlignment w:val="auto"/>
              <w:rPr>
                <w:rFonts w:hint="eastAsia" w:ascii="宋体" w:hAnsi="宋体"/>
                <w:color w:val="auto"/>
                <w:szCs w:val="21"/>
                <w:highlight w:val="none"/>
              </w:rPr>
            </w:pPr>
            <w:r>
              <w:rPr>
                <w:rFonts w:hint="eastAsia" w:ascii="宋体" w:hAnsi="宋体"/>
                <w:color w:val="auto"/>
                <w:szCs w:val="21"/>
                <w:highlight w:val="none"/>
                <w:lang w:val="en-US" w:eastAsia="zh-CN"/>
              </w:rPr>
              <w:t>开展种植业产品胶体金速测服务≥2万批次。中标人须按采购人要求到防城港、钦州、北海等指定区域内针对豇豆、甘薯、香蕉、芒果、柑橘类、火龙果等种植业重点品种开展上市前胶体金速测，并提供配套技术培训与支撑，确保达成速测技术推广服务目标。具体内容详见招标文件第二章《采购需求》。</w:t>
            </w:r>
          </w:p>
        </w:tc>
      </w:tr>
      <w:tr w14:paraId="46D9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1" w:type="dxa"/>
            <w:noWrap w:val="0"/>
            <w:vAlign w:val="center"/>
          </w:tcPr>
          <w:p w14:paraId="33D62C42">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分标3</w:t>
            </w:r>
          </w:p>
        </w:tc>
        <w:tc>
          <w:tcPr>
            <w:tcW w:w="1819" w:type="dxa"/>
            <w:noWrap w:val="0"/>
            <w:vAlign w:val="center"/>
          </w:tcPr>
          <w:p w14:paraId="4DC90657">
            <w:pPr>
              <w:keepNext w:val="0"/>
              <w:keepLines w:val="0"/>
              <w:widowControl/>
              <w:suppressLineNumbers w:val="0"/>
              <w:spacing w:line="400" w:lineRule="exact"/>
              <w:jc w:val="center"/>
              <w:rPr>
                <w:rFonts w:hint="eastAsia" w:ascii="宋体" w:hAnsi="宋体"/>
                <w:color w:val="auto"/>
                <w:szCs w:val="21"/>
                <w:highlight w:val="none"/>
              </w:rPr>
            </w:pPr>
            <w:bookmarkStart w:id="19" w:name="OLE_LINK174"/>
            <w:bookmarkStart w:id="20" w:name="OLE_LINK160"/>
            <w:r>
              <w:rPr>
                <w:rFonts w:hint="eastAsia" w:ascii="宋体" w:hAnsi="宋体" w:cs="仿宋_GB2312"/>
                <w:color w:val="auto"/>
                <w:szCs w:val="21"/>
                <w:highlight w:val="none"/>
                <w:lang w:eastAsia="zh-CN"/>
              </w:rPr>
              <w:t>2026年农产品检测项目采购（</w:t>
            </w:r>
            <w:r>
              <w:rPr>
                <w:rFonts w:hint="eastAsia" w:ascii="宋体" w:hAnsi="宋体" w:cs="仿宋_GB2312"/>
                <w:color w:val="auto"/>
                <w:szCs w:val="21"/>
                <w:highlight w:val="none"/>
                <w:lang w:val="en-US" w:eastAsia="zh-CN"/>
              </w:rPr>
              <w:t>种植业三</w:t>
            </w:r>
            <w:r>
              <w:rPr>
                <w:rFonts w:hint="eastAsia" w:ascii="宋体" w:hAnsi="宋体" w:cs="仿宋_GB2312"/>
                <w:color w:val="auto"/>
                <w:szCs w:val="21"/>
                <w:highlight w:val="none"/>
                <w:lang w:eastAsia="zh-CN"/>
              </w:rPr>
              <w:t>）</w:t>
            </w:r>
            <w:bookmarkEnd w:id="19"/>
            <w:bookmarkEnd w:id="20"/>
          </w:p>
        </w:tc>
        <w:tc>
          <w:tcPr>
            <w:tcW w:w="1275" w:type="dxa"/>
            <w:noWrap w:val="0"/>
            <w:vAlign w:val="center"/>
          </w:tcPr>
          <w:p w14:paraId="5BA96829">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1批</w:t>
            </w:r>
          </w:p>
        </w:tc>
        <w:tc>
          <w:tcPr>
            <w:tcW w:w="5694" w:type="dxa"/>
            <w:noWrap w:val="0"/>
            <w:vAlign w:val="center"/>
          </w:tcPr>
          <w:p w14:paraId="03007FD4">
            <w:pPr>
              <w:keepNext w:val="0"/>
              <w:keepLines w:val="0"/>
              <w:pageBreakBefore w:val="0"/>
              <w:kinsoku/>
              <w:overflowPunct/>
              <w:topLinePunct w:val="0"/>
              <w:autoSpaceDE/>
              <w:autoSpaceDN/>
              <w:bidi w:val="0"/>
              <w:adjustRightInd/>
              <w:spacing w:line="400" w:lineRule="exact"/>
              <w:textAlignment w:val="auto"/>
              <w:rPr>
                <w:rFonts w:hint="eastAsia" w:ascii="宋体" w:hAnsi="宋体"/>
                <w:color w:val="auto"/>
                <w:szCs w:val="21"/>
                <w:highlight w:val="none"/>
              </w:rPr>
            </w:pPr>
            <w:r>
              <w:rPr>
                <w:rFonts w:hint="eastAsia" w:ascii="宋体" w:hAnsi="宋体"/>
                <w:color w:val="auto"/>
                <w:szCs w:val="21"/>
                <w:highlight w:val="none"/>
                <w:lang w:val="en-US" w:eastAsia="zh-CN"/>
              </w:rPr>
              <w:t>开展种植业产品胶体金速测服务≥2万批次。中标人须按采购人要求到来宾、玉林、贵港等指定区域内针对豇豆、甘薯、香蕉、芒果、柑橘类、火龙果等种植业重点品种开展上市前胶体金速测，并提供配套技术培训与支撑，确保达成速测技术推广服务目标。具体内容详见招标文件第二章《采购需求》。</w:t>
            </w:r>
          </w:p>
        </w:tc>
      </w:tr>
      <w:tr w14:paraId="2CD9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1" w:type="dxa"/>
            <w:noWrap w:val="0"/>
            <w:vAlign w:val="center"/>
          </w:tcPr>
          <w:p w14:paraId="6E93AFAE">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分标4</w:t>
            </w:r>
          </w:p>
        </w:tc>
        <w:tc>
          <w:tcPr>
            <w:tcW w:w="1819" w:type="dxa"/>
            <w:noWrap w:val="0"/>
            <w:vAlign w:val="center"/>
          </w:tcPr>
          <w:p w14:paraId="637CB0BC">
            <w:pPr>
              <w:keepNext w:val="0"/>
              <w:keepLines w:val="0"/>
              <w:widowControl/>
              <w:suppressLineNumbers w:val="0"/>
              <w:spacing w:line="400" w:lineRule="exact"/>
              <w:jc w:val="center"/>
              <w:rPr>
                <w:rFonts w:hint="eastAsia" w:ascii="宋体" w:hAnsi="宋体"/>
                <w:b/>
                <w:bCs/>
                <w:color w:val="auto"/>
                <w:szCs w:val="21"/>
                <w:highlight w:val="none"/>
              </w:rPr>
            </w:pPr>
            <w:r>
              <w:rPr>
                <w:rFonts w:hint="eastAsia" w:ascii="宋体" w:hAnsi="宋体" w:cs="仿宋_GB2312"/>
                <w:color w:val="auto"/>
                <w:szCs w:val="21"/>
                <w:highlight w:val="none"/>
                <w:lang w:eastAsia="zh-CN"/>
              </w:rPr>
              <w:t>2026年农产品检测项目采购（</w:t>
            </w:r>
            <w:r>
              <w:rPr>
                <w:rFonts w:hint="eastAsia" w:ascii="宋体" w:hAnsi="宋体" w:cs="仿宋_GB2312"/>
                <w:color w:val="auto"/>
                <w:szCs w:val="21"/>
                <w:highlight w:val="none"/>
                <w:lang w:val="en-US" w:eastAsia="zh-CN"/>
              </w:rPr>
              <w:t>种植业四</w:t>
            </w:r>
            <w:r>
              <w:rPr>
                <w:rFonts w:hint="eastAsia" w:ascii="宋体" w:hAnsi="宋体" w:cs="仿宋_GB2312"/>
                <w:color w:val="auto"/>
                <w:szCs w:val="21"/>
                <w:highlight w:val="none"/>
                <w:lang w:eastAsia="zh-CN"/>
              </w:rPr>
              <w:t>）</w:t>
            </w:r>
          </w:p>
        </w:tc>
        <w:tc>
          <w:tcPr>
            <w:tcW w:w="1275" w:type="dxa"/>
            <w:noWrap w:val="0"/>
            <w:vAlign w:val="center"/>
          </w:tcPr>
          <w:p w14:paraId="06292B8E">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eastAsia="宋体"/>
                <w:b/>
                <w:bCs/>
                <w:color w:val="auto"/>
                <w:szCs w:val="21"/>
                <w:highlight w:val="none"/>
                <w:lang w:eastAsia="zh-CN"/>
              </w:rPr>
            </w:pPr>
            <w:r>
              <w:rPr>
                <w:rFonts w:hint="eastAsia" w:ascii="宋体" w:hAnsi="宋体"/>
                <w:color w:val="auto"/>
                <w:szCs w:val="21"/>
                <w:highlight w:val="none"/>
                <w:lang w:eastAsia="zh-CN"/>
              </w:rPr>
              <w:t>1批</w:t>
            </w:r>
          </w:p>
        </w:tc>
        <w:tc>
          <w:tcPr>
            <w:tcW w:w="5694" w:type="dxa"/>
            <w:noWrap w:val="0"/>
            <w:vAlign w:val="center"/>
          </w:tcPr>
          <w:p w14:paraId="441E28B7">
            <w:pPr>
              <w:keepNext w:val="0"/>
              <w:keepLines w:val="0"/>
              <w:pageBreakBefore w:val="0"/>
              <w:kinsoku/>
              <w:overflowPunct/>
              <w:topLinePunct w:val="0"/>
              <w:autoSpaceDE/>
              <w:autoSpaceDN/>
              <w:bidi w:val="0"/>
              <w:adjustRightInd/>
              <w:spacing w:line="400" w:lineRule="exact"/>
              <w:textAlignment w:val="auto"/>
              <w:rPr>
                <w:rFonts w:hint="eastAsia" w:ascii="宋体" w:hAnsi="宋体"/>
                <w:b/>
                <w:bCs/>
                <w:color w:val="auto"/>
                <w:szCs w:val="21"/>
                <w:highlight w:val="none"/>
              </w:rPr>
            </w:pPr>
            <w:r>
              <w:rPr>
                <w:rFonts w:hint="eastAsia" w:ascii="宋体" w:hAnsi="宋体"/>
                <w:color w:val="auto"/>
                <w:szCs w:val="21"/>
                <w:highlight w:val="none"/>
                <w:lang w:val="en-US" w:eastAsia="zh-CN"/>
              </w:rPr>
              <w:t>开展种植业产品胶体金速测服务≥2万批次。中标人须按采购人要求到百色、河池、柳州等指定区域内针对豇豆、甘薯、香蕉、芒果、柑橘类、火龙果等种植业重点品种开展上市前胶体金速测，并提供配套技术培训与支撑，确保达成速测技术推广服务目标。具体内容详见招标文件第二章《采购需求》。</w:t>
            </w:r>
          </w:p>
        </w:tc>
      </w:tr>
      <w:tr w14:paraId="498D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1" w:type="dxa"/>
            <w:noWrap w:val="0"/>
            <w:vAlign w:val="center"/>
          </w:tcPr>
          <w:p w14:paraId="43F3478B">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rPr>
              <w:t>分标</w:t>
            </w:r>
            <w:r>
              <w:rPr>
                <w:rFonts w:hint="eastAsia" w:ascii="宋体" w:hAnsi="宋体"/>
                <w:color w:val="auto"/>
                <w:szCs w:val="21"/>
                <w:highlight w:val="none"/>
                <w:lang w:val="en-US" w:eastAsia="zh-CN"/>
              </w:rPr>
              <w:t>5</w:t>
            </w:r>
          </w:p>
        </w:tc>
        <w:tc>
          <w:tcPr>
            <w:tcW w:w="1819" w:type="dxa"/>
            <w:noWrap w:val="0"/>
            <w:vAlign w:val="center"/>
          </w:tcPr>
          <w:p w14:paraId="3B37A62F">
            <w:pPr>
              <w:keepNext w:val="0"/>
              <w:keepLines w:val="0"/>
              <w:pageBreakBefore w:val="0"/>
              <w:widowControl/>
              <w:suppressLineNumbers w:val="0"/>
              <w:kinsoku/>
              <w:overflowPunct/>
              <w:topLinePunct w:val="0"/>
              <w:autoSpaceDE/>
              <w:autoSpaceDN/>
              <w:bidi w:val="0"/>
              <w:adjustRightInd/>
              <w:spacing w:line="400" w:lineRule="exact"/>
              <w:jc w:val="center"/>
              <w:textAlignment w:val="auto"/>
              <w:rPr>
                <w:rFonts w:hint="eastAsia" w:ascii="宋体" w:hAnsi="宋体" w:cs="仿宋_GB2312"/>
                <w:color w:val="auto"/>
                <w:szCs w:val="21"/>
                <w:highlight w:val="none"/>
                <w:lang w:eastAsia="zh-CN"/>
              </w:rPr>
            </w:pPr>
            <w:r>
              <w:rPr>
                <w:rFonts w:hint="eastAsia" w:ascii="宋体" w:hAnsi="宋体" w:cs="仿宋_GB2312"/>
                <w:color w:val="auto"/>
                <w:szCs w:val="21"/>
                <w:highlight w:val="none"/>
                <w:lang w:eastAsia="zh-CN"/>
              </w:rPr>
              <w:t>2026年农产品检测项目采购（</w:t>
            </w:r>
            <w:r>
              <w:rPr>
                <w:rFonts w:hint="eastAsia" w:ascii="宋体" w:hAnsi="宋体" w:cs="仿宋_GB2312"/>
                <w:color w:val="auto"/>
                <w:szCs w:val="21"/>
                <w:highlight w:val="none"/>
                <w:lang w:val="en-US" w:eastAsia="zh-CN"/>
              </w:rPr>
              <w:t>种植业五</w:t>
            </w:r>
            <w:r>
              <w:rPr>
                <w:rFonts w:hint="eastAsia" w:ascii="宋体" w:hAnsi="宋体" w:cs="仿宋_GB2312"/>
                <w:color w:val="auto"/>
                <w:szCs w:val="21"/>
                <w:highlight w:val="none"/>
                <w:lang w:eastAsia="zh-CN"/>
              </w:rPr>
              <w:t>）</w:t>
            </w:r>
          </w:p>
        </w:tc>
        <w:tc>
          <w:tcPr>
            <w:tcW w:w="1275" w:type="dxa"/>
            <w:noWrap w:val="0"/>
            <w:vAlign w:val="center"/>
          </w:tcPr>
          <w:p w14:paraId="5FCE9531">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lang w:eastAsia="zh-CN"/>
              </w:rPr>
              <w:t>1批</w:t>
            </w:r>
          </w:p>
        </w:tc>
        <w:tc>
          <w:tcPr>
            <w:tcW w:w="5694" w:type="dxa"/>
            <w:noWrap w:val="0"/>
            <w:vAlign w:val="center"/>
          </w:tcPr>
          <w:p w14:paraId="08B2C88A">
            <w:pPr>
              <w:keepNext w:val="0"/>
              <w:keepLines w:val="0"/>
              <w:pageBreakBefore w:val="0"/>
              <w:kinsoku/>
              <w:overflowPunct/>
              <w:topLinePunct w:val="0"/>
              <w:autoSpaceDE/>
              <w:autoSpaceDN/>
              <w:bidi w:val="0"/>
              <w:adjustRightInd/>
              <w:spacing w:line="400" w:lineRule="exact"/>
              <w:textAlignment w:val="auto"/>
              <w:rPr>
                <w:rFonts w:hint="eastAsia" w:ascii="宋体" w:hAnsi="宋体"/>
                <w:color w:val="auto"/>
                <w:kern w:val="0"/>
                <w:szCs w:val="21"/>
                <w:highlight w:val="none"/>
                <w:lang w:val="en-US" w:eastAsia="zh-CN"/>
              </w:rPr>
            </w:pPr>
            <w:r>
              <w:rPr>
                <w:rFonts w:hint="eastAsia" w:ascii="宋体" w:hAnsi="宋体"/>
                <w:color w:val="auto"/>
                <w:szCs w:val="21"/>
                <w:highlight w:val="none"/>
                <w:lang w:val="en-US" w:eastAsia="zh-CN"/>
              </w:rPr>
              <w:t>开展种植业产品胶体金速测服务≥2万批次。中标人须按采购人要求到桂林、贺州、梧州等指定区域内针对豇豆、甘薯、香蕉、芒果、柑橘类、火龙果等种植业重点品种开展上市前胶体金速测，并提供配套技术培训与支撑，确保达成速测技术推广服务目标。具体内容详见招标文件第二章《采购需求》。</w:t>
            </w:r>
          </w:p>
        </w:tc>
      </w:tr>
      <w:tr w14:paraId="1732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1" w:type="dxa"/>
            <w:noWrap w:val="0"/>
            <w:vAlign w:val="center"/>
          </w:tcPr>
          <w:p w14:paraId="5CCFCAB4">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分标</w:t>
            </w:r>
            <w:r>
              <w:rPr>
                <w:rFonts w:hint="eastAsia" w:ascii="宋体" w:hAnsi="宋体"/>
                <w:color w:val="auto"/>
                <w:szCs w:val="21"/>
                <w:highlight w:val="none"/>
                <w:lang w:val="en-US" w:eastAsia="zh-CN"/>
              </w:rPr>
              <w:t>6</w:t>
            </w:r>
          </w:p>
        </w:tc>
        <w:tc>
          <w:tcPr>
            <w:tcW w:w="1819" w:type="dxa"/>
            <w:noWrap w:val="0"/>
            <w:vAlign w:val="center"/>
          </w:tcPr>
          <w:p w14:paraId="359D8759">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cs="仿宋_GB2312"/>
                <w:color w:val="auto"/>
                <w:szCs w:val="21"/>
                <w:highlight w:val="none"/>
                <w:lang w:eastAsia="zh-CN"/>
              </w:rPr>
            </w:pPr>
            <w:r>
              <w:rPr>
                <w:rFonts w:hint="eastAsia" w:ascii="宋体" w:hAnsi="宋体" w:cs="仿宋_GB2312"/>
                <w:color w:val="auto"/>
                <w:szCs w:val="21"/>
                <w:highlight w:val="none"/>
                <w:lang w:eastAsia="zh-CN"/>
              </w:rPr>
              <w:t>2026年农产品检测项目采购</w:t>
            </w:r>
            <w:r>
              <w:rPr>
                <w:rFonts w:hint="eastAsia" w:ascii="宋体" w:hAnsi="宋体" w:cs="仿宋_GB2312"/>
                <w:color w:val="auto"/>
                <w:szCs w:val="21"/>
                <w:highlight w:val="none"/>
              </w:rPr>
              <w:t>（</w:t>
            </w:r>
            <w:r>
              <w:rPr>
                <w:rFonts w:hint="eastAsia" w:ascii="宋体" w:hAnsi="宋体" w:cs="仿宋_GB2312"/>
                <w:color w:val="auto"/>
                <w:szCs w:val="21"/>
                <w:highlight w:val="none"/>
                <w:lang w:val="en-US" w:eastAsia="zh-CN"/>
              </w:rPr>
              <w:t>全区粮食重金属</w:t>
            </w:r>
            <w:r>
              <w:rPr>
                <w:rFonts w:hint="eastAsia" w:ascii="宋体" w:hAnsi="宋体" w:cs="仿宋_GB2312"/>
                <w:color w:val="auto"/>
                <w:szCs w:val="21"/>
                <w:highlight w:val="none"/>
              </w:rPr>
              <w:t>）</w:t>
            </w:r>
          </w:p>
        </w:tc>
        <w:tc>
          <w:tcPr>
            <w:tcW w:w="1275" w:type="dxa"/>
            <w:noWrap w:val="0"/>
            <w:vAlign w:val="center"/>
          </w:tcPr>
          <w:p w14:paraId="34C75E16">
            <w:pPr>
              <w:keepNext w:val="0"/>
              <w:keepLines w:val="0"/>
              <w:pageBreakBefore w:val="0"/>
              <w:kinsoku/>
              <w:overflowPunct/>
              <w:topLinePunct w:val="0"/>
              <w:autoSpaceDE/>
              <w:autoSpaceDN/>
              <w:bidi w:val="0"/>
              <w:adjustRightInd/>
              <w:spacing w:line="400" w:lineRule="exact"/>
              <w:jc w:val="center"/>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1批</w:t>
            </w:r>
          </w:p>
        </w:tc>
        <w:tc>
          <w:tcPr>
            <w:tcW w:w="5694" w:type="dxa"/>
            <w:noWrap w:val="0"/>
            <w:vAlign w:val="center"/>
          </w:tcPr>
          <w:p w14:paraId="424A0888">
            <w:pPr>
              <w:keepNext w:val="0"/>
              <w:keepLines w:val="0"/>
              <w:pageBreakBefore w:val="0"/>
              <w:kinsoku/>
              <w:overflowPunct/>
              <w:topLinePunct w:val="0"/>
              <w:autoSpaceDE/>
              <w:autoSpaceDN/>
              <w:bidi w:val="0"/>
              <w:adjustRightInd/>
              <w:spacing w:line="400" w:lineRule="exact"/>
              <w:textAlignment w:val="auto"/>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根据《土壤污染防治行动计划》及实际工作需要，开展粮食重金属残留监测。全年共进行检测</w:t>
            </w:r>
            <w:r>
              <w:rPr>
                <w:rFonts w:hint="eastAsia" w:ascii="宋体" w:hAnsi="宋体"/>
                <w:color w:val="auto"/>
                <w:szCs w:val="21"/>
                <w:highlight w:val="none"/>
                <w:lang w:val="en-US" w:eastAsia="zh-CN"/>
              </w:rPr>
              <w:t>≥</w:t>
            </w:r>
            <w:r>
              <w:rPr>
                <w:rFonts w:hint="eastAsia" w:ascii="宋体" w:hAnsi="宋体"/>
                <w:color w:val="auto"/>
                <w:kern w:val="0"/>
                <w:szCs w:val="21"/>
                <w:highlight w:val="none"/>
                <w:lang w:val="en-US" w:eastAsia="zh-CN"/>
              </w:rPr>
              <w:t>1325批次（其中约1000批次为定量检测，约325批次为快速检测）。中标价格包含样品采集、制备、流转、保存、检测、数据分析、报告编写及所有耗材、税费等一切相关费用</w:t>
            </w:r>
            <w:r>
              <w:rPr>
                <w:rFonts w:ascii="宋体" w:hAnsi="宋体"/>
                <w:color w:val="auto"/>
                <w:kern w:val="0"/>
                <w:szCs w:val="21"/>
                <w:highlight w:val="none"/>
              </w:rPr>
              <w:t>。</w:t>
            </w:r>
            <w:r>
              <w:rPr>
                <w:rFonts w:hint="eastAsia" w:ascii="宋体" w:hAnsi="宋体" w:cs="宋体"/>
                <w:color w:val="auto"/>
                <w:kern w:val="0"/>
                <w:szCs w:val="21"/>
                <w:highlight w:val="none"/>
              </w:rPr>
              <w:t>具体内容详见招标文件第二章《</w:t>
            </w:r>
            <w:r>
              <w:rPr>
                <w:rFonts w:hint="eastAsia"/>
                <w:color w:val="auto"/>
                <w:highlight w:val="none"/>
              </w:rPr>
              <w:t>采购需求</w:t>
            </w:r>
            <w:r>
              <w:rPr>
                <w:rFonts w:hint="eastAsia" w:ascii="宋体" w:hAnsi="宋体" w:cs="宋体"/>
                <w:color w:val="auto"/>
                <w:kern w:val="0"/>
                <w:szCs w:val="21"/>
                <w:highlight w:val="none"/>
              </w:rPr>
              <w:t>》。</w:t>
            </w:r>
          </w:p>
        </w:tc>
      </w:tr>
    </w:tbl>
    <w:p w14:paraId="08CE8F04">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color w:val="auto"/>
          <w:sz w:val="21"/>
          <w:szCs w:val="21"/>
          <w:highlight w:val="none"/>
          <w:lang w:eastAsia="zh-CN"/>
        </w:rPr>
        <w:t>自签订合同之日起至2026年12月31日止</w:t>
      </w:r>
      <w:r>
        <w:rPr>
          <w:rFonts w:hint="eastAsia" w:ascii="宋体" w:hAnsi="宋体" w:eastAsia="宋体" w:cs="宋体"/>
          <w:color w:val="auto"/>
          <w:sz w:val="21"/>
          <w:szCs w:val="21"/>
          <w:highlight w:val="none"/>
        </w:rPr>
        <w:t>。</w:t>
      </w:r>
    </w:p>
    <w:p w14:paraId="2428CDB5">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eastAsia="宋体"/>
          <w:color w:val="auto"/>
          <w:highlight w:val="none"/>
          <w:lang w:eastAsia="zh-CN"/>
        </w:rPr>
      </w:pPr>
      <w:r>
        <w:rPr>
          <w:rFonts w:hint="eastAsia" w:ascii="宋体" w:hAnsi="宋体"/>
          <w:color w:val="auto"/>
          <w:szCs w:val="21"/>
          <w:highlight w:val="none"/>
        </w:rPr>
        <w:t>本项目是否接受联合体：</w:t>
      </w:r>
      <w:r>
        <w:rPr>
          <w:rFonts w:hint="eastAsia" w:ascii="MS Mincho" w:hAnsi="MS Mincho" w:eastAsia="宋体" w:cs="MS Mincho"/>
          <w:color w:val="auto"/>
          <w:highlight w:val="none"/>
          <w:lang w:eastAsia="zh-CN"/>
        </w:rPr>
        <w:sym w:font="Wingdings 2" w:char="00A3"/>
      </w:r>
      <w:r>
        <w:rPr>
          <w:rFonts w:hint="eastAsia" w:ascii="宋体" w:hAnsi="宋体"/>
          <w:color w:val="auto"/>
          <w:highlight w:val="none"/>
        </w:rPr>
        <w:t>是，</w:t>
      </w:r>
      <w:r>
        <w:rPr>
          <w:rFonts w:hint="eastAsia" w:ascii="MS Mincho" w:hAnsi="MS Mincho" w:eastAsia="宋体" w:cs="MS Mincho"/>
          <w:color w:val="auto"/>
          <w:highlight w:val="none"/>
          <w:lang w:eastAsia="zh-CN"/>
        </w:rPr>
        <w:sym w:font="Wingdings 2" w:char="0052"/>
      </w:r>
      <w:r>
        <w:rPr>
          <w:rFonts w:hint="eastAsia" w:ascii="宋体" w:hAnsi="宋体"/>
          <w:color w:val="auto"/>
          <w:highlight w:val="none"/>
        </w:rPr>
        <w:t>否</w:t>
      </w:r>
      <w:r>
        <w:rPr>
          <w:rFonts w:hint="eastAsia" w:ascii="宋体" w:hAnsi="宋体"/>
          <w:color w:val="auto"/>
          <w:highlight w:val="none"/>
          <w:lang w:eastAsia="zh-CN"/>
        </w:rPr>
        <w:t>。</w:t>
      </w:r>
    </w:p>
    <w:p w14:paraId="6870BF5F">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备注：</w:t>
      </w:r>
      <w:bookmarkStart w:id="21" w:name="_Toc35393622"/>
      <w:bookmarkStart w:id="22" w:name="_Toc28359080"/>
      <w:bookmarkStart w:id="23" w:name="_Toc35393791"/>
      <w:bookmarkStart w:id="24" w:name="_Toc28359003"/>
      <w:r>
        <w:rPr>
          <w:rFonts w:hint="eastAsia" w:ascii="宋体" w:hAnsi="宋体" w:cs="宋体"/>
          <w:color w:val="auto"/>
          <w:szCs w:val="21"/>
          <w:highlight w:val="none"/>
          <w:lang w:val="en-US" w:eastAsia="zh-CN"/>
        </w:rPr>
        <w:t>投标人可投多个分标，但最多中选一个。评标委员会按标段顺序1至6分标依次评审，一旦某投标人在当前标段被推荐为第一中标候选人，则自动退出后续标段的评审，不再参与后续标段的评审及推荐。</w:t>
      </w:r>
    </w:p>
    <w:p w14:paraId="49231300">
      <w:pPr>
        <w:keepNext w:val="0"/>
        <w:keepLines w:val="0"/>
        <w:pageBreakBefore w:val="0"/>
        <w:kinsoku/>
        <w:overflowPunct/>
        <w:topLinePunct w:val="0"/>
        <w:autoSpaceDE/>
        <w:autoSpaceDN/>
        <w:bidi w:val="0"/>
        <w:adjustRightInd/>
        <w:spacing w:line="400" w:lineRule="exact"/>
        <w:ind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二、申请人的资格要求：</w:t>
      </w:r>
      <w:bookmarkEnd w:id="21"/>
      <w:bookmarkEnd w:id="22"/>
      <w:bookmarkEnd w:id="23"/>
      <w:bookmarkEnd w:id="24"/>
    </w:p>
    <w:p w14:paraId="4F540E7A">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bookmarkStart w:id="25" w:name="_Hlk51746371"/>
      <w:bookmarkStart w:id="26" w:name="_Toc35393623"/>
      <w:bookmarkStart w:id="27" w:name="_Toc35393792"/>
      <w:bookmarkStart w:id="28" w:name="_Toc28359081"/>
      <w:bookmarkStart w:id="29" w:name="_Toc28359004"/>
      <w:r>
        <w:rPr>
          <w:rFonts w:hint="eastAsia" w:ascii="宋体" w:hAnsi="宋体" w:cs="宋体"/>
          <w:color w:val="auto"/>
          <w:szCs w:val="21"/>
          <w:highlight w:val="none"/>
        </w:rPr>
        <w:t>1.满足《中华人民共和国政府采购法》第二十二条规定；</w:t>
      </w:r>
    </w:p>
    <w:p w14:paraId="75907C6F">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r>
        <w:rPr>
          <w:rFonts w:hint="eastAsia" w:ascii="宋体" w:hAnsi="宋体" w:cs="宋体"/>
          <w:color w:val="auto"/>
          <w:szCs w:val="21"/>
          <w:highlight w:val="none"/>
          <w:lang w:val="en-US" w:eastAsia="zh-CN"/>
        </w:rPr>
        <w:t>不专门面向中小企业</w:t>
      </w:r>
      <w:r>
        <w:rPr>
          <w:rFonts w:hint="eastAsia" w:ascii="宋体" w:hAnsi="宋体" w:cs="宋体"/>
          <w:color w:val="auto"/>
          <w:szCs w:val="21"/>
          <w:highlight w:val="none"/>
          <w:u w:val="none"/>
          <w:lang w:val="en-US" w:eastAsia="zh-CN"/>
        </w:rPr>
        <w:t>采购</w:t>
      </w:r>
      <w:r>
        <w:rPr>
          <w:rFonts w:hint="eastAsia" w:ascii="宋体" w:hAnsi="宋体" w:cs="宋体"/>
          <w:color w:val="auto"/>
          <w:szCs w:val="21"/>
          <w:highlight w:val="none"/>
          <w:u w:val="none"/>
        </w:rPr>
        <w:t>；</w:t>
      </w:r>
    </w:p>
    <w:p w14:paraId="3DB4C0BE">
      <w:pPr>
        <w:keepNext w:val="0"/>
        <w:keepLines w:val="0"/>
        <w:pageBreakBefore w:val="0"/>
        <w:kinsoku/>
        <w:overflowPunct/>
        <w:topLinePunct w:val="0"/>
        <w:autoSpaceDE/>
        <w:autoSpaceDN/>
        <w:bidi w:val="0"/>
        <w:adjustRightInd/>
        <w:spacing w:line="400" w:lineRule="exact"/>
        <w:ind w:firstLine="422" w:firstLineChars="200"/>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rPr>
        <w:t>3.本项目的特定资格要求：</w:t>
      </w:r>
      <w:r>
        <w:rPr>
          <w:rFonts w:hint="eastAsia" w:ascii="宋体" w:hAnsi="宋体" w:cs="宋体"/>
          <w:b/>
          <w:bCs/>
          <w:color w:val="auto"/>
          <w:szCs w:val="21"/>
          <w:highlight w:val="none"/>
          <w:lang w:val="en-US" w:eastAsia="zh-CN"/>
        </w:rPr>
        <w:t>分标1-分标5:无；分标6:投标人须具备省级及以上市场监督管理部门颁发的检验检测机构资质认定证书（CMA），且资质附表中须包含本项目要求检测的重金属参数（如铅、镉、汞、砷等）。</w:t>
      </w:r>
    </w:p>
    <w:bookmarkEnd w:id="25"/>
    <w:p w14:paraId="37212848">
      <w:pPr>
        <w:keepNext w:val="0"/>
        <w:keepLines w:val="0"/>
        <w:pageBreakBefore w:val="0"/>
        <w:kinsoku/>
        <w:overflowPunct/>
        <w:topLinePunct w:val="0"/>
        <w:autoSpaceDE/>
        <w:autoSpaceDN/>
        <w:bidi w:val="0"/>
        <w:adjustRightInd/>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三、获取招标文件</w:t>
      </w:r>
      <w:bookmarkEnd w:id="26"/>
      <w:bookmarkEnd w:id="27"/>
      <w:bookmarkEnd w:id="28"/>
      <w:bookmarkEnd w:id="29"/>
    </w:p>
    <w:p w14:paraId="228C80D7">
      <w:pPr>
        <w:keepNext w:val="0"/>
        <w:keepLines w:val="0"/>
        <w:pageBreakBefore w:val="0"/>
        <w:kinsoku/>
        <w:overflowPunct/>
        <w:topLinePunct w:val="0"/>
        <w:autoSpaceDE/>
        <w:autoSpaceDN/>
        <w:bidi w:val="0"/>
        <w:adjustRightInd/>
        <w:spacing w:line="400" w:lineRule="exact"/>
        <w:ind w:firstLine="54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u w:val="none"/>
        </w:rPr>
        <w:t>年</w:t>
      </w:r>
      <w:r>
        <w:rPr>
          <w:rFonts w:hint="eastAsia" w:ascii="宋体" w:hAnsi="宋体" w:cs="宋体"/>
          <w:bCs/>
          <w:color w:val="auto"/>
          <w:szCs w:val="21"/>
          <w:highlight w:val="none"/>
          <w:u w:val="none"/>
          <w:lang w:val="en-US" w:eastAsia="zh-CN"/>
        </w:rPr>
        <w:t>7</w:t>
      </w:r>
      <w:r>
        <w:rPr>
          <w:rFonts w:hint="eastAsia" w:ascii="宋体" w:hAnsi="宋体" w:cs="宋体"/>
          <w:bCs/>
          <w:color w:val="auto"/>
          <w:szCs w:val="21"/>
          <w:highlight w:val="none"/>
          <w:u w:val="none"/>
        </w:rPr>
        <w:t>月</w:t>
      </w:r>
      <w:r>
        <w:rPr>
          <w:rFonts w:hint="eastAsia" w:ascii="宋体" w:hAnsi="宋体" w:cs="宋体"/>
          <w:bCs/>
          <w:color w:val="auto"/>
          <w:szCs w:val="21"/>
          <w:highlight w:val="none"/>
          <w:u w:val="none"/>
          <w:lang w:val="en-US" w:eastAsia="zh-CN"/>
        </w:rPr>
        <w:t>20</w:t>
      </w:r>
      <w:r>
        <w:rPr>
          <w:rFonts w:hint="eastAsia" w:ascii="宋体" w:hAnsi="宋体" w:cs="宋体"/>
          <w:bCs/>
          <w:color w:val="auto"/>
          <w:szCs w:val="21"/>
          <w:highlight w:val="none"/>
          <w:u w:val="none"/>
        </w:rPr>
        <w:t>日</w:t>
      </w:r>
      <w:r>
        <w:rPr>
          <w:rFonts w:hint="eastAsia" w:ascii="宋体" w:hAnsi="宋体" w:cs="宋体"/>
          <w:bCs/>
          <w:color w:val="auto"/>
          <w:kern w:val="0"/>
          <w:szCs w:val="21"/>
          <w:highlight w:val="none"/>
          <w:u w:val="none"/>
        </w:rPr>
        <w:t>至202</w:t>
      </w:r>
      <w:r>
        <w:rPr>
          <w:rFonts w:hint="eastAsia" w:ascii="宋体" w:hAnsi="宋体" w:cs="宋体"/>
          <w:bCs/>
          <w:color w:val="auto"/>
          <w:kern w:val="0"/>
          <w:szCs w:val="21"/>
          <w:highlight w:val="none"/>
          <w:u w:val="none"/>
          <w:lang w:val="en-US" w:eastAsia="zh-CN"/>
        </w:rPr>
        <w:t>6</w:t>
      </w:r>
      <w:r>
        <w:rPr>
          <w:rFonts w:hint="eastAsia" w:ascii="宋体" w:hAnsi="宋体" w:cs="宋体"/>
          <w:bCs/>
          <w:color w:val="auto"/>
          <w:kern w:val="0"/>
          <w:szCs w:val="21"/>
          <w:highlight w:val="none"/>
          <w:u w:val="none"/>
        </w:rPr>
        <w:t>年</w:t>
      </w:r>
      <w:r>
        <w:rPr>
          <w:rFonts w:hint="eastAsia" w:ascii="宋体" w:hAnsi="宋体" w:cs="宋体"/>
          <w:bCs/>
          <w:color w:val="auto"/>
          <w:szCs w:val="21"/>
          <w:highlight w:val="none"/>
          <w:u w:val="none"/>
          <w:lang w:val="en-US" w:eastAsia="zh-CN"/>
        </w:rPr>
        <w:t>7</w:t>
      </w:r>
      <w:r>
        <w:rPr>
          <w:rFonts w:hint="eastAsia" w:ascii="宋体" w:hAnsi="宋体" w:cs="宋体"/>
          <w:bCs/>
          <w:color w:val="auto"/>
          <w:szCs w:val="21"/>
          <w:highlight w:val="none"/>
          <w:u w:val="none"/>
        </w:rPr>
        <w:t>月</w:t>
      </w:r>
      <w:r>
        <w:rPr>
          <w:rFonts w:hint="eastAsia" w:ascii="宋体" w:hAnsi="宋体" w:cs="宋体"/>
          <w:bCs/>
          <w:color w:val="auto"/>
          <w:szCs w:val="21"/>
          <w:highlight w:val="none"/>
          <w:u w:val="none"/>
          <w:lang w:val="en-US" w:eastAsia="zh-CN"/>
        </w:rPr>
        <w:t>27</w:t>
      </w:r>
      <w:r>
        <w:rPr>
          <w:rFonts w:hint="eastAsia" w:ascii="宋体" w:hAnsi="宋体" w:cs="宋体"/>
          <w:bCs/>
          <w:color w:val="auto"/>
          <w:szCs w:val="21"/>
          <w:highlight w:val="none"/>
          <w:u w:val="none"/>
        </w:rPr>
        <w:t>日</w:t>
      </w:r>
      <w:r>
        <w:rPr>
          <w:rFonts w:hint="eastAsia" w:ascii="宋体" w:hAnsi="宋体" w:cs="宋体"/>
          <w:bCs/>
          <w:color w:val="auto"/>
          <w:kern w:val="0"/>
          <w:szCs w:val="21"/>
          <w:highlight w:val="none"/>
          <w:u w:val="none"/>
        </w:rPr>
        <w:t>，每</w:t>
      </w:r>
      <w:r>
        <w:rPr>
          <w:rFonts w:hint="eastAsia" w:ascii="宋体" w:hAnsi="宋体" w:cs="宋体"/>
          <w:bCs/>
          <w:color w:val="auto"/>
          <w:kern w:val="0"/>
          <w:szCs w:val="21"/>
          <w:highlight w:val="none"/>
        </w:rPr>
        <w:t>天上午00:00至12:00，下午12:00至23:59（北京时间，法定节假日除外）</w:t>
      </w:r>
    </w:p>
    <w:p w14:paraId="1F2849D0">
      <w:pPr>
        <w:keepNext w:val="0"/>
        <w:keepLines w:val="0"/>
        <w:pageBreakBefore w:val="0"/>
        <w:kinsoku/>
        <w:overflowPunct/>
        <w:topLinePunct w:val="0"/>
        <w:autoSpaceDE/>
        <w:autoSpaceDN/>
        <w:bidi w:val="0"/>
        <w:adjustRightInd/>
        <w:spacing w:line="400" w:lineRule="exact"/>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2.地点：</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p>
    <w:p w14:paraId="52C397BF">
      <w:pPr>
        <w:keepNext w:val="0"/>
        <w:keepLines w:val="0"/>
        <w:pageBreakBefore w:val="0"/>
        <w:kinsoku/>
        <w:wordWrap w:val="0"/>
        <w:overflowPunct/>
        <w:topLinePunct w:val="0"/>
        <w:autoSpaceDE/>
        <w:autoSpaceDN/>
        <w:bidi w:val="0"/>
        <w:adjustRightInd/>
        <w:spacing w:line="400" w:lineRule="exact"/>
        <w:ind w:firstLine="539"/>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3.方式：网上下载。本项目不提供纸质文件，潜在供应商需在</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r>
        <w:rPr>
          <w:rFonts w:hint="eastAsia" w:ascii="宋体" w:hAnsi="宋体" w:cs="宋体"/>
          <w:bCs/>
          <w:color w:val="auto"/>
          <w:kern w:val="0"/>
          <w:szCs w:val="21"/>
          <w:highlight w:val="none"/>
        </w:rPr>
        <w:t>-进入“项目采购”应用，在获取采购文件菜单中选择项目，获取招标文件。</w:t>
      </w:r>
      <w:r>
        <w:rPr>
          <w:rFonts w:hint="eastAsia" w:ascii="宋体" w:hAnsi="宋体" w:cs="宋体"/>
          <w:color w:val="auto"/>
          <w:szCs w:val="21"/>
          <w:highlight w:val="none"/>
        </w:rPr>
        <w:t>电子投标文件制作需要基于广西政府采购云平台获取的招标文件编制，</w:t>
      </w:r>
      <w:r>
        <w:rPr>
          <w:rFonts w:hint="eastAsia" w:ascii="宋体" w:hAnsi="宋体" w:cs="宋体"/>
          <w:bCs/>
          <w:color w:val="auto"/>
          <w:kern w:val="0"/>
          <w:szCs w:val="21"/>
          <w:highlight w:val="none"/>
        </w:rPr>
        <w:t>通过其他方式获取招标文件的，将有可能导致供应商无法在</w:t>
      </w:r>
      <w:r>
        <w:rPr>
          <w:rFonts w:hint="eastAsia" w:ascii="宋体" w:hAnsi="宋体" w:cs="宋体"/>
          <w:color w:val="auto"/>
          <w:szCs w:val="21"/>
          <w:highlight w:val="none"/>
        </w:rPr>
        <w:t>广西政府采购云平台</w:t>
      </w:r>
      <w:r>
        <w:rPr>
          <w:rFonts w:hint="eastAsia" w:ascii="宋体" w:hAnsi="宋体" w:cs="宋体"/>
          <w:bCs/>
          <w:color w:val="auto"/>
          <w:kern w:val="0"/>
          <w:szCs w:val="21"/>
          <w:highlight w:val="none"/>
        </w:rPr>
        <w:t>编制及上传投标文件。</w:t>
      </w:r>
    </w:p>
    <w:p w14:paraId="3A278D0C">
      <w:pPr>
        <w:keepNext w:val="0"/>
        <w:keepLines w:val="0"/>
        <w:pageBreakBefore w:val="0"/>
        <w:kinsoku/>
        <w:overflowPunct/>
        <w:topLinePunct w:val="0"/>
        <w:autoSpaceDE/>
        <w:autoSpaceDN/>
        <w:bidi w:val="0"/>
        <w:adjustRightInd/>
        <w:spacing w:line="400" w:lineRule="exact"/>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4.售价（元）：</w:t>
      </w:r>
      <w:r>
        <w:rPr>
          <w:rFonts w:hint="eastAsia" w:ascii="宋体" w:hAnsi="宋体" w:cs="宋体"/>
          <w:color w:val="auto"/>
          <w:szCs w:val="21"/>
          <w:highlight w:val="none"/>
        </w:rPr>
        <w:t>0</w:t>
      </w:r>
    </w:p>
    <w:p w14:paraId="77E5E5B3">
      <w:pPr>
        <w:keepNext w:val="0"/>
        <w:keepLines w:val="0"/>
        <w:pageBreakBefore w:val="0"/>
        <w:kinsoku/>
        <w:overflowPunct/>
        <w:topLinePunct w:val="0"/>
        <w:autoSpaceDE/>
        <w:autoSpaceDN/>
        <w:bidi w:val="0"/>
        <w:adjustRightInd/>
        <w:spacing w:line="400" w:lineRule="exact"/>
        <w:textAlignment w:val="auto"/>
        <w:rPr>
          <w:rFonts w:hint="eastAsia" w:ascii="宋体" w:hAnsi="宋体" w:cs="宋体"/>
          <w:b/>
          <w:bCs/>
          <w:color w:val="auto"/>
          <w:sz w:val="24"/>
          <w:highlight w:val="none"/>
        </w:rPr>
      </w:pPr>
      <w:bookmarkStart w:id="30" w:name="_Toc28359082"/>
      <w:bookmarkStart w:id="31" w:name="_Toc28359005"/>
      <w:bookmarkStart w:id="32" w:name="_Toc35393624"/>
      <w:bookmarkStart w:id="33" w:name="_Toc35393793"/>
      <w:r>
        <w:rPr>
          <w:rFonts w:hint="eastAsia" w:ascii="宋体" w:hAnsi="宋体" w:cs="宋体"/>
          <w:b/>
          <w:bCs/>
          <w:color w:val="auto"/>
          <w:sz w:val="24"/>
          <w:highlight w:val="none"/>
        </w:rPr>
        <w:t>四、提交投标文件</w:t>
      </w:r>
      <w:bookmarkEnd w:id="30"/>
      <w:bookmarkEnd w:id="31"/>
      <w:r>
        <w:rPr>
          <w:rFonts w:hint="eastAsia" w:ascii="宋体" w:hAnsi="宋体" w:cs="宋体"/>
          <w:b/>
          <w:bCs/>
          <w:color w:val="auto"/>
          <w:sz w:val="24"/>
          <w:highlight w:val="none"/>
        </w:rPr>
        <w:t>截止时间、开标时间和地点</w:t>
      </w:r>
      <w:bookmarkEnd w:id="32"/>
      <w:bookmarkEnd w:id="33"/>
    </w:p>
    <w:p w14:paraId="3505578D">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bCs/>
          <w:color w:val="auto"/>
          <w:kern w:val="0"/>
          <w:szCs w:val="21"/>
          <w:highlight w:val="none"/>
        </w:rPr>
      </w:pPr>
      <w:bookmarkStart w:id="34" w:name="_Toc35393794"/>
      <w:bookmarkStart w:id="35" w:name="_Toc28359084"/>
      <w:bookmarkStart w:id="36" w:name="_Toc28359007"/>
      <w:bookmarkStart w:id="37" w:name="_Toc35393625"/>
      <w:r>
        <w:rPr>
          <w:rFonts w:hint="eastAsia" w:ascii="宋体" w:hAnsi="宋体" w:cs="宋体"/>
          <w:bCs/>
          <w:color w:val="auto"/>
          <w:kern w:val="0"/>
          <w:szCs w:val="21"/>
          <w:highlight w:val="none"/>
        </w:rPr>
        <w:t>1.提交投标文件截止时间：202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szCs w:val="21"/>
          <w:highlight w:val="none"/>
          <w:u w:val="none"/>
          <w:lang w:val="en-US" w:eastAsia="zh-CN"/>
        </w:rPr>
        <w:t>8</w:t>
      </w:r>
      <w:r>
        <w:rPr>
          <w:rFonts w:hint="eastAsia" w:ascii="宋体" w:hAnsi="宋体" w:cs="宋体"/>
          <w:bCs/>
          <w:color w:val="auto"/>
          <w:szCs w:val="21"/>
          <w:highlight w:val="none"/>
          <w:u w:val="none"/>
        </w:rPr>
        <w:t>月</w:t>
      </w:r>
      <w:r>
        <w:rPr>
          <w:rFonts w:hint="eastAsia" w:ascii="宋体" w:hAnsi="宋体" w:cs="宋体"/>
          <w:bCs/>
          <w:color w:val="auto"/>
          <w:szCs w:val="21"/>
          <w:highlight w:val="none"/>
          <w:u w:val="none"/>
          <w:lang w:val="en-US" w:eastAsia="zh-CN"/>
        </w:rPr>
        <w:t>10</w:t>
      </w:r>
      <w:r>
        <w:rPr>
          <w:rFonts w:hint="eastAsia" w:ascii="宋体" w:hAnsi="宋体" w:cs="宋体"/>
          <w:bCs/>
          <w:color w:val="auto"/>
          <w:szCs w:val="21"/>
          <w:highlight w:val="none"/>
          <w:u w:val="none"/>
        </w:rPr>
        <w:t>日</w:t>
      </w:r>
      <w:r>
        <w:rPr>
          <w:rFonts w:hint="eastAsia" w:ascii="宋体" w:hAnsi="宋体" w:cs="宋体"/>
          <w:bCs/>
          <w:color w:val="auto"/>
          <w:kern w:val="0"/>
          <w:szCs w:val="21"/>
          <w:highlight w:val="none"/>
        </w:rPr>
        <w:t>9时30分（北京时间）</w:t>
      </w:r>
    </w:p>
    <w:p w14:paraId="1921138E">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2.投标地点（网址）：广西政府采购云平台（https://www.gcy.zfcg.gxzf.gov.cn/）</w:t>
      </w:r>
    </w:p>
    <w:p w14:paraId="036DE785">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3.开标时间：</w:t>
      </w: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szCs w:val="21"/>
          <w:highlight w:val="none"/>
          <w:u w:val="none"/>
          <w:lang w:val="en-US" w:eastAsia="zh-CN"/>
        </w:rPr>
        <w:t>8</w:t>
      </w:r>
      <w:r>
        <w:rPr>
          <w:rFonts w:hint="eastAsia" w:ascii="宋体" w:hAnsi="宋体" w:cs="宋体"/>
          <w:bCs/>
          <w:color w:val="auto"/>
          <w:szCs w:val="21"/>
          <w:highlight w:val="none"/>
          <w:u w:val="none"/>
        </w:rPr>
        <w:t>月</w:t>
      </w:r>
      <w:r>
        <w:rPr>
          <w:rFonts w:hint="eastAsia" w:ascii="宋体" w:hAnsi="宋体" w:cs="宋体"/>
          <w:bCs/>
          <w:color w:val="auto"/>
          <w:szCs w:val="21"/>
          <w:highlight w:val="none"/>
          <w:u w:val="none"/>
          <w:lang w:val="en-US" w:eastAsia="zh-CN"/>
        </w:rPr>
        <w:t>10</w:t>
      </w:r>
      <w:r>
        <w:rPr>
          <w:rFonts w:hint="eastAsia" w:ascii="宋体" w:hAnsi="宋体" w:cs="宋体"/>
          <w:bCs/>
          <w:color w:val="auto"/>
          <w:szCs w:val="21"/>
          <w:highlight w:val="none"/>
          <w:u w:val="none"/>
        </w:rPr>
        <w:t>日</w:t>
      </w:r>
      <w:r>
        <w:rPr>
          <w:rFonts w:hint="eastAsia" w:ascii="宋体" w:hAnsi="宋体" w:cs="宋体"/>
          <w:bCs/>
          <w:color w:val="auto"/>
          <w:szCs w:val="21"/>
          <w:highlight w:val="none"/>
        </w:rPr>
        <w:t>9时30分</w:t>
      </w:r>
    </w:p>
    <w:p w14:paraId="421B73BB">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bCs/>
          <w:color w:val="auto"/>
          <w:szCs w:val="21"/>
          <w:highlight w:val="none"/>
        </w:rPr>
        <w:t>4.开标地点：广西政府采购云平台电子开标大厅开标。</w:t>
      </w:r>
    </w:p>
    <w:p w14:paraId="52A34046">
      <w:pPr>
        <w:keepNext w:val="0"/>
        <w:keepLines w:val="0"/>
        <w:pageBreakBefore w:val="0"/>
        <w:kinsoku/>
        <w:overflowPunct/>
        <w:topLinePunct w:val="0"/>
        <w:autoSpaceDE/>
        <w:autoSpaceDN/>
        <w:bidi w:val="0"/>
        <w:adjustRightInd/>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五、公告期限</w:t>
      </w:r>
      <w:bookmarkEnd w:id="34"/>
      <w:bookmarkEnd w:id="35"/>
      <w:bookmarkEnd w:id="36"/>
      <w:bookmarkEnd w:id="37"/>
    </w:p>
    <w:p w14:paraId="51EF465D">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41650B24">
      <w:pPr>
        <w:keepNext w:val="0"/>
        <w:keepLines w:val="0"/>
        <w:pageBreakBefore w:val="0"/>
        <w:kinsoku/>
        <w:overflowPunct/>
        <w:topLinePunct w:val="0"/>
        <w:autoSpaceDE/>
        <w:autoSpaceDN/>
        <w:bidi w:val="0"/>
        <w:adjustRightInd/>
        <w:spacing w:line="400" w:lineRule="exact"/>
        <w:textAlignment w:val="auto"/>
        <w:rPr>
          <w:rFonts w:hint="eastAsia" w:ascii="宋体" w:hAnsi="宋体" w:cs="宋体"/>
          <w:b/>
          <w:bCs/>
          <w:color w:val="auto"/>
          <w:sz w:val="24"/>
          <w:highlight w:val="none"/>
        </w:rPr>
      </w:pPr>
      <w:bookmarkStart w:id="38" w:name="_Toc35393795"/>
      <w:bookmarkStart w:id="39" w:name="_Toc35393626"/>
      <w:r>
        <w:rPr>
          <w:rFonts w:hint="eastAsia" w:ascii="宋体" w:hAnsi="宋体" w:cs="宋体"/>
          <w:b/>
          <w:bCs/>
          <w:color w:val="auto"/>
          <w:sz w:val="24"/>
          <w:highlight w:val="none"/>
        </w:rPr>
        <w:t>六、其他补充事宜</w:t>
      </w:r>
      <w:bookmarkEnd w:id="38"/>
      <w:bookmarkEnd w:id="39"/>
    </w:p>
    <w:p w14:paraId="7C04BABC">
      <w:pPr>
        <w:keepNext w:val="0"/>
        <w:keepLines w:val="0"/>
        <w:pageBreakBefore w:val="0"/>
        <w:kinsoku/>
        <w:overflowPunct/>
        <w:topLinePunct w:val="0"/>
        <w:autoSpaceDE/>
        <w:autoSpaceDN/>
        <w:bidi w:val="0"/>
        <w:adjustRightInd/>
        <w:spacing w:line="400" w:lineRule="exact"/>
        <w:ind w:firstLine="420" w:firstLineChars="200"/>
        <w:textAlignment w:val="auto"/>
        <w:rPr>
          <w:rFonts w:hint="default" w:ascii="宋体" w:hAnsi="宋体" w:eastAsia="宋体" w:cs="宋体"/>
          <w:color w:val="auto"/>
          <w:kern w:val="0"/>
          <w:szCs w:val="21"/>
          <w:highlight w:val="none"/>
          <w:lang w:val="en-US" w:eastAsia="zh-CN"/>
        </w:rPr>
      </w:pPr>
      <w:bookmarkStart w:id="40" w:name="_Hlk37429585"/>
      <w:bookmarkStart w:id="41" w:name="_Hlk37429595"/>
      <w:bookmarkStart w:id="42" w:name="_Toc35393627"/>
      <w:bookmarkStart w:id="43" w:name="_Toc35393796"/>
      <w:bookmarkStart w:id="44" w:name="_Toc28359085"/>
      <w:bookmarkStart w:id="45" w:name="_Toc28359008"/>
      <w:r>
        <w:rPr>
          <w:rFonts w:hint="eastAsia" w:ascii="宋体" w:hAnsi="宋体" w:cs="宋体"/>
          <w:color w:val="auto"/>
          <w:kern w:val="0"/>
          <w:szCs w:val="21"/>
          <w:highlight w:val="none"/>
        </w:rPr>
        <w:t>1.投标保证金（人民币）：1、2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3、4、5</w:t>
      </w:r>
      <w:r>
        <w:rPr>
          <w:rFonts w:hint="eastAsia" w:ascii="宋体" w:hAnsi="宋体" w:cs="宋体"/>
          <w:color w:val="auto"/>
          <w:kern w:val="0"/>
          <w:szCs w:val="21"/>
          <w:highlight w:val="none"/>
        </w:rPr>
        <w:t>分标：</w:t>
      </w:r>
      <w:r>
        <w:rPr>
          <w:rFonts w:hint="eastAsia" w:ascii="宋体" w:hAnsi="宋体" w:cs="宋体"/>
          <w:color w:val="auto"/>
          <w:kern w:val="0"/>
          <w:szCs w:val="21"/>
          <w:highlight w:val="none"/>
          <w:lang w:val="en-US" w:eastAsia="zh-CN"/>
        </w:rPr>
        <w:t>各</w:t>
      </w:r>
      <w:r>
        <w:rPr>
          <w:rFonts w:hint="eastAsia" w:ascii="宋体" w:hAnsi="宋体" w:cs="宋体"/>
          <w:color w:val="auto"/>
          <w:kern w:val="0"/>
          <w:szCs w:val="21"/>
          <w:highlight w:val="none"/>
        </w:rPr>
        <w:t>分标</w:t>
      </w:r>
      <w:r>
        <w:rPr>
          <w:rFonts w:hint="eastAsia" w:ascii="宋体" w:hAnsi="宋体" w:cs="宋体"/>
          <w:color w:val="auto"/>
          <w:kern w:val="0"/>
          <w:szCs w:val="21"/>
          <w:highlight w:val="none"/>
          <w:lang w:val="en-US" w:eastAsia="zh-CN"/>
        </w:rPr>
        <w:t>80</w:t>
      </w:r>
      <w:r>
        <w:rPr>
          <w:rFonts w:hint="eastAsia" w:ascii="宋体" w:hAnsi="宋体" w:cs="宋体"/>
          <w:color w:val="auto"/>
          <w:kern w:val="0"/>
          <w:szCs w:val="21"/>
          <w:highlight w:val="none"/>
        </w:rPr>
        <w:t>00.00元，</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分标：</w:t>
      </w:r>
      <w:r>
        <w:rPr>
          <w:rFonts w:hint="eastAsia" w:ascii="宋体" w:hAnsi="宋体" w:cs="宋体"/>
          <w:color w:val="auto"/>
          <w:kern w:val="0"/>
          <w:szCs w:val="21"/>
          <w:highlight w:val="none"/>
          <w:lang w:val="en-US" w:eastAsia="zh-CN"/>
        </w:rPr>
        <w:t>50</w:t>
      </w:r>
      <w:r>
        <w:rPr>
          <w:rFonts w:hint="eastAsia" w:ascii="宋体" w:hAnsi="宋体" w:cs="宋体"/>
          <w:color w:val="auto"/>
          <w:kern w:val="0"/>
          <w:szCs w:val="21"/>
          <w:highlight w:val="none"/>
        </w:rPr>
        <w:t>00.00元。</w:t>
      </w:r>
    </w:p>
    <w:p w14:paraId="36016A01">
      <w:pPr>
        <w:keepNext w:val="0"/>
        <w:keepLines w:val="0"/>
        <w:pageBreakBefore w:val="0"/>
        <w:kinsoku/>
        <w:overflowPunct/>
        <w:topLinePunct w:val="0"/>
        <w:autoSpaceDE/>
        <w:autoSpaceDN/>
        <w:bidi w:val="0"/>
        <w:adjustRightInd/>
        <w:spacing w:line="400" w:lineRule="exact"/>
        <w:ind w:firstLine="420" w:firstLineChars="200"/>
        <w:textAlignment w:val="auto"/>
        <w:rPr>
          <w:rFonts w:hint="default" w:ascii="宋体" w:hAnsi="宋体" w:cs="宋体"/>
          <w:color w:val="auto"/>
          <w:kern w:val="0"/>
          <w:szCs w:val="21"/>
          <w:highlight w:val="none"/>
          <w:lang w:val="en-US"/>
        </w:rPr>
      </w:pPr>
      <w:r>
        <w:rPr>
          <w:rFonts w:hint="eastAsia" w:ascii="宋体" w:hAnsi="宋体" w:cs="宋体"/>
          <w:color w:val="auto"/>
          <w:kern w:val="0"/>
          <w:szCs w:val="21"/>
          <w:highlight w:val="none"/>
        </w:rPr>
        <w:t>投标保证金的缴纳方式：以银行转账、支票、汇票、本票或者金融机构、担保机构出具的保函等非现金形式提交。采用银行转账方式的，在投标截止时间前交至采购代理机构指定账户并且到账。汇款时投标人的汇款单据应注明“</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项目编号+标段号）</w:t>
      </w:r>
      <w:r>
        <w:rPr>
          <w:rFonts w:hint="eastAsia" w:ascii="宋体" w:hAnsi="宋体" w:cs="宋体"/>
          <w:color w:val="auto"/>
          <w:kern w:val="0"/>
          <w:szCs w:val="21"/>
          <w:highlight w:val="none"/>
        </w:rPr>
        <w:t>投标保证金”。</w:t>
      </w:r>
    </w:p>
    <w:p w14:paraId="5D464B07">
      <w:pPr>
        <w:keepNext w:val="0"/>
        <w:keepLines w:val="0"/>
        <w:pageBreakBefore w:val="0"/>
        <w:kinsoku/>
        <w:overflowPunct/>
        <w:topLinePunct w:val="0"/>
        <w:autoSpaceDE/>
        <w:autoSpaceDN/>
        <w:bidi w:val="0"/>
        <w:adjustRightInd/>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2.网上查询地址</w:t>
      </w:r>
    </w:p>
    <w:bookmarkEnd w:id="40"/>
    <w:p w14:paraId="106C638C">
      <w:pPr>
        <w:keepNext w:val="0"/>
        <w:keepLines w:val="0"/>
        <w:pageBreakBefore w:val="0"/>
        <w:kinsoku/>
        <w:wordWrap w:val="0"/>
        <w:overflowPunct/>
        <w:topLinePunct w:val="0"/>
        <w:autoSpaceDE/>
        <w:autoSpaceDN/>
        <w:bidi w:val="0"/>
        <w:adjustRightInd/>
        <w:spacing w:line="400" w:lineRule="exact"/>
        <w:ind w:firstLine="424" w:firstLineChars="202"/>
        <w:textAlignment w:val="auto"/>
        <w:rPr>
          <w:rFonts w:hint="eastAsia" w:ascii="宋体" w:hAnsi="宋体" w:cs="宋体"/>
          <w:i/>
          <w:color w:val="auto"/>
          <w:kern w:val="0"/>
          <w:szCs w:val="21"/>
          <w:highlight w:val="none"/>
        </w:rPr>
      </w:pPr>
      <w:r>
        <w:rPr>
          <w:rFonts w:hint="eastAsia" w:ascii="宋体" w:hAnsi="宋体" w:cs="宋体"/>
          <w:color w:val="auto"/>
          <w:kern w:val="0"/>
          <w:szCs w:val="21"/>
          <w:highlight w:val="none"/>
        </w:rPr>
        <w:t>http://www.ccgp.gov.cn（中国政府采购网）、http://zfcg.gxzf.gov.cn（广西壮族自治区政府采购网）、http://gxggzy.gxzf.gov.cn/（广西壮族自治区公共资源交易中心）。</w:t>
      </w:r>
    </w:p>
    <w:bookmarkEnd w:id="41"/>
    <w:p w14:paraId="74CFAFB5">
      <w:pPr>
        <w:keepNext w:val="0"/>
        <w:keepLines w:val="0"/>
        <w:pageBreakBefore w:val="0"/>
        <w:kinsoku/>
        <w:overflowPunct/>
        <w:topLinePunct w:val="0"/>
        <w:autoSpaceDE/>
        <w:autoSpaceDN/>
        <w:bidi w:val="0"/>
        <w:adjustRightInd/>
        <w:spacing w:line="400" w:lineRule="exact"/>
        <w:ind w:firstLine="424" w:firstLineChars="202"/>
        <w:textAlignment w:val="auto"/>
        <w:rPr>
          <w:rFonts w:hint="eastAsia" w:ascii="宋体" w:hAnsi="宋体" w:cs="宋体"/>
          <w:color w:val="auto"/>
          <w:kern w:val="0"/>
          <w:szCs w:val="21"/>
          <w:highlight w:val="none"/>
        </w:rPr>
      </w:pPr>
      <w:bookmarkStart w:id="46" w:name="_Hlk37429674"/>
      <w:r>
        <w:rPr>
          <w:rFonts w:hint="eastAsia" w:ascii="宋体" w:hAnsi="宋体" w:cs="宋体"/>
          <w:color w:val="auto"/>
          <w:szCs w:val="21"/>
          <w:highlight w:val="none"/>
        </w:rPr>
        <w:t>3.</w:t>
      </w:r>
      <w:r>
        <w:rPr>
          <w:rFonts w:hint="eastAsia" w:ascii="宋体" w:hAnsi="宋体" w:cs="宋体"/>
          <w:color w:val="auto"/>
          <w:kern w:val="0"/>
          <w:szCs w:val="21"/>
          <w:highlight w:val="none"/>
        </w:rPr>
        <w:t>本项目需要落实的政府采购政策</w:t>
      </w:r>
    </w:p>
    <w:bookmarkEnd w:id="46"/>
    <w:p w14:paraId="47742AEA">
      <w:pPr>
        <w:keepNext w:val="0"/>
        <w:keepLines w:val="0"/>
        <w:pageBreakBefore w:val="0"/>
        <w:widowControl/>
        <w:kinsoku/>
        <w:overflowPunct/>
        <w:topLinePunct w:val="0"/>
        <w:autoSpaceDE/>
        <w:autoSpaceDN/>
        <w:bidi w:val="0"/>
        <w:adjustRightInd/>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8BF86BB">
      <w:pPr>
        <w:keepNext w:val="0"/>
        <w:keepLines w:val="0"/>
        <w:pageBreakBefore w:val="0"/>
        <w:widowControl/>
        <w:kinsoku/>
        <w:overflowPunct/>
        <w:topLinePunct w:val="0"/>
        <w:autoSpaceDE/>
        <w:autoSpaceDN/>
        <w:bidi w:val="0"/>
        <w:adjustRightInd/>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66E80A44">
      <w:pPr>
        <w:keepNext w:val="0"/>
        <w:keepLines w:val="0"/>
        <w:pageBreakBefore w:val="0"/>
        <w:widowControl/>
        <w:kinsoku/>
        <w:overflowPunct/>
        <w:topLinePunct w:val="0"/>
        <w:autoSpaceDE/>
        <w:autoSpaceDN/>
        <w:bidi w:val="0"/>
        <w:adjustRightInd/>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p w14:paraId="41B3FCA4">
      <w:pPr>
        <w:keepNext w:val="0"/>
        <w:keepLines w:val="0"/>
        <w:pageBreakBefore w:val="0"/>
        <w:widowControl/>
        <w:kinsoku/>
        <w:overflowPunct/>
        <w:topLinePunct w:val="0"/>
        <w:autoSpaceDE/>
        <w:autoSpaceDN/>
        <w:bidi w:val="0"/>
        <w:adjustRightInd/>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（4）强制采购节能产品；优先采购节能产品、环境标志产品。</w:t>
      </w:r>
    </w:p>
    <w:p w14:paraId="408C2B6F">
      <w:pPr>
        <w:keepNext w:val="0"/>
        <w:keepLines w:val="0"/>
        <w:pageBreakBefore w:val="0"/>
        <w:widowControl/>
        <w:kinsoku/>
        <w:overflowPunct/>
        <w:topLinePunct w:val="0"/>
        <w:autoSpaceDE/>
        <w:autoSpaceDN/>
        <w:bidi w:val="0"/>
        <w:adjustRightInd/>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（5）扶持不发达地区和少数民族地区政策。</w:t>
      </w:r>
    </w:p>
    <w:p w14:paraId="0670E076">
      <w:pPr>
        <w:keepNext w:val="0"/>
        <w:keepLines w:val="0"/>
        <w:pageBreakBefore w:val="0"/>
        <w:widowControl/>
        <w:kinsoku/>
        <w:overflowPunct/>
        <w:topLinePunct w:val="0"/>
        <w:autoSpaceDE/>
        <w:autoSpaceDN/>
        <w:bidi w:val="0"/>
        <w:adjustRightInd/>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260C1E9">
      <w:pPr>
        <w:keepNext w:val="0"/>
        <w:keepLines w:val="0"/>
        <w:pageBreakBefore w:val="0"/>
        <w:widowControl/>
        <w:kinsoku/>
        <w:overflowPunct/>
        <w:topLinePunct w:val="0"/>
        <w:autoSpaceDE/>
        <w:autoSpaceDN/>
        <w:bidi w:val="0"/>
        <w:adjustRightInd/>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8869D9E">
      <w:pPr>
        <w:keepNext w:val="0"/>
        <w:keepLines w:val="0"/>
        <w:pageBreakBefore w:val="0"/>
        <w:widowControl/>
        <w:kinsoku/>
        <w:overflowPunct/>
        <w:topLinePunct w:val="0"/>
        <w:autoSpaceDE/>
        <w:autoSpaceDN/>
        <w:bidi w:val="0"/>
        <w:adjustRightInd/>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6.投标人</w:t>
      </w:r>
      <w:r>
        <w:rPr>
          <w:rFonts w:hint="eastAsia" w:ascii="宋体" w:hAnsi="宋体" w:cs="宋体"/>
          <w:color w:val="auto"/>
          <w:szCs w:val="21"/>
          <w:highlight w:val="none"/>
        </w:rPr>
        <w:t>投标注意事项</w:t>
      </w:r>
    </w:p>
    <w:p w14:paraId="0C3F4683">
      <w:pPr>
        <w:keepNext w:val="0"/>
        <w:keepLines w:val="0"/>
        <w:pageBreakBefore w:val="0"/>
        <w:widowControl/>
        <w:kinsoku/>
        <w:wordWrap w:val="0"/>
        <w:overflowPunct/>
        <w:topLinePunct w:val="0"/>
        <w:autoSpaceDE/>
        <w:autoSpaceDN/>
        <w:bidi w:val="0"/>
        <w:adjustRightInd/>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投标人在</w:t>
      </w:r>
      <w:r>
        <w:rPr>
          <w:rFonts w:hint="eastAsia" w:ascii="宋体" w:hAnsi="宋体" w:cs="宋体"/>
          <w:color w:val="auto"/>
          <w:szCs w:val="21"/>
          <w:highlight w:val="none"/>
        </w:rPr>
        <w:t>广西政府采购云平台</w:t>
      </w:r>
      <w:r>
        <w:rPr>
          <w:rFonts w:hint="eastAsia" w:ascii="宋体" w:hAnsi="宋体" w:cs="宋体"/>
          <w:b/>
          <w:color w:val="auto"/>
          <w:szCs w:val="21"/>
          <w:highlight w:val="none"/>
        </w:rPr>
        <w:t>提交电子投标文件时，请填写参加远程开标活动经办人联系方式。</w:t>
      </w:r>
      <w:r>
        <w:rPr>
          <w:rFonts w:hint="eastAsia" w:ascii="宋体" w:hAnsi="宋体" w:cs="宋体"/>
          <w:color w:val="auto"/>
          <w:szCs w:val="21"/>
          <w:highlight w:val="none"/>
        </w:rPr>
        <w:t>投标人登录广西政府采购云平台，依次进入“服务中心-项目采购-操作流程-电子招投标-</w:t>
      </w:r>
      <w:r>
        <w:rPr>
          <w:rFonts w:hint="eastAsia" w:ascii="宋体" w:hAnsi="宋体" w:cs="宋体"/>
          <w:color w:val="auto"/>
          <w:highlight w:val="none"/>
        </w:rPr>
        <w:t>政府采购项目电子交易管理操作指南-供应商</w:t>
      </w:r>
      <w:r>
        <w:rPr>
          <w:rFonts w:hint="eastAsia" w:ascii="宋体" w:hAnsi="宋体" w:cs="宋体"/>
          <w:color w:val="auto"/>
          <w:szCs w:val="21"/>
          <w:highlight w:val="none"/>
        </w:rPr>
        <w:t>”查看电子投标具体操作流程。</w:t>
      </w:r>
    </w:p>
    <w:p w14:paraId="212F6093">
      <w:pPr>
        <w:keepNext w:val="0"/>
        <w:keepLines w:val="0"/>
        <w:pageBreakBefore w:val="0"/>
        <w:widowControl/>
        <w:kinsoku/>
        <w:overflowPunct/>
        <w:topLinePunct w:val="0"/>
        <w:autoSpaceDE/>
        <w:autoSpaceDN/>
        <w:bidi w:val="0"/>
        <w:adjustRightInd/>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w:t>
      </w:r>
      <w:r>
        <w:rPr>
          <w:rFonts w:hint="eastAsia" w:ascii="宋体" w:hAnsi="宋体" w:cs="宋体"/>
          <w:color w:val="auto"/>
          <w:szCs w:val="21"/>
          <w:highlight w:val="none"/>
        </w:rPr>
        <w:t>）。</w:t>
      </w:r>
    </w:p>
    <w:p w14:paraId="15CADBEF">
      <w:pPr>
        <w:keepNext w:val="0"/>
        <w:keepLines w:val="0"/>
        <w:pageBreakBefore w:val="0"/>
        <w:kinsoku/>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4BAA36E1">
      <w:pPr>
        <w:keepNext w:val="0"/>
        <w:keepLines w:val="0"/>
        <w:pageBreakBefore w:val="0"/>
        <w:kinsoku/>
        <w:wordWrap w:val="0"/>
        <w:overflowPunct/>
        <w:topLinePunct w:val="0"/>
        <w:autoSpaceDE/>
        <w:autoSpaceDN/>
        <w:bidi w:val="0"/>
        <w:adjustRightInd/>
        <w:spacing w:line="400" w:lineRule="exact"/>
        <w:ind w:firstLine="424" w:firstLineChars="202"/>
        <w:textAlignment w:val="auto"/>
        <w:rPr>
          <w:rFonts w:hint="eastAsia"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p>
    <w:p w14:paraId="5DF727C4">
      <w:pPr>
        <w:keepNext w:val="0"/>
        <w:keepLines w:val="0"/>
        <w:pageBreakBefore w:val="0"/>
        <w:numPr>
          <w:ilvl w:val="0"/>
          <w:numId w:val="0"/>
        </w:numPr>
        <w:kinsoku/>
        <w:wordWrap w:val="0"/>
        <w:overflowPunct/>
        <w:topLinePunct w:val="0"/>
        <w:autoSpaceDE/>
        <w:autoSpaceDN/>
        <w:bidi w:val="0"/>
        <w:adjustRightInd/>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采购意向公开链接：https://zfcg.gxzf.gov.cn/site/detail?categoryCode=ZcyAnnouncement&amp;parentId=66485&amp;articleId=cZ2A3LjlvuvdIcDgYQwEjg==</w:t>
      </w:r>
    </w:p>
    <w:p w14:paraId="43A1AD3D">
      <w:pPr>
        <w:keepNext w:val="0"/>
        <w:keepLines w:val="0"/>
        <w:pageBreakBefore w:val="0"/>
        <w:kinsoku/>
        <w:overflowPunct/>
        <w:topLinePunct w:val="0"/>
        <w:autoSpaceDE/>
        <w:autoSpaceDN/>
        <w:bidi w:val="0"/>
        <w:adjustRightInd/>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42"/>
      <w:bookmarkEnd w:id="43"/>
      <w:bookmarkEnd w:id="44"/>
      <w:bookmarkEnd w:id="45"/>
    </w:p>
    <w:p w14:paraId="6DA847B4">
      <w:pPr>
        <w:keepNext w:val="0"/>
        <w:keepLines w:val="0"/>
        <w:pageBreakBefore w:val="0"/>
        <w:kinsoku/>
        <w:overflowPunct/>
        <w:topLinePunct w:val="0"/>
        <w:autoSpaceDE/>
        <w:autoSpaceDN/>
        <w:bidi w:val="0"/>
        <w:adjustRightInd/>
        <w:spacing w:line="40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46E2A9DC">
      <w:pPr>
        <w:keepNext w:val="0"/>
        <w:keepLines w:val="0"/>
        <w:pageBreakBefore w:val="0"/>
        <w:kinsoku/>
        <w:overflowPunct/>
        <w:topLinePunct w:val="0"/>
        <w:autoSpaceDE/>
        <w:autoSpaceDN/>
        <w:bidi w:val="0"/>
        <w:adjustRightInd/>
        <w:spacing w:line="400" w:lineRule="exact"/>
        <w:ind w:firstLine="424" w:firstLineChars="202"/>
        <w:jc w:val="left"/>
        <w:textAlignment w:val="auto"/>
        <w:rPr>
          <w:rFonts w:hint="eastAsia" w:ascii="宋体" w:hAnsi="宋体" w:eastAsia="宋体" w:cs="宋体"/>
          <w:color w:val="auto"/>
          <w:szCs w:val="21"/>
          <w:highlight w:val="none"/>
          <w:lang w:eastAsia="zh-CN"/>
        </w:rPr>
      </w:pPr>
      <w:bookmarkStart w:id="47" w:name="_Toc28359009"/>
      <w:bookmarkStart w:id="48" w:name="_Toc28359086"/>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广西壮族自治区农业农村厅</w:t>
      </w:r>
    </w:p>
    <w:p w14:paraId="2B0E2CD9">
      <w:pPr>
        <w:keepNext w:val="0"/>
        <w:keepLines w:val="0"/>
        <w:pageBreakBefore w:val="0"/>
        <w:kinsoku/>
        <w:overflowPunct/>
        <w:topLinePunct w:val="0"/>
        <w:autoSpaceDE/>
        <w:autoSpaceDN/>
        <w:bidi w:val="0"/>
        <w:adjustRightInd/>
        <w:spacing w:line="400" w:lineRule="exact"/>
        <w:ind w:firstLine="424" w:firstLineChars="202"/>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广西壮族自治区南宁市青秀区青山路8号</w:t>
      </w:r>
    </w:p>
    <w:bookmarkEnd w:id="47"/>
    <w:bookmarkEnd w:id="48"/>
    <w:p w14:paraId="5DD81C66">
      <w:pPr>
        <w:keepNext w:val="0"/>
        <w:keepLines w:val="0"/>
        <w:pageBreakBefore w:val="0"/>
        <w:kinsoku/>
        <w:overflowPunct/>
        <w:topLinePunct w:val="0"/>
        <w:autoSpaceDE/>
        <w:autoSpaceDN/>
        <w:bidi w:val="0"/>
        <w:adjustRightInd/>
        <w:snapToGrid w:val="0"/>
        <w:spacing w:line="400" w:lineRule="exact"/>
        <w:ind w:firstLine="420" w:firstLineChars="200"/>
        <w:textAlignment w:val="auto"/>
        <w:rPr>
          <w:rFonts w:ascii="宋体" w:hAnsi="宋体" w:cs="宋体"/>
          <w:color w:val="auto"/>
          <w:szCs w:val="21"/>
          <w:highlight w:val="none"/>
        </w:rPr>
      </w:pPr>
      <w:bookmarkStart w:id="49" w:name="OLE_LINK5"/>
      <w:r>
        <w:rPr>
          <w:rFonts w:hint="eastAsia" w:ascii="宋体" w:hAnsi="宋体" w:cs="宋体"/>
          <w:color w:val="auto"/>
          <w:szCs w:val="21"/>
          <w:highlight w:val="none"/>
        </w:rPr>
        <w:t>项目联系人：陈女士</w:t>
      </w:r>
    </w:p>
    <w:bookmarkEnd w:id="49"/>
    <w:p w14:paraId="50C6B799">
      <w:pPr>
        <w:keepNext w:val="0"/>
        <w:keepLines w:val="0"/>
        <w:pageBreakBefore w:val="0"/>
        <w:kinsoku/>
        <w:overflowPunct/>
        <w:topLinePunct w:val="0"/>
        <w:autoSpaceDE/>
        <w:autoSpaceDN/>
        <w:bidi w:val="0"/>
        <w:adjustRightInd/>
        <w:snapToGrid w:val="0"/>
        <w:spacing w:line="400" w:lineRule="exact"/>
        <w:ind w:firstLine="420" w:firstLineChars="200"/>
        <w:textAlignment w:val="auto"/>
        <w:rPr>
          <w:rFonts w:hint="eastAsia"/>
          <w:color w:val="auto"/>
          <w:highlight w:val="none"/>
        </w:rPr>
      </w:pPr>
      <w:r>
        <w:rPr>
          <w:rFonts w:hint="eastAsia" w:ascii="宋体" w:hAnsi="宋体" w:cs="宋体"/>
          <w:color w:val="auto"/>
          <w:szCs w:val="21"/>
          <w:highlight w:val="none"/>
        </w:rPr>
        <w:t>项目联系方式：0771-2182771</w:t>
      </w:r>
    </w:p>
    <w:p w14:paraId="285F9D19">
      <w:pPr>
        <w:keepNext w:val="0"/>
        <w:keepLines w:val="0"/>
        <w:pageBreakBefore w:val="0"/>
        <w:kinsoku/>
        <w:overflowPunct/>
        <w:topLinePunct w:val="0"/>
        <w:autoSpaceDE/>
        <w:autoSpaceDN/>
        <w:bidi w:val="0"/>
        <w:adjustRightInd/>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7C003A41">
      <w:pPr>
        <w:keepNext w:val="0"/>
        <w:keepLines w:val="0"/>
        <w:pageBreakBefore w:val="0"/>
        <w:kinsoku/>
        <w:overflowPunct/>
        <w:topLinePunct w:val="0"/>
        <w:autoSpaceDE/>
        <w:autoSpaceDN/>
        <w:bidi w:val="0"/>
        <w:adjustRightInd/>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广西建设工程机电设备招标中心有限公司</w:t>
      </w:r>
    </w:p>
    <w:p w14:paraId="2B5BA579">
      <w:pPr>
        <w:keepNext w:val="0"/>
        <w:keepLines w:val="0"/>
        <w:pageBreakBefore w:val="0"/>
        <w:kinsoku/>
        <w:overflowPunct/>
        <w:topLinePunct w:val="0"/>
        <w:autoSpaceDE/>
        <w:autoSpaceDN/>
        <w:bidi w:val="0"/>
        <w:adjustRightInd/>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广西南宁市青秀区枫林路18号广西国控大厦（枫林路办公区）裙楼三楼</w:t>
      </w:r>
    </w:p>
    <w:p w14:paraId="31C894B1">
      <w:pPr>
        <w:keepNext w:val="0"/>
        <w:keepLines w:val="0"/>
        <w:pageBreakBefore w:val="0"/>
        <w:kinsoku/>
        <w:overflowPunct/>
        <w:topLinePunct w:val="0"/>
        <w:autoSpaceDE/>
        <w:autoSpaceDN/>
        <w:bidi w:val="0"/>
        <w:adjustRightInd/>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eastAsia="zh-CN"/>
        </w:rPr>
        <w:t>0771-5581680</w:t>
      </w:r>
    </w:p>
    <w:p w14:paraId="60F0F79B">
      <w:pPr>
        <w:keepNext w:val="0"/>
        <w:keepLines w:val="0"/>
        <w:pageBreakBefore w:val="0"/>
        <w:kinsoku/>
        <w:overflowPunct/>
        <w:topLinePunct w:val="0"/>
        <w:autoSpaceDE/>
        <w:autoSpaceDN/>
        <w:bidi w:val="0"/>
        <w:adjustRightInd/>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3D5A5354">
      <w:pPr>
        <w:keepNext w:val="0"/>
        <w:keepLines w:val="0"/>
        <w:pageBreakBefore w:val="0"/>
        <w:kinsoku/>
        <w:overflowPunct/>
        <w:topLinePunct w:val="0"/>
        <w:autoSpaceDE/>
        <w:autoSpaceDN/>
        <w:bidi w:val="0"/>
        <w:adjustRightInd/>
        <w:spacing w:line="400" w:lineRule="exact"/>
        <w:ind w:firstLine="424" w:firstLineChars="202"/>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黄艳颀、</w:t>
      </w:r>
      <w:r>
        <w:rPr>
          <w:rFonts w:hint="eastAsia" w:ascii="宋体" w:hAnsi="宋体" w:cs="宋体"/>
          <w:color w:val="auto"/>
          <w:szCs w:val="21"/>
          <w:highlight w:val="none"/>
          <w:lang w:val="en-US" w:eastAsia="zh-CN"/>
        </w:rPr>
        <w:t>戴芳萍、鞠丰泽</w:t>
      </w:r>
    </w:p>
    <w:p w14:paraId="208BE262">
      <w:pPr>
        <w:keepNext w:val="0"/>
        <w:keepLines w:val="0"/>
        <w:pageBreakBefore w:val="0"/>
        <w:kinsoku/>
        <w:overflowPunct/>
        <w:topLinePunct w:val="0"/>
        <w:autoSpaceDE/>
        <w:autoSpaceDN/>
        <w:bidi w:val="0"/>
        <w:adjustRightInd/>
        <w:spacing w:line="400" w:lineRule="exact"/>
        <w:ind w:firstLine="424" w:firstLineChars="202"/>
        <w:textAlignment w:val="auto"/>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0771-5581680</w:t>
      </w:r>
    </w:p>
    <w:p w14:paraId="0CD73A49">
      <w:pPr>
        <w:keepNext w:val="0"/>
        <w:keepLines w:val="0"/>
        <w:pageBreakBefore w:val="0"/>
        <w:kinsoku/>
        <w:overflowPunct/>
        <w:topLinePunct w:val="0"/>
        <w:autoSpaceDE/>
        <w:autoSpaceDN/>
        <w:bidi w:val="0"/>
        <w:adjustRightInd/>
        <w:spacing w:line="400" w:lineRule="exact"/>
        <w:textAlignment w:val="auto"/>
        <w:rPr>
          <w:rFonts w:hint="eastAsia" w:ascii="宋体" w:hAnsi="宋体" w:cs="宋体"/>
          <w:color w:val="auto"/>
          <w:szCs w:val="21"/>
          <w:highlight w:val="none"/>
        </w:rPr>
      </w:pPr>
    </w:p>
    <w:p w14:paraId="0C79C91C">
      <w:pPr>
        <w:keepNext w:val="0"/>
        <w:keepLines w:val="0"/>
        <w:pageBreakBefore w:val="0"/>
        <w:kinsoku/>
        <w:overflowPunct/>
        <w:topLinePunct w:val="0"/>
        <w:autoSpaceDE/>
        <w:autoSpaceDN/>
        <w:bidi w:val="0"/>
        <w:adjustRightInd/>
        <w:spacing w:line="400" w:lineRule="exact"/>
        <w:jc w:val="right"/>
        <w:textAlignment w:val="auto"/>
        <w:rPr>
          <w:rFonts w:hint="eastAsia" w:ascii="宋体" w:hAnsi="宋体" w:cs="宋体"/>
          <w:b/>
          <w:bCs/>
          <w:color w:val="auto"/>
          <w:highlight w:val="none"/>
        </w:rPr>
      </w:pPr>
      <w:r>
        <w:rPr>
          <w:rFonts w:hint="eastAsia" w:ascii="宋体" w:hAnsi="宋体" w:cs="宋体"/>
          <w:color w:val="auto"/>
          <w:szCs w:val="21"/>
          <w:highlight w:val="none"/>
        </w:rPr>
        <w:t>采购代理机构：</w:t>
      </w:r>
      <w:r>
        <w:rPr>
          <w:rFonts w:hint="eastAsia" w:ascii="宋体" w:hAnsi="宋体" w:cs="宋体"/>
          <w:color w:val="auto"/>
          <w:szCs w:val="21"/>
          <w:highlight w:val="none"/>
          <w:lang w:eastAsia="zh-CN"/>
        </w:rPr>
        <w:t>广西建设工程机电设备招标中心有限公司</w:t>
      </w:r>
      <w:r>
        <w:rPr>
          <w:rFonts w:hint="eastAsia" w:ascii="宋体" w:hAnsi="宋体" w:cs="宋体"/>
          <w:b/>
          <w:bCs/>
          <w:color w:val="auto"/>
          <w:highlight w:val="none"/>
        </w:rPr>
        <w:t xml:space="preserve"> </w:t>
      </w:r>
    </w:p>
    <w:p w14:paraId="32B39CC4">
      <w:pPr>
        <w:keepNext w:val="0"/>
        <w:keepLines w:val="0"/>
        <w:pageBreakBefore w:val="0"/>
        <w:kinsoku/>
        <w:overflowPunct/>
        <w:topLinePunct w:val="0"/>
        <w:autoSpaceDE/>
        <w:autoSpaceDN/>
        <w:bidi w:val="0"/>
        <w:adjustRightInd/>
        <w:spacing w:line="400" w:lineRule="exact"/>
        <w:ind w:firstLine="4095" w:firstLineChars="1950"/>
        <w:jc w:val="right"/>
        <w:textAlignment w:val="auto"/>
        <w:rPr>
          <w:rFonts w:hint="eastAsia" w:ascii="宋体" w:hAnsi="宋体" w:cs="宋体"/>
          <w:b/>
          <w:bCs/>
          <w:color w:val="auto"/>
          <w:highlight w:val="none"/>
        </w:rPr>
      </w:pP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20</w:t>
      </w:r>
      <w:r>
        <w:rPr>
          <w:rFonts w:hint="eastAsia" w:ascii="宋体" w:hAnsi="宋体" w:cs="宋体"/>
          <w:bCs/>
          <w:color w:val="auto"/>
          <w:kern w:val="0"/>
          <w:szCs w:val="21"/>
          <w:highlight w:val="none"/>
        </w:rPr>
        <w:t>日</w:t>
      </w:r>
    </w:p>
    <w:p w14:paraId="23708B30">
      <w:pPr>
        <w:pStyle w:val="2"/>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cs="宋体"/>
          <w:color w:val="auto"/>
          <w:highlight w:val="none"/>
        </w:rPr>
      </w:pPr>
      <w:r>
        <w:rPr>
          <w:rFonts w:hint="eastAsia" w:ascii="宋体" w:hAnsi="宋体" w:cs="宋体"/>
          <w:color w:val="auto"/>
          <w:sz w:val="24"/>
          <w:szCs w:val="20"/>
          <w:highlight w:val="none"/>
        </w:rPr>
        <w:br w:type="page"/>
      </w:r>
      <w:bookmarkStart w:id="50" w:name="_Toc29892"/>
      <w:bookmarkStart w:id="51" w:name="_Toc28054"/>
      <w:bookmarkStart w:id="52" w:name="_Toc12941"/>
      <w:r>
        <w:rPr>
          <w:rFonts w:hint="eastAsia" w:ascii="宋体" w:hAnsi="宋体" w:cs="宋体"/>
          <w:color w:val="auto"/>
          <w:highlight w:val="none"/>
        </w:rPr>
        <w:t>第二章  采购需求</w:t>
      </w:r>
      <w:bookmarkEnd w:id="50"/>
      <w:bookmarkEnd w:id="51"/>
      <w:bookmarkEnd w:id="52"/>
    </w:p>
    <w:p w14:paraId="75F253E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一、说明：</w:t>
      </w:r>
    </w:p>
    <w:p w14:paraId="26AE9E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1.为落实政府采购政策需满足的要求</w:t>
      </w:r>
    </w:p>
    <w:p w14:paraId="15E832A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本招标文件所称中小企业必须符合《政府采购促进中小企业发展管理办法》（财库〔2020〕46号）的规定。</w:t>
      </w:r>
    </w:p>
    <w:p w14:paraId="2048B8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5BA4A8F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3.投标人必须自行为其投标产品侵犯他人的知识产权或者专利成果的行为承担相应法律责任。</w:t>
      </w:r>
    </w:p>
    <w:p w14:paraId="75FB0B8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color w:val="auto"/>
          <w:szCs w:val="21"/>
          <w:highlight w:val="none"/>
        </w:rPr>
      </w:pPr>
      <w:r>
        <w:rPr>
          <w:rFonts w:hint="eastAsia" w:ascii="宋体" w:hAnsi="宋体" w:cs="宋体"/>
          <w:b/>
          <w:color w:val="auto"/>
          <w:szCs w:val="21"/>
          <w:highlight w:val="none"/>
        </w:rPr>
        <w:t>4.采购内容的中小企业划分标准所属行业名称：</w:t>
      </w:r>
      <w:r>
        <w:rPr>
          <w:rFonts w:hint="eastAsia" w:ascii="宋体" w:hAnsi="宋体" w:cs="宋体"/>
          <w:b/>
          <w:color w:val="auto"/>
          <w:szCs w:val="21"/>
          <w:highlight w:val="none"/>
          <w:u w:val="single"/>
        </w:rPr>
        <w:t>其他未列明行业</w:t>
      </w:r>
      <w:r>
        <w:rPr>
          <w:rFonts w:hint="eastAsia" w:ascii="宋体" w:hAnsi="宋体" w:cs="宋体"/>
          <w:bCs/>
          <w:color w:val="auto"/>
          <w:szCs w:val="21"/>
          <w:highlight w:val="none"/>
        </w:rPr>
        <w:t>。</w:t>
      </w:r>
    </w:p>
    <w:p w14:paraId="6141062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color w:val="auto"/>
          <w:szCs w:val="21"/>
          <w:highlight w:val="none"/>
        </w:rPr>
      </w:pPr>
      <w:r>
        <w:rPr>
          <w:rFonts w:hint="eastAsia" w:ascii="宋体" w:hAnsi="宋体" w:cs="宋体"/>
          <w:b/>
          <w:color w:val="auto"/>
          <w:szCs w:val="21"/>
          <w:highlight w:val="none"/>
        </w:rPr>
        <w:t>5.</w:t>
      </w:r>
      <w:r>
        <w:rPr>
          <w:rFonts w:hint="eastAsia" w:ascii="宋体" w:hAnsi="宋体" w:cs="宋体"/>
          <w:b/>
          <w:color w:val="auto"/>
          <w:szCs w:val="21"/>
          <w:highlight w:val="none"/>
          <w:lang w:val="en-US" w:eastAsia="zh-CN"/>
        </w:rPr>
        <w:t>最高限价</w:t>
      </w: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万</w:t>
      </w:r>
      <w:r>
        <w:rPr>
          <w:rFonts w:hint="eastAsia" w:ascii="宋体" w:hAnsi="宋体" w:cs="宋体"/>
          <w:b/>
          <w:color w:val="auto"/>
          <w:szCs w:val="21"/>
          <w:highlight w:val="none"/>
        </w:rPr>
        <w:t>元）：</w:t>
      </w:r>
      <w:r>
        <w:rPr>
          <w:rFonts w:hint="eastAsia" w:ascii="宋体" w:hAnsi="宋体" w:cs="宋体"/>
          <w:b/>
          <w:color w:val="auto"/>
          <w:szCs w:val="21"/>
          <w:highlight w:val="none"/>
          <w:lang w:val="en-US" w:eastAsia="zh-CN"/>
        </w:rPr>
        <w:t>各标段预算为最高限价，不得超支。</w:t>
      </w:r>
    </w:p>
    <w:p w14:paraId="4C22211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6.采购需求要求未尽事宜由采购人与中标供应商在采购合同中约定。</w:t>
      </w:r>
    </w:p>
    <w:p w14:paraId="23034F7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7.</w:t>
      </w:r>
      <w:r>
        <w:rPr>
          <w:rFonts w:hint="eastAsia" w:ascii="宋体" w:hAnsi="宋体" w:cs="宋体"/>
          <w:b/>
          <w:bCs w:val="0"/>
          <w:color w:val="auto"/>
          <w:kern w:val="0"/>
          <w:szCs w:val="21"/>
          <w:highlight w:val="none"/>
          <w:lang w:val="en-US" w:eastAsia="zh-CN"/>
        </w:rPr>
        <w:t>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r>
        <w:rPr>
          <w:rFonts w:hint="eastAsia" w:ascii="宋体" w:hAnsi="宋体" w:eastAsia="宋体" w:cs="宋体"/>
          <w:b/>
          <w:bCs/>
          <w:color w:val="auto"/>
          <w:szCs w:val="21"/>
          <w:highlight w:val="none"/>
          <w:lang w:val="en-US" w:eastAsia="zh-CN"/>
        </w:rPr>
        <w:t xml:space="preserve"> </w:t>
      </w:r>
    </w:p>
    <w:p w14:paraId="15D4E7F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8.本项目采购需求表中，若有要求提供的证明文件材料或承诺书的，请在《技术要求偏离表》或《商务要求偏离表》中应答时，同时注明相关文件材料或承诺书放置的页码。</w:t>
      </w:r>
    </w:p>
    <w:p w14:paraId="30561A2D">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rPr>
      </w:pPr>
    </w:p>
    <w:p w14:paraId="4A8B09D3">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 w:val="24"/>
          <w:highlight w:val="none"/>
        </w:rPr>
      </w:pPr>
      <w:r>
        <w:rPr>
          <w:rFonts w:hint="eastAsia" w:ascii="宋体" w:hAnsi="宋体" w:cs="宋体"/>
          <w:b/>
          <w:color w:val="auto"/>
          <w:szCs w:val="21"/>
          <w:highlight w:val="none"/>
        </w:rPr>
        <w:t>二、技术及商务要求：</w:t>
      </w:r>
    </w:p>
    <w:p w14:paraId="7C7F72D7">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color w:val="auto"/>
          <w:sz w:val="21"/>
          <w:szCs w:val="21"/>
          <w:highlight w:val="none"/>
        </w:rPr>
      </w:pPr>
      <w:bookmarkStart w:id="53" w:name="OLE_LINK134"/>
      <w:bookmarkStart w:id="54" w:name="OLE_LINK133"/>
      <w:r>
        <w:rPr>
          <w:rFonts w:hint="eastAsia" w:ascii="宋体" w:hAnsi="宋体" w:eastAsia="宋体" w:cs="宋体"/>
          <w:b/>
          <w:bCs/>
          <w:color w:val="auto"/>
          <w:sz w:val="21"/>
          <w:szCs w:val="21"/>
          <w:highlight w:val="none"/>
        </w:rPr>
        <w:t>分标1：预算金额</w:t>
      </w:r>
      <w:bookmarkStart w:id="55" w:name="OLE_LINK183"/>
      <w:bookmarkStart w:id="56" w:name="OLE_LINK182"/>
      <w:r>
        <w:rPr>
          <w:rFonts w:hint="eastAsia" w:ascii="宋体" w:hAnsi="宋体" w:cs="宋体"/>
          <w:b/>
          <w:bCs/>
          <w:color w:val="auto"/>
          <w:sz w:val="21"/>
          <w:szCs w:val="21"/>
          <w:highlight w:val="none"/>
          <w:lang w:val="en-US" w:eastAsia="zh-CN"/>
        </w:rPr>
        <w:t>170.00万元</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336"/>
        <w:gridCol w:w="935"/>
        <w:gridCol w:w="6742"/>
      </w:tblGrid>
      <w:tr w14:paraId="7BC7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86" w:type="dxa"/>
            <w:gridSpan w:val="4"/>
            <w:noWrap w:val="0"/>
            <w:vAlign w:val="center"/>
          </w:tcPr>
          <w:p w14:paraId="2D1D8E6F">
            <w:pPr>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
                <w:bCs/>
                <w:color w:val="auto"/>
                <w:sz w:val="21"/>
                <w:szCs w:val="21"/>
                <w:highlight w:val="none"/>
              </w:rPr>
            </w:pPr>
            <w:bookmarkStart w:id="57" w:name="OLE_LINK56"/>
            <w:bookmarkStart w:id="58" w:name="OLE_LINK57"/>
            <w:r>
              <w:rPr>
                <w:rFonts w:hint="eastAsia" w:ascii="宋体" w:hAnsi="宋体" w:eastAsia="宋体" w:cs="宋体"/>
                <w:b/>
                <w:color w:val="auto"/>
                <w:sz w:val="21"/>
                <w:szCs w:val="21"/>
                <w:highlight w:val="none"/>
              </w:rPr>
              <w:t>一、</w:t>
            </w:r>
            <w:bookmarkStart w:id="59" w:name="OLE_LINK51"/>
            <w:bookmarkStart w:id="60" w:name="OLE_LINK50"/>
            <w:r>
              <w:rPr>
                <w:rFonts w:hint="eastAsia" w:ascii="宋体" w:hAnsi="宋体" w:eastAsia="宋体" w:cs="宋体"/>
                <w:b/>
                <w:color w:val="auto"/>
                <w:sz w:val="21"/>
                <w:szCs w:val="21"/>
                <w:highlight w:val="none"/>
              </w:rPr>
              <w:t>需求一览表</w:t>
            </w:r>
            <w:bookmarkEnd w:id="59"/>
            <w:bookmarkEnd w:id="60"/>
          </w:p>
        </w:tc>
      </w:tr>
      <w:tr w14:paraId="5E64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noWrap w:val="0"/>
            <w:vAlign w:val="center"/>
          </w:tcPr>
          <w:p w14:paraId="215D306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336" w:type="dxa"/>
            <w:noWrap w:val="0"/>
            <w:vAlign w:val="center"/>
          </w:tcPr>
          <w:p w14:paraId="31A9016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935" w:type="dxa"/>
            <w:noWrap w:val="0"/>
            <w:vAlign w:val="center"/>
          </w:tcPr>
          <w:p w14:paraId="1ECE7798">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数量及单位</w:t>
            </w:r>
          </w:p>
        </w:tc>
        <w:tc>
          <w:tcPr>
            <w:tcW w:w="6742" w:type="dxa"/>
            <w:noWrap w:val="0"/>
            <w:vAlign w:val="center"/>
          </w:tcPr>
          <w:p w14:paraId="771C2C13">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bookmarkStart w:id="61" w:name="OLE_LINK181"/>
            <w:bookmarkStart w:id="62" w:name="OLE_LINK180"/>
            <w:r>
              <w:rPr>
                <w:rFonts w:hint="eastAsia" w:ascii="宋体" w:hAnsi="宋体" w:eastAsia="宋体" w:cs="宋体"/>
                <w:b/>
                <w:color w:val="auto"/>
                <w:sz w:val="21"/>
                <w:szCs w:val="21"/>
                <w:highlight w:val="none"/>
              </w:rPr>
              <w:t>▲</w:t>
            </w:r>
            <w:bookmarkEnd w:id="61"/>
            <w:bookmarkEnd w:id="62"/>
            <w:bookmarkStart w:id="63" w:name="OLE_LINK58"/>
            <w:bookmarkStart w:id="64" w:name="OLE_LINK59"/>
            <w:r>
              <w:rPr>
                <w:rFonts w:hint="eastAsia" w:ascii="宋体" w:hAnsi="宋体" w:eastAsia="宋体" w:cs="宋体"/>
                <w:b/>
                <w:bCs/>
                <w:color w:val="auto"/>
                <w:sz w:val="21"/>
                <w:szCs w:val="21"/>
                <w:highlight w:val="none"/>
              </w:rPr>
              <w:t>服务参数及要求</w:t>
            </w:r>
            <w:bookmarkEnd w:id="63"/>
            <w:bookmarkEnd w:id="64"/>
          </w:p>
        </w:tc>
      </w:tr>
      <w:tr w14:paraId="7778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73" w:type="dxa"/>
            <w:noWrap w:val="0"/>
            <w:vAlign w:val="center"/>
          </w:tcPr>
          <w:p w14:paraId="596BD6EE">
            <w:pPr>
              <w:keepNext w:val="0"/>
              <w:keepLines w:val="0"/>
              <w:pageBreakBefore w:val="0"/>
              <w:widowControl w:val="0"/>
              <w:kinsoku/>
              <w:wordWrap/>
              <w:overflowPunct/>
              <w:topLinePunct w:val="0"/>
              <w:autoSpaceDE/>
              <w:autoSpaceDN/>
              <w:bidi w:val="0"/>
              <w:adjustRightInd w:val="0"/>
              <w:spacing w:line="400" w:lineRule="exact"/>
              <w:jc w:val="center"/>
              <w:textAlignment w:val="auto"/>
              <w:rPr>
                <w:rFonts w:hint="eastAsia" w:ascii="宋体" w:hAnsi="宋体" w:eastAsia="宋体" w:cs="宋体"/>
                <w:color w:val="auto"/>
                <w:sz w:val="21"/>
                <w:szCs w:val="21"/>
                <w:highlight w:val="none"/>
              </w:rPr>
            </w:pPr>
            <w:bookmarkStart w:id="65" w:name="OLE_LINK190" w:colFirst="3" w:colLast="67"/>
            <w:bookmarkStart w:id="66" w:name="OLE_LINK189" w:colFirst="3" w:colLast="67"/>
            <w:bookmarkStart w:id="67" w:name="_Hlk231215804"/>
            <w:r>
              <w:rPr>
                <w:rFonts w:hint="eastAsia" w:ascii="宋体" w:hAnsi="宋体" w:eastAsia="宋体" w:cs="宋体"/>
                <w:color w:val="auto"/>
                <w:sz w:val="21"/>
                <w:szCs w:val="21"/>
                <w:highlight w:val="none"/>
              </w:rPr>
              <w:t>1</w:t>
            </w:r>
          </w:p>
        </w:tc>
        <w:tc>
          <w:tcPr>
            <w:tcW w:w="1336" w:type="dxa"/>
            <w:noWrap w:val="0"/>
            <w:vAlign w:val="center"/>
          </w:tcPr>
          <w:p w14:paraId="2AEF5AC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cs="仿宋_GB2312"/>
                <w:color w:val="auto"/>
                <w:szCs w:val="21"/>
                <w:highlight w:val="none"/>
                <w:lang w:eastAsia="zh-CN"/>
              </w:rPr>
              <w:t>2026年农产品检测项目采购</w:t>
            </w:r>
            <w:r>
              <w:rPr>
                <w:rFonts w:hint="eastAsia" w:ascii="宋体" w:hAnsi="宋体" w:cs="仿宋_GB2312"/>
                <w:color w:val="auto"/>
                <w:szCs w:val="21"/>
                <w:highlight w:val="none"/>
              </w:rPr>
              <w:t>（</w:t>
            </w:r>
            <w:r>
              <w:rPr>
                <w:rFonts w:hint="eastAsia" w:ascii="宋体" w:hAnsi="宋体" w:cs="仿宋_GB2312"/>
                <w:color w:val="auto"/>
                <w:szCs w:val="21"/>
                <w:highlight w:val="none"/>
                <w:lang w:val="en-US" w:eastAsia="zh-CN"/>
              </w:rPr>
              <w:t>种植业一</w:t>
            </w:r>
            <w:r>
              <w:rPr>
                <w:rFonts w:hint="eastAsia" w:ascii="宋体" w:hAnsi="宋体" w:cs="仿宋_GB2312"/>
                <w:color w:val="auto"/>
                <w:szCs w:val="21"/>
                <w:highlight w:val="none"/>
              </w:rPr>
              <w:t>）</w:t>
            </w:r>
          </w:p>
        </w:tc>
        <w:tc>
          <w:tcPr>
            <w:tcW w:w="935" w:type="dxa"/>
            <w:noWrap w:val="0"/>
            <w:vAlign w:val="center"/>
          </w:tcPr>
          <w:p w14:paraId="614EFED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1批</w:t>
            </w:r>
          </w:p>
        </w:tc>
        <w:tc>
          <w:tcPr>
            <w:tcW w:w="6742" w:type="dxa"/>
            <w:noWrap w:val="0"/>
            <w:vAlign w:val="center"/>
          </w:tcPr>
          <w:p w14:paraId="2BD6AC19">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一、开展种植业产品胶体金速测技术推广服务≥</w:t>
            </w:r>
            <w:r>
              <w:rPr>
                <w:rFonts w:hint="eastAsia" w:ascii="宋体" w:hAnsi="宋体" w:cs="宋体"/>
                <w:color w:val="auto"/>
                <w:kern w:val="0"/>
                <w:sz w:val="21"/>
                <w:szCs w:val="21"/>
                <w:highlight w:val="none"/>
                <w:lang w:val="en-US" w:eastAsia="zh-CN"/>
              </w:rPr>
              <w:t>2万</w:t>
            </w:r>
            <w:r>
              <w:rPr>
                <w:rFonts w:hint="eastAsia" w:ascii="宋体" w:hAnsi="宋体" w:eastAsia="宋体" w:cs="宋体"/>
                <w:color w:val="auto"/>
                <w:kern w:val="0"/>
                <w:sz w:val="21"/>
                <w:szCs w:val="21"/>
                <w:highlight w:val="none"/>
              </w:rPr>
              <w:t>批次，由中标人根据采购人要求到南宁、崇左</w:t>
            </w:r>
            <w:r>
              <w:rPr>
                <w:rFonts w:hint="eastAsia" w:ascii="宋体" w:hAnsi="宋体" w:cs="宋体"/>
                <w:color w:val="auto"/>
                <w:kern w:val="0"/>
                <w:sz w:val="21"/>
                <w:szCs w:val="21"/>
                <w:highlight w:val="none"/>
                <w:lang w:eastAsia="zh-CN"/>
              </w:rPr>
              <w:t>等</w:t>
            </w:r>
            <w:r>
              <w:rPr>
                <w:rFonts w:hint="eastAsia" w:ascii="宋体" w:hAnsi="宋体" w:eastAsia="宋体" w:cs="宋体"/>
                <w:color w:val="auto"/>
                <w:kern w:val="0"/>
                <w:sz w:val="21"/>
                <w:szCs w:val="21"/>
                <w:highlight w:val="none"/>
              </w:rPr>
              <w:t>指定地点</w:t>
            </w:r>
            <w:r>
              <w:rPr>
                <w:rFonts w:hint="eastAsia" w:ascii="宋体" w:hAnsi="宋体" w:cs="宋体"/>
                <w:color w:val="auto"/>
                <w:kern w:val="0"/>
                <w:sz w:val="21"/>
                <w:szCs w:val="21"/>
                <w:highlight w:val="none"/>
                <w:lang w:val="en-US" w:eastAsia="zh-CN"/>
              </w:rPr>
              <w:t>针对豇豆、甘薯、香蕉、芒果、柑橘类、火龙果等种植业重点品种开展上市前胶体金速测，重点检测相关品种的易检出禁限用农药及易超标常规农药</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并提供相关的技术支撑、技术培训，达到速测技术推广服务要求。中标价格包含样品、试剂耗材、数据统计分析、检测服务、技术培训、技术支持等所有相关费用。每批次胶体金快速检测不少于5个参数，快速检测试纸技术参数根据采购人要求的检测样品以及实际情况决定，服务商使用的快速检测试纸需具备以下技术要求。</w:t>
            </w:r>
          </w:p>
          <w:p w14:paraId="2E5BE292">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1、包装组成：</w:t>
            </w:r>
          </w:p>
          <w:p w14:paraId="0B385B88">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（1）密封包装，能保证样品的有效性。密封包装上应直接印有产品名称、生产厂家、品牌、商标、生产日期、有效期、注意事项、储存条件等相关信息；</w:t>
            </w:r>
          </w:p>
          <w:p w14:paraId="524725CF">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（2）保存简便、室温操作，保质期至少1年。</w:t>
            </w:r>
          </w:p>
          <w:p w14:paraId="1E7D91EF">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2、检测技术要求：</w:t>
            </w:r>
          </w:p>
          <w:p w14:paraId="64FA048F">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（1）各参数农残检出限能完全匹配GB2763-2026食品中农药最大残留限量要求；假阴性率小于2%，假阳性率小于4%。             </w:t>
            </w:r>
          </w:p>
          <w:p w14:paraId="068833AA">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（2）胶体金检测卡本身具有质量控制对照线并附有专属二维码（不可贴标、需喷码；可用于检测时扫码识别统计及追溯）及产品名称、品牌信息；（初次报价时提供产品说明书或承诺函）；</w:t>
            </w:r>
          </w:p>
          <w:p w14:paraId="4C6DEA7D">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（3）检测单个样品时，从样品前处理到结果判断 整个过程要求在20分钟内完成；判读结果时间：5-8分钟内/条；（提供产品说明书或承诺函）</w:t>
            </w:r>
          </w:p>
          <w:p w14:paraId="0F95D2E1">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（4）快速检测试纸条特异性强，与结构类似物交叉反应小。 </w:t>
            </w:r>
          </w:p>
          <w:p w14:paraId="5DB076D0">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（5）判读标准：以有无测试线为准</w:t>
            </w:r>
            <w:bookmarkStart w:id="68" w:name="OLE_LINK162"/>
            <w:bookmarkStart w:id="69" w:name="OLE_LINK161"/>
            <w:r>
              <w:rPr>
                <w:rFonts w:hint="eastAsia" w:ascii="宋体" w:hAnsi="宋体" w:eastAsia="宋体" w:cs="宋体"/>
                <w:color w:val="auto"/>
                <w:kern w:val="0"/>
                <w:sz w:val="21"/>
                <w:szCs w:val="21"/>
                <w:highlight w:val="none"/>
              </w:rPr>
              <w:t>进行判定，</w:t>
            </w:r>
            <w:bookmarkEnd w:id="68"/>
            <w:bookmarkEnd w:id="69"/>
            <w:r>
              <w:rPr>
                <w:rFonts w:hint="eastAsia" w:ascii="宋体" w:hAnsi="宋体" w:eastAsia="宋体" w:cs="宋体"/>
                <w:color w:val="auto"/>
                <w:kern w:val="0"/>
                <w:sz w:val="21"/>
                <w:szCs w:val="21"/>
                <w:highlight w:val="none"/>
              </w:rPr>
              <w:t>或采取检测线（T线）与</w:t>
            </w:r>
            <w:bookmarkStart w:id="70" w:name="OLE_LINK207"/>
            <w:bookmarkStart w:id="71" w:name="OLE_LINK208"/>
            <w:r>
              <w:rPr>
                <w:rFonts w:hint="eastAsia" w:ascii="宋体" w:hAnsi="宋体" w:eastAsia="宋体" w:cs="宋体"/>
                <w:color w:val="auto"/>
                <w:kern w:val="0"/>
                <w:sz w:val="21"/>
                <w:szCs w:val="21"/>
                <w:highlight w:val="none"/>
              </w:rPr>
              <w:t>质量控制线</w:t>
            </w:r>
            <w:bookmarkEnd w:id="70"/>
            <w:bookmarkEnd w:id="71"/>
            <w:r>
              <w:rPr>
                <w:rFonts w:hint="eastAsia" w:ascii="宋体" w:hAnsi="宋体" w:eastAsia="宋体" w:cs="宋体"/>
                <w:color w:val="auto"/>
                <w:kern w:val="0"/>
                <w:sz w:val="21"/>
                <w:szCs w:val="21"/>
                <w:highlight w:val="none"/>
              </w:rPr>
              <w:t>（C 线）颜色深浅对比进行判定；</w:t>
            </w:r>
          </w:p>
          <w:p w14:paraId="5204C965">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（6）检测结果稳定，在 30 分钟后结果仍不发生变化；</w:t>
            </w:r>
          </w:p>
          <w:p w14:paraId="3163AAD4">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bookmarkStart w:id="72" w:name="OLE_LINK166"/>
            <w:bookmarkStart w:id="73" w:name="OLE_LINK165"/>
            <w:r>
              <w:rPr>
                <w:rFonts w:hint="eastAsia" w:ascii="宋体" w:hAnsi="宋体" w:eastAsia="宋体" w:cs="宋体"/>
                <w:color w:val="auto"/>
                <w:kern w:val="0"/>
                <w:sz w:val="21"/>
                <w:szCs w:val="21"/>
                <w:highlight w:val="none"/>
              </w:rPr>
              <w:t>胶体金试纸条检测结果能通过移动终端（手机等）应用程序拍照或插卡自动判定检测结果。</w:t>
            </w:r>
            <w:bookmarkEnd w:id="72"/>
            <w:bookmarkEnd w:id="73"/>
            <w:r>
              <w:rPr>
                <w:rFonts w:hint="eastAsia" w:ascii="宋体" w:hAnsi="宋体" w:eastAsia="宋体" w:cs="宋体"/>
                <w:color w:val="auto"/>
                <w:kern w:val="0"/>
                <w:sz w:val="21"/>
                <w:szCs w:val="21"/>
                <w:highlight w:val="none"/>
              </w:rPr>
              <w:t xml:space="preserve"> </w:t>
            </w:r>
          </w:p>
          <w:p w14:paraId="5DDE43EC">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（8）移动终端</w:t>
            </w:r>
            <w:bookmarkStart w:id="74" w:name="OLE_LINK168"/>
            <w:bookmarkStart w:id="75" w:name="OLE_LINK169"/>
            <w:r>
              <w:rPr>
                <w:rFonts w:hint="eastAsia" w:ascii="宋体" w:hAnsi="宋体" w:eastAsia="宋体" w:cs="宋体"/>
                <w:color w:val="auto"/>
                <w:kern w:val="0"/>
                <w:sz w:val="21"/>
                <w:szCs w:val="21"/>
                <w:highlight w:val="none"/>
              </w:rPr>
              <w:t>（手机端）</w:t>
            </w:r>
            <w:bookmarkEnd w:id="74"/>
            <w:bookmarkEnd w:id="75"/>
            <w:r>
              <w:rPr>
                <w:rFonts w:hint="eastAsia" w:ascii="宋体" w:hAnsi="宋体" w:eastAsia="宋体" w:cs="宋体"/>
                <w:color w:val="auto"/>
                <w:kern w:val="0"/>
                <w:sz w:val="21"/>
                <w:szCs w:val="21"/>
                <w:highlight w:val="none"/>
              </w:rPr>
              <w:t xml:space="preserve">应用程序能够判读胶体金试纸条检测线（T线）和质量控制线（C线）的比值，即显示T/C值，并直接给出判定结果。  </w:t>
            </w:r>
          </w:p>
          <w:p w14:paraId="22B6A05B">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（9）判读数据通过移动终端（手机等）应用程序，对接至相关监管平台小程序，保证实时上传至指定的监管平台，确保数据安全，只向客户指定的平台对接数据。</w:t>
            </w:r>
          </w:p>
          <w:p w14:paraId="3190F6A1">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（10）胶体金</w:t>
            </w:r>
            <w:bookmarkStart w:id="76" w:name="OLE_LINK164"/>
            <w:bookmarkStart w:id="77" w:name="OLE_LINK163"/>
            <w:r>
              <w:rPr>
                <w:rFonts w:hint="eastAsia" w:ascii="宋体" w:hAnsi="宋体" w:eastAsia="宋体" w:cs="宋体"/>
                <w:color w:val="auto"/>
                <w:kern w:val="0"/>
                <w:sz w:val="21"/>
                <w:szCs w:val="21"/>
                <w:highlight w:val="none"/>
              </w:rPr>
              <w:t>试纸条</w:t>
            </w:r>
            <w:bookmarkEnd w:id="76"/>
            <w:bookmarkEnd w:id="77"/>
            <w:r>
              <w:rPr>
                <w:rFonts w:hint="eastAsia" w:ascii="宋体" w:hAnsi="宋体" w:eastAsia="宋体" w:cs="宋体"/>
                <w:color w:val="auto"/>
                <w:kern w:val="0"/>
                <w:sz w:val="21"/>
                <w:szCs w:val="21"/>
                <w:highlight w:val="none"/>
              </w:rPr>
              <w:t xml:space="preserve">检测结果判读和图片上传实时同步进行，结果可追溯，不可篡改。 </w:t>
            </w:r>
          </w:p>
          <w:p w14:paraId="00874F52">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bookmarkStart w:id="78" w:name="OLE_LINK170"/>
            <w:bookmarkStart w:id="79" w:name="OLE_LINK171"/>
            <w:r>
              <w:rPr>
                <w:rFonts w:hint="eastAsia" w:ascii="宋体" w:hAnsi="宋体" w:eastAsia="宋体" w:cs="宋体"/>
                <w:color w:val="auto"/>
                <w:kern w:val="0"/>
                <w:sz w:val="21"/>
                <w:szCs w:val="21"/>
                <w:highlight w:val="none"/>
              </w:rPr>
              <w:t>试纸条出厂前针对不同基质中的不同检出限要求，进行批批验证，确保质量稳定</w:t>
            </w:r>
            <w:bookmarkStart w:id="80" w:name="OLE_LINK175"/>
            <w:bookmarkStart w:id="81" w:name="OLE_LINK173"/>
            <w:r>
              <w:rPr>
                <w:rFonts w:hint="eastAsia" w:ascii="宋体" w:hAnsi="宋体" w:eastAsia="宋体" w:cs="宋体"/>
                <w:color w:val="auto"/>
                <w:kern w:val="0"/>
                <w:sz w:val="21"/>
                <w:szCs w:val="21"/>
                <w:highlight w:val="none"/>
              </w:rPr>
              <w:t>，</w:t>
            </w:r>
            <w:bookmarkEnd w:id="78"/>
            <w:bookmarkEnd w:id="79"/>
            <w:r>
              <w:rPr>
                <w:rFonts w:hint="eastAsia" w:ascii="宋体" w:hAnsi="宋体" w:eastAsia="宋体" w:cs="宋体"/>
                <w:color w:val="auto"/>
                <w:kern w:val="0"/>
                <w:sz w:val="21"/>
                <w:szCs w:val="21"/>
                <w:highlight w:val="none"/>
              </w:rPr>
              <w:t>每批次均须出具验证报告备查</w:t>
            </w:r>
            <w:bookmarkEnd w:id="80"/>
            <w:bookmarkEnd w:id="81"/>
            <w:r>
              <w:rPr>
                <w:rFonts w:hint="eastAsia" w:ascii="宋体" w:hAnsi="宋体" w:eastAsia="宋体" w:cs="宋体"/>
                <w:color w:val="auto"/>
                <w:kern w:val="0"/>
                <w:sz w:val="21"/>
                <w:szCs w:val="21"/>
                <w:highlight w:val="none"/>
              </w:rPr>
              <w:t xml:space="preserve">。 </w:t>
            </w:r>
          </w:p>
          <w:p w14:paraId="0EC3005C">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（12）操作简便，按照试剂盒内说明书操作，即可获得检测结果； </w:t>
            </w:r>
          </w:p>
          <w:p w14:paraId="6BF77DF2">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w:t>
            </w:r>
            <w:bookmarkStart w:id="82" w:name="OLE_LINK172"/>
            <w:bookmarkStart w:id="83" w:name="OLE_LINK167"/>
            <w:bookmarkStart w:id="84" w:name="OLE_LINK186"/>
            <w:bookmarkStart w:id="85" w:name="OLE_LINK185"/>
            <w:r>
              <w:rPr>
                <w:rFonts w:hint="eastAsia" w:ascii="宋体" w:hAnsi="宋体" w:eastAsia="宋体" w:cs="宋体"/>
                <w:color w:val="auto"/>
                <w:kern w:val="0"/>
                <w:sz w:val="21"/>
                <w:szCs w:val="21"/>
                <w:highlight w:val="none"/>
              </w:rPr>
              <w:t>试纸条</w:t>
            </w:r>
            <w:bookmarkEnd w:id="82"/>
            <w:bookmarkEnd w:id="83"/>
            <w:r>
              <w:rPr>
                <w:rFonts w:hint="eastAsia" w:ascii="宋体" w:hAnsi="宋体" w:eastAsia="宋体" w:cs="宋体"/>
                <w:color w:val="auto"/>
                <w:kern w:val="0"/>
                <w:sz w:val="21"/>
                <w:szCs w:val="21"/>
                <w:highlight w:val="none"/>
              </w:rPr>
              <w:t>出厂日期应在一个月以内。</w:t>
            </w:r>
            <w:bookmarkEnd w:id="84"/>
            <w:bookmarkEnd w:id="85"/>
          </w:p>
          <w:p w14:paraId="702362B9">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w:t>
            </w:r>
            <w:bookmarkStart w:id="86" w:name="OLE_LINK176"/>
            <w:bookmarkStart w:id="87" w:name="OLE_LINK177"/>
            <w:r>
              <w:rPr>
                <w:rFonts w:hint="eastAsia" w:ascii="宋体" w:hAnsi="宋体" w:eastAsia="宋体" w:cs="宋体"/>
                <w:color w:val="auto"/>
                <w:kern w:val="0"/>
                <w:sz w:val="21"/>
                <w:szCs w:val="21"/>
                <w:highlight w:val="none"/>
              </w:rPr>
              <w:t>中标人需培训采购人指定的监管人员、技术服务人员熟练掌握胶体金快速检测方法的使用、规范抽样制样、结果判读、数据统计上传、阳性样品处置等工作，并提供相应产品使用期间的技术支持。培训5场次以上，技术支持10次以上</w:t>
            </w:r>
            <w:bookmarkEnd w:id="86"/>
            <w:bookmarkEnd w:id="87"/>
            <w:r>
              <w:rPr>
                <w:rFonts w:hint="eastAsia" w:ascii="宋体" w:hAnsi="宋体" w:eastAsia="宋体" w:cs="宋体"/>
                <w:color w:val="auto"/>
                <w:kern w:val="0"/>
                <w:sz w:val="21"/>
                <w:szCs w:val="21"/>
                <w:highlight w:val="none"/>
              </w:rPr>
              <w:t>。</w:t>
            </w:r>
          </w:p>
          <w:p w14:paraId="3FD0E56D">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bookmarkStart w:id="88" w:name="OLE_LINK65"/>
            <w:bookmarkStart w:id="89" w:name="OLE_LINK64"/>
            <w:bookmarkStart w:id="90" w:name="OLE_LINK66"/>
            <w:r>
              <w:rPr>
                <w:rFonts w:hint="eastAsia" w:ascii="宋体" w:hAnsi="宋体" w:eastAsia="宋体" w:cs="宋体"/>
                <w:color w:val="auto"/>
                <w:kern w:val="0"/>
                <w:sz w:val="21"/>
                <w:szCs w:val="21"/>
                <w:highlight w:val="none"/>
              </w:rPr>
              <w:t>三、其他要求：</w:t>
            </w:r>
          </w:p>
          <w:p w14:paraId="5BDC7C16">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bookmarkStart w:id="91" w:name="OLE_LINK60"/>
            <w:bookmarkStart w:id="92" w:name="OLE_LINK61"/>
            <w:bookmarkStart w:id="93" w:name="OLE_LINK179"/>
            <w:bookmarkStart w:id="94" w:name="OLE_LINK178"/>
            <w:r>
              <w:rPr>
                <w:rFonts w:hint="eastAsia" w:ascii="宋体" w:hAnsi="宋体" w:eastAsia="宋体" w:cs="宋体"/>
                <w:color w:val="auto"/>
                <w:kern w:val="0"/>
                <w:sz w:val="21"/>
                <w:szCs w:val="21"/>
                <w:highlight w:val="none"/>
              </w:rPr>
              <w:t>1、质量要求：</w:t>
            </w:r>
            <w:bookmarkStart w:id="95" w:name="OLE_LINK63"/>
            <w:bookmarkStart w:id="96" w:name="OLE_LINK62"/>
            <w:r>
              <w:rPr>
                <w:rFonts w:hint="eastAsia" w:ascii="宋体" w:hAnsi="宋体" w:eastAsia="宋体" w:cs="宋体"/>
                <w:color w:val="auto"/>
                <w:kern w:val="0"/>
                <w:sz w:val="21"/>
                <w:szCs w:val="21"/>
                <w:highlight w:val="none"/>
              </w:rPr>
              <w:t>供应商</w:t>
            </w:r>
            <w:bookmarkEnd w:id="95"/>
            <w:bookmarkEnd w:id="96"/>
            <w:r>
              <w:rPr>
                <w:rFonts w:hint="eastAsia" w:ascii="宋体" w:hAnsi="宋体" w:eastAsia="宋体" w:cs="宋体"/>
                <w:color w:val="auto"/>
                <w:kern w:val="0"/>
                <w:sz w:val="21"/>
                <w:szCs w:val="21"/>
                <w:highlight w:val="none"/>
              </w:rPr>
              <w:t>须对所使用的</w:t>
            </w:r>
            <w:r>
              <w:rPr>
                <w:rFonts w:hint="eastAsia" w:ascii="宋体" w:hAnsi="宋体" w:cs="宋体"/>
                <w:color w:val="auto"/>
                <w:kern w:val="0"/>
                <w:sz w:val="21"/>
                <w:szCs w:val="21"/>
                <w:highlight w:val="none"/>
                <w:lang w:eastAsia="zh-CN"/>
              </w:rPr>
              <w:t>每批次出厂的</w:t>
            </w:r>
            <w:r>
              <w:rPr>
                <w:rFonts w:hint="eastAsia" w:ascii="宋体" w:hAnsi="宋体" w:eastAsia="宋体" w:cs="宋体"/>
                <w:color w:val="auto"/>
                <w:kern w:val="0"/>
                <w:sz w:val="21"/>
                <w:szCs w:val="21"/>
                <w:highlight w:val="none"/>
              </w:rPr>
              <w:t>胶体金速测产品进行验证，检出阳性样品时，需开展阳性样品的定量检测结果确认工作；供应商使用的快速检测产品应通过近三年部级或省级检测机构组织的种植业产品农药残留快速检测验证，未验证的参数需提供相应的试验验证材料。</w:t>
            </w:r>
          </w:p>
          <w:bookmarkEnd w:id="91"/>
          <w:bookmarkEnd w:id="92"/>
          <w:p w14:paraId="3C9EBD16">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2、报告要求：中标人须按照采购人要求的时限定期汇报服务进度，项目结束后提供全年工作开展情况及佐证材料，包含技术支持和培训服务等相关证明材料。</w:t>
            </w:r>
            <w:bookmarkEnd w:id="88"/>
            <w:bookmarkEnd w:id="89"/>
            <w:bookmarkEnd w:id="90"/>
            <w:bookmarkEnd w:id="93"/>
            <w:bookmarkEnd w:id="94"/>
          </w:p>
          <w:p w14:paraId="28252321">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中标人须承担相应片区胶体金速测阴性样品不少于100批次的样品验证服务。阴性样品结果验证采用定量检测法，检测项目与该批次样品胶体金速测项目一致；样品定量验证结果需在抽样后15个工作日内向中标人递交具有检验检测机构资质认定（CMA）和广西农产品质量安全检测机构考核（CATL）的报告及其原始记录。</w:t>
            </w:r>
          </w:p>
        </w:tc>
      </w:tr>
      <w:bookmarkEnd w:id="65"/>
      <w:bookmarkEnd w:id="66"/>
      <w:bookmarkEnd w:id="67"/>
      <w:tr w14:paraId="1281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686" w:type="dxa"/>
            <w:gridSpan w:val="4"/>
            <w:noWrap w:val="0"/>
            <w:vAlign w:val="center"/>
          </w:tcPr>
          <w:p w14:paraId="7CFCB8D2">
            <w:pPr>
              <w:keepNext w:val="0"/>
              <w:keepLines w:val="0"/>
              <w:pageBreakBefore w:val="0"/>
              <w:widowControl w:val="0"/>
              <w:kinsoku/>
              <w:wordWrap/>
              <w:overflowPunct/>
              <w:topLinePunct w:val="0"/>
              <w:autoSpaceDE/>
              <w:autoSpaceDN/>
              <w:bidi w:val="0"/>
              <w:adjustRightInd w:val="0"/>
              <w:spacing w:line="400" w:lineRule="exact"/>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二、▲</w:t>
            </w:r>
            <w:r>
              <w:rPr>
                <w:rFonts w:hint="eastAsia" w:ascii="宋体" w:hAnsi="宋体" w:eastAsia="宋体" w:cs="宋体"/>
                <w:b/>
                <w:bCs/>
                <w:color w:val="auto"/>
                <w:sz w:val="21"/>
                <w:szCs w:val="21"/>
                <w:highlight w:val="none"/>
              </w:rPr>
              <w:t>商务条款</w:t>
            </w:r>
          </w:p>
        </w:tc>
      </w:tr>
      <w:tr w14:paraId="2F52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56668453">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bookmarkStart w:id="97" w:name="OLE_LINK194" w:colFirst="1" w:colLast="65"/>
            <w:bookmarkStart w:id="98" w:name="OLE_LINK191" w:colFirst="1" w:colLast="65"/>
            <w:bookmarkStart w:id="99" w:name="_Hlk231215812"/>
            <w:r>
              <w:rPr>
                <w:rFonts w:hint="eastAsia" w:ascii="宋体" w:hAnsi="宋体" w:eastAsia="宋体" w:cs="宋体"/>
                <w:bCs/>
                <w:color w:val="auto"/>
                <w:sz w:val="21"/>
                <w:szCs w:val="21"/>
                <w:highlight w:val="none"/>
              </w:rPr>
              <w:t>实施时间及地点</w:t>
            </w:r>
          </w:p>
        </w:tc>
        <w:tc>
          <w:tcPr>
            <w:tcW w:w="7677" w:type="dxa"/>
            <w:gridSpan w:val="2"/>
            <w:noWrap w:val="0"/>
            <w:vAlign w:val="center"/>
          </w:tcPr>
          <w:p w14:paraId="76BF33A0">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1、服务期限：</w:t>
            </w:r>
            <w:bookmarkStart w:id="100" w:name="OLE_LINK131"/>
            <w:bookmarkStart w:id="101" w:name="OLE_LINK16"/>
            <w:bookmarkStart w:id="102" w:name="OLE_LINK17"/>
            <w:r>
              <w:rPr>
                <w:rFonts w:hint="eastAsia" w:ascii="宋体" w:hAnsi="宋体" w:cs="宋体"/>
                <w:bCs/>
                <w:color w:val="auto"/>
                <w:szCs w:val="21"/>
                <w:highlight w:val="none"/>
              </w:rPr>
              <w:t>自合同签订之日起至2026年12月31日止</w:t>
            </w:r>
            <w:r>
              <w:rPr>
                <w:rFonts w:hint="eastAsia" w:ascii="宋体" w:hAnsi="宋体" w:eastAsia="宋体" w:cs="宋体"/>
                <w:bCs/>
                <w:color w:val="auto"/>
                <w:sz w:val="21"/>
                <w:szCs w:val="21"/>
                <w:highlight w:val="none"/>
              </w:rPr>
              <w:t>。自签订合同之日起开始提供相应服务，具体服务时间根据农产品上市季节等实际情况进行安排，由采购人另行通知。</w:t>
            </w:r>
            <w:bookmarkEnd w:id="100"/>
            <w:bookmarkEnd w:id="101"/>
            <w:bookmarkEnd w:id="102"/>
          </w:p>
          <w:p w14:paraId="6A731313">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2、服务地点：广西区内采购人指定地点。</w:t>
            </w:r>
          </w:p>
        </w:tc>
      </w:tr>
      <w:tr w14:paraId="1819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7691B81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合同签订时间</w:t>
            </w:r>
          </w:p>
        </w:tc>
        <w:tc>
          <w:tcPr>
            <w:tcW w:w="7677" w:type="dxa"/>
            <w:gridSpan w:val="2"/>
            <w:noWrap w:val="0"/>
            <w:vAlign w:val="center"/>
          </w:tcPr>
          <w:p w14:paraId="4C982E67">
            <w:pPr>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w:t>
            </w:r>
            <w:r>
              <w:rPr>
                <w:rFonts w:hint="eastAsia" w:ascii="宋体" w:hAnsi="宋体" w:cs="宋体"/>
                <w:bCs/>
                <w:color w:val="auto"/>
                <w:sz w:val="21"/>
                <w:szCs w:val="21"/>
                <w:highlight w:val="none"/>
                <w:lang w:eastAsia="zh-CN"/>
              </w:rPr>
              <w:t>中标通知书</w:t>
            </w:r>
            <w:r>
              <w:rPr>
                <w:rFonts w:hint="eastAsia" w:ascii="宋体" w:hAnsi="宋体" w:eastAsia="宋体" w:cs="宋体"/>
                <w:bCs/>
                <w:color w:val="auto"/>
                <w:sz w:val="21"/>
                <w:szCs w:val="21"/>
                <w:highlight w:val="none"/>
              </w:rPr>
              <w:t>发出之日起 25 日内。</w:t>
            </w:r>
          </w:p>
        </w:tc>
      </w:tr>
      <w:bookmarkEnd w:id="97"/>
      <w:bookmarkEnd w:id="98"/>
      <w:bookmarkEnd w:id="99"/>
      <w:tr w14:paraId="0094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26E5ED2F">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验收标准及规范</w:t>
            </w:r>
          </w:p>
        </w:tc>
        <w:tc>
          <w:tcPr>
            <w:tcW w:w="7677" w:type="dxa"/>
            <w:gridSpan w:val="2"/>
            <w:noWrap w:val="0"/>
            <w:vAlign w:val="center"/>
          </w:tcPr>
          <w:p w14:paraId="45EB8D75">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1、符合有关国家质量标准、技术规范及规程要求。</w:t>
            </w:r>
          </w:p>
          <w:p w14:paraId="596C081C">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2、根据采购文件上的技术规格要求，成果报告符合采购文件技术要求的，给予签收，初步验收不合格的不予签收。其他验收要求按合同文本执行。</w:t>
            </w:r>
          </w:p>
          <w:p w14:paraId="697A8DC0">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3、验收过程中所产生的一切费用均由</w:t>
            </w:r>
            <w:r>
              <w:rPr>
                <w:rFonts w:hint="eastAsia" w:ascii="宋体" w:hAnsi="宋体" w:cs="宋体"/>
                <w:bCs/>
                <w:color w:val="auto"/>
                <w:sz w:val="21"/>
                <w:szCs w:val="21"/>
                <w:highlight w:val="none"/>
                <w:lang w:eastAsia="zh-CN"/>
              </w:rPr>
              <w:t>中标供应商</w:t>
            </w:r>
            <w:r>
              <w:rPr>
                <w:rFonts w:hint="eastAsia" w:ascii="宋体" w:hAnsi="宋体" w:eastAsia="宋体" w:cs="宋体"/>
                <w:bCs/>
                <w:color w:val="auto"/>
                <w:sz w:val="21"/>
                <w:szCs w:val="21"/>
                <w:highlight w:val="none"/>
              </w:rPr>
              <w:t>承担。报价时应考虑相关费用。</w:t>
            </w:r>
          </w:p>
        </w:tc>
      </w:tr>
      <w:tr w14:paraId="43B5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3226C94D">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付款方式</w:t>
            </w:r>
          </w:p>
        </w:tc>
        <w:tc>
          <w:tcPr>
            <w:tcW w:w="7677" w:type="dxa"/>
            <w:gridSpan w:val="2"/>
            <w:noWrap w:val="0"/>
            <w:vAlign w:val="center"/>
          </w:tcPr>
          <w:p w14:paraId="78B52D40">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签订合同后 20 个工作日内中标人承接检测服务，采购人按合同总金额的30%（供应商属于中小企业的按照50%）预付服务费用；</w:t>
            </w:r>
            <w:r>
              <w:rPr>
                <w:rFonts w:hint="eastAsia" w:ascii="宋体" w:hAnsi="宋体" w:cs="宋体"/>
                <w:color w:val="auto"/>
                <w:sz w:val="21"/>
                <w:szCs w:val="21"/>
                <w:highlight w:val="none"/>
                <w:lang w:eastAsia="zh-CN"/>
              </w:rPr>
              <w:t>完成本项目</w:t>
            </w:r>
            <w:r>
              <w:rPr>
                <w:rFonts w:hint="eastAsia" w:ascii="宋体" w:hAnsi="宋体" w:cs="宋体"/>
                <w:color w:val="auto"/>
                <w:sz w:val="21"/>
                <w:szCs w:val="21"/>
                <w:highlight w:val="none"/>
                <w:lang w:val="en-US" w:eastAsia="zh-CN"/>
              </w:rPr>
              <w:t>50%的</w:t>
            </w:r>
            <w:r>
              <w:rPr>
                <w:rFonts w:hint="eastAsia" w:ascii="宋体" w:hAnsi="宋体" w:eastAsia="宋体" w:cs="宋体"/>
                <w:color w:val="auto"/>
                <w:sz w:val="21"/>
                <w:szCs w:val="21"/>
                <w:highlight w:val="none"/>
              </w:rPr>
              <w:t>检测批次</w:t>
            </w:r>
            <w:r>
              <w:rPr>
                <w:rFonts w:hint="eastAsia" w:ascii="宋体" w:hAnsi="宋体" w:cs="宋体"/>
                <w:color w:val="auto"/>
                <w:sz w:val="21"/>
                <w:szCs w:val="21"/>
                <w:highlight w:val="none"/>
                <w:lang w:eastAsia="zh-CN"/>
              </w:rPr>
              <w:t>任务后</w:t>
            </w:r>
            <w:r>
              <w:rPr>
                <w:rFonts w:hint="eastAsia" w:ascii="宋体" w:hAnsi="宋体" w:eastAsia="宋体" w:cs="宋体"/>
                <w:bCs/>
                <w:color w:val="auto"/>
                <w:sz w:val="21"/>
                <w:szCs w:val="21"/>
                <w:highlight w:val="none"/>
              </w:rPr>
              <w:t>支付合同金额的65%（供应商属于中小企业的按照45%）的检测服务费；项目整体验收通过后，支付剩下的5%的服务费用。</w:t>
            </w:r>
          </w:p>
          <w:p w14:paraId="096C1F81">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本项目虽不专门面向中小企业采购，但中小企业可同步享受本条款预付款提高政策与第四章规定的评标价格扣除优惠，两项扶持政策互不冲突、可叠加享受；监狱企业、残疾人福利性单位视同小微企业同步适用上述双重扶持政策。</w:t>
            </w:r>
          </w:p>
        </w:tc>
      </w:tr>
      <w:tr w14:paraId="1437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68B0583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其他服务要求</w:t>
            </w:r>
          </w:p>
        </w:tc>
        <w:tc>
          <w:tcPr>
            <w:tcW w:w="7677" w:type="dxa"/>
            <w:gridSpan w:val="2"/>
            <w:noWrap w:val="0"/>
            <w:vAlign w:val="center"/>
          </w:tcPr>
          <w:p w14:paraId="7A6B8336">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1、中标人应具备完善的售后服务体系，在广西区内具有或委托有具备固定地点、固定的维护人员的服务机构，并有能力及时处理所有可能发生的事件。</w:t>
            </w:r>
          </w:p>
          <w:p w14:paraId="702D1BE4">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2、在服务期限内，中标人应根据国家最新版食品中农药最大残留限量值变化，提供包括但不仅限于样本前处理的技术调整。（</w:t>
            </w:r>
            <w:bookmarkStart w:id="103" w:name="OLE_LINK42"/>
            <w:bookmarkStart w:id="104" w:name="OLE_LINK43"/>
            <w:r>
              <w:rPr>
                <w:rFonts w:hint="eastAsia" w:ascii="宋体" w:hAnsi="宋体" w:eastAsia="宋体" w:cs="宋体"/>
                <w:bCs/>
                <w:color w:val="auto"/>
                <w:sz w:val="21"/>
                <w:szCs w:val="21"/>
                <w:highlight w:val="none"/>
              </w:rPr>
              <w:t>必须在投标文件中</w:t>
            </w:r>
            <w:bookmarkEnd w:id="103"/>
            <w:bookmarkEnd w:id="104"/>
            <w:r>
              <w:rPr>
                <w:rFonts w:hint="eastAsia" w:ascii="宋体" w:hAnsi="宋体" w:eastAsia="宋体" w:cs="宋体"/>
                <w:bCs/>
                <w:color w:val="auto"/>
                <w:sz w:val="21"/>
                <w:szCs w:val="21"/>
                <w:highlight w:val="none"/>
              </w:rPr>
              <w:t>提供承诺函）</w:t>
            </w:r>
          </w:p>
          <w:p w14:paraId="254969FA">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3、除投标文件明确外，中标人不得以任何方式转包或分包本项目，</w:t>
            </w:r>
            <w:bookmarkStart w:id="105" w:name="OLE_LINK188"/>
            <w:bookmarkStart w:id="106" w:name="OLE_LINK187"/>
            <w:r>
              <w:rPr>
                <w:rFonts w:hint="eastAsia" w:ascii="宋体" w:hAnsi="宋体" w:eastAsia="宋体" w:cs="宋体"/>
                <w:bCs/>
                <w:color w:val="auto"/>
                <w:sz w:val="21"/>
                <w:szCs w:val="21"/>
                <w:highlight w:val="none"/>
              </w:rPr>
              <w:t>同一分标使用的试纸条必须为同一个厂家、同一个品牌</w:t>
            </w:r>
            <w:bookmarkEnd w:id="105"/>
            <w:bookmarkEnd w:id="106"/>
            <w:r>
              <w:rPr>
                <w:rFonts w:hint="eastAsia" w:ascii="宋体" w:hAnsi="宋体" w:eastAsia="宋体" w:cs="宋体"/>
                <w:bCs/>
                <w:color w:val="auto"/>
                <w:sz w:val="21"/>
                <w:szCs w:val="21"/>
                <w:highlight w:val="none"/>
              </w:rPr>
              <w:t>的产品。（必须在投标文件中提供承诺函）</w:t>
            </w:r>
          </w:p>
          <w:p w14:paraId="4EF1D468">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4、中标人所提供的产品包括配件必须是厂家原包装全新正品，且产品有效使用期长（自接收到样品第二天计，以天计）应≥90%产品保质期长（以天计），否则不予验收。</w:t>
            </w:r>
          </w:p>
          <w:p w14:paraId="5DC39D48">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5、中标人接到采购人质量问题报告，应在1小时内响应，4小时内到达现场，24小时内排除问题，如在规定时间内无法排除，提供备品备件，保证采购人正常工作需要。</w:t>
            </w:r>
          </w:p>
          <w:p w14:paraId="5ACBEC0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在项目实施过程中，中标人须提供中标产品数量的5%用于进行产品评价和性能验证实验，验证产品随机抽取，由采购人指定部级农检机构参照《农药残留胶体金免疫层析定性快速检测产品评价及性能验证规范》（NY/T 2715-2025）规定的程序进行产品评价及性能验证，样品基质为豇豆等果蔬类，评价判定指标为空白样品检测假阳性率应小于等于4%，按照农药残留最大残留限量添加水平下的样品检测假阴性率应小于等于2%，检测2倍农药残留最大残留限量添加水平的样品时不得有假阴性结果。全部满足该评价判定指标要求时为“通过”，否则为“不通过”。产品评价为不通过时，中标人须提供抽取产品数量的10倍产品赔偿。</w:t>
            </w:r>
          </w:p>
          <w:p w14:paraId="5D6102B6">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7、检测结果归采购人所有，中标人必须对一切检测数据和检测技术资料保密，不得泄露给任何第三方，也不得将与样品有关的技术资料用于任何经营、开发及学术活动，否则，视为</w:t>
            </w:r>
            <w:bookmarkStart w:id="107" w:name="OLE_LINK47"/>
            <w:bookmarkStart w:id="108" w:name="OLE_LINK46"/>
            <w:r>
              <w:rPr>
                <w:rFonts w:hint="eastAsia" w:ascii="宋体" w:hAnsi="宋体" w:eastAsia="宋体" w:cs="宋体"/>
                <w:bCs/>
                <w:color w:val="auto"/>
                <w:sz w:val="21"/>
                <w:szCs w:val="21"/>
                <w:highlight w:val="none"/>
              </w:rPr>
              <w:t>中标人</w:t>
            </w:r>
            <w:bookmarkEnd w:id="107"/>
            <w:bookmarkEnd w:id="108"/>
            <w:r>
              <w:rPr>
                <w:rFonts w:hint="eastAsia" w:ascii="宋体" w:hAnsi="宋体" w:eastAsia="宋体" w:cs="宋体"/>
                <w:bCs/>
                <w:color w:val="auto"/>
                <w:sz w:val="21"/>
                <w:szCs w:val="21"/>
                <w:highlight w:val="none"/>
              </w:rPr>
              <w:t>违约，并由中标人承担所有的法律及经济责任。</w:t>
            </w:r>
          </w:p>
          <w:p w14:paraId="1E31DEA3">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w:t>
            </w:r>
            <w:bookmarkStart w:id="109" w:name="OLE_LINK44"/>
            <w:bookmarkStart w:id="110" w:name="OLE_LINK45"/>
            <w:r>
              <w:rPr>
                <w:rFonts w:hint="eastAsia" w:ascii="宋体" w:hAnsi="宋体" w:eastAsia="宋体" w:cs="宋体"/>
                <w:bCs/>
                <w:color w:val="auto"/>
                <w:sz w:val="21"/>
                <w:szCs w:val="21"/>
                <w:highlight w:val="none"/>
              </w:rPr>
              <w:t>中标人</w:t>
            </w:r>
            <w:bookmarkEnd w:id="109"/>
            <w:bookmarkEnd w:id="110"/>
            <w:r>
              <w:rPr>
                <w:rFonts w:hint="eastAsia" w:ascii="宋体" w:hAnsi="宋体" w:eastAsia="宋体" w:cs="宋体"/>
                <w:bCs/>
                <w:color w:val="auto"/>
                <w:sz w:val="21"/>
                <w:szCs w:val="21"/>
                <w:highlight w:val="none"/>
              </w:rPr>
              <w:t>接受采购人不定期的电话、电子邮件以及现场检查等方式的督促和相关的质量控制，以保证检测服务工作的进度和质量。</w:t>
            </w:r>
          </w:p>
          <w:p w14:paraId="7986C43B">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9、中标人须按照采购人制定的工作实施方案内容开展工作，并定期汇报服务进度，项目结束后提供合同期内工作开展情况及相关证明材料。</w:t>
            </w:r>
          </w:p>
          <w:p w14:paraId="03AD6E73">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10、中标后，采购人将根据最终确认的工作实施方案，在不改变招标文件实质性条款（单价、核心服务标准、结算方式）的前提下，与中标人签订具体实施协议。若实施方案导致服务范围或工作量发生重大变化，双方应另行协商或按相关规定处理。</w:t>
            </w:r>
          </w:p>
        </w:tc>
      </w:tr>
      <w:tr w14:paraId="0EB4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4A16458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bookmarkStart w:id="111" w:name="OLE_LINK195" w:colFirst="1" w:colLast="65"/>
            <w:bookmarkStart w:id="112" w:name="OLE_LINK196" w:colFirst="1" w:colLast="65"/>
            <w:bookmarkStart w:id="113" w:name="_Hlk231215857"/>
            <w:r>
              <w:rPr>
                <w:rFonts w:hint="eastAsia" w:ascii="宋体" w:hAnsi="宋体" w:eastAsia="宋体" w:cs="宋体"/>
                <w:color w:val="auto"/>
                <w:sz w:val="21"/>
                <w:szCs w:val="21"/>
                <w:highlight w:val="none"/>
              </w:rPr>
              <w:t>投标报价及</w:t>
            </w:r>
            <w:r>
              <w:rPr>
                <w:rFonts w:hint="eastAsia" w:ascii="宋体" w:hAnsi="宋体" w:eastAsia="宋体" w:cs="宋体"/>
                <w:bCs/>
                <w:color w:val="auto"/>
                <w:sz w:val="21"/>
                <w:szCs w:val="21"/>
                <w:highlight w:val="none"/>
              </w:rPr>
              <w:t>要求</w:t>
            </w:r>
          </w:p>
        </w:tc>
        <w:tc>
          <w:tcPr>
            <w:tcW w:w="7677" w:type="dxa"/>
            <w:gridSpan w:val="2"/>
            <w:noWrap w:val="0"/>
            <w:vAlign w:val="center"/>
          </w:tcPr>
          <w:p w14:paraId="38216038">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投标报价为采购人指定地点的现场交货价，包括：</w:t>
            </w:r>
          </w:p>
          <w:p w14:paraId="6BB0D6D1">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（1）服务、货物的价格：包括货款、验收费（含检定、校准费等）；</w:t>
            </w:r>
          </w:p>
          <w:p w14:paraId="6D09CF64">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（2）所需的材料费、标准附件、备品备件、专用工具的价格；</w:t>
            </w:r>
          </w:p>
          <w:p w14:paraId="2B781F21">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（3）作业费、运输、装卸、售后服务费；</w:t>
            </w:r>
          </w:p>
          <w:p w14:paraId="47626A7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（4）投标报价应包含本次检测项目所需要的所有费用（含快速检测服务费）、招标代理服务费、保险费、验收费用和各项税金；</w:t>
            </w:r>
          </w:p>
          <w:p w14:paraId="41A99C39">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（5）技术支持、宣传培训、驻点检测、信息平台对接及其他相关工作开展需要的其他费用；所检测样品的抽样、制备和各项检测指标的费用。</w:t>
            </w:r>
          </w:p>
          <w:p w14:paraId="2CCF4F8A">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（6）供应商应自行考虑完成本项目所需的人力、物力等全部成本，以及可预见的其他因素及风险费用。投标人未列明的费用，均视为已包含在投标报价中，中标后采购人不再另行支付任何额外费用。</w:t>
            </w:r>
          </w:p>
          <w:p w14:paraId="2271C42A">
            <w:pPr>
              <w:keepNext w:val="0"/>
              <w:keepLines w:val="0"/>
              <w:pageBreakBefore w:val="0"/>
              <w:widowControl w:val="0"/>
              <w:kinsoku/>
              <w:wordWrap/>
              <w:overflowPunct/>
              <w:topLinePunct w:val="0"/>
              <w:autoSpaceDE/>
              <w:autoSpaceDN/>
              <w:bidi w:val="0"/>
              <w:spacing w:line="400" w:lineRule="exact"/>
              <w:ind w:firstLine="422"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cs="宋体"/>
                <w:b/>
                <w:bCs w:val="0"/>
                <w:color w:val="auto"/>
                <w:sz w:val="21"/>
                <w:szCs w:val="21"/>
                <w:highlight w:val="none"/>
                <w:lang w:eastAsia="zh-CN"/>
              </w:rPr>
              <w:t>（</w:t>
            </w:r>
            <w:r>
              <w:rPr>
                <w:rFonts w:hint="eastAsia" w:ascii="宋体" w:hAnsi="宋体" w:cs="宋体"/>
                <w:b/>
                <w:bCs w:val="0"/>
                <w:color w:val="auto"/>
                <w:sz w:val="21"/>
                <w:szCs w:val="21"/>
                <w:highlight w:val="none"/>
                <w:lang w:val="en-US" w:eastAsia="zh-CN"/>
              </w:rPr>
              <w:t>7</w:t>
            </w:r>
            <w:r>
              <w:rPr>
                <w:rFonts w:hint="eastAsia" w:ascii="宋体" w:hAnsi="宋体" w:cs="宋体"/>
                <w:b/>
                <w:bCs w:val="0"/>
                <w:color w:val="auto"/>
                <w:sz w:val="21"/>
                <w:szCs w:val="21"/>
                <w:highlight w:val="none"/>
                <w:lang w:eastAsia="zh-CN"/>
              </w:rPr>
              <w:t>）单价最高限价与结算原则：本</w:t>
            </w:r>
            <w:r>
              <w:rPr>
                <w:rFonts w:hint="eastAsia" w:ascii="宋体" w:hAnsi="宋体" w:cs="宋体"/>
                <w:b/>
                <w:bCs w:val="0"/>
                <w:color w:val="auto"/>
                <w:sz w:val="21"/>
                <w:szCs w:val="21"/>
                <w:highlight w:val="none"/>
                <w:lang w:val="en-US" w:eastAsia="zh-CN"/>
              </w:rPr>
              <w:t>标段</w:t>
            </w:r>
            <w:r>
              <w:rPr>
                <w:rFonts w:hint="eastAsia" w:ascii="宋体" w:hAnsi="宋体" w:cs="宋体"/>
                <w:b/>
                <w:bCs w:val="0"/>
                <w:color w:val="auto"/>
                <w:sz w:val="21"/>
                <w:szCs w:val="21"/>
                <w:highlight w:val="none"/>
                <w:lang w:eastAsia="zh-CN"/>
              </w:rPr>
              <w:t>设置单价最高限价为85元/批次（即每批次检测服务费不超过85元），投标人的单价报价不得超过此限价，否则视为无效投标。本项目采用固定单价、据实结算方式，最终支付金额以实际发生量乘以中标单价为准。本项目设置总价最高限额为预算上控价1700000.00元（大写：壹佰柒拾万元整），若按实际发生量计算的金额超出该上控价，则一律按1700000.00元进行封顶结算，超出部分采购人不予支付。</w:t>
            </w:r>
          </w:p>
        </w:tc>
      </w:tr>
      <w:bookmarkEnd w:id="53"/>
      <w:bookmarkEnd w:id="54"/>
      <w:bookmarkEnd w:id="57"/>
      <w:bookmarkEnd w:id="58"/>
      <w:bookmarkEnd w:id="111"/>
      <w:bookmarkEnd w:id="112"/>
      <w:bookmarkEnd w:id="113"/>
    </w:tbl>
    <w:p w14:paraId="5C1CEDE2">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b/>
          <w:bCs/>
          <w:color w:val="auto"/>
          <w:sz w:val="21"/>
          <w:szCs w:val="21"/>
          <w:highlight w:val="none"/>
        </w:rPr>
      </w:pPr>
    </w:p>
    <w:bookmarkEnd w:id="55"/>
    <w:bookmarkEnd w:id="56"/>
    <w:p w14:paraId="4400912D">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r>
        <w:rPr>
          <w:rFonts w:hint="eastAsia" w:ascii="宋体" w:hAnsi="宋体" w:eastAsia="宋体" w:cs="宋体"/>
          <w:b/>
          <w:bCs/>
          <w:color w:val="auto"/>
          <w:sz w:val="21"/>
          <w:szCs w:val="21"/>
          <w:highlight w:val="none"/>
        </w:rPr>
        <w:t>分标2：预算金额</w:t>
      </w:r>
      <w:r>
        <w:rPr>
          <w:rFonts w:hint="eastAsia" w:ascii="宋体" w:hAnsi="宋体" w:cs="宋体"/>
          <w:b/>
          <w:bCs/>
          <w:color w:val="auto"/>
          <w:sz w:val="21"/>
          <w:szCs w:val="21"/>
          <w:highlight w:val="none"/>
          <w:lang w:val="en-US" w:eastAsia="zh-CN"/>
        </w:rPr>
        <w:t>170.00万元</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336"/>
        <w:gridCol w:w="935"/>
        <w:gridCol w:w="6742"/>
      </w:tblGrid>
      <w:tr w14:paraId="5344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86" w:type="dxa"/>
            <w:gridSpan w:val="4"/>
            <w:tcBorders>
              <w:top w:val="single" w:color="auto" w:sz="4" w:space="0"/>
              <w:left w:val="single" w:color="auto" w:sz="4" w:space="0"/>
              <w:bottom w:val="single" w:color="auto" w:sz="4" w:space="0"/>
              <w:right w:val="single" w:color="auto" w:sz="4" w:space="0"/>
            </w:tcBorders>
            <w:noWrap w:val="0"/>
            <w:vAlign w:val="center"/>
          </w:tcPr>
          <w:p w14:paraId="013ABAB8">
            <w:pPr>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一、需求一览表</w:t>
            </w:r>
          </w:p>
        </w:tc>
      </w:tr>
      <w:tr w14:paraId="682F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443AFE7F">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4B11AC08">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935" w:type="dxa"/>
            <w:tcBorders>
              <w:top w:val="single" w:color="auto" w:sz="4" w:space="0"/>
              <w:left w:val="single" w:color="auto" w:sz="4" w:space="0"/>
              <w:bottom w:val="single" w:color="auto" w:sz="4" w:space="0"/>
              <w:right w:val="single" w:color="auto" w:sz="4" w:space="0"/>
            </w:tcBorders>
            <w:noWrap w:val="0"/>
            <w:vAlign w:val="center"/>
          </w:tcPr>
          <w:p w14:paraId="0A76477F">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数量及单位</w:t>
            </w:r>
          </w:p>
        </w:tc>
        <w:tc>
          <w:tcPr>
            <w:tcW w:w="6742" w:type="dxa"/>
            <w:tcBorders>
              <w:top w:val="single" w:color="auto" w:sz="4" w:space="0"/>
              <w:left w:val="single" w:color="auto" w:sz="4" w:space="0"/>
              <w:bottom w:val="single" w:color="auto" w:sz="4" w:space="0"/>
              <w:right w:val="single" w:color="auto" w:sz="4" w:space="0"/>
            </w:tcBorders>
            <w:noWrap w:val="0"/>
            <w:vAlign w:val="center"/>
          </w:tcPr>
          <w:p w14:paraId="3FFFCF06">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服务参数及要求</w:t>
            </w:r>
          </w:p>
        </w:tc>
      </w:tr>
      <w:tr w14:paraId="225A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12D5FE49">
            <w:pPr>
              <w:keepNext w:val="0"/>
              <w:keepLines w:val="0"/>
              <w:pageBreakBefore w:val="0"/>
              <w:widowControl w:val="0"/>
              <w:kinsoku/>
              <w:wordWrap/>
              <w:overflowPunct/>
              <w:topLinePunct w:val="0"/>
              <w:autoSpaceDE/>
              <w:autoSpaceDN/>
              <w:bidi w:val="0"/>
              <w:adjustRightIn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6653948F">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2026年农产品检测项目采购</w:t>
            </w:r>
            <w:r>
              <w:rPr>
                <w:rFonts w:hint="eastAsia" w:ascii="宋体" w:hAnsi="宋体" w:cs="仿宋_GB2312"/>
                <w:color w:val="auto"/>
                <w:szCs w:val="21"/>
                <w:highlight w:val="none"/>
              </w:rPr>
              <w:t>（</w:t>
            </w:r>
            <w:r>
              <w:rPr>
                <w:rFonts w:hint="eastAsia" w:ascii="宋体" w:hAnsi="宋体" w:cs="仿宋_GB2312"/>
                <w:color w:val="auto"/>
                <w:szCs w:val="21"/>
                <w:highlight w:val="none"/>
                <w:lang w:val="en-US" w:eastAsia="zh-CN"/>
              </w:rPr>
              <w:t>种植业二</w:t>
            </w:r>
            <w:r>
              <w:rPr>
                <w:rFonts w:hint="eastAsia" w:ascii="宋体" w:hAnsi="宋体" w:cs="仿宋_GB2312"/>
                <w:color w:val="auto"/>
                <w:szCs w:val="21"/>
                <w:highlight w:val="none"/>
              </w:rPr>
              <w:t>）</w:t>
            </w:r>
          </w:p>
        </w:tc>
        <w:tc>
          <w:tcPr>
            <w:tcW w:w="935" w:type="dxa"/>
            <w:tcBorders>
              <w:top w:val="single" w:color="auto" w:sz="4" w:space="0"/>
              <w:left w:val="single" w:color="auto" w:sz="4" w:space="0"/>
              <w:bottom w:val="single" w:color="auto" w:sz="4" w:space="0"/>
              <w:right w:val="single" w:color="auto" w:sz="4" w:space="0"/>
            </w:tcBorders>
            <w:noWrap w:val="0"/>
            <w:vAlign w:val="center"/>
          </w:tcPr>
          <w:p w14:paraId="01ED9D8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1批</w:t>
            </w:r>
          </w:p>
        </w:tc>
        <w:tc>
          <w:tcPr>
            <w:tcW w:w="6742" w:type="dxa"/>
            <w:tcBorders>
              <w:top w:val="single" w:color="auto" w:sz="4" w:space="0"/>
              <w:left w:val="single" w:color="auto" w:sz="4" w:space="0"/>
              <w:bottom w:val="single" w:color="auto" w:sz="4" w:space="0"/>
              <w:right w:val="single" w:color="auto" w:sz="4" w:space="0"/>
            </w:tcBorders>
            <w:noWrap w:val="0"/>
            <w:vAlign w:val="center"/>
          </w:tcPr>
          <w:p w14:paraId="0009AB2D">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一、开展种植业产品胶体金速测技术推广服务≥</w:t>
            </w:r>
            <w:r>
              <w:rPr>
                <w:rFonts w:hint="eastAsia" w:ascii="宋体" w:hAnsi="宋体"/>
                <w:color w:val="auto"/>
                <w:kern w:val="0"/>
                <w:szCs w:val="21"/>
                <w:highlight w:val="none"/>
                <w:lang w:val="en-US" w:eastAsia="zh-CN"/>
              </w:rPr>
              <w:t>2万</w:t>
            </w:r>
            <w:r>
              <w:rPr>
                <w:rFonts w:hint="eastAsia" w:ascii="宋体" w:hAnsi="宋体" w:eastAsia="宋体" w:cs="宋体"/>
                <w:color w:val="auto"/>
                <w:kern w:val="0"/>
                <w:sz w:val="21"/>
                <w:szCs w:val="21"/>
                <w:highlight w:val="none"/>
              </w:rPr>
              <w:t>批次，由中标人根据采购人要求到防城港、钦州、北海</w:t>
            </w:r>
            <w:r>
              <w:rPr>
                <w:rFonts w:hint="eastAsia" w:ascii="宋体" w:hAnsi="宋体" w:cs="宋体"/>
                <w:color w:val="auto"/>
                <w:kern w:val="0"/>
                <w:sz w:val="21"/>
                <w:szCs w:val="21"/>
                <w:highlight w:val="none"/>
                <w:lang w:eastAsia="zh-CN"/>
              </w:rPr>
              <w:t>等</w:t>
            </w:r>
            <w:r>
              <w:rPr>
                <w:rFonts w:hint="eastAsia" w:ascii="宋体" w:hAnsi="宋体" w:eastAsia="宋体" w:cs="宋体"/>
                <w:color w:val="auto"/>
                <w:kern w:val="0"/>
                <w:sz w:val="21"/>
                <w:szCs w:val="21"/>
                <w:highlight w:val="none"/>
              </w:rPr>
              <w:t>指定地点</w:t>
            </w:r>
            <w:r>
              <w:rPr>
                <w:rFonts w:hint="eastAsia" w:ascii="宋体" w:hAnsi="宋体" w:cs="宋体"/>
                <w:color w:val="auto"/>
                <w:kern w:val="0"/>
                <w:sz w:val="21"/>
                <w:szCs w:val="21"/>
                <w:highlight w:val="none"/>
                <w:lang w:eastAsia="zh-CN"/>
              </w:rPr>
              <w:t>针</w:t>
            </w:r>
            <w:r>
              <w:rPr>
                <w:rFonts w:hint="eastAsia" w:ascii="宋体" w:hAnsi="宋体" w:cs="宋体"/>
                <w:color w:val="auto"/>
                <w:kern w:val="0"/>
                <w:sz w:val="21"/>
                <w:szCs w:val="21"/>
                <w:highlight w:val="none"/>
                <w:lang w:val="en-US" w:eastAsia="zh-CN"/>
              </w:rPr>
              <w:t>对豇豆、甘薯、香蕉、芒果、柑橘类、火龙果等种植业重点品种开展上市前胶体金速测，重点检测相关品种的易检出禁限用农药及易超标常规农药</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并提供相关的技术支撑、技术培训，达到速测技术推广服务要求。中标价格包含样品、试剂耗材、数据统计分析、检测服务、技术培训、技术支持等所有相关费用。每批次胶体金快速检测不少于5个参数，快速检测试纸技术参数根据采购人要求的检测样品以及实际情况决定，服务商使用的快速检测试纸需具备以下技术要求。</w:t>
            </w:r>
          </w:p>
          <w:p w14:paraId="116A1F61">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1、包装组成：</w:t>
            </w:r>
          </w:p>
          <w:p w14:paraId="741780A9">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（1）密封包装，能保证样品的有效性。密封包装上应直接印有产品名称、生产厂家、品牌、商标、生产日期、有效期、注意事项、储存条件等相关信息；</w:t>
            </w:r>
          </w:p>
          <w:p w14:paraId="3EC8251B">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（2）保存简便、室温操作，保质期至少1年。</w:t>
            </w:r>
          </w:p>
          <w:p w14:paraId="11976B39">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2、检测技术要求：</w:t>
            </w:r>
          </w:p>
          <w:p w14:paraId="58F97DE7">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（1）各参数农残检出限能完全匹配GB2763-2026食品中农药最大残留限量要求；假阴性率小于2%，假阳性率小于4%。             </w:t>
            </w:r>
          </w:p>
          <w:p w14:paraId="59D52544">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（2）胶体金检测卡本身具有质量控制对照线并附有专属二维码（不可贴标、需喷码；可用于检测时扫码识别统计及追溯）及产品名称、品牌信息；（初次报价时提供产品说明书或承诺函）；</w:t>
            </w:r>
          </w:p>
          <w:p w14:paraId="0263DAAB">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（3）检测单个样品时，从样品前处理到结果判断 整个过程要求在20分钟内完成；判读结果时间：5-8分钟内/条；（提供产品说明书或承诺函）</w:t>
            </w:r>
          </w:p>
          <w:p w14:paraId="73A5DB5D">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（4）快速检测试纸条特异性强，与结构类似物交叉反应小。 </w:t>
            </w:r>
          </w:p>
          <w:p w14:paraId="5A5D66A3">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（5）判读标准：以有无测试线为准进行判定，或采取检测线（T 线）与质量控 制线（C 线）颜色深浅对比进行判定；</w:t>
            </w:r>
          </w:p>
          <w:p w14:paraId="0ED0AC5B">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（6）检测结果稳定，在 30 分钟后结果仍不发生变化；</w:t>
            </w:r>
          </w:p>
          <w:p w14:paraId="1242947E">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（7）胶体金试纸条检测结果能通过移动终端（手机等）应用程序拍照或插卡自动判定检测结果。 </w:t>
            </w:r>
          </w:p>
          <w:p w14:paraId="2504AAFF">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（8）移动终端（手机端）应用程序能够判读胶体金试纸条检测线（T线）和质量控制线（C线）的比值，即显示T/C值，并直接给出判定结果。  </w:t>
            </w:r>
          </w:p>
          <w:p w14:paraId="421607C8">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（9）判读数据通过移动终端（手机等）应用程序，对接至相关监管平台小程序，保证实时上传至指定的监管平台，确保数据安全，只向客户指定的平台对接数据。</w:t>
            </w:r>
          </w:p>
          <w:p w14:paraId="4C43BD71">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（10）胶体金试纸条检测结果判读和图片上传实时同步进行，结果可追溯，不可篡改。 </w:t>
            </w:r>
          </w:p>
          <w:p w14:paraId="26C72A12">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（11）试纸条出厂前针对不同基质中的不同检出限要求，进行批批验证，确保质量稳定，每批次均须出具验证报告备查。 </w:t>
            </w:r>
          </w:p>
          <w:p w14:paraId="0A0C5C9A">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（12）操作简便，按照试剂盒内说明书操作，即可获得检测结果； </w:t>
            </w:r>
          </w:p>
          <w:p w14:paraId="534A8EC0">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（13）试纸条出厂日期应在一个月以内。</w:t>
            </w:r>
          </w:p>
          <w:p w14:paraId="18A26BF1">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中标人需培训采购人指定的监管人员、技术服务人员熟练掌握胶体金快速检测方法的使用、规范抽样制样、结果判读、数据统计上传、阳性样品处置等工作，并提供相应产品使用期间的技术支持。培训5场次以上，技术支持10次以上。</w:t>
            </w:r>
          </w:p>
          <w:p w14:paraId="4F587904">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三、其他要求：</w:t>
            </w:r>
          </w:p>
          <w:p w14:paraId="0215630F">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1、质量要求：供应商须对所使用的</w:t>
            </w:r>
            <w:r>
              <w:rPr>
                <w:rFonts w:hint="eastAsia" w:ascii="宋体" w:hAnsi="宋体" w:cs="宋体"/>
                <w:color w:val="auto"/>
                <w:kern w:val="0"/>
                <w:sz w:val="21"/>
                <w:szCs w:val="21"/>
                <w:highlight w:val="none"/>
                <w:lang w:eastAsia="zh-CN"/>
              </w:rPr>
              <w:t>每批次出厂的</w:t>
            </w:r>
            <w:r>
              <w:rPr>
                <w:rFonts w:hint="eastAsia" w:ascii="宋体" w:hAnsi="宋体" w:eastAsia="宋体" w:cs="宋体"/>
                <w:color w:val="auto"/>
                <w:kern w:val="0"/>
                <w:sz w:val="21"/>
                <w:szCs w:val="21"/>
                <w:highlight w:val="none"/>
              </w:rPr>
              <w:t>胶体金速测产品进行验证，检出阳性样品时，需开展阳性样品的定量检测结果确认工作；供应商使用的快速检测产品应通过近三年部级或省级检测机构组织的种植业产品农药残留快速检测验证，未验证的参数需提供相应的试验验证材料。</w:t>
            </w:r>
          </w:p>
          <w:p w14:paraId="71E1467E">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2、报告要求：中标人须按照采购人要求的时限定期汇报服务进度，项目结束后提供全年工作开展情况及佐证材料，包含技术支持和培训服务等相关证明材料。</w:t>
            </w:r>
          </w:p>
          <w:p w14:paraId="55DFE927">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中标人须承担相应片区胶体金速测阴性样品不少于100批次的样品验证服务。阴性样品结果验证采用定量检测法，检测项目与该批次样品胶体金速测项目一致；样品定量验证结果需在抽样后15个工作日内向中标人递交具有检验检测机构资质认定（CMA）和广西农产品质量安全检测机构考核（CATL）的报告及其原始记录。</w:t>
            </w:r>
          </w:p>
        </w:tc>
      </w:tr>
      <w:tr w14:paraId="4B8B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686" w:type="dxa"/>
            <w:gridSpan w:val="4"/>
            <w:tcBorders>
              <w:top w:val="single" w:color="auto" w:sz="4" w:space="0"/>
              <w:left w:val="single" w:color="auto" w:sz="4" w:space="0"/>
              <w:bottom w:val="single" w:color="auto" w:sz="4" w:space="0"/>
              <w:right w:val="single" w:color="auto" w:sz="4" w:space="0"/>
            </w:tcBorders>
            <w:noWrap w:val="0"/>
            <w:vAlign w:val="center"/>
          </w:tcPr>
          <w:p w14:paraId="5CCB6F94">
            <w:pPr>
              <w:keepNext w:val="0"/>
              <w:keepLines w:val="0"/>
              <w:pageBreakBefore w:val="0"/>
              <w:widowControl w:val="0"/>
              <w:kinsoku/>
              <w:wordWrap/>
              <w:overflowPunct/>
              <w:topLinePunct w:val="0"/>
              <w:autoSpaceDE/>
              <w:autoSpaceDN/>
              <w:bidi w:val="0"/>
              <w:adjustRightInd w:val="0"/>
              <w:spacing w:line="400" w:lineRule="exact"/>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二、▲</w:t>
            </w:r>
            <w:r>
              <w:rPr>
                <w:rFonts w:hint="eastAsia" w:ascii="宋体" w:hAnsi="宋体" w:eastAsia="宋体" w:cs="宋体"/>
                <w:b/>
                <w:bCs/>
                <w:color w:val="auto"/>
                <w:sz w:val="21"/>
                <w:szCs w:val="21"/>
                <w:highlight w:val="none"/>
              </w:rPr>
              <w:t>商务条款</w:t>
            </w:r>
          </w:p>
        </w:tc>
      </w:tr>
      <w:tr w14:paraId="074C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799CB3A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实施时间及地点</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121A301B">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1、服务期限：</w:t>
            </w:r>
            <w:r>
              <w:rPr>
                <w:rFonts w:hint="eastAsia" w:ascii="宋体" w:hAnsi="宋体" w:cs="宋体"/>
                <w:bCs/>
                <w:color w:val="auto"/>
                <w:sz w:val="21"/>
                <w:szCs w:val="21"/>
                <w:highlight w:val="none"/>
                <w:lang w:eastAsia="zh-CN"/>
              </w:rPr>
              <w:t>自合同签订之日起至2026年12月31日止</w:t>
            </w:r>
            <w:r>
              <w:rPr>
                <w:rFonts w:hint="eastAsia" w:ascii="宋体" w:hAnsi="宋体" w:eastAsia="宋体" w:cs="宋体"/>
                <w:bCs/>
                <w:color w:val="auto"/>
                <w:sz w:val="21"/>
                <w:szCs w:val="21"/>
                <w:highlight w:val="none"/>
              </w:rPr>
              <w:t>。</w:t>
            </w:r>
            <w:bookmarkStart w:id="114" w:name="OLE_LINK201"/>
            <w:bookmarkStart w:id="115" w:name="OLE_LINK202"/>
            <w:r>
              <w:rPr>
                <w:rFonts w:hint="eastAsia" w:ascii="宋体" w:hAnsi="宋体" w:eastAsia="宋体" w:cs="宋体"/>
                <w:bCs/>
                <w:color w:val="auto"/>
                <w:sz w:val="21"/>
                <w:szCs w:val="21"/>
                <w:highlight w:val="none"/>
              </w:rPr>
              <w:t>自签订合同之日起开始提供相应服务，具体服务时间根据农产品上市季节等实际情况进行安排，由采购人另行通知</w:t>
            </w:r>
            <w:bookmarkEnd w:id="114"/>
            <w:bookmarkEnd w:id="115"/>
            <w:r>
              <w:rPr>
                <w:rFonts w:hint="eastAsia" w:ascii="宋体" w:hAnsi="宋体" w:eastAsia="宋体" w:cs="宋体"/>
                <w:bCs/>
                <w:color w:val="auto"/>
                <w:sz w:val="21"/>
                <w:szCs w:val="21"/>
                <w:highlight w:val="none"/>
              </w:rPr>
              <w:t>。</w:t>
            </w:r>
          </w:p>
          <w:p w14:paraId="76CF77D9">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2、服务地点：广西区内采购人指定地点。</w:t>
            </w:r>
          </w:p>
        </w:tc>
      </w:tr>
      <w:tr w14:paraId="5286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459BE99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合同签订时间</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459446D4">
            <w:pPr>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w:t>
            </w:r>
            <w:r>
              <w:rPr>
                <w:rFonts w:hint="eastAsia" w:ascii="宋体" w:hAnsi="宋体" w:cs="宋体"/>
                <w:bCs/>
                <w:color w:val="auto"/>
                <w:sz w:val="21"/>
                <w:szCs w:val="21"/>
                <w:highlight w:val="none"/>
                <w:lang w:eastAsia="zh-CN"/>
              </w:rPr>
              <w:t>中标通知书</w:t>
            </w:r>
            <w:r>
              <w:rPr>
                <w:rFonts w:hint="eastAsia" w:ascii="宋体" w:hAnsi="宋体" w:eastAsia="宋体" w:cs="宋体"/>
                <w:bCs/>
                <w:color w:val="auto"/>
                <w:sz w:val="21"/>
                <w:szCs w:val="21"/>
                <w:highlight w:val="none"/>
              </w:rPr>
              <w:t>发出之日起 25 日内。</w:t>
            </w:r>
          </w:p>
        </w:tc>
      </w:tr>
      <w:tr w14:paraId="46D0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1ECB592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验收标准及规范</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64342EF4">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1、符合有关国家质量标准、技术规范及规程要求。</w:t>
            </w:r>
          </w:p>
          <w:p w14:paraId="771273BD">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2、根据采购文件上的技术规格要求，成果报告符合采购文件技术要求的，给予签收，初步验收不合格的不予签收。其他验收要求按合同文本执行。</w:t>
            </w:r>
          </w:p>
          <w:p w14:paraId="42531A1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3、验收过程中所产生的一切费用均由</w:t>
            </w:r>
            <w:r>
              <w:rPr>
                <w:rFonts w:hint="eastAsia" w:ascii="宋体" w:hAnsi="宋体" w:cs="宋体"/>
                <w:bCs/>
                <w:color w:val="auto"/>
                <w:sz w:val="21"/>
                <w:szCs w:val="21"/>
                <w:highlight w:val="none"/>
                <w:lang w:eastAsia="zh-CN"/>
              </w:rPr>
              <w:t>中标供应商</w:t>
            </w:r>
            <w:r>
              <w:rPr>
                <w:rFonts w:hint="eastAsia" w:ascii="宋体" w:hAnsi="宋体" w:eastAsia="宋体" w:cs="宋体"/>
                <w:bCs/>
                <w:color w:val="auto"/>
                <w:sz w:val="21"/>
                <w:szCs w:val="21"/>
                <w:highlight w:val="none"/>
              </w:rPr>
              <w:t>承担。报价时应考虑相关费用。</w:t>
            </w:r>
          </w:p>
        </w:tc>
      </w:tr>
      <w:tr w14:paraId="7AB5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6440E25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付款方式</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31D72B21">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签订合同后 20 个工作日内中标人承接检测服务，采购人按合同总金额的30%（供应商属于中小企业的按照50%）预付服务费用；按照样品检测批次进度支付合同金额的65%（供应商属于中小企业的按照45%）的检测服务费；项目整体验收通过后，支付剩下的5%的服务费用。</w:t>
            </w:r>
          </w:p>
          <w:p w14:paraId="07424E05">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本项目虽不专门面向中小企业采购，但中小企业可同步享受本条款预付款提高政策与第四章规定的评标价格扣除优惠，两项扶持政策互不冲突、可叠加享受；监狱企业、残疾人福利性单位视同小微企业同步适用上述双重扶持政策。</w:t>
            </w:r>
          </w:p>
        </w:tc>
      </w:tr>
      <w:tr w14:paraId="3D2E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029E127C">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其他服务要求</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382C2063">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1、中标人应具备完善的售后服务体系，在广西区内具有或委托有具备固定地点、固定的维护人员的服务机构，并有能力及时处理所有可能发生的事件。</w:t>
            </w:r>
          </w:p>
          <w:p w14:paraId="6FE99834">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2、在服务期限内，中标人应根据国家最新版食品中农药最大残留限量值变化，提供包括但不仅限于样本前处理的技术调整。（必须在投标文件中提供承诺函）</w:t>
            </w:r>
          </w:p>
          <w:p w14:paraId="2AEC7951">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3、除投标文件明确外，中标人不得以任何方式转包或分包本项目，同一分标使用的试纸条必须为同一个厂家、同一个品牌的产品。（必须在投标文件中提供承诺函）</w:t>
            </w:r>
          </w:p>
          <w:p w14:paraId="1C400F6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4、中标人所提供的产品包括配件必须是厂家原包装全新正品，且产品有效使用期长（自接收到样品第二天计，以天计）应≥90%产品保质期长（以天计），否则不予验收。</w:t>
            </w:r>
          </w:p>
          <w:p w14:paraId="617AD947">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5、中标人接到采购人质量问题报告，应在1小时内响应，4小时内到达现场，24小时内排除问题，如在规定时间内无法排除，提供备品备件，保证采购人正常工作需要。</w:t>
            </w:r>
          </w:p>
          <w:p w14:paraId="22A5091C">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在项目实施过程中，中标人须提供中标产品数量的5%用于进行产品评价和性能验证实验，验证产品随机抽取，由采购人指定部级农检机构参照《农药残留胶体金免疫层析定性快速检测产品评价及性能验证规范》（NY/T 2715-2025）规定的程序进行产品评价及性能验证，样品基质为豇豆等果蔬类，评价判定指标为空白样品检测假阳性率应小于等于4%，按照农药残留最大残留限量添加水平下的样品检测假阴性率应小于等于2%，检测2倍农药残留最大残留限量添加水平的样品时不得有假阴性结果。全部满足该评价判定指标要求时为“通过”，否则为“不通过”。产品评价为不通过时，中标人须提供抽取产品数量的10倍产品赔偿。</w:t>
            </w:r>
          </w:p>
          <w:p w14:paraId="1E5AD64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检测结果归采购人所有，中标人必须对一切检测数据和检测技术资料保密，不得泄露给任何第三方，也不得将与样品有关的技术资料用于任何经营、开发及学术活动，否则，视为中标人违约，并由中标人承担所有的法律及经济责任。</w:t>
            </w:r>
          </w:p>
          <w:p w14:paraId="59758B6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8、中标人接受采购人不定期的电话、电子邮件以及现场检查等方式的督促和相关的质量控制，以保证检测服务工作的进度和质量。</w:t>
            </w:r>
          </w:p>
          <w:p w14:paraId="251224E0">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9、中标人须按照采购人制定的工作实施方案内容开展工作，并定期汇报服务进度，项目结束后提供合同期内工作开展情况及相关证明材料。</w:t>
            </w:r>
          </w:p>
          <w:p w14:paraId="789009B4">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10、中标后，采购人将根据最终确认的工作实施方案，在不改变招标文件实质性条款（单价、核心服务标准、结算方式）的前提下，与中标人签订具体实施协议。若实施方案导致服务范围或工作量发生重大变化，双方应另行协商或按相关规定处理。</w:t>
            </w:r>
          </w:p>
        </w:tc>
      </w:tr>
      <w:tr w14:paraId="2F21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37F0BCD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投标报价及</w:t>
            </w:r>
            <w:r>
              <w:rPr>
                <w:rFonts w:hint="eastAsia" w:ascii="宋体" w:hAnsi="宋体" w:eastAsia="宋体" w:cs="宋体"/>
                <w:bCs/>
                <w:color w:val="auto"/>
                <w:sz w:val="21"/>
                <w:szCs w:val="21"/>
                <w:highlight w:val="none"/>
              </w:rPr>
              <w:t>要求</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70741DB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投标报价为采购人指定地点的现场交货价，包括：</w:t>
            </w:r>
          </w:p>
          <w:p w14:paraId="7B9268B4">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（1）服务、货物的价格：包括货款、验收费（含检定、校准费等）；</w:t>
            </w:r>
          </w:p>
          <w:p w14:paraId="74378F00">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（2）所需的材料费、标准附件、备品备件、专用工具的价格；</w:t>
            </w:r>
          </w:p>
          <w:p w14:paraId="5860D35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（3）作业费、运输、装卸、售后服务费；</w:t>
            </w:r>
          </w:p>
          <w:p w14:paraId="6EAF0C92">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（4）投标报价应包含本次检测项目所需要的所有费用（含快速检测服务费）、招标代理服务费、保险费、验收费用和各项税金；</w:t>
            </w:r>
          </w:p>
          <w:p w14:paraId="18C25B7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（5）技术支持、宣传培训、驻点检测、信息平台对接及其他相关工作开展需要的其他费用；所检测样品的抽样、制备和各项检测指标的费用。</w:t>
            </w:r>
          </w:p>
          <w:p w14:paraId="51477169">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（6）供应商应自行考虑完成本项目所需的人力、物力等全部成本，以及可预见的其他因素及风险费用。投标人未列明的费用，均视为已包含在投标报价中，中标后采购人不再另行支付任何额外费用。</w:t>
            </w:r>
          </w:p>
          <w:p w14:paraId="172C45A5">
            <w:pPr>
              <w:keepNext w:val="0"/>
              <w:keepLines w:val="0"/>
              <w:pageBreakBefore w:val="0"/>
              <w:widowControl w:val="0"/>
              <w:kinsoku/>
              <w:wordWrap/>
              <w:overflowPunct/>
              <w:topLinePunct w:val="0"/>
              <w:autoSpaceDE/>
              <w:autoSpaceDN/>
              <w:bidi w:val="0"/>
              <w:spacing w:line="400" w:lineRule="exact"/>
              <w:ind w:firstLine="422" w:firstLineChars="200"/>
              <w:jc w:val="left"/>
              <w:textAlignment w:val="auto"/>
              <w:rPr>
                <w:rFonts w:hint="eastAsia" w:ascii="宋体" w:hAnsi="宋体" w:eastAsia="宋体" w:cs="宋体"/>
                <w:bCs/>
                <w:color w:val="auto"/>
                <w:sz w:val="21"/>
                <w:szCs w:val="21"/>
                <w:highlight w:val="none"/>
              </w:rPr>
            </w:pPr>
            <w:r>
              <w:rPr>
                <w:rFonts w:hint="eastAsia" w:ascii="宋体" w:hAnsi="宋体" w:cs="宋体"/>
                <w:b/>
                <w:bCs w:val="0"/>
                <w:color w:val="auto"/>
                <w:sz w:val="21"/>
                <w:szCs w:val="21"/>
                <w:highlight w:val="none"/>
                <w:lang w:eastAsia="zh-CN"/>
              </w:rPr>
              <w:t>（</w:t>
            </w:r>
            <w:r>
              <w:rPr>
                <w:rFonts w:hint="eastAsia" w:ascii="宋体" w:hAnsi="宋体" w:cs="宋体"/>
                <w:b/>
                <w:bCs w:val="0"/>
                <w:color w:val="auto"/>
                <w:sz w:val="21"/>
                <w:szCs w:val="21"/>
                <w:highlight w:val="none"/>
                <w:lang w:val="en-US" w:eastAsia="zh-CN"/>
              </w:rPr>
              <w:t>7</w:t>
            </w:r>
            <w:r>
              <w:rPr>
                <w:rFonts w:hint="eastAsia" w:ascii="宋体" w:hAnsi="宋体" w:cs="宋体"/>
                <w:b/>
                <w:bCs w:val="0"/>
                <w:color w:val="auto"/>
                <w:sz w:val="21"/>
                <w:szCs w:val="21"/>
                <w:highlight w:val="none"/>
                <w:lang w:eastAsia="zh-CN"/>
              </w:rPr>
              <w:t>）单价最高限价与结算原则：本</w:t>
            </w:r>
            <w:r>
              <w:rPr>
                <w:rFonts w:hint="eastAsia" w:ascii="宋体" w:hAnsi="宋体" w:cs="宋体"/>
                <w:b/>
                <w:bCs w:val="0"/>
                <w:color w:val="auto"/>
                <w:sz w:val="21"/>
                <w:szCs w:val="21"/>
                <w:highlight w:val="none"/>
                <w:lang w:val="en-US" w:eastAsia="zh-CN"/>
              </w:rPr>
              <w:t>标段</w:t>
            </w:r>
            <w:r>
              <w:rPr>
                <w:rFonts w:hint="eastAsia" w:ascii="宋体" w:hAnsi="宋体" w:cs="宋体"/>
                <w:b/>
                <w:bCs w:val="0"/>
                <w:color w:val="auto"/>
                <w:sz w:val="21"/>
                <w:szCs w:val="21"/>
                <w:highlight w:val="none"/>
                <w:lang w:eastAsia="zh-CN"/>
              </w:rPr>
              <w:t>设置单价最高限价为85元/批次（即每批次检测服务费不超过85元），投标人的单价报价不得超过此限价，否则视为无效投标。本项目采用固定单价、据实结算方式，最终支付金额以实际发生量乘以中标单价为准。本项目设置总价最高限额为预算上控价1700000.00元（大写：壹佰柒拾万元整），若按实际发生量计算的金额超出该上控价，则一律按1700000.00元进行封顶结算，超出部分采购人不予支付。</w:t>
            </w:r>
          </w:p>
        </w:tc>
      </w:tr>
    </w:tbl>
    <w:p w14:paraId="340A1CF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b/>
          <w:bCs/>
          <w:color w:val="auto"/>
          <w:sz w:val="21"/>
          <w:szCs w:val="21"/>
          <w:highlight w:val="none"/>
        </w:rPr>
      </w:pPr>
    </w:p>
    <w:p w14:paraId="590E94A3">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r>
        <w:rPr>
          <w:rFonts w:hint="eastAsia" w:ascii="宋体" w:hAnsi="宋体" w:eastAsia="宋体" w:cs="宋体"/>
          <w:b/>
          <w:bCs/>
          <w:color w:val="auto"/>
          <w:sz w:val="21"/>
          <w:szCs w:val="21"/>
          <w:highlight w:val="none"/>
        </w:rPr>
        <w:t>分标3：预算金额</w:t>
      </w:r>
      <w:bookmarkStart w:id="116" w:name="OLE_LINK146"/>
      <w:bookmarkStart w:id="117" w:name="OLE_LINK184"/>
      <w:bookmarkStart w:id="118" w:name="OLE_LINK147"/>
      <w:r>
        <w:rPr>
          <w:rFonts w:hint="eastAsia" w:ascii="宋体" w:hAnsi="宋体" w:cs="宋体"/>
          <w:b/>
          <w:bCs/>
          <w:color w:val="auto"/>
          <w:sz w:val="21"/>
          <w:szCs w:val="21"/>
          <w:highlight w:val="none"/>
          <w:lang w:val="en-US" w:eastAsia="zh-CN"/>
        </w:rPr>
        <w:t>170.00万元</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336"/>
        <w:gridCol w:w="935"/>
        <w:gridCol w:w="6742"/>
      </w:tblGrid>
      <w:tr w14:paraId="57F2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86" w:type="dxa"/>
            <w:gridSpan w:val="4"/>
            <w:noWrap w:val="0"/>
            <w:vAlign w:val="center"/>
          </w:tcPr>
          <w:p w14:paraId="19DD7692">
            <w:pPr>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一、需求一览表</w:t>
            </w:r>
          </w:p>
        </w:tc>
      </w:tr>
      <w:tr w14:paraId="3DBF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73" w:type="dxa"/>
            <w:noWrap w:val="0"/>
            <w:vAlign w:val="center"/>
          </w:tcPr>
          <w:p w14:paraId="0B2BE94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336" w:type="dxa"/>
            <w:noWrap w:val="0"/>
            <w:vAlign w:val="center"/>
          </w:tcPr>
          <w:p w14:paraId="3C70E19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935" w:type="dxa"/>
            <w:noWrap w:val="0"/>
            <w:vAlign w:val="center"/>
          </w:tcPr>
          <w:p w14:paraId="7461D0D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数量及单位</w:t>
            </w:r>
          </w:p>
        </w:tc>
        <w:tc>
          <w:tcPr>
            <w:tcW w:w="6742" w:type="dxa"/>
            <w:noWrap w:val="0"/>
            <w:vAlign w:val="center"/>
          </w:tcPr>
          <w:p w14:paraId="7F65D31A">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服务参数及要求</w:t>
            </w:r>
          </w:p>
        </w:tc>
      </w:tr>
      <w:tr w14:paraId="20F8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73" w:type="dxa"/>
            <w:noWrap w:val="0"/>
            <w:vAlign w:val="center"/>
          </w:tcPr>
          <w:p w14:paraId="208FFE11">
            <w:pPr>
              <w:keepNext w:val="0"/>
              <w:keepLines w:val="0"/>
              <w:pageBreakBefore w:val="0"/>
              <w:widowControl w:val="0"/>
              <w:kinsoku/>
              <w:wordWrap/>
              <w:overflowPunct/>
              <w:topLinePunct w:val="0"/>
              <w:autoSpaceDE/>
              <w:autoSpaceDN/>
              <w:bidi w:val="0"/>
              <w:adjustRightInd w:val="0"/>
              <w:spacing w:line="400" w:lineRule="exact"/>
              <w:jc w:val="center"/>
              <w:textAlignment w:val="auto"/>
              <w:rPr>
                <w:rFonts w:hint="eastAsia" w:ascii="宋体" w:hAnsi="宋体" w:eastAsia="宋体" w:cs="宋体"/>
                <w:color w:val="auto"/>
                <w:sz w:val="21"/>
                <w:szCs w:val="21"/>
                <w:highlight w:val="none"/>
              </w:rPr>
            </w:pPr>
            <w:bookmarkStart w:id="119" w:name="_Hlk231216003"/>
            <w:bookmarkStart w:id="120" w:name="OLE_LINK197" w:colFirst="3" w:colLast="67"/>
            <w:bookmarkStart w:id="121" w:name="OLE_LINK198" w:colFirst="3" w:colLast="67"/>
            <w:r>
              <w:rPr>
                <w:rFonts w:hint="eastAsia" w:ascii="宋体" w:hAnsi="宋体" w:eastAsia="宋体" w:cs="宋体"/>
                <w:color w:val="auto"/>
                <w:sz w:val="21"/>
                <w:szCs w:val="21"/>
                <w:highlight w:val="none"/>
              </w:rPr>
              <w:t>1</w:t>
            </w:r>
          </w:p>
        </w:tc>
        <w:tc>
          <w:tcPr>
            <w:tcW w:w="1336" w:type="dxa"/>
            <w:noWrap w:val="0"/>
            <w:vAlign w:val="center"/>
          </w:tcPr>
          <w:p w14:paraId="571ECDF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cs="仿宋_GB2312"/>
                <w:color w:val="auto"/>
                <w:szCs w:val="21"/>
                <w:highlight w:val="none"/>
                <w:lang w:eastAsia="zh-CN"/>
              </w:rPr>
              <w:t>2026年农产品检测项目采购（种植业三）</w:t>
            </w:r>
          </w:p>
        </w:tc>
        <w:tc>
          <w:tcPr>
            <w:tcW w:w="935" w:type="dxa"/>
            <w:noWrap w:val="0"/>
            <w:vAlign w:val="center"/>
          </w:tcPr>
          <w:p w14:paraId="7912ABB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1批</w:t>
            </w:r>
          </w:p>
        </w:tc>
        <w:tc>
          <w:tcPr>
            <w:tcW w:w="6742" w:type="dxa"/>
            <w:noWrap w:val="0"/>
            <w:vAlign w:val="center"/>
          </w:tcPr>
          <w:p w14:paraId="5B4F2E8D">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一、开展种植业产品胶体金速测技术推广服务≥</w:t>
            </w:r>
            <w:r>
              <w:rPr>
                <w:rFonts w:hint="eastAsia" w:ascii="宋体" w:hAnsi="宋体"/>
                <w:color w:val="auto"/>
                <w:kern w:val="0"/>
                <w:szCs w:val="21"/>
                <w:highlight w:val="none"/>
                <w:lang w:val="en-US" w:eastAsia="zh-CN"/>
              </w:rPr>
              <w:t>2万</w:t>
            </w:r>
            <w:r>
              <w:rPr>
                <w:rFonts w:hint="eastAsia" w:ascii="宋体" w:hAnsi="宋体" w:eastAsia="宋体" w:cs="宋体"/>
                <w:color w:val="auto"/>
                <w:kern w:val="0"/>
                <w:sz w:val="21"/>
                <w:szCs w:val="21"/>
                <w:highlight w:val="none"/>
              </w:rPr>
              <w:t>批次，由中标人根据采购人要求到来宾、玉林、贵港</w:t>
            </w:r>
            <w:r>
              <w:rPr>
                <w:rFonts w:hint="eastAsia" w:ascii="宋体" w:hAnsi="宋体" w:cs="宋体"/>
                <w:color w:val="auto"/>
                <w:kern w:val="0"/>
                <w:sz w:val="21"/>
                <w:szCs w:val="21"/>
                <w:highlight w:val="none"/>
                <w:lang w:eastAsia="zh-CN"/>
              </w:rPr>
              <w:t>等</w:t>
            </w:r>
            <w:r>
              <w:rPr>
                <w:rFonts w:hint="eastAsia" w:ascii="宋体" w:hAnsi="宋体" w:eastAsia="宋体" w:cs="宋体"/>
                <w:color w:val="auto"/>
                <w:kern w:val="0"/>
                <w:sz w:val="21"/>
                <w:szCs w:val="21"/>
                <w:highlight w:val="none"/>
              </w:rPr>
              <w:t>指定地点</w:t>
            </w:r>
            <w:r>
              <w:rPr>
                <w:rFonts w:hint="eastAsia" w:ascii="宋体" w:hAnsi="宋体" w:cs="宋体"/>
                <w:color w:val="auto"/>
                <w:kern w:val="0"/>
                <w:sz w:val="21"/>
                <w:szCs w:val="21"/>
                <w:highlight w:val="none"/>
                <w:lang w:eastAsia="zh-CN"/>
              </w:rPr>
              <w:t>针</w:t>
            </w:r>
            <w:r>
              <w:rPr>
                <w:rFonts w:hint="eastAsia" w:ascii="宋体" w:hAnsi="宋体" w:cs="宋体"/>
                <w:color w:val="auto"/>
                <w:kern w:val="0"/>
                <w:sz w:val="21"/>
                <w:szCs w:val="21"/>
                <w:highlight w:val="none"/>
                <w:lang w:val="en-US" w:eastAsia="zh-CN"/>
              </w:rPr>
              <w:t>对豇豆、甘薯、香蕉、芒果、柑橘类、火龙果等种植业重点品种开展上市前胶体金速测，重点检测相关品种的易检出禁限用农药及易超标常规农药</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并提供相关的技术支撑、技术培训，达到速测技术推广服务要求。中标价格包含样品、试剂耗材、数据统计分析、检测服务、技术培训、技术支持等所有相关费用。每批次胶体金快速检测不少于5个参数，快速检测试纸技术参数根据采购人要求的检测样品以及实际情况决定，服务商使用的快速检测试纸需具备以下技术要求。</w:t>
            </w:r>
          </w:p>
          <w:p w14:paraId="53D276C2">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1、包装组成：</w:t>
            </w:r>
          </w:p>
          <w:p w14:paraId="10E797D7">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（1）密封包装，能保证样品的有效性。密封包装上应直接印有产品名称、生产厂家、品牌、商标、生产日期、有效期、注意事项、储存条件等相关信息；</w:t>
            </w:r>
          </w:p>
          <w:p w14:paraId="7F468DB8">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（2）保存简便、室温操作，保质期至少1年。</w:t>
            </w:r>
          </w:p>
          <w:p w14:paraId="6B106446">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2、检测技术要求：</w:t>
            </w:r>
          </w:p>
          <w:p w14:paraId="5D6B49FA">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（1）各参数农残检出限能完全匹配GB2763-2026食品中农药最大残留限量要求；假阴性率小于2%，假阳性率小于4%。             </w:t>
            </w:r>
          </w:p>
          <w:p w14:paraId="64C9B82C">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（2）胶体金检测卡本身具有质量控制对照线并附有专属二维码（不可贴标、需喷码；可用于检测时扫码识别统计及追溯）及产品名称、品牌信息；（初次报价时提供产品说明书或承诺函）；</w:t>
            </w:r>
          </w:p>
          <w:p w14:paraId="6512C6E4">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（3）检测单个样品时，从样品前处理到结果判断 整个过程要求在20分钟内完成；判读结果时间：5-8分钟内/条；（提供产品说明书或承诺函）</w:t>
            </w:r>
          </w:p>
          <w:p w14:paraId="3130C376">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（4）快速检测试纸条特异性强，与结构类似物交叉反应小。 </w:t>
            </w:r>
          </w:p>
          <w:p w14:paraId="7FEAAA34">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（5）判读标准：以有无测试线为准进行判定，或采取检测线（T 线）与质量控 制线（C 线）颜色深浅对比进行判定；</w:t>
            </w:r>
          </w:p>
          <w:p w14:paraId="615C02EB">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（6）检测结果稳定，在 30 分钟后结果仍不发生变化；</w:t>
            </w:r>
          </w:p>
          <w:p w14:paraId="0E3B52B9">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（7）胶体金试纸条检测结果能通过移动终端（手机等）应用程序拍照或插卡自动判定检测结果。 </w:t>
            </w:r>
          </w:p>
          <w:p w14:paraId="5525F445">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（8）移动终端（手机端）应用程序能够判读胶体金试纸条检测线（T线）和质量控制线（C线）的比值，即显示T/C值，并直接给出判定结果。  </w:t>
            </w:r>
          </w:p>
          <w:p w14:paraId="6436A210">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（9）判读数据通过移动终端（手机等）应用程序，对接至相关监管平台小程序，保证实时上传至指定的监管平台，确保数据安全，只向客户指定的平台对接数据。</w:t>
            </w:r>
          </w:p>
          <w:p w14:paraId="04AD0263">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（10）胶体金试纸条检测结果判读和图片上传实时同步进行，结果可追溯，不可篡改。 </w:t>
            </w:r>
          </w:p>
          <w:p w14:paraId="76801F86">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（11）试纸条出厂前针对不同基质中的不同检出限要求，进行批批验证，确保质量稳定，每批次均须出具验证报告备查。 </w:t>
            </w:r>
          </w:p>
          <w:p w14:paraId="6A976DC2">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（12）操作简便，按照试剂盒内说明书操作，即可获得检测结果； </w:t>
            </w:r>
          </w:p>
          <w:p w14:paraId="4D0DC73A">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（13）试纸条出厂日期应在一个月以内。</w:t>
            </w:r>
          </w:p>
          <w:p w14:paraId="6FC6C278">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中标人需培训采购人指定的监管人员、技术服务人员熟练掌握胶体金快速检测方法的使用、规范抽样制样、结果判读、数据统计上传、阳性样品处置等工作，并提供相应产品使用期间的技术支持。培训5场次以上，技术支持10次以上。</w:t>
            </w:r>
          </w:p>
          <w:p w14:paraId="2F0DB069">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三、其他要求：</w:t>
            </w:r>
          </w:p>
          <w:p w14:paraId="14CB9E01">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1、质量要求：供应商须对所使用的</w:t>
            </w:r>
            <w:r>
              <w:rPr>
                <w:rFonts w:hint="eastAsia" w:ascii="宋体" w:hAnsi="宋体" w:cs="宋体"/>
                <w:color w:val="auto"/>
                <w:kern w:val="0"/>
                <w:sz w:val="21"/>
                <w:szCs w:val="21"/>
                <w:highlight w:val="none"/>
                <w:lang w:eastAsia="zh-CN"/>
              </w:rPr>
              <w:t>每批次出厂的</w:t>
            </w:r>
            <w:r>
              <w:rPr>
                <w:rFonts w:hint="eastAsia" w:ascii="宋体" w:hAnsi="宋体" w:eastAsia="宋体" w:cs="宋体"/>
                <w:color w:val="auto"/>
                <w:kern w:val="0"/>
                <w:sz w:val="21"/>
                <w:szCs w:val="21"/>
                <w:highlight w:val="none"/>
              </w:rPr>
              <w:t>胶体金速测产品进行验证，检出阳性样品时，需开展阳性样品的定量检测结果确认工作；供应商使用的快速检测产品应通过近三年部级或省级检测机构组织的种植业产品农药残留快速检测验证，未验证的参数需提供相应的试验验证材料。</w:t>
            </w:r>
          </w:p>
          <w:p w14:paraId="7DD94110">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2、报告要求：中标人须按照采购人要求的时限定期汇报服务进度，项目结束后提供全年工作开展情况及佐证材料，包含技术支持和培训服务等相关证明材料。</w:t>
            </w:r>
          </w:p>
          <w:p w14:paraId="6E6ECF6C">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中标人须承担相应片区胶体金速测阴性样品不少于100批次的样品验证服务。阴性样品结果验证采用定量检测法，检测项目与该批次样品胶体金速测项目一致；样品定量验证结果需在抽样后15个工作日内向中标人递交具有检验检测机构资质认定（CMA）和广西农产品质量安全检测机构考核（CATL）的报告及其原始记录。</w:t>
            </w:r>
          </w:p>
        </w:tc>
      </w:tr>
      <w:bookmarkEnd w:id="119"/>
      <w:bookmarkEnd w:id="120"/>
      <w:bookmarkEnd w:id="121"/>
      <w:tr w14:paraId="3E35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686" w:type="dxa"/>
            <w:gridSpan w:val="4"/>
            <w:noWrap w:val="0"/>
            <w:vAlign w:val="center"/>
          </w:tcPr>
          <w:p w14:paraId="016D5389">
            <w:pPr>
              <w:keepNext w:val="0"/>
              <w:keepLines w:val="0"/>
              <w:pageBreakBefore w:val="0"/>
              <w:widowControl w:val="0"/>
              <w:kinsoku/>
              <w:wordWrap/>
              <w:overflowPunct/>
              <w:topLinePunct w:val="0"/>
              <w:autoSpaceDE/>
              <w:autoSpaceDN/>
              <w:bidi w:val="0"/>
              <w:adjustRightInd w:val="0"/>
              <w:spacing w:line="400" w:lineRule="exact"/>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二、▲</w:t>
            </w:r>
            <w:r>
              <w:rPr>
                <w:rFonts w:hint="eastAsia" w:ascii="宋体" w:hAnsi="宋体" w:eastAsia="宋体" w:cs="宋体"/>
                <w:b/>
                <w:bCs/>
                <w:color w:val="auto"/>
                <w:sz w:val="21"/>
                <w:szCs w:val="21"/>
                <w:highlight w:val="none"/>
              </w:rPr>
              <w:t>商务条款</w:t>
            </w:r>
          </w:p>
        </w:tc>
      </w:tr>
      <w:tr w14:paraId="0112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6F4151C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实施时间及地点</w:t>
            </w:r>
          </w:p>
        </w:tc>
        <w:tc>
          <w:tcPr>
            <w:tcW w:w="7677" w:type="dxa"/>
            <w:gridSpan w:val="2"/>
            <w:noWrap w:val="0"/>
            <w:vAlign w:val="center"/>
          </w:tcPr>
          <w:p w14:paraId="53BCF214">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1、服务期限：</w:t>
            </w:r>
            <w:r>
              <w:rPr>
                <w:rFonts w:hint="eastAsia" w:ascii="宋体" w:hAnsi="宋体" w:cs="宋体"/>
                <w:bCs/>
                <w:color w:val="auto"/>
                <w:sz w:val="21"/>
                <w:szCs w:val="21"/>
                <w:highlight w:val="none"/>
                <w:lang w:eastAsia="zh-CN"/>
              </w:rPr>
              <w:t>自合同签订之日起至2026年12月31日止</w:t>
            </w:r>
            <w:r>
              <w:rPr>
                <w:rFonts w:hint="eastAsia" w:ascii="宋体" w:hAnsi="宋体" w:eastAsia="宋体" w:cs="宋体"/>
                <w:bCs/>
                <w:color w:val="auto"/>
                <w:sz w:val="21"/>
                <w:szCs w:val="21"/>
                <w:highlight w:val="none"/>
              </w:rPr>
              <w:t>。自签订合同之日起开始提供相应服务，具体服务时间根据农产品上市季节等实际情况进行安排，由采购人另行通知。</w:t>
            </w:r>
          </w:p>
          <w:p w14:paraId="29328B17">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2、服务地点：广西区内采购人指定地点。</w:t>
            </w:r>
          </w:p>
        </w:tc>
      </w:tr>
      <w:tr w14:paraId="4A83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6E40521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合同签订时间</w:t>
            </w:r>
          </w:p>
        </w:tc>
        <w:tc>
          <w:tcPr>
            <w:tcW w:w="7677" w:type="dxa"/>
            <w:gridSpan w:val="2"/>
            <w:noWrap w:val="0"/>
            <w:vAlign w:val="center"/>
          </w:tcPr>
          <w:p w14:paraId="208BD4F8">
            <w:pPr>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w:t>
            </w:r>
            <w:r>
              <w:rPr>
                <w:rFonts w:hint="eastAsia" w:ascii="宋体" w:hAnsi="宋体" w:cs="宋体"/>
                <w:bCs/>
                <w:color w:val="auto"/>
                <w:sz w:val="21"/>
                <w:szCs w:val="21"/>
                <w:highlight w:val="none"/>
                <w:lang w:eastAsia="zh-CN"/>
              </w:rPr>
              <w:t>中标通知书</w:t>
            </w:r>
            <w:r>
              <w:rPr>
                <w:rFonts w:hint="eastAsia" w:ascii="宋体" w:hAnsi="宋体" w:eastAsia="宋体" w:cs="宋体"/>
                <w:bCs/>
                <w:color w:val="auto"/>
                <w:sz w:val="21"/>
                <w:szCs w:val="21"/>
                <w:highlight w:val="none"/>
              </w:rPr>
              <w:t>发出之日起 25 日内。</w:t>
            </w:r>
          </w:p>
        </w:tc>
      </w:tr>
      <w:tr w14:paraId="4F81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61B2E6E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验收标准及规范</w:t>
            </w:r>
          </w:p>
        </w:tc>
        <w:tc>
          <w:tcPr>
            <w:tcW w:w="7677" w:type="dxa"/>
            <w:gridSpan w:val="2"/>
            <w:noWrap w:val="0"/>
            <w:vAlign w:val="center"/>
          </w:tcPr>
          <w:p w14:paraId="6AF4D022">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1、符合有关国家质量标准、技术规范及规程要求。</w:t>
            </w:r>
          </w:p>
          <w:p w14:paraId="17570EB8">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2、根据采购文件上的技术规格要求，成果报告符合采购文件技术要求的，给予签收，初步验收不合格的不予签收。其他验收要求按合同文本执行。</w:t>
            </w:r>
          </w:p>
          <w:p w14:paraId="5069B004">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3、验收过程中所产生的一切费用均由</w:t>
            </w:r>
            <w:r>
              <w:rPr>
                <w:rFonts w:hint="eastAsia" w:ascii="宋体" w:hAnsi="宋体" w:cs="宋体"/>
                <w:bCs/>
                <w:color w:val="auto"/>
                <w:sz w:val="21"/>
                <w:szCs w:val="21"/>
                <w:highlight w:val="none"/>
                <w:lang w:eastAsia="zh-CN"/>
              </w:rPr>
              <w:t>中标供应商</w:t>
            </w:r>
            <w:r>
              <w:rPr>
                <w:rFonts w:hint="eastAsia" w:ascii="宋体" w:hAnsi="宋体" w:eastAsia="宋体" w:cs="宋体"/>
                <w:bCs/>
                <w:color w:val="auto"/>
                <w:sz w:val="21"/>
                <w:szCs w:val="21"/>
                <w:highlight w:val="none"/>
              </w:rPr>
              <w:t>承担。报价时应考虑相关费用。</w:t>
            </w:r>
          </w:p>
        </w:tc>
      </w:tr>
      <w:tr w14:paraId="55BD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1B7EE055">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付款方式</w:t>
            </w:r>
          </w:p>
        </w:tc>
        <w:tc>
          <w:tcPr>
            <w:tcW w:w="7677" w:type="dxa"/>
            <w:gridSpan w:val="2"/>
            <w:noWrap w:val="0"/>
            <w:vAlign w:val="center"/>
          </w:tcPr>
          <w:p w14:paraId="5CF20E08">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签订合同后 20 个工作日内中标人承接检测服务，采购人按合同总金额的30%（供应商属于中小企业的按照50%）预付服务费用；按照样品检测批次进度支付合同金额的65%（供应商属于中小企业的按照45%）的检测服务费；项目整体验收通过后，支付剩下的5%的服务费用。</w:t>
            </w:r>
          </w:p>
          <w:p w14:paraId="5B618FAB">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本项目虽不专门面向中小企业采购，但中小企业可同步享受本条款预付款提高政策与第四章规定的评标价格扣除优惠，两项扶持政策互不冲突、可叠加享受；监狱企业、残疾人福利性单位视同小微企业同步适用上述双重扶持政策。</w:t>
            </w:r>
          </w:p>
        </w:tc>
      </w:tr>
      <w:tr w14:paraId="7EF5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4DF90863">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其他服务要求</w:t>
            </w:r>
          </w:p>
        </w:tc>
        <w:tc>
          <w:tcPr>
            <w:tcW w:w="7677" w:type="dxa"/>
            <w:gridSpan w:val="2"/>
            <w:noWrap w:val="0"/>
            <w:vAlign w:val="center"/>
          </w:tcPr>
          <w:p w14:paraId="06A635F8">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1、中标人应具备完善的售后服务体系，在广西区内具有或委托有具备固定地点、固定的维护人员的服务机构，并有能力及时处理所有可能发生的事件。</w:t>
            </w:r>
          </w:p>
          <w:p w14:paraId="7C08B89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2、在服务期限内，中标人应根据国家最新版食品中农药最大残留限量值变化，提供包括但不仅限于样本前处理的技术调整。（必须在投标文件中提供承诺函）</w:t>
            </w:r>
          </w:p>
          <w:p w14:paraId="54267565">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3、除投标文件明确外，中标人不得以任何方式转包或分包本项目，同一分标使用的试纸条必须为同一个厂家、同一个品牌的产品。（必须在投标文件中提供承诺函）</w:t>
            </w:r>
          </w:p>
          <w:p w14:paraId="6295ABD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4、中标人所提供的产品包括配件必须是厂家原包装全新正品，且产品有效使用期长（自接收到样品第二天计，以天计）应≥90%产品保质期长（以天计），否则不予验收。</w:t>
            </w:r>
          </w:p>
          <w:p w14:paraId="1675D22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5、中标人接到采购人质量问题报告，应在1小时内响应，4小时内到达现场，24小时内排除问题，如在规定时间内无法排除，提供备品备件，保证采购人正常工作需要。</w:t>
            </w:r>
          </w:p>
          <w:p w14:paraId="14CEC969">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在项目实施过程中，中标人须提供中标产品数量的5%用于进行产品评价和性能验证实验，验证产品随机抽取，由采购人指定部级农检机构参照《农药残留胶体金免疫层析定性快速检测产品评价及性能验证规范》（NY/T 2715-2025）规定的程序进行产品评价及性能验证，样品基质为豇豆等果蔬类，评价判定指标为空白样品检测假阳性率应小于等于4%，按照农药残留最大残留限量添加水平下的样品检测假阴性率应小于等于2%，检测2倍农药残留最大残留限量添加水平的样品时不得有假阴性结果。全部满足该评价判定指标要求时为“通过”，否则为“不通过”。产品评价为不通过时，中标人须提供抽取产品数量的10倍产品赔偿。</w:t>
            </w:r>
          </w:p>
          <w:p w14:paraId="5FF472D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检测结果归采购人所有，中标人必须对一切检测数据和检测技术资料保密，不得泄露给任何第三方，也不得将与样品有关的技术资料用于任何经营、开发及学术活动，否则，视为中标人违约，并由中标人承担所有的法律及经济责任。</w:t>
            </w:r>
          </w:p>
          <w:p w14:paraId="5275F5F9">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8、中标人接受采购人不定期的电话、电子邮件以及现场检查等方式的督促和相关的质量控制，以保证检测服务工作的进度和质量。</w:t>
            </w:r>
          </w:p>
          <w:p w14:paraId="076BFC11">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9、中标人须按照采购人制定的工作实施方案内容开展工作，并定期汇报服务进度，项目结束后提供合同期内工作开展情况及相关证明材料。</w:t>
            </w:r>
          </w:p>
          <w:p w14:paraId="71255577">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10、中标后，采购人将根据最终确认的工作实施方案，在不改变招标文件实质性条款（单价、核心服务标准、结算方式）的前提下，与中标人签订具体实施协议。若实施方案导致服务范围或工作量发生重大变化，双方应另行协商或按相关规定处理。</w:t>
            </w:r>
          </w:p>
        </w:tc>
      </w:tr>
      <w:tr w14:paraId="4142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760AB97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bookmarkStart w:id="122" w:name="OLE_LINK199" w:colFirst="1" w:colLast="65"/>
            <w:bookmarkStart w:id="123" w:name="_Hlk231216062"/>
            <w:bookmarkStart w:id="124" w:name="OLE_LINK200" w:colFirst="1" w:colLast="65"/>
            <w:r>
              <w:rPr>
                <w:rFonts w:hint="eastAsia" w:ascii="宋体" w:hAnsi="宋体" w:eastAsia="宋体" w:cs="宋体"/>
                <w:color w:val="auto"/>
                <w:sz w:val="21"/>
                <w:szCs w:val="21"/>
                <w:highlight w:val="none"/>
              </w:rPr>
              <w:t>投标报价及</w:t>
            </w:r>
            <w:r>
              <w:rPr>
                <w:rFonts w:hint="eastAsia" w:ascii="宋体" w:hAnsi="宋体" w:eastAsia="宋体" w:cs="宋体"/>
                <w:bCs/>
                <w:color w:val="auto"/>
                <w:sz w:val="21"/>
                <w:szCs w:val="21"/>
                <w:highlight w:val="none"/>
              </w:rPr>
              <w:t>要求</w:t>
            </w:r>
          </w:p>
        </w:tc>
        <w:tc>
          <w:tcPr>
            <w:tcW w:w="7677" w:type="dxa"/>
            <w:gridSpan w:val="2"/>
            <w:noWrap w:val="0"/>
            <w:vAlign w:val="center"/>
          </w:tcPr>
          <w:p w14:paraId="62249ADA">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投标报价为采购人指定地点的现场交货价，包括：</w:t>
            </w:r>
          </w:p>
          <w:p w14:paraId="18E690C6">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（1）服务、货物的价格：包括货款、验收费（含检定、校准费等）；</w:t>
            </w:r>
          </w:p>
          <w:p w14:paraId="70195FD9">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（2）所需的材料费、标准附件、备品备件、专用工具的价格；</w:t>
            </w:r>
          </w:p>
          <w:p w14:paraId="2B096C4A">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（3）作业费、运输、装卸、售后服务费；</w:t>
            </w:r>
          </w:p>
          <w:p w14:paraId="5F9D18C5">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（4）投标报价应包含本次检测项目所需要的所有费用（含快速检测服务费）、招标代理服务费、保险费、验收费用和各项税金；</w:t>
            </w:r>
          </w:p>
          <w:p w14:paraId="06815448">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（5）技术支持、宣传培训、驻点检测、信息平台对接及其他相关工作开展需要的其他费用；所检测样品的抽样、制备和各项检测指标的费用。</w:t>
            </w:r>
          </w:p>
          <w:p w14:paraId="194A4621">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（6）供应商应自行考虑完成本项目所需的人力、物力等全部成本，以及可预见的其他因素及风险费用。投标人未列明的费用，均视为已包含在投标报价中，中标后采购人不再另行支付任何额外费用。</w:t>
            </w:r>
          </w:p>
          <w:p w14:paraId="3DB98854">
            <w:pPr>
              <w:keepNext w:val="0"/>
              <w:keepLines w:val="0"/>
              <w:pageBreakBefore w:val="0"/>
              <w:widowControl w:val="0"/>
              <w:kinsoku/>
              <w:wordWrap/>
              <w:overflowPunct/>
              <w:topLinePunct w:val="0"/>
              <w:autoSpaceDE/>
              <w:autoSpaceDN/>
              <w:bidi w:val="0"/>
              <w:spacing w:line="400" w:lineRule="exact"/>
              <w:ind w:firstLine="422" w:firstLineChars="200"/>
              <w:jc w:val="left"/>
              <w:textAlignment w:val="auto"/>
              <w:rPr>
                <w:rFonts w:hint="eastAsia" w:ascii="宋体" w:hAnsi="宋体" w:eastAsia="宋体" w:cs="宋体"/>
                <w:bCs/>
                <w:color w:val="auto"/>
                <w:sz w:val="21"/>
                <w:szCs w:val="21"/>
                <w:highlight w:val="none"/>
              </w:rPr>
            </w:pPr>
            <w:r>
              <w:rPr>
                <w:rFonts w:hint="eastAsia" w:ascii="宋体" w:hAnsi="宋体" w:cs="宋体"/>
                <w:b/>
                <w:bCs w:val="0"/>
                <w:color w:val="auto"/>
                <w:sz w:val="21"/>
                <w:szCs w:val="21"/>
                <w:highlight w:val="none"/>
                <w:lang w:eastAsia="zh-CN"/>
              </w:rPr>
              <w:t>（</w:t>
            </w:r>
            <w:r>
              <w:rPr>
                <w:rFonts w:hint="eastAsia" w:ascii="宋体" w:hAnsi="宋体" w:cs="宋体"/>
                <w:b/>
                <w:bCs w:val="0"/>
                <w:color w:val="auto"/>
                <w:sz w:val="21"/>
                <w:szCs w:val="21"/>
                <w:highlight w:val="none"/>
                <w:lang w:val="en-US" w:eastAsia="zh-CN"/>
              </w:rPr>
              <w:t>7</w:t>
            </w:r>
            <w:r>
              <w:rPr>
                <w:rFonts w:hint="eastAsia" w:ascii="宋体" w:hAnsi="宋体" w:cs="宋体"/>
                <w:b/>
                <w:bCs w:val="0"/>
                <w:color w:val="auto"/>
                <w:sz w:val="21"/>
                <w:szCs w:val="21"/>
                <w:highlight w:val="none"/>
                <w:lang w:eastAsia="zh-CN"/>
              </w:rPr>
              <w:t>）单价最高限价与结算原则：本</w:t>
            </w:r>
            <w:r>
              <w:rPr>
                <w:rFonts w:hint="eastAsia" w:ascii="宋体" w:hAnsi="宋体" w:cs="宋体"/>
                <w:b/>
                <w:bCs w:val="0"/>
                <w:color w:val="auto"/>
                <w:sz w:val="21"/>
                <w:szCs w:val="21"/>
                <w:highlight w:val="none"/>
                <w:lang w:val="en-US" w:eastAsia="zh-CN"/>
              </w:rPr>
              <w:t>标段</w:t>
            </w:r>
            <w:r>
              <w:rPr>
                <w:rFonts w:hint="eastAsia" w:ascii="宋体" w:hAnsi="宋体" w:cs="宋体"/>
                <w:b/>
                <w:bCs w:val="0"/>
                <w:color w:val="auto"/>
                <w:sz w:val="21"/>
                <w:szCs w:val="21"/>
                <w:highlight w:val="none"/>
                <w:lang w:eastAsia="zh-CN"/>
              </w:rPr>
              <w:t>设置单价最高限价为85元/批次（即每批次检测服务费不超过85元），投标人的单价报价不得超过此限价，否则视为无效投标。本项目采用固定单价、据实结算方式，最终支付金额以实际发生量乘以中标单价为准。本项目设置总价最高限额为预算上控价1700000.00元（大写：壹佰柒拾万元整），若按实际发生量计算的金额超出该上控价，则一律按1700000.00元进行封顶结算，超出部分采购人不予支付。</w:t>
            </w:r>
          </w:p>
        </w:tc>
      </w:tr>
      <w:bookmarkEnd w:id="122"/>
      <w:bookmarkEnd w:id="123"/>
      <w:bookmarkEnd w:id="124"/>
    </w:tbl>
    <w:p w14:paraId="369DE56F">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b/>
          <w:bCs/>
          <w:color w:val="auto"/>
          <w:sz w:val="21"/>
          <w:szCs w:val="21"/>
          <w:highlight w:val="none"/>
        </w:rPr>
      </w:pPr>
    </w:p>
    <w:bookmarkEnd w:id="116"/>
    <w:bookmarkEnd w:id="117"/>
    <w:bookmarkEnd w:id="118"/>
    <w:p w14:paraId="00A6CD5E">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r>
        <w:rPr>
          <w:rFonts w:hint="eastAsia" w:ascii="宋体" w:hAnsi="宋体" w:eastAsia="宋体" w:cs="宋体"/>
          <w:b/>
          <w:bCs/>
          <w:color w:val="auto"/>
          <w:sz w:val="21"/>
          <w:szCs w:val="21"/>
          <w:highlight w:val="none"/>
        </w:rPr>
        <w:t>分标</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：预算金额</w:t>
      </w:r>
      <w:r>
        <w:rPr>
          <w:rFonts w:hint="eastAsia" w:ascii="宋体" w:hAnsi="宋体" w:cs="宋体"/>
          <w:b/>
          <w:bCs/>
          <w:color w:val="auto"/>
          <w:sz w:val="21"/>
          <w:szCs w:val="21"/>
          <w:highlight w:val="none"/>
          <w:lang w:val="en-US" w:eastAsia="zh-CN"/>
        </w:rPr>
        <w:t>170.00万元</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336"/>
        <w:gridCol w:w="935"/>
        <w:gridCol w:w="6742"/>
      </w:tblGrid>
      <w:tr w14:paraId="6D92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86" w:type="dxa"/>
            <w:gridSpan w:val="4"/>
            <w:noWrap w:val="0"/>
            <w:vAlign w:val="center"/>
          </w:tcPr>
          <w:p w14:paraId="13B1DA87">
            <w:pPr>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一、需求一览表</w:t>
            </w:r>
          </w:p>
        </w:tc>
      </w:tr>
      <w:tr w14:paraId="5032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73" w:type="dxa"/>
            <w:noWrap w:val="0"/>
            <w:vAlign w:val="center"/>
          </w:tcPr>
          <w:p w14:paraId="5D7C0AE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336" w:type="dxa"/>
            <w:noWrap w:val="0"/>
            <w:vAlign w:val="center"/>
          </w:tcPr>
          <w:p w14:paraId="17A5877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935" w:type="dxa"/>
            <w:noWrap w:val="0"/>
            <w:vAlign w:val="center"/>
          </w:tcPr>
          <w:p w14:paraId="1B493F35">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数量及单位</w:t>
            </w:r>
          </w:p>
        </w:tc>
        <w:tc>
          <w:tcPr>
            <w:tcW w:w="6742" w:type="dxa"/>
            <w:noWrap w:val="0"/>
            <w:vAlign w:val="center"/>
          </w:tcPr>
          <w:p w14:paraId="46A23C6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服务参数及要求</w:t>
            </w:r>
          </w:p>
        </w:tc>
      </w:tr>
      <w:tr w14:paraId="6ABB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73" w:type="dxa"/>
            <w:noWrap w:val="0"/>
            <w:vAlign w:val="center"/>
          </w:tcPr>
          <w:p w14:paraId="7607CF5A">
            <w:pPr>
              <w:keepNext w:val="0"/>
              <w:keepLines w:val="0"/>
              <w:pageBreakBefore w:val="0"/>
              <w:widowControl w:val="0"/>
              <w:kinsoku/>
              <w:wordWrap/>
              <w:overflowPunct/>
              <w:topLinePunct w:val="0"/>
              <w:autoSpaceDE/>
              <w:autoSpaceDN/>
              <w:bidi w:val="0"/>
              <w:adjustRightIn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36" w:type="dxa"/>
            <w:noWrap w:val="0"/>
            <w:vAlign w:val="center"/>
          </w:tcPr>
          <w:p w14:paraId="6B75CB7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cs="仿宋_GB2312"/>
                <w:color w:val="auto"/>
                <w:szCs w:val="21"/>
                <w:highlight w:val="none"/>
                <w:lang w:eastAsia="zh-CN"/>
              </w:rPr>
              <w:t>2026年农产品检测项目采购（种植业</w:t>
            </w:r>
            <w:r>
              <w:rPr>
                <w:rFonts w:hint="eastAsia" w:ascii="宋体" w:hAnsi="宋体" w:cs="仿宋_GB2312"/>
                <w:color w:val="auto"/>
                <w:szCs w:val="21"/>
                <w:highlight w:val="none"/>
                <w:lang w:val="en-US" w:eastAsia="zh-CN"/>
              </w:rPr>
              <w:t>四</w:t>
            </w:r>
            <w:r>
              <w:rPr>
                <w:rFonts w:hint="eastAsia" w:ascii="宋体" w:hAnsi="宋体" w:cs="仿宋_GB2312"/>
                <w:color w:val="auto"/>
                <w:szCs w:val="21"/>
                <w:highlight w:val="none"/>
                <w:lang w:eastAsia="zh-CN"/>
              </w:rPr>
              <w:t>）</w:t>
            </w:r>
          </w:p>
        </w:tc>
        <w:tc>
          <w:tcPr>
            <w:tcW w:w="935" w:type="dxa"/>
            <w:noWrap w:val="0"/>
            <w:vAlign w:val="center"/>
          </w:tcPr>
          <w:p w14:paraId="70CE36A3">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1批</w:t>
            </w:r>
          </w:p>
        </w:tc>
        <w:tc>
          <w:tcPr>
            <w:tcW w:w="6742" w:type="dxa"/>
            <w:noWrap w:val="0"/>
            <w:vAlign w:val="center"/>
          </w:tcPr>
          <w:p w14:paraId="1BD9618E">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一、开展种植业产品胶体金速测技术推广服务≥</w:t>
            </w:r>
            <w:r>
              <w:rPr>
                <w:rFonts w:hint="eastAsia" w:ascii="宋体" w:hAnsi="宋体"/>
                <w:color w:val="auto"/>
                <w:kern w:val="0"/>
                <w:szCs w:val="21"/>
                <w:highlight w:val="none"/>
                <w:lang w:val="en-US" w:eastAsia="zh-CN"/>
              </w:rPr>
              <w:t>2万</w:t>
            </w:r>
            <w:r>
              <w:rPr>
                <w:rFonts w:hint="eastAsia" w:ascii="宋体" w:hAnsi="宋体" w:eastAsia="宋体" w:cs="宋体"/>
                <w:color w:val="auto"/>
                <w:kern w:val="0"/>
                <w:sz w:val="21"/>
                <w:szCs w:val="21"/>
                <w:highlight w:val="none"/>
              </w:rPr>
              <w:t>批次，由中标人根据采购人要求到百色、河池、柳州</w:t>
            </w:r>
            <w:r>
              <w:rPr>
                <w:rFonts w:hint="eastAsia" w:ascii="宋体" w:hAnsi="宋体" w:cs="宋体"/>
                <w:color w:val="auto"/>
                <w:kern w:val="0"/>
                <w:sz w:val="21"/>
                <w:szCs w:val="21"/>
                <w:highlight w:val="none"/>
                <w:lang w:eastAsia="zh-CN"/>
              </w:rPr>
              <w:t>等</w:t>
            </w:r>
            <w:r>
              <w:rPr>
                <w:rFonts w:hint="eastAsia" w:ascii="宋体" w:hAnsi="宋体" w:eastAsia="宋体" w:cs="宋体"/>
                <w:color w:val="auto"/>
                <w:kern w:val="0"/>
                <w:sz w:val="21"/>
                <w:szCs w:val="21"/>
                <w:highlight w:val="none"/>
              </w:rPr>
              <w:t>指定地点</w:t>
            </w:r>
            <w:r>
              <w:rPr>
                <w:rFonts w:hint="eastAsia" w:ascii="宋体" w:hAnsi="宋体" w:cs="宋体"/>
                <w:color w:val="auto"/>
                <w:kern w:val="0"/>
                <w:sz w:val="21"/>
                <w:szCs w:val="21"/>
                <w:highlight w:val="none"/>
                <w:lang w:eastAsia="zh-CN"/>
              </w:rPr>
              <w:t>针</w:t>
            </w:r>
            <w:r>
              <w:rPr>
                <w:rFonts w:hint="eastAsia" w:ascii="宋体" w:hAnsi="宋体" w:cs="宋体"/>
                <w:color w:val="auto"/>
                <w:kern w:val="0"/>
                <w:sz w:val="21"/>
                <w:szCs w:val="21"/>
                <w:highlight w:val="none"/>
                <w:lang w:val="en-US" w:eastAsia="zh-CN"/>
              </w:rPr>
              <w:t>对豇豆、甘薯、香蕉、芒果、柑橘类、火龙果等种植业重点品种开展上市前胶体金速测，重点检测相关品种的易检出禁限用农药及易超标常规农药</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并提供相关的技术支撑、技术培训，达到速测技术推广服务要求。中标价格包含样品、试剂耗材、数据统计分析、检测服务、技术培训、技术支持等所有相关费用。每批次胶体金快速检测不少于5个参数，快速检测试纸技术参数根据采购人要求的检测样品以及实际情况决定，服务商使用的快速检测试纸需具备以下技术要求。</w:t>
            </w:r>
          </w:p>
          <w:p w14:paraId="54EEC34E">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1、包装组成：</w:t>
            </w:r>
          </w:p>
          <w:p w14:paraId="4AF24E7A">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（1）密封包装，能保证样品的有效性。密封包装上应直接印有产品名称、生产厂家、品牌、商标、生产日期、有效期、注意事项、储存条件等相关信息；</w:t>
            </w:r>
          </w:p>
          <w:p w14:paraId="7ED6975A">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（2）保存简便、室温操作，保质期至少1年。</w:t>
            </w:r>
          </w:p>
          <w:p w14:paraId="5E7D7C1A">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2、检测技术要求：</w:t>
            </w:r>
          </w:p>
          <w:p w14:paraId="66B6306F">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（1）各参数农残检出限能完全匹配GB2763-2026食品中农药最大残留限量要求；假阴性率小于2%，假阳性率小于4%。             </w:t>
            </w:r>
          </w:p>
          <w:p w14:paraId="438D2ABA">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（2）胶体金检测卡本身具有质量控制对照线并附有专属二维码（不可贴标、需喷码；可用于检测时扫码识别统计及追溯）及产品名称、品牌信息；（初次报价时提供产品说明书或承诺函）；</w:t>
            </w:r>
          </w:p>
          <w:p w14:paraId="331B719F">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（3）检测单个样品时，从样品前处理到结果判断 整个过程要求在20分钟内完成；判读结果时间：5-8分钟内/条；（提供产品说明书或承诺函）</w:t>
            </w:r>
          </w:p>
          <w:p w14:paraId="1815E24C">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（4）快速检测试纸条特异性强，与结构类似物交叉反应小。 </w:t>
            </w:r>
          </w:p>
          <w:p w14:paraId="3D5D4C6A">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（5）判读标准：以有无测试线为准进行判定，或采取检测线（T 线）与质量控 制线（C 线）颜色深浅对比进行判定；</w:t>
            </w:r>
          </w:p>
          <w:p w14:paraId="0D2F7133">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（6）检测结果稳定，在 30 分钟后结果仍不发生变化；</w:t>
            </w:r>
          </w:p>
          <w:p w14:paraId="2FB54050">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（7）胶体金试纸条检测结果能通过移动终端（手机等）应用程序拍照或插卡自动判定检测结果。 </w:t>
            </w:r>
          </w:p>
          <w:p w14:paraId="29C6F539">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（8）移动终端（手机端）应用程序能够判读胶体金试纸条检测线（T线）和质量控制线（C线）的比值，即显示T/C值，并直接给出判定结果。  </w:t>
            </w:r>
          </w:p>
          <w:p w14:paraId="57CF392B">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（9）判读数据通过移动终端（手机等）应用程序，对接至相关监管平台小程序，保证实时上传至指定的监管平台，确保数据安全，只向客户指定的平台对接数据。</w:t>
            </w:r>
          </w:p>
          <w:p w14:paraId="4CF96176">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（10）胶体金试纸条检测结果判读和图片上传实时同步进行，结果可追溯，不可篡改。 </w:t>
            </w:r>
          </w:p>
          <w:p w14:paraId="2C8E7A42">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（11）试纸条出厂前针对不同基质中的不同检出限要求，进行批批验证，确保质量稳定，每批次均须出具验证报告备查。 </w:t>
            </w:r>
          </w:p>
          <w:p w14:paraId="381A679B">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（12）操作简便，按照试剂盒内说明书操作，即可获得检测结果； </w:t>
            </w:r>
          </w:p>
          <w:p w14:paraId="278EB06C">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（13）试纸条出厂日期应在一个月以内。</w:t>
            </w:r>
          </w:p>
          <w:p w14:paraId="6C59B7F9">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中标人需培训采购人指定的监管人员、技术服务人员熟练掌握胶体金快速检测方法的使用、规范抽样制样、结果判读、数据统计上传、阳性样品处置等工作，并提供相应产品使用期间的技术支持。培训5场次以上，技术支持10次以上。</w:t>
            </w:r>
          </w:p>
          <w:p w14:paraId="0E745606">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三、其他要求：</w:t>
            </w:r>
          </w:p>
          <w:p w14:paraId="44E27228">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1、质量要求：供应商须对所使用的</w:t>
            </w:r>
            <w:r>
              <w:rPr>
                <w:rFonts w:hint="eastAsia" w:ascii="宋体" w:hAnsi="宋体" w:cs="宋体"/>
                <w:color w:val="auto"/>
                <w:kern w:val="0"/>
                <w:sz w:val="21"/>
                <w:szCs w:val="21"/>
                <w:highlight w:val="none"/>
                <w:lang w:eastAsia="zh-CN"/>
              </w:rPr>
              <w:t>每批次出厂的</w:t>
            </w:r>
            <w:r>
              <w:rPr>
                <w:rFonts w:hint="eastAsia" w:ascii="宋体" w:hAnsi="宋体" w:eastAsia="宋体" w:cs="宋体"/>
                <w:color w:val="auto"/>
                <w:kern w:val="0"/>
                <w:sz w:val="21"/>
                <w:szCs w:val="21"/>
                <w:highlight w:val="none"/>
              </w:rPr>
              <w:t>胶体金速测产品进行验证，检出阳性样品时，需开展阳性样品的定量检测结果确认工作；供应商使用的快速检测产品应通过近三年部级或省级检测机构组织的种植业产品农药残留快速检测验证，未验证的参数需提供相应的试验验证材料。</w:t>
            </w:r>
          </w:p>
          <w:p w14:paraId="74C334B6">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2、报告要求：中标人须按照采购人要求的时限定期汇报服务进度，项目结束后提供全年工作开展情况及佐证材料，包含技术支持和培训服务等相关证明材料。</w:t>
            </w:r>
          </w:p>
          <w:p w14:paraId="4597CC05">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中标人须承担相应片区胶体金速测阴性样品不少于100批次的样品验证服务。阴性样品结果验证采用定量检测法，检测项目与该批次样品胶体金速测项目一致；样品定量验证结果需在抽样后15个工作日内向中标人递交具有检验检测机构资质认定（CMA）和广西农产品质量安全检测机构考核（CATL）的报告及其原始记录。</w:t>
            </w:r>
          </w:p>
        </w:tc>
      </w:tr>
      <w:tr w14:paraId="225A5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686" w:type="dxa"/>
            <w:gridSpan w:val="4"/>
            <w:noWrap w:val="0"/>
            <w:vAlign w:val="center"/>
          </w:tcPr>
          <w:p w14:paraId="22764F63">
            <w:pPr>
              <w:keepNext w:val="0"/>
              <w:keepLines w:val="0"/>
              <w:pageBreakBefore w:val="0"/>
              <w:widowControl w:val="0"/>
              <w:kinsoku/>
              <w:wordWrap/>
              <w:overflowPunct/>
              <w:topLinePunct w:val="0"/>
              <w:autoSpaceDE/>
              <w:autoSpaceDN/>
              <w:bidi w:val="0"/>
              <w:adjustRightInd w:val="0"/>
              <w:spacing w:line="400" w:lineRule="exact"/>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二、▲</w:t>
            </w:r>
            <w:r>
              <w:rPr>
                <w:rFonts w:hint="eastAsia" w:ascii="宋体" w:hAnsi="宋体" w:eastAsia="宋体" w:cs="宋体"/>
                <w:b/>
                <w:bCs/>
                <w:color w:val="auto"/>
                <w:sz w:val="21"/>
                <w:szCs w:val="21"/>
                <w:highlight w:val="none"/>
              </w:rPr>
              <w:t>商务条款</w:t>
            </w:r>
          </w:p>
        </w:tc>
      </w:tr>
      <w:tr w14:paraId="1384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18BF2348">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实施时间及地点</w:t>
            </w:r>
          </w:p>
        </w:tc>
        <w:tc>
          <w:tcPr>
            <w:tcW w:w="7677" w:type="dxa"/>
            <w:gridSpan w:val="2"/>
            <w:noWrap w:val="0"/>
            <w:vAlign w:val="center"/>
          </w:tcPr>
          <w:p w14:paraId="757A18C5">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1、服务期限：</w:t>
            </w:r>
            <w:r>
              <w:rPr>
                <w:rFonts w:hint="eastAsia" w:ascii="宋体" w:hAnsi="宋体" w:cs="宋体"/>
                <w:bCs/>
                <w:color w:val="auto"/>
                <w:sz w:val="21"/>
                <w:szCs w:val="21"/>
                <w:highlight w:val="none"/>
                <w:lang w:eastAsia="zh-CN"/>
              </w:rPr>
              <w:t>自合同签订之日起至2026年12月31日止</w:t>
            </w:r>
            <w:r>
              <w:rPr>
                <w:rFonts w:hint="eastAsia" w:ascii="宋体" w:hAnsi="宋体" w:eastAsia="宋体" w:cs="宋体"/>
                <w:bCs/>
                <w:color w:val="auto"/>
                <w:sz w:val="21"/>
                <w:szCs w:val="21"/>
                <w:highlight w:val="none"/>
              </w:rPr>
              <w:t>。自签订合同之日起开始提供相应服务，具体服务时间根据农产品上市季节等实际情况进行安排，由采购人另行通知。</w:t>
            </w:r>
          </w:p>
          <w:p w14:paraId="7D25C6FF">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2、服务地点：广西区内采购人指定地点。</w:t>
            </w:r>
          </w:p>
        </w:tc>
      </w:tr>
      <w:tr w14:paraId="2143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6A20AA5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合同签订时间</w:t>
            </w:r>
          </w:p>
        </w:tc>
        <w:tc>
          <w:tcPr>
            <w:tcW w:w="7677" w:type="dxa"/>
            <w:gridSpan w:val="2"/>
            <w:noWrap w:val="0"/>
            <w:vAlign w:val="center"/>
          </w:tcPr>
          <w:p w14:paraId="66BB4F7A">
            <w:pPr>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w:t>
            </w:r>
            <w:r>
              <w:rPr>
                <w:rFonts w:hint="eastAsia" w:ascii="宋体" w:hAnsi="宋体" w:cs="宋体"/>
                <w:bCs/>
                <w:color w:val="auto"/>
                <w:sz w:val="21"/>
                <w:szCs w:val="21"/>
                <w:highlight w:val="none"/>
                <w:lang w:eastAsia="zh-CN"/>
              </w:rPr>
              <w:t>中标通知书</w:t>
            </w:r>
            <w:r>
              <w:rPr>
                <w:rFonts w:hint="eastAsia" w:ascii="宋体" w:hAnsi="宋体" w:eastAsia="宋体" w:cs="宋体"/>
                <w:bCs/>
                <w:color w:val="auto"/>
                <w:sz w:val="21"/>
                <w:szCs w:val="21"/>
                <w:highlight w:val="none"/>
              </w:rPr>
              <w:t>发出之日起 25 日内。</w:t>
            </w:r>
          </w:p>
        </w:tc>
      </w:tr>
      <w:tr w14:paraId="1708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32D80D4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验收标准及规范</w:t>
            </w:r>
          </w:p>
        </w:tc>
        <w:tc>
          <w:tcPr>
            <w:tcW w:w="7677" w:type="dxa"/>
            <w:gridSpan w:val="2"/>
            <w:noWrap w:val="0"/>
            <w:vAlign w:val="center"/>
          </w:tcPr>
          <w:p w14:paraId="2B4607CC">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1、符合有关国家质量标准、技术规范及规程要求。</w:t>
            </w:r>
          </w:p>
          <w:p w14:paraId="083D407E">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2、根据采购文件上的技术规格要求，成果报告符合采购文件技术要求的，给予签收，初步验收不合格的不予签收。其他验收要求按合同文本执行。</w:t>
            </w:r>
          </w:p>
          <w:p w14:paraId="51A72A96">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3、验收过程中所产生的一切费用均由</w:t>
            </w:r>
            <w:r>
              <w:rPr>
                <w:rFonts w:hint="eastAsia" w:ascii="宋体" w:hAnsi="宋体" w:cs="宋体"/>
                <w:bCs/>
                <w:color w:val="auto"/>
                <w:sz w:val="21"/>
                <w:szCs w:val="21"/>
                <w:highlight w:val="none"/>
                <w:lang w:eastAsia="zh-CN"/>
              </w:rPr>
              <w:t>中标供应商</w:t>
            </w:r>
            <w:r>
              <w:rPr>
                <w:rFonts w:hint="eastAsia" w:ascii="宋体" w:hAnsi="宋体" w:eastAsia="宋体" w:cs="宋体"/>
                <w:bCs/>
                <w:color w:val="auto"/>
                <w:sz w:val="21"/>
                <w:szCs w:val="21"/>
                <w:highlight w:val="none"/>
              </w:rPr>
              <w:t>承担。报价时应考虑相关费用。</w:t>
            </w:r>
          </w:p>
        </w:tc>
      </w:tr>
      <w:tr w14:paraId="1F6D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6A578B6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付款方式</w:t>
            </w:r>
          </w:p>
        </w:tc>
        <w:tc>
          <w:tcPr>
            <w:tcW w:w="7677" w:type="dxa"/>
            <w:gridSpan w:val="2"/>
            <w:noWrap w:val="0"/>
            <w:vAlign w:val="center"/>
          </w:tcPr>
          <w:p w14:paraId="11FB55D8">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签订合同后 20 个工作日内中标人承接检测服务，采购人按合同总金额的30%（供应商属于中小企业的按照50%）预付服务费用；按照样品检测批次进度支付合同金额的65%（供应商属于中小企业的按照45%）的检测服务费；项目整体验收通过后，支付剩下的5%的服务费用。</w:t>
            </w:r>
          </w:p>
          <w:p w14:paraId="4C64E376">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本项目虽不专门面向中小企业采购，但中小企业可同步享受本条款预付款提高政策与第四章规定的评标价格扣除优惠，两项扶持政策互不冲突、可叠加享受；监狱企业、残疾人福利性单位视同小微企业同步适用上述双重扶持政策。</w:t>
            </w:r>
          </w:p>
        </w:tc>
      </w:tr>
      <w:tr w14:paraId="6236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3095CAA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其他服务要求</w:t>
            </w:r>
          </w:p>
        </w:tc>
        <w:tc>
          <w:tcPr>
            <w:tcW w:w="7677" w:type="dxa"/>
            <w:gridSpan w:val="2"/>
            <w:noWrap w:val="0"/>
            <w:vAlign w:val="center"/>
          </w:tcPr>
          <w:p w14:paraId="770DCD44">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1、中标人应具备完善的售后服务体系，在广西区内具有或委托有具备固定地点、固定的维护人员的服务机构，并有能力及时处理所有可能发生的事件。</w:t>
            </w:r>
          </w:p>
          <w:p w14:paraId="311897C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2、在服务期限内，中标人应根据国家最新版食品中农药最大残留限量值变化，提供包括但不仅限于样本前处理的技术调整。（必须在投标文件中提供承诺函）</w:t>
            </w:r>
          </w:p>
          <w:p w14:paraId="041C5759">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3、除投标文件明确外，中标人不得以任何方式转包或分包本项目，同一分标使用的试纸条必须为同一个厂家、同一个品牌的产品。（必须在投标文件中提供承诺函）</w:t>
            </w:r>
          </w:p>
          <w:p w14:paraId="54FB80F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4、中标人所提供的产品包括配件必须是厂家原包装全新正品，且产品有效使用期长（自接收到样品第二天计，以天计）应≥90%产品保质期长（以天计），否则不予验收。</w:t>
            </w:r>
          </w:p>
          <w:p w14:paraId="67D5DFA1">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5、中标人接到采购人质量问题报告，应在1小时内响应，4小时内到达现场，24小时内排除问题，如在规定时间内无法排除，提供备品备件，保证采购人正常工作需要。</w:t>
            </w:r>
          </w:p>
          <w:p w14:paraId="707B9577">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在项目实施过程中，中标人须提供中标产品数量的5%用于进行产品评价和性能验证实验，验证产品随机抽取，由采购人指定部级农检机构参照《农药残留胶体金免疫层析定性快速检测产品评价及性能验证规范》（NY/T 2715-2025）规定的程序进行产品评价及性能验证，样品基质为豇豆等果蔬类，评价判定指标为空白样品检测假阳性率应小于等于4%，按照农药残留最大残留限量添加水平下的样品检测假阴性率应小于等于2%，检测2倍农药残留最大残留限量添加水平的样品时不得有假阴性结果。全部满足该评价判定指标要求时为“通过”，否则为“不通过”。产品评价为不通过时，中标人须提供抽取产品数量的10倍产品赔偿。</w:t>
            </w:r>
          </w:p>
          <w:p w14:paraId="1AD8DDDA">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检测结果归采购人所有，中标人必须对一切检测数据和检测技术资料保密，不得泄露给任何第三方，也不得将与样品有关的技术资料用于任何经营、开发及学术活动，否则，视为中标人违约，并由中标人承担所有的法律及经济责任。</w:t>
            </w:r>
          </w:p>
          <w:p w14:paraId="27756534">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8、中标人接受采购人不定期的电话、电子邮件以及现场检查等方式的督促和相关的质量控制，以保证检测服务工作的进度和质量。</w:t>
            </w:r>
          </w:p>
          <w:p w14:paraId="1837402D">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9、中标人须按照采购人制定的工作实施方案内容开展工作，并定期汇报服务进度，项目结束后提供合同期内工作开展情况及相关证明材料。</w:t>
            </w:r>
          </w:p>
          <w:p w14:paraId="4002A25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10、中标后，采购人将根据最终确认的工作实施方案，在不改变招标文件实质性条款（单价、核心服务标准、结算方式）的前提下，与中标人签订具体实施协议。若实施方案导致服务范围或工作量发生重大变化，双方应另行协商或按相关规定处理。</w:t>
            </w:r>
          </w:p>
        </w:tc>
      </w:tr>
      <w:tr w14:paraId="07C4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3940B2F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投标报价及</w:t>
            </w:r>
            <w:r>
              <w:rPr>
                <w:rFonts w:hint="eastAsia" w:ascii="宋体" w:hAnsi="宋体" w:eastAsia="宋体" w:cs="宋体"/>
                <w:bCs/>
                <w:color w:val="auto"/>
                <w:sz w:val="21"/>
                <w:szCs w:val="21"/>
                <w:highlight w:val="none"/>
              </w:rPr>
              <w:t>要求</w:t>
            </w:r>
          </w:p>
        </w:tc>
        <w:tc>
          <w:tcPr>
            <w:tcW w:w="7677" w:type="dxa"/>
            <w:gridSpan w:val="2"/>
            <w:noWrap w:val="0"/>
            <w:vAlign w:val="center"/>
          </w:tcPr>
          <w:p w14:paraId="49C1EEA6">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投标报价为采购人指定地点的现场交货价，包括：</w:t>
            </w:r>
          </w:p>
          <w:p w14:paraId="36CA4D1B">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（1）服务、货物的价格：包括货款、验收费（含检定、校准费等）；</w:t>
            </w:r>
          </w:p>
          <w:p w14:paraId="7A6E9C0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（2）所需的材料费、标准附件、备品备件、专用工具的价格；</w:t>
            </w:r>
          </w:p>
          <w:p w14:paraId="6B44DEF0">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（3）作业费、运输、装卸、售后服务费；</w:t>
            </w:r>
          </w:p>
          <w:p w14:paraId="1DF5C3A9">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（4）投标报价应包含本次检测项目所需要的所有费用（含快速检测服务费）、招标代理服务费、保险费、验收费用和各项税金；</w:t>
            </w:r>
          </w:p>
          <w:p w14:paraId="2015E813">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（5）技术支持、宣传培训、驻点检测、信息平台对接及其他相关工作开展需要的其他费用；所检测样品的抽样、制备和各项检测指标的费用。</w:t>
            </w:r>
          </w:p>
          <w:p w14:paraId="3AE5C267">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（6）供应商应自行考虑完成本项目所需的人力、物力等全部成本，以及可预见的其他因素及风险费用。投标人未列明的费用，均视为已包含在投标报价中，中标后采购人不再另行支付任何额外费用。</w:t>
            </w:r>
          </w:p>
          <w:p w14:paraId="22C56561">
            <w:pPr>
              <w:keepNext w:val="0"/>
              <w:keepLines w:val="0"/>
              <w:pageBreakBefore w:val="0"/>
              <w:widowControl w:val="0"/>
              <w:kinsoku/>
              <w:wordWrap/>
              <w:overflowPunct/>
              <w:topLinePunct w:val="0"/>
              <w:autoSpaceDE/>
              <w:autoSpaceDN/>
              <w:bidi w:val="0"/>
              <w:spacing w:line="400" w:lineRule="exact"/>
              <w:ind w:firstLine="422" w:firstLineChars="200"/>
              <w:jc w:val="left"/>
              <w:textAlignment w:val="auto"/>
              <w:rPr>
                <w:rFonts w:hint="eastAsia" w:ascii="宋体" w:hAnsi="宋体" w:eastAsia="宋体" w:cs="宋体"/>
                <w:bCs/>
                <w:color w:val="auto"/>
                <w:sz w:val="21"/>
                <w:szCs w:val="21"/>
                <w:highlight w:val="none"/>
              </w:rPr>
            </w:pPr>
            <w:r>
              <w:rPr>
                <w:rFonts w:hint="eastAsia" w:ascii="宋体" w:hAnsi="宋体" w:cs="宋体"/>
                <w:b/>
                <w:bCs w:val="0"/>
                <w:color w:val="auto"/>
                <w:sz w:val="21"/>
                <w:szCs w:val="21"/>
                <w:highlight w:val="none"/>
                <w:lang w:eastAsia="zh-CN"/>
              </w:rPr>
              <w:t>（</w:t>
            </w:r>
            <w:r>
              <w:rPr>
                <w:rFonts w:hint="eastAsia" w:ascii="宋体" w:hAnsi="宋体" w:cs="宋体"/>
                <w:b/>
                <w:bCs w:val="0"/>
                <w:color w:val="auto"/>
                <w:sz w:val="21"/>
                <w:szCs w:val="21"/>
                <w:highlight w:val="none"/>
                <w:lang w:val="en-US" w:eastAsia="zh-CN"/>
              </w:rPr>
              <w:t>7</w:t>
            </w:r>
            <w:r>
              <w:rPr>
                <w:rFonts w:hint="eastAsia" w:ascii="宋体" w:hAnsi="宋体" w:cs="宋体"/>
                <w:b/>
                <w:bCs w:val="0"/>
                <w:color w:val="auto"/>
                <w:sz w:val="21"/>
                <w:szCs w:val="21"/>
                <w:highlight w:val="none"/>
                <w:lang w:eastAsia="zh-CN"/>
              </w:rPr>
              <w:t>）单价最高限价与结算原则：本</w:t>
            </w:r>
            <w:r>
              <w:rPr>
                <w:rFonts w:hint="eastAsia" w:ascii="宋体" w:hAnsi="宋体" w:cs="宋体"/>
                <w:b/>
                <w:bCs w:val="0"/>
                <w:color w:val="auto"/>
                <w:sz w:val="21"/>
                <w:szCs w:val="21"/>
                <w:highlight w:val="none"/>
                <w:lang w:val="en-US" w:eastAsia="zh-CN"/>
              </w:rPr>
              <w:t>标段</w:t>
            </w:r>
            <w:r>
              <w:rPr>
                <w:rFonts w:hint="eastAsia" w:ascii="宋体" w:hAnsi="宋体" w:cs="宋体"/>
                <w:b/>
                <w:bCs w:val="0"/>
                <w:color w:val="auto"/>
                <w:sz w:val="21"/>
                <w:szCs w:val="21"/>
                <w:highlight w:val="none"/>
                <w:lang w:eastAsia="zh-CN"/>
              </w:rPr>
              <w:t>设置单价最高限价为85元/批次（即每批次检测服务费不超过85元），投标人的单价报价不得超过此限价，否则视为无效投标。本项目采用固定单价、据实结算方式，最终支付金额以实际发生量乘以中标单价为准。本项目设置总价最高限额为预算上控价1700000.00元（大写：壹佰柒拾万元整），若按实际发生量计算的金额超出该上控价，则一律按1700000.00元进行封顶结算，超出部分采购人不予支付。</w:t>
            </w:r>
          </w:p>
        </w:tc>
      </w:tr>
    </w:tbl>
    <w:p w14:paraId="3B9A13AD">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b/>
          <w:bCs/>
          <w:color w:val="auto"/>
          <w:sz w:val="21"/>
          <w:szCs w:val="21"/>
          <w:highlight w:val="none"/>
        </w:rPr>
      </w:pPr>
    </w:p>
    <w:p w14:paraId="05644D4B">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074F0AE0">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分标</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：预算金额</w:t>
      </w:r>
      <w:r>
        <w:rPr>
          <w:rFonts w:hint="eastAsia" w:ascii="宋体" w:hAnsi="宋体" w:cs="宋体"/>
          <w:b/>
          <w:bCs/>
          <w:color w:val="auto"/>
          <w:sz w:val="21"/>
          <w:szCs w:val="21"/>
          <w:highlight w:val="none"/>
          <w:lang w:val="en-US" w:eastAsia="zh-CN"/>
        </w:rPr>
        <w:t>170.00万元</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336"/>
        <w:gridCol w:w="935"/>
        <w:gridCol w:w="6742"/>
      </w:tblGrid>
      <w:tr w14:paraId="223C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86" w:type="dxa"/>
            <w:gridSpan w:val="4"/>
            <w:noWrap w:val="0"/>
            <w:vAlign w:val="center"/>
          </w:tcPr>
          <w:p w14:paraId="368D6D79">
            <w:pPr>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一、需求一览表</w:t>
            </w:r>
          </w:p>
        </w:tc>
      </w:tr>
      <w:tr w14:paraId="3D52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73" w:type="dxa"/>
            <w:noWrap w:val="0"/>
            <w:vAlign w:val="center"/>
          </w:tcPr>
          <w:p w14:paraId="4F12383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336" w:type="dxa"/>
            <w:noWrap w:val="0"/>
            <w:vAlign w:val="center"/>
          </w:tcPr>
          <w:p w14:paraId="1D32233E">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935" w:type="dxa"/>
            <w:noWrap w:val="0"/>
            <w:vAlign w:val="center"/>
          </w:tcPr>
          <w:p w14:paraId="3709B3F5">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数量及单位</w:t>
            </w:r>
          </w:p>
        </w:tc>
        <w:tc>
          <w:tcPr>
            <w:tcW w:w="6742" w:type="dxa"/>
            <w:noWrap w:val="0"/>
            <w:vAlign w:val="center"/>
          </w:tcPr>
          <w:p w14:paraId="74467D1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服务参数及要求</w:t>
            </w:r>
          </w:p>
        </w:tc>
      </w:tr>
      <w:tr w14:paraId="7D46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73" w:type="dxa"/>
            <w:noWrap w:val="0"/>
            <w:vAlign w:val="center"/>
          </w:tcPr>
          <w:p w14:paraId="7EC5958E">
            <w:pPr>
              <w:keepNext w:val="0"/>
              <w:keepLines w:val="0"/>
              <w:pageBreakBefore w:val="0"/>
              <w:widowControl w:val="0"/>
              <w:kinsoku/>
              <w:wordWrap/>
              <w:overflowPunct/>
              <w:topLinePunct w:val="0"/>
              <w:autoSpaceDE/>
              <w:autoSpaceDN/>
              <w:bidi w:val="0"/>
              <w:adjustRightIn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36" w:type="dxa"/>
            <w:noWrap w:val="0"/>
            <w:vAlign w:val="center"/>
          </w:tcPr>
          <w:p w14:paraId="2E8FF2AC">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cs="仿宋_GB2312"/>
                <w:color w:val="auto"/>
                <w:szCs w:val="21"/>
                <w:highlight w:val="none"/>
                <w:lang w:eastAsia="zh-CN"/>
              </w:rPr>
              <w:t>2026年农产品检测项目采购（种植业</w:t>
            </w:r>
            <w:r>
              <w:rPr>
                <w:rFonts w:hint="eastAsia" w:ascii="宋体" w:hAnsi="宋体" w:cs="仿宋_GB2312"/>
                <w:color w:val="auto"/>
                <w:szCs w:val="21"/>
                <w:highlight w:val="none"/>
                <w:lang w:val="en-US" w:eastAsia="zh-CN"/>
              </w:rPr>
              <w:t>五</w:t>
            </w:r>
            <w:r>
              <w:rPr>
                <w:rFonts w:hint="eastAsia" w:ascii="宋体" w:hAnsi="宋体" w:cs="仿宋_GB2312"/>
                <w:color w:val="auto"/>
                <w:szCs w:val="21"/>
                <w:highlight w:val="none"/>
                <w:lang w:eastAsia="zh-CN"/>
              </w:rPr>
              <w:t>）</w:t>
            </w:r>
          </w:p>
        </w:tc>
        <w:tc>
          <w:tcPr>
            <w:tcW w:w="935" w:type="dxa"/>
            <w:noWrap w:val="0"/>
            <w:vAlign w:val="center"/>
          </w:tcPr>
          <w:p w14:paraId="6524824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1批</w:t>
            </w:r>
          </w:p>
        </w:tc>
        <w:tc>
          <w:tcPr>
            <w:tcW w:w="6742" w:type="dxa"/>
            <w:noWrap w:val="0"/>
            <w:vAlign w:val="center"/>
          </w:tcPr>
          <w:p w14:paraId="221ABE05">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一、开展种植业产品胶体金速测技术推广服务≥</w:t>
            </w:r>
            <w:r>
              <w:rPr>
                <w:rFonts w:hint="eastAsia" w:ascii="宋体" w:hAnsi="宋体"/>
                <w:color w:val="auto"/>
                <w:kern w:val="0"/>
                <w:szCs w:val="21"/>
                <w:highlight w:val="none"/>
                <w:lang w:val="en-US" w:eastAsia="zh-CN"/>
              </w:rPr>
              <w:t>2万</w:t>
            </w:r>
            <w:r>
              <w:rPr>
                <w:rFonts w:hint="eastAsia" w:ascii="宋体" w:hAnsi="宋体" w:eastAsia="宋体" w:cs="宋体"/>
                <w:color w:val="auto"/>
                <w:kern w:val="0"/>
                <w:sz w:val="21"/>
                <w:szCs w:val="21"/>
                <w:highlight w:val="none"/>
              </w:rPr>
              <w:t>批次，由中标人根据采购人要求到桂林、贺州、梧州</w:t>
            </w:r>
            <w:r>
              <w:rPr>
                <w:rFonts w:hint="eastAsia" w:ascii="宋体" w:hAnsi="宋体" w:cs="宋体"/>
                <w:color w:val="auto"/>
                <w:kern w:val="0"/>
                <w:sz w:val="21"/>
                <w:szCs w:val="21"/>
                <w:highlight w:val="none"/>
                <w:lang w:eastAsia="zh-CN"/>
              </w:rPr>
              <w:t>等</w:t>
            </w:r>
            <w:r>
              <w:rPr>
                <w:rFonts w:hint="eastAsia" w:ascii="宋体" w:hAnsi="宋体" w:eastAsia="宋体" w:cs="宋体"/>
                <w:color w:val="auto"/>
                <w:kern w:val="0"/>
                <w:sz w:val="21"/>
                <w:szCs w:val="21"/>
                <w:highlight w:val="none"/>
              </w:rPr>
              <w:t>指定地点</w:t>
            </w:r>
            <w:r>
              <w:rPr>
                <w:rFonts w:hint="eastAsia" w:ascii="宋体" w:hAnsi="宋体" w:cs="宋体"/>
                <w:color w:val="auto"/>
                <w:kern w:val="0"/>
                <w:sz w:val="21"/>
                <w:szCs w:val="21"/>
                <w:highlight w:val="none"/>
                <w:lang w:eastAsia="zh-CN"/>
              </w:rPr>
              <w:t>针</w:t>
            </w:r>
            <w:r>
              <w:rPr>
                <w:rFonts w:hint="eastAsia" w:ascii="宋体" w:hAnsi="宋体" w:cs="宋体"/>
                <w:color w:val="auto"/>
                <w:kern w:val="0"/>
                <w:sz w:val="21"/>
                <w:szCs w:val="21"/>
                <w:highlight w:val="none"/>
                <w:lang w:val="en-US" w:eastAsia="zh-CN"/>
              </w:rPr>
              <w:t>对豇豆、甘薯、香蕉、芒果、柑橘类、火龙果等种植业重点品种开展上市前胶体金速测，重点检测相关品种的易检出禁限用农药及易超标常规农药</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并提供相关的技术支撑、技术培训，达到速测技术推广服务要求。中标价格包含样品、试剂耗材、数据统计分析、检测服务、技术培训、技术支持等所有相关费用。每批次胶体金快速检测不少于5个参数，快速检测试纸技术参数根据采购人要求的检测样品以及实际情况决定，服务商使用的快速检测试纸需具备以下技术要求。</w:t>
            </w:r>
          </w:p>
          <w:p w14:paraId="09D7BA88">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1、包装组成：</w:t>
            </w:r>
          </w:p>
          <w:p w14:paraId="557040CA">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（1）密封包装，能保证样品的有效性。密封包装上应直接印有产品名称、生产厂家、品牌、商标、生产日期、有效期、注意事项、储存条件等相关信息；</w:t>
            </w:r>
          </w:p>
          <w:p w14:paraId="6B764524">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（2）保存简便、室温操作，保质期至少1年。</w:t>
            </w:r>
          </w:p>
          <w:p w14:paraId="70862211">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2、检测技术要求：</w:t>
            </w:r>
          </w:p>
          <w:p w14:paraId="15E2E4E1">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（1）各参数农残检出限能完全匹配GB2763-2026食品中农药最大残留限量要求；假阴性率小于2%，假阳性率小于4%。             </w:t>
            </w:r>
          </w:p>
          <w:p w14:paraId="767CA1E0">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（2）胶体金检测卡本身具有质量控制对照线并附有专属二维码（不可贴标、需喷码；可用于检测时扫码识别统计及追溯）及产品名称、品牌信息；（初次报价时提供产品说明书或承诺函）；</w:t>
            </w:r>
          </w:p>
          <w:p w14:paraId="6A430C60">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（3）检测单个样品时，从样品前处理到结果判断 整个过程要求在20分钟内完成；判读结果时间：5-8分钟内/条；（提供产品说明书或承诺函）</w:t>
            </w:r>
          </w:p>
          <w:p w14:paraId="71DB9345">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（4）快速检测试纸条特异性强，与结构类似物交叉反应小。 </w:t>
            </w:r>
          </w:p>
          <w:p w14:paraId="5C5C84F0">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（5）判读标准：以有无测试线为准进行判定，或采取检测线（T 线）与质量控 制线（C 线）颜色深浅对比进行判定；</w:t>
            </w:r>
          </w:p>
          <w:p w14:paraId="7F184F4F">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（6）检测结果稳定，在 30 分钟后结果仍不发生变化；</w:t>
            </w:r>
          </w:p>
          <w:p w14:paraId="1A8EF0D8">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（7）胶体金试纸条检测结果能通过移动终端（手机等）应用程序拍照或插卡自动判定检测结果。 </w:t>
            </w:r>
          </w:p>
          <w:p w14:paraId="0B69B44E">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（8）移动终端（手机端）应用程序能够判读胶体金试纸条检测线（T线）和质量控制线（C线）的比值，即显示T/C值，并直接给出判定结果。  </w:t>
            </w:r>
          </w:p>
          <w:p w14:paraId="62B509CD">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（9）判读数据通过移动终端（手机等）应用程序，对接至相关监管平台小程序，保证实时上传至指定的监管平台，确保数据安全，只向客户指定的平台对接数据。</w:t>
            </w:r>
          </w:p>
          <w:p w14:paraId="001BE1AB">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（10）胶体金试纸条检测结果判读和图片上传实时同步进行，结果可追溯，不可篡改。 </w:t>
            </w:r>
          </w:p>
          <w:p w14:paraId="23EF16ED">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（11）试纸条出厂前针对不同基质中的不同检出限要求，进行批批验证，确保质量稳定，每批次均须出具验证报告备查。 </w:t>
            </w:r>
          </w:p>
          <w:p w14:paraId="510778FC">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（12）操作简便，按照试剂盒内说明书操作，即可获得检测结果； </w:t>
            </w:r>
          </w:p>
          <w:p w14:paraId="549CC383">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（13）试纸条出厂日期应在一个月以内。</w:t>
            </w:r>
          </w:p>
          <w:p w14:paraId="7237A9CD">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中标人需培训采购人指定的监管人员、技术服务人员熟练掌握胶体金快速检测方法的使用、规范抽样制样、结果判读、数据统计上传、阳性样品处置等工作，并提供相应产品使用期间的技术支持。培训5场次以上，技术支持10次以上。</w:t>
            </w:r>
          </w:p>
          <w:p w14:paraId="313A06F3">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三、其他要求：</w:t>
            </w:r>
          </w:p>
          <w:p w14:paraId="7A7B2E0C">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1、质量要求：供应商须对所使用的</w:t>
            </w:r>
            <w:r>
              <w:rPr>
                <w:rFonts w:hint="eastAsia" w:ascii="宋体" w:hAnsi="宋体" w:cs="宋体"/>
                <w:color w:val="auto"/>
                <w:kern w:val="0"/>
                <w:sz w:val="21"/>
                <w:szCs w:val="21"/>
                <w:highlight w:val="none"/>
                <w:lang w:eastAsia="zh-CN"/>
              </w:rPr>
              <w:t>每批次出厂的</w:t>
            </w:r>
            <w:r>
              <w:rPr>
                <w:rFonts w:hint="eastAsia" w:ascii="宋体" w:hAnsi="宋体" w:eastAsia="宋体" w:cs="宋体"/>
                <w:color w:val="auto"/>
                <w:kern w:val="0"/>
                <w:sz w:val="21"/>
                <w:szCs w:val="21"/>
                <w:highlight w:val="none"/>
              </w:rPr>
              <w:t>胶体金速测产品进行验证，检出阳性样品时，需开展阳性样品的定量检测结果确认工作；供应商使用的快速检测产品应通过近三年部级或省级检测机构组织的种植业产品农药残留快速检测验证，未验证的参数需提供相应的试验验证材料。</w:t>
            </w:r>
          </w:p>
          <w:p w14:paraId="1890E9E5">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2、报告要求：中标人须按照采购人要求的时限定期汇报服务进度，项目结束后提供全年工作开展情况及佐证材料，包含技术支持和培训服务等相关证明材料。</w:t>
            </w:r>
          </w:p>
          <w:p w14:paraId="0777BD52">
            <w:pPr>
              <w:keepNext w:val="0"/>
              <w:keepLines w:val="0"/>
              <w:pageBreakBefore w:val="0"/>
              <w:widowControl w:val="0"/>
              <w:kinsoku/>
              <w:wordWrap/>
              <w:overflowPunct/>
              <w:topLinePunct w:val="0"/>
              <w:autoSpaceDE/>
              <w:autoSpaceDN/>
              <w:bidi w:val="0"/>
              <w:adjustRightInd w:val="0"/>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中标人须承担相应片区胶体金速测阴性样品不少于100批次的样品验证服务。阴性样品结果验证采用定量检测法，检测项目与该批次样品胶体金速测项目一致；样品定量验证结果需在抽样后15个工作日内向中标人递交具有检验检测机构资质认定（CMA）和广西农产品质量安全检测机构考核（CATL）的报告及其原始记录。</w:t>
            </w:r>
          </w:p>
        </w:tc>
      </w:tr>
      <w:tr w14:paraId="7216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686" w:type="dxa"/>
            <w:gridSpan w:val="4"/>
            <w:noWrap w:val="0"/>
            <w:vAlign w:val="center"/>
          </w:tcPr>
          <w:p w14:paraId="091E46A2">
            <w:pPr>
              <w:keepNext w:val="0"/>
              <w:keepLines w:val="0"/>
              <w:pageBreakBefore w:val="0"/>
              <w:widowControl w:val="0"/>
              <w:kinsoku/>
              <w:wordWrap/>
              <w:overflowPunct/>
              <w:topLinePunct w:val="0"/>
              <w:autoSpaceDE/>
              <w:autoSpaceDN/>
              <w:bidi w:val="0"/>
              <w:adjustRightInd w:val="0"/>
              <w:spacing w:line="400" w:lineRule="exact"/>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二、▲</w:t>
            </w:r>
            <w:r>
              <w:rPr>
                <w:rFonts w:hint="eastAsia" w:ascii="宋体" w:hAnsi="宋体" w:eastAsia="宋体" w:cs="宋体"/>
                <w:b/>
                <w:bCs/>
                <w:color w:val="auto"/>
                <w:sz w:val="21"/>
                <w:szCs w:val="21"/>
                <w:highlight w:val="none"/>
              </w:rPr>
              <w:t>商务条款</w:t>
            </w:r>
          </w:p>
        </w:tc>
      </w:tr>
      <w:tr w14:paraId="1FCA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0D93C2A5">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实施时间及地点</w:t>
            </w:r>
          </w:p>
        </w:tc>
        <w:tc>
          <w:tcPr>
            <w:tcW w:w="7677" w:type="dxa"/>
            <w:gridSpan w:val="2"/>
            <w:noWrap w:val="0"/>
            <w:vAlign w:val="center"/>
          </w:tcPr>
          <w:p w14:paraId="3C11AC9E">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1、服务期限：</w:t>
            </w:r>
            <w:r>
              <w:rPr>
                <w:rFonts w:hint="eastAsia" w:ascii="宋体" w:hAnsi="宋体" w:cs="宋体"/>
                <w:bCs/>
                <w:color w:val="auto"/>
                <w:sz w:val="21"/>
                <w:szCs w:val="21"/>
                <w:highlight w:val="none"/>
                <w:lang w:eastAsia="zh-CN"/>
              </w:rPr>
              <w:t>自合同签订之日起至2026年12月31日止</w:t>
            </w:r>
            <w:r>
              <w:rPr>
                <w:rFonts w:hint="eastAsia" w:ascii="宋体" w:hAnsi="宋体" w:eastAsia="宋体" w:cs="宋体"/>
                <w:bCs/>
                <w:color w:val="auto"/>
                <w:sz w:val="21"/>
                <w:szCs w:val="21"/>
                <w:highlight w:val="none"/>
              </w:rPr>
              <w:t>。自签订合同之日起开始提供相应服务，具体服务时间根据农产品上市季节等实际情况进行安排，由采购人另行通知。</w:t>
            </w:r>
          </w:p>
          <w:p w14:paraId="118E2F8C">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2、服务地点：广西区内采购人指定地点。</w:t>
            </w:r>
          </w:p>
        </w:tc>
      </w:tr>
      <w:tr w14:paraId="1A49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3740688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合同签订时间</w:t>
            </w:r>
          </w:p>
        </w:tc>
        <w:tc>
          <w:tcPr>
            <w:tcW w:w="7677" w:type="dxa"/>
            <w:gridSpan w:val="2"/>
            <w:noWrap w:val="0"/>
            <w:vAlign w:val="center"/>
          </w:tcPr>
          <w:p w14:paraId="18D9899B">
            <w:pPr>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w:t>
            </w:r>
            <w:r>
              <w:rPr>
                <w:rFonts w:hint="eastAsia" w:ascii="宋体" w:hAnsi="宋体" w:cs="宋体"/>
                <w:bCs/>
                <w:color w:val="auto"/>
                <w:sz w:val="21"/>
                <w:szCs w:val="21"/>
                <w:highlight w:val="none"/>
                <w:lang w:eastAsia="zh-CN"/>
              </w:rPr>
              <w:t>中标通知书</w:t>
            </w:r>
            <w:r>
              <w:rPr>
                <w:rFonts w:hint="eastAsia" w:ascii="宋体" w:hAnsi="宋体" w:eastAsia="宋体" w:cs="宋体"/>
                <w:bCs/>
                <w:color w:val="auto"/>
                <w:sz w:val="21"/>
                <w:szCs w:val="21"/>
                <w:highlight w:val="none"/>
              </w:rPr>
              <w:t>发出之日起 25 日内。</w:t>
            </w:r>
          </w:p>
        </w:tc>
      </w:tr>
      <w:tr w14:paraId="758C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61E4552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验收标准及规范</w:t>
            </w:r>
          </w:p>
        </w:tc>
        <w:tc>
          <w:tcPr>
            <w:tcW w:w="7677" w:type="dxa"/>
            <w:gridSpan w:val="2"/>
            <w:noWrap w:val="0"/>
            <w:vAlign w:val="center"/>
          </w:tcPr>
          <w:p w14:paraId="611870F5">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1、符合有关国家质量标准、技术规范及规程要求。</w:t>
            </w:r>
          </w:p>
          <w:p w14:paraId="69360F77">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2、根据采购文件上的技术规格要求，成果报告符合采购文件技术要求的，给予签收，初步验收不合格的不予签收。其他验收要求按合同文本执行。</w:t>
            </w:r>
          </w:p>
          <w:p w14:paraId="298A63EC">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3、验收过程中所产生的一切费用均由</w:t>
            </w:r>
            <w:r>
              <w:rPr>
                <w:rFonts w:hint="eastAsia" w:ascii="宋体" w:hAnsi="宋体" w:cs="宋体"/>
                <w:bCs/>
                <w:color w:val="auto"/>
                <w:sz w:val="21"/>
                <w:szCs w:val="21"/>
                <w:highlight w:val="none"/>
                <w:lang w:eastAsia="zh-CN"/>
              </w:rPr>
              <w:t>中标供应商</w:t>
            </w:r>
            <w:r>
              <w:rPr>
                <w:rFonts w:hint="eastAsia" w:ascii="宋体" w:hAnsi="宋体" w:eastAsia="宋体" w:cs="宋体"/>
                <w:bCs/>
                <w:color w:val="auto"/>
                <w:sz w:val="21"/>
                <w:szCs w:val="21"/>
                <w:highlight w:val="none"/>
              </w:rPr>
              <w:t>承担。报价时应考虑相关费用。</w:t>
            </w:r>
          </w:p>
        </w:tc>
      </w:tr>
      <w:tr w14:paraId="6E76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348C1BF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付款方式</w:t>
            </w:r>
          </w:p>
        </w:tc>
        <w:tc>
          <w:tcPr>
            <w:tcW w:w="7677" w:type="dxa"/>
            <w:gridSpan w:val="2"/>
            <w:noWrap w:val="0"/>
            <w:vAlign w:val="center"/>
          </w:tcPr>
          <w:p w14:paraId="10668C4C">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签订合同后 20 个工作日内中标人承接检测服务，采购人按合同总金额的30%（供应商属于中小企业的按照50%）预付服务费用；按照样品检测批次进度支付合同金额的65%（供应商属于中小企业的按照45%）的检测服务费；项目整体验收通过后，支付剩下的5%的服务费用。</w:t>
            </w:r>
          </w:p>
          <w:p w14:paraId="46B802D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本项目虽不专门面向中小企业采购，但中小企业可同步享受本条款预付款提高政策与第四章规定的评标价格扣除优惠，两项扶持政策互不冲突、可叠加享受；监狱企业、残疾人福利性单位视同小微企业同步适用上述双重扶持政策。</w:t>
            </w:r>
          </w:p>
        </w:tc>
      </w:tr>
      <w:tr w14:paraId="2BEB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58CE81D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其他服务要求</w:t>
            </w:r>
          </w:p>
        </w:tc>
        <w:tc>
          <w:tcPr>
            <w:tcW w:w="7677" w:type="dxa"/>
            <w:gridSpan w:val="2"/>
            <w:noWrap w:val="0"/>
            <w:vAlign w:val="center"/>
          </w:tcPr>
          <w:p w14:paraId="75F9A697">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1、中标人应具备完善的售后服务体系，在广西区内具有或委托有具备固定地点、固定的维护人员的服务机构，并有能力及时处理所有可能发生的事件。</w:t>
            </w:r>
          </w:p>
          <w:p w14:paraId="01B7AE30">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2、在服务期限内，中标人应根据国家最新版食品中农药最大残留限量值变化，提供包括但不仅限于样本前处理的技术调整。（必须在投标文件中提供承诺函）</w:t>
            </w:r>
          </w:p>
          <w:p w14:paraId="6684AF9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3、除投标文件明确外，中标人不得以任何方式转包或分包本项目，同一分标使用的试纸条必须为同一个厂家、同一个品牌的产品。（必须在投标文件中提供承诺函）</w:t>
            </w:r>
          </w:p>
          <w:p w14:paraId="50F3B129">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4、中标人所提供的产品包括配件必须是厂家原包装全新正品，且产品有效使用期长（自接收到样品第二天计，以天计）应≥90%产品保质期长（以天计），否则不予验收。</w:t>
            </w:r>
          </w:p>
          <w:p w14:paraId="002A084B">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5、中标人接到采购人质量问题报告，应在1小时内响应，4小时内到达现场，24小时内排除问题，如在规定时间内无法排除，提供备品备件，保证采购人正常工作需要。</w:t>
            </w:r>
          </w:p>
          <w:p w14:paraId="36016B9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在项目实施过程中，中标人须提供中标产品数量的5%用于进行产品评价和性能验证实验，验证产品随机抽取，由采购人指定部级农检机构参照《农药残留胶体金免疫层析定性快速检测产品评价及性能验证规范》（NY/T 2715-2025）规定的程序进行产品评价及性能验证，样品基质为豇豆等果蔬类，评价判定指标为空白样品检测假阳性率应小于等于4%，按照农药残留最大残留限量添加水平下的样品检测假阴性率应小于等于2%，检测2倍农药残留最大残留限量添加水平的样品时不得有假阴性结果。全部满足该评价判定指标要求时为“通过”，否则为“不通过”。产品评价为不通过时，中标人须提供抽取产品数量的10倍产品赔偿。</w:t>
            </w:r>
          </w:p>
          <w:p w14:paraId="27645F0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检测结果归采购人所有，中标人必须对一切检测数据和检测技术资料保密，不得泄露给任何第三方，也不得将与样品有关的技术资料用于任何经营、开发及学术活动，否则，视为中标人违约，并由中标人承担所有的法律及经济责任。</w:t>
            </w:r>
          </w:p>
          <w:p w14:paraId="793A45B4">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8、中标人接受采购人不定期的电话、电子邮件以及现场检查等方式的督促和相关的质量控制，以保证检测服务工作的进度和质量。</w:t>
            </w:r>
          </w:p>
          <w:p w14:paraId="7C0691C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9、中标人须按照采购人制定的工作实施方案内容开展工作，并定期汇报服务进度，项目结束后提供合同期内工作开展情况及相关证明材料。</w:t>
            </w:r>
          </w:p>
          <w:p w14:paraId="1DCBD6A7">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10、中标后，采购人将根据最终确认的工作实施方案，在不改变招标文件实质性条款（单价、核心服务标准、结算方式）的前提下，与中标人签订具体实施协议。若实施方案导致服务范围或工作量发生重大变化，双方应另行协商或按相关规定处理。</w:t>
            </w:r>
          </w:p>
        </w:tc>
      </w:tr>
      <w:tr w14:paraId="0855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noWrap w:val="0"/>
            <w:vAlign w:val="center"/>
          </w:tcPr>
          <w:p w14:paraId="78D0959C">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投标报价及</w:t>
            </w:r>
            <w:r>
              <w:rPr>
                <w:rFonts w:hint="eastAsia" w:ascii="宋体" w:hAnsi="宋体" w:eastAsia="宋体" w:cs="宋体"/>
                <w:bCs/>
                <w:color w:val="auto"/>
                <w:sz w:val="21"/>
                <w:szCs w:val="21"/>
                <w:highlight w:val="none"/>
              </w:rPr>
              <w:t>要求</w:t>
            </w:r>
          </w:p>
        </w:tc>
        <w:tc>
          <w:tcPr>
            <w:tcW w:w="7677" w:type="dxa"/>
            <w:gridSpan w:val="2"/>
            <w:noWrap w:val="0"/>
            <w:vAlign w:val="center"/>
          </w:tcPr>
          <w:p w14:paraId="2E5A05C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投标报价为采购人指定地点的现场交货价，包括：</w:t>
            </w:r>
          </w:p>
          <w:p w14:paraId="3082CFB6">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（1）服务、货物的价格：包括货款、验收费（含检定、校准费等）；</w:t>
            </w:r>
          </w:p>
          <w:p w14:paraId="32A6230C">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（2）所需的材料费、标准附件、备品备件、专用工具的价格；</w:t>
            </w:r>
          </w:p>
          <w:p w14:paraId="486F6C6C">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（3）作业费、运输、装卸、售后服务费；</w:t>
            </w:r>
          </w:p>
          <w:p w14:paraId="5A9B2908">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（4）投标报价应包含本次检测项目所需要的所有费用（含快速检测服务费）、招标代理服务费、保险费、验收费用和各项税金；</w:t>
            </w:r>
          </w:p>
          <w:p w14:paraId="129FF0B2">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（5）技术支持、宣传培训、驻点检测、信息平台对接及其他相关工作开展需要的其他费用；所检测样品的抽样、制备和各项检测指标的费用。</w:t>
            </w:r>
          </w:p>
          <w:p w14:paraId="55DD21BB">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（6）供应商应自行考虑完成本项目所需的人力、物力等全部成本，以及可预见的其他因素及风险费用。投标人未列明的费用，均视为已包含在投标报价中，中标后采购人不再另行支付任何额外费用。</w:t>
            </w:r>
          </w:p>
          <w:p w14:paraId="75841A8E">
            <w:pPr>
              <w:keepNext w:val="0"/>
              <w:keepLines w:val="0"/>
              <w:pageBreakBefore w:val="0"/>
              <w:widowControl w:val="0"/>
              <w:kinsoku/>
              <w:wordWrap/>
              <w:overflowPunct/>
              <w:topLinePunct w:val="0"/>
              <w:autoSpaceDE/>
              <w:autoSpaceDN/>
              <w:bidi w:val="0"/>
              <w:spacing w:line="400" w:lineRule="exact"/>
              <w:ind w:firstLine="422" w:firstLineChars="200"/>
              <w:jc w:val="left"/>
              <w:textAlignment w:val="auto"/>
              <w:rPr>
                <w:rFonts w:hint="eastAsia" w:ascii="宋体" w:hAnsi="宋体" w:eastAsia="宋体" w:cs="宋体"/>
                <w:bCs/>
                <w:color w:val="auto"/>
                <w:sz w:val="21"/>
                <w:szCs w:val="21"/>
                <w:highlight w:val="none"/>
              </w:rPr>
            </w:pPr>
            <w:r>
              <w:rPr>
                <w:rFonts w:hint="eastAsia" w:ascii="宋体" w:hAnsi="宋体" w:cs="宋体"/>
                <w:b/>
                <w:bCs w:val="0"/>
                <w:color w:val="auto"/>
                <w:sz w:val="21"/>
                <w:szCs w:val="21"/>
                <w:highlight w:val="none"/>
                <w:lang w:eastAsia="zh-CN"/>
              </w:rPr>
              <w:t>（</w:t>
            </w:r>
            <w:r>
              <w:rPr>
                <w:rFonts w:hint="eastAsia" w:ascii="宋体" w:hAnsi="宋体" w:cs="宋体"/>
                <w:b/>
                <w:bCs w:val="0"/>
                <w:color w:val="auto"/>
                <w:sz w:val="21"/>
                <w:szCs w:val="21"/>
                <w:highlight w:val="none"/>
                <w:lang w:val="en-US" w:eastAsia="zh-CN"/>
              </w:rPr>
              <w:t>7</w:t>
            </w:r>
            <w:r>
              <w:rPr>
                <w:rFonts w:hint="eastAsia" w:ascii="宋体" w:hAnsi="宋体" w:cs="宋体"/>
                <w:b/>
                <w:bCs w:val="0"/>
                <w:color w:val="auto"/>
                <w:sz w:val="21"/>
                <w:szCs w:val="21"/>
                <w:highlight w:val="none"/>
                <w:lang w:eastAsia="zh-CN"/>
              </w:rPr>
              <w:t>）单价最高限价与结算原则：本</w:t>
            </w:r>
            <w:r>
              <w:rPr>
                <w:rFonts w:hint="eastAsia" w:ascii="宋体" w:hAnsi="宋体" w:cs="宋体"/>
                <w:b/>
                <w:bCs w:val="0"/>
                <w:color w:val="auto"/>
                <w:sz w:val="21"/>
                <w:szCs w:val="21"/>
                <w:highlight w:val="none"/>
                <w:lang w:val="en-US" w:eastAsia="zh-CN"/>
              </w:rPr>
              <w:t>标段</w:t>
            </w:r>
            <w:r>
              <w:rPr>
                <w:rFonts w:hint="eastAsia" w:ascii="宋体" w:hAnsi="宋体" w:cs="宋体"/>
                <w:b/>
                <w:bCs w:val="0"/>
                <w:color w:val="auto"/>
                <w:sz w:val="21"/>
                <w:szCs w:val="21"/>
                <w:highlight w:val="none"/>
                <w:lang w:eastAsia="zh-CN"/>
              </w:rPr>
              <w:t>设置单价最高限价为85元/批次（即每批次检测服务费不超过85元），投标人的单价报价不得超过此限价，否则视为无效投标。本项目采用固定单价、据实结算方式，最终支付金额以实际发生量乘以中标单价为准。本项目设置总价最高限额为预算上控价1700000.00元（大写：壹佰柒拾万元整），若按实际发生量计算的金额超出该上控价，则一律按1700000.00元进行封顶结算，超出部分采购人不予支付。</w:t>
            </w:r>
          </w:p>
        </w:tc>
      </w:tr>
    </w:tbl>
    <w:p w14:paraId="3A6D8893">
      <w:pPr>
        <w:keepNext w:val="0"/>
        <w:keepLines w:val="0"/>
        <w:pageBreakBefore w:val="0"/>
        <w:widowControl/>
        <w:kinsoku/>
        <w:wordWrap/>
        <w:overflowPunct/>
        <w:topLinePunct w:val="0"/>
        <w:autoSpaceDE/>
        <w:autoSpaceDN/>
        <w:bidi w:val="0"/>
        <w:spacing w:line="24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26933C47">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分标</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：预算金额</w:t>
      </w:r>
      <w:r>
        <w:rPr>
          <w:rFonts w:hint="eastAsia" w:ascii="宋体" w:hAnsi="宋体" w:cs="宋体"/>
          <w:b/>
          <w:bCs/>
          <w:color w:val="auto"/>
          <w:sz w:val="21"/>
          <w:szCs w:val="21"/>
          <w:highlight w:val="none"/>
          <w:lang w:val="en-US" w:eastAsia="zh-CN"/>
        </w:rPr>
        <w:t>53.00</w:t>
      </w:r>
      <w:r>
        <w:rPr>
          <w:rFonts w:hint="eastAsia" w:ascii="宋体" w:hAnsi="宋体" w:eastAsia="宋体" w:cs="宋体"/>
          <w:b/>
          <w:bCs/>
          <w:color w:val="auto"/>
          <w:sz w:val="21"/>
          <w:szCs w:val="21"/>
          <w:highlight w:val="none"/>
        </w:rPr>
        <w:t>万元</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336"/>
        <w:gridCol w:w="935"/>
        <w:gridCol w:w="6742"/>
      </w:tblGrid>
      <w:tr w14:paraId="17F5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686" w:type="dxa"/>
            <w:gridSpan w:val="4"/>
            <w:tcBorders>
              <w:top w:val="single" w:color="auto" w:sz="4" w:space="0"/>
              <w:left w:val="single" w:color="auto" w:sz="4" w:space="0"/>
              <w:bottom w:val="single" w:color="auto" w:sz="4" w:space="0"/>
              <w:right w:val="single" w:color="auto" w:sz="4" w:space="0"/>
            </w:tcBorders>
            <w:noWrap w:val="0"/>
            <w:vAlign w:val="center"/>
          </w:tcPr>
          <w:p w14:paraId="753BC4B9">
            <w:pPr>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一、需求一览表</w:t>
            </w:r>
          </w:p>
        </w:tc>
      </w:tr>
      <w:tr w14:paraId="0FAA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3896E4B8">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208C3FFE">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标的名称</w:t>
            </w:r>
          </w:p>
        </w:tc>
        <w:tc>
          <w:tcPr>
            <w:tcW w:w="935" w:type="dxa"/>
            <w:tcBorders>
              <w:top w:val="single" w:color="auto" w:sz="4" w:space="0"/>
              <w:left w:val="single" w:color="auto" w:sz="4" w:space="0"/>
              <w:bottom w:val="single" w:color="auto" w:sz="4" w:space="0"/>
              <w:right w:val="single" w:color="auto" w:sz="4" w:space="0"/>
            </w:tcBorders>
            <w:noWrap w:val="0"/>
            <w:vAlign w:val="center"/>
          </w:tcPr>
          <w:p w14:paraId="40E0BD2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数量及单位</w:t>
            </w:r>
          </w:p>
        </w:tc>
        <w:tc>
          <w:tcPr>
            <w:tcW w:w="6742" w:type="dxa"/>
            <w:tcBorders>
              <w:top w:val="single" w:color="auto" w:sz="4" w:space="0"/>
              <w:left w:val="single" w:color="auto" w:sz="4" w:space="0"/>
              <w:bottom w:val="single" w:color="auto" w:sz="4" w:space="0"/>
              <w:right w:val="single" w:color="auto" w:sz="4" w:space="0"/>
            </w:tcBorders>
            <w:noWrap w:val="0"/>
            <w:vAlign w:val="center"/>
          </w:tcPr>
          <w:p w14:paraId="71E91F1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服务参数及要求</w:t>
            </w:r>
          </w:p>
        </w:tc>
      </w:tr>
      <w:tr w14:paraId="5642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73" w:type="dxa"/>
            <w:tcBorders>
              <w:top w:val="single" w:color="auto" w:sz="4" w:space="0"/>
              <w:left w:val="single" w:color="auto" w:sz="4" w:space="0"/>
              <w:bottom w:val="single" w:color="auto" w:sz="4" w:space="0"/>
              <w:right w:val="single" w:color="auto" w:sz="4" w:space="0"/>
            </w:tcBorders>
            <w:noWrap w:val="0"/>
            <w:vAlign w:val="center"/>
          </w:tcPr>
          <w:p w14:paraId="4BA1AF2B">
            <w:pPr>
              <w:keepNext w:val="0"/>
              <w:keepLines w:val="0"/>
              <w:pageBreakBefore w:val="0"/>
              <w:widowControl w:val="0"/>
              <w:kinsoku/>
              <w:wordWrap/>
              <w:overflowPunct/>
              <w:topLinePunct w:val="0"/>
              <w:autoSpaceDE/>
              <w:autoSpaceDN/>
              <w:bidi w:val="0"/>
              <w:adjustRightIn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35B91A1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2026年农产品检测项目采购</w:t>
            </w:r>
            <w:r>
              <w:rPr>
                <w:rFonts w:hint="eastAsia" w:ascii="宋体" w:hAnsi="宋体" w:cs="仿宋_GB2312"/>
                <w:color w:val="auto"/>
                <w:szCs w:val="21"/>
                <w:highlight w:val="none"/>
              </w:rPr>
              <w:t>（</w:t>
            </w:r>
            <w:r>
              <w:rPr>
                <w:rFonts w:hint="eastAsia" w:ascii="宋体" w:hAnsi="宋体" w:cs="仿宋_GB2312"/>
                <w:color w:val="auto"/>
                <w:szCs w:val="21"/>
                <w:highlight w:val="none"/>
                <w:lang w:val="en-US" w:eastAsia="zh-CN"/>
              </w:rPr>
              <w:t>全区粮食重金属</w:t>
            </w:r>
            <w:r>
              <w:rPr>
                <w:rFonts w:hint="eastAsia" w:ascii="宋体" w:hAnsi="宋体" w:cs="仿宋_GB2312"/>
                <w:color w:val="auto"/>
                <w:szCs w:val="21"/>
                <w:highlight w:val="none"/>
              </w:rPr>
              <w:t>）</w:t>
            </w:r>
          </w:p>
        </w:tc>
        <w:tc>
          <w:tcPr>
            <w:tcW w:w="935" w:type="dxa"/>
            <w:tcBorders>
              <w:top w:val="single" w:color="auto" w:sz="4" w:space="0"/>
              <w:left w:val="single" w:color="auto" w:sz="4" w:space="0"/>
              <w:bottom w:val="single" w:color="auto" w:sz="4" w:space="0"/>
              <w:right w:val="single" w:color="auto" w:sz="4" w:space="0"/>
            </w:tcBorders>
            <w:noWrap w:val="0"/>
            <w:vAlign w:val="center"/>
          </w:tcPr>
          <w:p w14:paraId="7CB61D3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1批</w:t>
            </w:r>
          </w:p>
        </w:tc>
        <w:tc>
          <w:tcPr>
            <w:tcW w:w="6742" w:type="dxa"/>
            <w:tcBorders>
              <w:top w:val="single" w:color="auto" w:sz="4" w:space="0"/>
              <w:left w:val="single" w:color="auto" w:sz="4" w:space="0"/>
              <w:bottom w:val="single" w:color="auto" w:sz="4" w:space="0"/>
              <w:right w:val="single" w:color="auto" w:sz="4" w:space="0"/>
            </w:tcBorders>
            <w:noWrap w:val="0"/>
            <w:vAlign w:val="center"/>
          </w:tcPr>
          <w:p w14:paraId="0BA2D595">
            <w:pPr>
              <w:keepNext w:val="0"/>
              <w:keepLines w:val="0"/>
              <w:pageBreakBefore w:val="0"/>
              <w:widowControl w:val="0"/>
              <w:numPr>
                <w:ilvl w:val="0"/>
                <w:numId w:val="1"/>
              </w:numPr>
              <w:kinsoku/>
              <w:wordWrap/>
              <w:overflowPunct/>
              <w:topLinePunct w:val="0"/>
              <w:autoSpaceDE/>
              <w:autoSpaceDN/>
              <w:bidi w:val="0"/>
              <w:adjustRightInd w:val="0"/>
              <w:spacing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项目概况与工作量</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根据《土壤污染防治行动计划》及实际工作需要，开展粮食重金属残留监测。全年共进行检测</w:t>
            </w:r>
            <w:r>
              <w:rPr>
                <w:rFonts w:hint="eastAsia" w:ascii="宋体" w:hAnsi="宋体"/>
                <w:color w:val="auto"/>
                <w:szCs w:val="21"/>
                <w:highlight w:val="none"/>
                <w:lang w:val="en-US" w:eastAsia="zh-CN"/>
              </w:rPr>
              <w:t>≥</w:t>
            </w:r>
            <w:r>
              <w:rPr>
                <w:rFonts w:hint="eastAsia" w:ascii="宋体" w:hAnsi="宋体" w:eastAsia="宋体" w:cs="宋体"/>
                <w:color w:val="auto"/>
                <w:kern w:val="0"/>
                <w:sz w:val="21"/>
                <w:szCs w:val="21"/>
                <w:highlight w:val="none"/>
                <w:lang w:val="en-US" w:eastAsia="zh-CN"/>
              </w:rPr>
              <w:t>1325批次（其中</w:t>
            </w:r>
            <w:r>
              <w:rPr>
                <w:rFonts w:hint="eastAsia" w:ascii="宋体" w:hAnsi="宋体" w:cs="宋体"/>
                <w:color w:val="auto"/>
                <w:kern w:val="0"/>
                <w:sz w:val="21"/>
                <w:szCs w:val="21"/>
                <w:highlight w:val="none"/>
                <w:lang w:val="en-US" w:eastAsia="zh-CN"/>
              </w:rPr>
              <w:t>约</w:t>
            </w:r>
            <w:r>
              <w:rPr>
                <w:rFonts w:hint="eastAsia" w:ascii="宋体" w:hAnsi="宋体" w:eastAsia="宋体" w:cs="宋体"/>
                <w:color w:val="auto"/>
                <w:kern w:val="0"/>
                <w:sz w:val="21"/>
                <w:szCs w:val="21"/>
                <w:highlight w:val="none"/>
                <w:lang w:val="en-US" w:eastAsia="zh-CN"/>
              </w:rPr>
              <w:t>1000批次为定量检测，</w:t>
            </w:r>
            <w:r>
              <w:rPr>
                <w:rFonts w:hint="eastAsia" w:ascii="宋体" w:hAnsi="宋体" w:cs="宋体"/>
                <w:color w:val="auto"/>
                <w:kern w:val="0"/>
                <w:sz w:val="21"/>
                <w:szCs w:val="21"/>
                <w:highlight w:val="none"/>
                <w:lang w:val="en-US" w:eastAsia="zh-CN"/>
              </w:rPr>
              <w:t>约</w:t>
            </w:r>
            <w:r>
              <w:rPr>
                <w:rFonts w:hint="eastAsia" w:ascii="宋体" w:hAnsi="宋体" w:eastAsia="宋体" w:cs="宋体"/>
                <w:color w:val="auto"/>
                <w:kern w:val="0"/>
                <w:sz w:val="21"/>
                <w:szCs w:val="21"/>
                <w:highlight w:val="none"/>
                <w:lang w:val="en-US" w:eastAsia="zh-CN"/>
              </w:rPr>
              <w:t>325批次为快速检测）。中标价格包含样品采集、制备、流转、保存、检测、数据分析、报告编写及所有耗材、税费等一切相关费用。</w:t>
            </w:r>
            <w:r>
              <w:rPr>
                <w:rFonts w:hint="eastAsia" w:ascii="宋体" w:hAnsi="宋体" w:eastAsia="宋体" w:cs="宋体"/>
                <w:color w:val="auto"/>
                <w:kern w:val="0"/>
                <w:sz w:val="21"/>
                <w:szCs w:val="21"/>
                <w:highlight w:val="none"/>
                <w:lang w:val="en-US" w:eastAsia="zh-CN"/>
              </w:rPr>
              <w:br w:type="textWrapping"/>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b/>
                <w:bCs/>
                <w:color w:val="auto"/>
                <w:kern w:val="0"/>
                <w:sz w:val="21"/>
                <w:szCs w:val="21"/>
                <w:highlight w:val="none"/>
                <w:lang w:val="en-US" w:eastAsia="zh-CN"/>
              </w:rPr>
              <w:t>二、粮食样品采集要求</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 采集区域与作物：</w:t>
            </w:r>
            <w:r>
              <w:rPr>
                <w:rFonts w:hint="eastAsia" w:ascii="宋体" w:hAnsi="宋体" w:cs="宋体"/>
                <w:color w:val="auto"/>
                <w:kern w:val="0"/>
                <w:sz w:val="21"/>
                <w:szCs w:val="21"/>
                <w:highlight w:val="none"/>
                <w:lang w:val="en-US" w:eastAsia="zh-CN"/>
              </w:rPr>
              <w:t>采购人</w:t>
            </w:r>
            <w:r>
              <w:rPr>
                <w:rFonts w:hint="eastAsia" w:ascii="宋体" w:hAnsi="宋体" w:eastAsia="宋体" w:cs="宋体"/>
                <w:color w:val="auto"/>
                <w:kern w:val="0"/>
                <w:sz w:val="21"/>
                <w:szCs w:val="21"/>
                <w:highlight w:val="none"/>
                <w:lang w:val="en-US" w:eastAsia="zh-CN"/>
              </w:rPr>
              <w:t>指定的严格管控类耕地区域范围，采集作物为水稻。</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 布点密度：</w:t>
            </w:r>
            <w:r>
              <w:rPr>
                <w:rFonts w:hint="eastAsia" w:ascii="宋体" w:hAnsi="宋体" w:cs="宋体"/>
                <w:color w:val="auto"/>
                <w:kern w:val="0"/>
                <w:sz w:val="21"/>
                <w:szCs w:val="21"/>
                <w:highlight w:val="none"/>
                <w:lang w:val="en-US" w:eastAsia="zh-CN"/>
              </w:rPr>
              <w:t>采购人</w:t>
            </w:r>
            <w:r>
              <w:rPr>
                <w:rFonts w:hint="eastAsia" w:ascii="宋体" w:hAnsi="宋体" w:eastAsia="宋体" w:cs="宋体"/>
                <w:color w:val="auto"/>
                <w:kern w:val="0"/>
                <w:sz w:val="21"/>
                <w:szCs w:val="21"/>
                <w:highlight w:val="none"/>
                <w:lang w:val="en-US" w:eastAsia="zh-CN"/>
              </w:rPr>
              <w:t>按照每60亩采集1个样品的密度进行布点。</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3. 采集标准：依据《食用农产品产地重金属风险评估技术指南》（NY/T4692—2025）、《</w:t>
            </w:r>
            <w:r>
              <w:rPr>
                <w:rFonts w:hint="eastAsia" w:ascii="宋体" w:hAnsi="宋体" w:cs="宋体"/>
                <w:color w:val="auto"/>
                <w:kern w:val="0"/>
                <w:sz w:val="21"/>
                <w:szCs w:val="21"/>
                <w:highlight w:val="none"/>
                <w:lang w:val="en-US" w:eastAsia="zh-CN"/>
              </w:rPr>
              <w:t>农产品样品</w:t>
            </w:r>
            <w:r>
              <w:rPr>
                <w:rFonts w:hint="eastAsia" w:ascii="宋体" w:hAnsi="宋体" w:eastAsia="宋体" w:cs="宋体"/>
                <w:color w:val="auto"/>
                <w:kern w:val="0"/>
                <w:sz w:val="21"/>
                <w:szCs w:val="21"/>
                <w:highlight w:val="none"/>
                <w:lang w:val="en-US" w:eastAsia="zh-CN"/>
              </w:rPr>
              <w:t>采集流转制备和保存技术规定》</w:t>
            </w:r>
            <w:r>
              <w:rPr>
                <w:rFonts w:hint="eastAsia" w:ascii="宋体" w:hAnsi="宋体" w:cs="宋体"/>
                <w:color w:val="auto"/>
                <w:kern w:val="0"/>
                <w:sz w:val="21"/>
                <w:szCs w:val="21"/>
                <w:highlight w:val="none"/>
                <w:lang w:val="en-US" w:eastAsia="zh-CN"/>
              </w:rPr>
              <w:t>（环办土壤〔2017〕59号）</w:t>
            </w:r>
            <w:r>
              <w:rPr>
                <w:rFonts w:hint="eastAsia" w:ascii="宋体" w:hAnsi="宋体" w:eastAsia="宋体" w:cs="宋体"/>
                <w:color w:val="auto"/>
                <w:kern w:val="0"/>
                <w:sz w:val="21"/>
                <w:szCs w:val="21"/>
                <w:highlight w:val="none"/>
                <w:lang w:val="en-US" w:eastAsia="zh-CN"/>
              </w:rPr>
              <w:t>等标准执行。</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4. 采样方法：农产品采集混合样品。现场确定计划采样点位后，以确定点位为中心划定采样区域（一般为20m×20m），按双对角线、棋盘式、蛇形、梅花点等方法多点（5—20个）采集混合样品。</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5. 采样量：水稻采样量一般要求为1500g（稻谷、麦粒干重样），含水量高时需增加采样量。</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6. 流转与保存：样品</w:t>
            </w:r>
            <w:r>
              <w:rPr>
                <w:rFonts w:hint="eastAsia" w:ascii="宋体" w:hAnsi="宋体" w:cs="宋体"/>
                <w:color w:val="auto"/>
                <w:kern w:val="0"/>
                <w:sz w:val="21"/>
                <w:szCs w:val="21"/>
                <w:highlight w:val="none"/>
                <w:lang w:val="en-US" w:eastAsia="zh-CN"/>
              </w:rPr>
              <w:t>流转</w:t>
            </w:r>
            <w:r>
              <w:rPr>
                <w:rFonts w:hint="eastAsia" w:ascii="宋体" w:hAnsi="宋体" w:eastAsia="宋体" w:cs="宋体"/>
                <w:color w:val="auto"/>
                <w:kern w:val="0"/>
                <w:sz w:val="21"/>
                <w:szCs w:val="21"/>
                <w:highlight w:val="none"/>
                <w:lang w:val="en-US" w:eastAsia="zh-CN"/>
              </w:rPr>
              <w:t>需使用专用样品箱，严防破损、混淆或污染。样品</w:t>
            </w:r>
            <w:r>
              <w:rPr>
                <w:rFonts w:hint="eastAsia" w:ascii="宋体" w:hAnsi="宋体" w:cs="宋体"/>
                <w:color w:val="auto"/>
                <w:kern w:val="0"/>
                <w:sz w:val="21"/>
                <w:szCs w:val="21"/>
                <w:highlight w:val="none"/>
                <w:lang w:val="en-US" w:eastAsia="zh-CN"/>
              </w:rPr>
              <w:t>保存</w:t>
            </w:r>
            <w:r>
              <w:rPr>
                <w:rFonts w:hint="eastAsia" w:ascii="宋体" w:hAnsi="宋体" w:eastAsia="宋体" w:cs="宋体"/>
                <w:color w:val="auto"/>
                <w:kern w:val="0"/>
                <w:sz w:val="21"/>
                <w:szCs w:val="21"/>
                <w:highlight w:val="none"/>
                <w:lang w:val="en-US" w:eastAsia="zh-CN"/>
              </w:rPr>
              <w:t>应保持干燥（相对湿度＜75%)、阴凉（1O-20</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)、通风、无阳光直射、无污染</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要定期检查样品，防止霉变、鼠害及样品标签脱落等</w:t>
            </w:r>
            <w:r>
              <w:rPr>
                <w:rFonts w:hint="eastAsia" w:ascii="宋体" w:hAnsi="宋体" w:cs="宋体"/>
                <w:color w:val="auto"/>
                <w:kern w:val="0"/>
                <w:sz w:val="21"/>
                <w:szCs w:val="21"/>
                <w:highlight w:val="none"/>
                <w:lang w:val="en-US" w:eastAsia="zh-CN"/>
              </w:rPr>
              <w:t>。样品</w:t>
            </w:r>
            <w:r>
              <w:rPr>
                <w:rFonts w:hint="eastAsia" w:ascii="宋体" w:hAnsi="宋体" w:eastAsia="宋体" w:cs="宋体"/>
                <w:color w:val="auto"/>
                <w:kern w:val="0"/>
                <w:sz w:val="21"/>
                <w:szCs w:val="21"/>
                <w:highlight w:val="none"/>
                <w:lang w:val="en-US" w:eastAsia="zh-CN"/>
              </w:rPr>
              <w:t>需留存至项目验收完成后1年。</w:t>
            </w:r>
            <w:r>
              <w:rPr>
                <w:rFonts w:hint="eastAsia" w:ascii="宋体" w:hAnsi="宋体" w:eastAsia="宋体" w:cs="宋体"/>
                <w:color w:val="auto"/>
                <w:kern w:val="0"/>
                <w:sz w:val="21"/>
                <w:szCs w:val="21"/>
                <w:highlight w:val="none"/>
                <w:lang w:val="en-US" w:eastAsia="zh-CN"/>
              </w:rPr>
              <w:br w:type="textWrapping"/>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b/>
                <w:bCs/>
                <w:color w:val="auto"/>
                <w:kern w:val="0"/>
                <w:sz w:val="21"/>
                <w:szCs w:val="21"/>
                <w:highlight w:val="none"/>
                <w:lang w:val="en-US" w:eastAsia="zh-CN"/>
              </w:rPr>
              <w:t>三、粮食样品检测要求</w:t>
            </w:r>
            <w:r>
              <w:rPr>
                <w:rFonts w:hint="eastAsia" w:ascii="宋体" w:hAnsi="宋体" w:eastAsia="宋体" w:cs="宋体"/>
                <w:color w:val="auto"/>
                <w:kern w:val="0"/>
                <w:sz w:val="21"/>
                <w:szCs w:val="21"/>
                <w:highlight w:val="none"/>
                <w:lang w:val="en-US" w:eastAsia="zh-CN"/>
              </w:rPr>
              <w:br w:type="textWrapping"/>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CN"/>
              </w:rPr>
              <w:t>1. 检测指标：</w:t>
            </w:r>
          </w:p>
          <w:p w14:paraId="2544DFE5">
            <w:pPr>
              <w:keepNext w:val="0"/>
              <w:keepLines w:val="0"/>
              <w:pageBreakBefore w:val="0"/>
              <w:widowControl w:val="0"/>
              <w:numPr>
                <w:ilvl w:val="0"/>
                <w:numId w:val="0"/>
              </w:numPr>
              <w:kinsoku/>
              <w:wordWrap/>
              <w:overflowPunct/>
              <w:topLinePunct w:val="0"/>
              <w:autoSpaceDE/>
              <w:autoSpaceDN/>
              <w:bidi w:val="0"/>
              <w:adjustRightInd w:val="0"/>
              <w:spacing w:line="400" w:lineRule="exact"/>
              <w:jc w:val="left"/>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快速检测指标：总镉、总铅；</w:t>
            </w:r>
            <w:r>
              <w:rPr>
                <w:rFonts w:hint="eastAsia" w:ascii="宋体" w:hAnsi="宋体" w:eastAsia="宋体" w:cs="宋体"/>
                <w:color w:val="auto"/>
                <w:kern w:val="0"/>
                <w:sz w:val="21"/>
                <w:szCs w:val="21"/>
                <w:highlight w:val="none"/>
                <w:lang w:val="en-US" w:eastAsia="zh-CN"/>
              </w:rPr>
              <w:br w:type="textWrapping"/>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定量检测指标：总汞、总砷（稻谷测总砷超0.35mg/kg时必须测无机砷）、总铅、总铬。</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 检测依据：《食品安全国家标准 食品中污染物限量》(GB 2762—2022)。</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3. 设备要求：定量检测需使用ICP-MS等高精设备。</w:t>
            </w:r>
            <w:r>
              <w:rPr>
                <w:rFonts w:hint="eastAsia" w:ascii="宋体" w:hAnsi="宋体" w:eastAsia="宋体" w:cs="宋体"/>
                <w:color w:val="auto"/>
                <w:kern w:val="0"/>
                <w:sz w:val="21"/>
                <w:szCs w:val="21"/>
                <w:highlight w:val="none"/>
                <w:lang w:val="en-US" w:eastAsia="zh-CN"/>
              </w:rPr>
              <w:br w:type="textWrapping"/>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b/>
                <w:bCs/>
                <w:color w:val="auto"/>
                <w:kern w:val="0"/>
                <w:sz w:val="21"/>
                <w:szCs w:val="21"/>
                <w:highlight w:val="none"/>
                <w:lang w:val="en-US" w:eastAsia="zh-CN"/>
              </w:rPr>
              <w:t>四、评估分析报告编制</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需按</w:t>
            </w:r>
            <w:r>
              <w:rPr>
                <w:rFonts w:hint="eastAsia" w:ascii="宋体" w:hAnsi="宋体" w:cs="宋体"/>
                <w:color w:val="auto"/>
                <w:kern w:val="0"/>
                <w:sz w:val="21"/>
                <w:szCs w:val="21"/>
                <w:highlight w:val="none"/>
                <w:lang w:val="en-US" w:eastAsia="zh-CN"/>
              </w:rPr>
              <w:t>采购人</w:t>
            </w:r>
            <w:r>
              <w:rPr>
                <w:rFonts w:hint="eastAsia" w:ascii="宋体" w:hAnsi="宋体" w:eastAsia="宋体" w:cs="宋体"/>
                <w:color w:val="auto"/>
                <w:kern w:val="0"/>
                <w:sz w:val="21"/>
                <w:szCs w:val="21"/>
                <w:highlight w:val="none"/>
                <w:lang w:val="en-US" w:eastAsia="zh-CN"/>
              </w:rPr>
              <w:t>要求编写评估分析报告。报告提纲包括：工作开展基本情况、监测点位农产品质量安全风险评估、质量控制情况、主要结论和存在问题、下一步建议等</w:t>
            </w:r>
            <w:r>
              <w:rPr>
                <w:rFonts w:hint="eastAsia" w:ascii="宋体" w:hAnsi="宋体" w:cs="宋体"/>
                <w:color w:val="auto"/>
                <w:kern w:val="0"/>
                <w:sz w:val="21"/>
                <w:szCs w:val="21"/>
                <w:highlight w:val="none"/>
                <w:lang w:val="en-US" w:eastAsia="zh-CN"/>
              </w:rPr>
              <w:t>内容</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br w:type="textWrapping"/>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b/>
                <w:bCs/>
                <w:color w:val="auto"/>
                <w:kern w:val="0"/>
                <w:sz w:val="21"/>
                <w:szCs w:val="21"/>
                <w:highlight w:val="none"/>
                <w:lang w:val="en-US" w:eastAsia="zh-CN"/>
              </w:rPr>
              <w:t>五、时间节点</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1. 完成样品采集时间：2026年11月20日前；</w:t>
            </w:r>
            <w:r>
              <w:rPr>
                <w:rFonts w:hint="eastAsia" w:ascii="宋体" w:hAnsi="宋体" w:eastAsia="宋体" w:cs="宋体"/>
                <w:color w:val="auto"/>
                <w:kern w:val="0"/>
                <w:sz w:val="21"/>
                <w:szCs w:val="21"/>
                <w:highlight w:val="none"/>
                <w:lang w:val="en-US" w:eastAsia="zh-CN"/>
              </w:rPr>
              <w:br w:type="textWrapping"/>
            </w:r>
            <w:r>
              <w:rPr>
                <w:rFonts w:hint="eastAsia" w:ascii="宋体" w:hAnsi="宋体" w:eastAsia="宋体" w:cs="宋体"/>
                <w:color w:val="auto"/>
                <w:kern w:val="0"/>
                <w:sz w:val="21"/>
                <w:szCs w:val="21"/>
                <w:highlight w:val="none"/>
                <w:lang w:val="en-US" w:eastAsia="zh-CN"/>
              </w:rPr>
              <w:t>2. 完成检测和报告编写时间节点：2026年12月</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0日前</w:t>
            </w:r>
            <w:r>
              <w:rPr>
                <w:rFonts w:hint="eastAsia" w:ascii="宋体" w:hAnsi="宋体" w:cs="宋体"/>
                <w:color w:val="auto"/>
                <w:kern w:val="0"/>
                <w:sz w:val="21"/>
                <w:szCs w:val="21"/>
                <w:highlight w:val="none"/>
                <w:lang w:val="en-US" w:eastAsia="zh-CN"/>
              </w:rPr>
              <w:t>。</w:t>
            </w:r>
          </w:p>
        </w:tc>
      </w:tr>
      <w:tr w14:paraId="513A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686" w:type="dxa"/>
            <w:gridSpan w:val="4"/>
            <w:tcBorders>
              <w:top w:val="single" w:color="auto" w:sz="4" w:space="0"/>
              <w:left w:val="single" w:color="auto" w:sz="4" w:space="0"/>
              <w:bottom w:val="single" w:color="auto" w:sz="4" w:space="0"/>
              <w:right w:val="single" w:color="auto" w:sz="4" w:space="0"/>
            </w:tcBorders>
            <w:noWrap w:val="0"/>
            <w:vAlign w:val="center"/>
          </w:tcPr>
          <w:p w14:paraId="291B7071">
            <w:pPr>
              <w:keepNext w:val="0"/>
              <w:keepLines w:val="0"/>
              <w:pageBreakBefore w:val="0"/>
              <w:widowControl w:val="0"/>
              <w:kinsoku/>
              <w:wordWrap/>
              <w:overflowPunct/>
              <w:topLinePunct w:val="0"/>
              <w:autoSpaceDE/>
              <w:autoSpaceDN/>
              <w:bidi w:val="0"/>
              <w:adjustRightInd w:val="0"/>
              <w:spacing w:line="400" w:lineRule="exact"/>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二、▲</w:t>
            </w:r>
            <w:r>
              <w:rPr>
                <w:rFonts w:hint="eastAsia" w:ascii="宋体" w:hAnsi="宋体" w:eastAsia="宋体" w:cs="宋体"/>
                <w:b/>
                <w:bCs/>
                <w:color w:val="auto"/>
                <w:sz w:val="21"/>
                <w:szCs w:val="21"/>
                <w:highlight w:val="none"/>
              </w:rPr>
              <w:t>商务条款</w:t>
            </w:r>
          </w:p>
        </w:tc>
      </w:tr>
      <w:tr w14:paraId="5362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01EAAE9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实施时间及地点</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13C88D88">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1、服务期限：</w:t>
            </w:r>
            <w:r>
              <w:rPr>
                <w:rFonts w:hint="eastAsia" w:ascii="宋体" w:hAnsi="宋体" w:cs="宋体"/>
                <w:bCs/>
                <w:color w:val="auto"/>
                <w:sz w:val="21"/>
                <w:szCs w:val="21"/>
                <w:highlight w:val="none"/>
                <w:lang w:eastAsia="zh-CN"/>
              </w:rPr>
              <w:t>自合同签订之日起至2026年12月31日止</w:t>
            </w:r>
            <w:r>
              <w:rPr>
                <w:rFonts w:hint="eastAsia" w:ascii="宋体" w:hAnsi="宋体" w:eastAsia="宋体" w:cs="宋体"/>
                <w:bCs/>
                <w:color w:val="auto"/>
                <w:sz w:val="21"/>
                <w:szCs w:val="21"/>
                <w:highlight w:val="none"/>
              </w:rPr>
              <w:t>，自签订合同之日起开始提供相应服务，具体服务时间根据</w:t>
            </w:r>
            <w:bookmarkStart w:id="125" w:name="OLE_LINK217"/>
            <w:bookmarkStart w:id="126" w:name="OLE_LINK218"/>
            <w:r>
              <w:rPr>
                <w:rFonts w:hint="eastAsia" w:ascii="宋体" w:hAnsi="宋体" w:eastAsia="宋体" w:cs="宋体"/>
                <w:bCs/>
                <w:color w:val="auto"/>
                <w:sz w:val="21"/>
                <w:szCs w:val="21"/>
                <w:highlight w:val="none"/>
              </w:rPr>
              <w:t>农</w:t>
            </w:r>
            <w:bookmarkStart w:id="127" w:name="OLE_LINK216"/>
            <w:bookmarkStart w:id="128" w:name="OLE_LINK215"/>
            <w:r>
              <w:rPr>
                <w:rFonts w:hint="eastAsia" w:ascii="宋体" w:hAnsi="宋体" w:eastAsia="宋体" w:cs="宋体"/>
                <w:bCs/>
                <w:color w:val="auto"/>
                <w:sz w:val="21"/>
                <w:szCs w:val="21"/>
                <w:highlight w:val="none"/>
              </w:rPr>
              <w:t>产品</w:t>
            </w:r>
            <w:bookmarkEnd w:id="125"/>
            <w:bookmarkEnd w:id="126"/>
            <w:r>
              <w:rPr>
                <w:rFonts w:hint="eastAsia" w:ascii="宋体" w:hAnsi="宋体" w:eastAsia="宋体" w:cs="宋体"/>
                <w:bCs/>
                <w:color w:val="auto"/>
                <w:sz w:val="21"/>
                <w:szCs w:val="21"/>
                <w:highlight w:val="none"/>
              </w:rPr>
              <w:t>上市</w:t>
            </w:r>
            <w:bookmarkEnd w:id="127"/>
            <w:bookmarkEnd w:id="128"/>
            <w:r>
              <w:rPr>
                <w:rFonts w:hint="eastAsia" w:ascii="宋体" w:hAnsi="宋体" w:eastAsia="宋体" w:cs="宋体"/>
                <w:bCs/>
                <w:color w:val="auto"/>
                <w:sz w:val="21"/>
                <w:szCs w:val="21"/>
                <w:highlight w:val="none"/>
              </w:rPr>
              <w:t>季节等实际情况进行安排，由采购人另行通知。</w:t>
            </w:r>
          </w:p>
          <w:p w14:paraId="11FC796E">
            <w:pPr>
              <w:keepNext w:val="0"/>
              <w:keepLines w:val="0"/>
              <w:pageBreakBefore w:val="0"/>
              <w:widowControl w:val="0"/>
              <w:tabs>
                <w:tab w:val="left" w:pos="5450"/>
              </w:tabs>
              <w:kinsoku/>
              <w:wordWrap/>
              <w:overflowPunct/>
              <w:topLinePunct w:val="0"/>
              <w:autoSpaceDE/>
              <w:autoSpaceDN/>
              <w:bidi w:val="0"/>
              <w:adjustRightInd w:val="0"/>
              <w:snapToGrid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2、服务地点：广西区内采购人指定地点。</w:t>
            </w:r>
          </w:p>
        </w:tc>
      </w:tr>
      <w:tr w14:paraId="6B3E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0BF5394E">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合同签订时间</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29AE427C">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w:t>
            </w:r>
            <w:r>
              <w:rPr>
                <w:rFonts w:hint="eastAsia" w:ascii="宋体" w:hAnsi="宋体" w:cs="宋体"/>
                <w:bCs/>
                <w:color w:val="auto"/>
                <w:sz w:val="21"/>
                <w:szCs w:val="21"/>
                <w:highlight w:val="none"/>
                <w:lang w:eastAsia="zh-CN"/>
              </w:rPr>
              <w:t>中标通知书</w:t>
            </w:r>
            <w:r>
              <w:rPr>
                <w:rFonts w:hint="eastAsia" w:ascii="宋体" w:hAnsi="宋体" w:eastAsia="宋体" w:cs="宋体"/>
                <w:bCs/>
                <w:color w:val="auto"/>
                <w:sz w:val="21"/>
                <w:szCs w:val="21"/>
                <w:highlight w:val="none"/>
              </w:rPr>
              <w:t>发出之日起 25 日内。</w:t>
            </w:r>
          </w:p>
        </w:tc>
      </w:tr>
      <w:tr w14:paraId="735E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59B5E26F">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验收标准及规范</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644C7D6D">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履行过程中，采购人按照本项目合同及招标文件进行验收（或委托具有相应资质的第三方机构进行验收，费用由中标供应商承担，投标报价时应考虑报价风险），如服务验收不合格，由项目实施方按采购人（或第三方验收机构）要求整改，项目实施方不按要求整改或拒不整改的，政府采购合同继续履行将损害国家利益和社会公众利益的，双方当事人应当变更、中止或者终止合同。给采购人造成的损失等费用由项目实施方承担。履约过程中，项目实施方如不符合采购文件服务内容及要求以及提供虚假承诺的，按相关规定做违约处理，采购人依据相关法律规定追究中标供应商的责任，由此带来的一切损失由项目实施方自行承担。</w:t>
            </w:r>
          </w:p>
          <w:p w14:paraId="1CB48952">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项目实施方完成所有委托的项目任务后，提供项目采样或检测数量各类样品数量明细及</w:t>
            </w:r>
            <w:r>
              <w:rPr>
                <w:rFonts w:hint="eastAsia" w:ascii="宋体" w:hAnsi="宋体" w:eastAsia="宋体" w:cs="宋体"/>
                <w:bCs/>
                <w:color w:val="auto"/>
                <w:sz w:val="21"/>
                <w:szCs w:val="21"/>
                <w:highlight w:val="none"/>
                <w:lang w:val="en-US" w:eastAsia="zh-CN"/>
              </w:rPr>
              <w:t>评估</w:t>
            </w:r>
            <w:r>
              <w:rPr>
                <w:rFonts w:hint="eastAsia" w:ascii="宋体" w:hAnsi="宋体" w:eastAsia="宋体" w:cs="宋体"/>
                <w:bCs/>
                <w:color w:val="auto"/>
                <w:sz w:val="21"/>
                <w:szCs w:val="21"/>
                <w:highlight w:val="none"/>
              </w:rPr>
              <w:t>分析报告给采购人。验收过程中所需工具、器材等耗材由项目实施方自理，各项指标达到要求的，由供需双方共同签字认可、验收。</w:t>
            </w:r>
          </w:p>
        </w:tc>
      </w:tr>
      <w:tr w14:paraId="2230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54171D26">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付款方式</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3D3479A9">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签订合同后 20 个工作日内中标人承接检测服务，采购人按合同总金额的30%（供应商属于中小企业的按照50%）预付服务费用；按照样品检测批次进度支付合同金额的65%（供应商属于中小企业的按照45%）的检测服务费；项目整体验收通过后，支付剩下的5%的服务费用。</w:t>
            </w:r>
          </w:p>
          <w:p w14:paraId="4C219F30">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本项目虽不专门面向中小企业采购，但中小企业可同步享受本条款预付款提高政策与第四章规定的评标价格扣除优惠，两项扶持政策互不冲突、可叠加享受；监狱企业、残疾人福利性单位视同小微企业同步适用上述双重扶持政策。</w:t>
            </w:r>
          </w:p>
        </w:tc>
      </w:tr>
      <w:tr w14:paraId="130B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643D847D">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其他服务要求</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7A8E7299">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1、中标人应具备完善的售后服务体系，在广西区内具有或委托有具备固定地点、固定的维护人员的服务机构，并有能力及时处理所有可能发生的故障。</w:t>
            </w:r>
          </w:p>
          <w:p w14:paraId="12C7124A">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2、中标人接到采购人质量问题报告，应在1小时内响应，4小时内到达现场，24小时内排除问题，如在规定时间内无法排除，提供备品备件，保证采购人正常工作需要。</w:t>
            </w:r>
          </w:p>
          <w:p w14:paraId="03DB10A7">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检测结果归采购人所有，中标人必须</w:t>
            </w:r>
            <w:r>
              <w:rPr>
                <w:rFonts w:hint="eastAsia" w:ascii="宋体" w:hAnsi="宋体" w:cs="宋体"/>
                <w:bCs/>
                <w:color w:val="auto"/>
                <w:sz w:val="21"/>
                <w:szCs w:val="21"/>
                <w:highlight w:val="none"/>
                <w:lang w:val="en-US" w:eastAsia="zh-CN"/>
              </w:rPr>
              <w:t>承诺</w:t>
            </w:r>
            <w:r>
              <w:rPr>
                <w:rFonts w:hint="eastAsia" w:ascii="宋体" w:hAnsi="宋体" w:eastAsia="宋体" w:cs="宋体"/>
                <w:bCs/>
                <w:color w:val="auto"/>
                <w:sz w:val="21"/>
                <w:szCs w:val="21"/>
                <w:highlight w:val="none"/>
              </w:rPr>
              <w:t>对一切检测数据和检测技术资料保密，不得泄露给任何第三方，也不得将与样品有关的技术资料用于任何经营、开发及学术活动，否则，视为中标人违约，并由中标人承担所有的法律及经济责任。</w:t>
            </w:r>
          </w:p>
          <w:p w14:paraId="440BEB64">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rPr>
              <w:t>、中标人接受采购人不定期的电话、电子邮件以及现场检查等方式的督促和相关的质量控制，以保证检测服务工作的进度和质量。</w:t>
            </w:r>
          </w:p>
          <w:p w14:paraId="04A0F368">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、中标人须按照采购人制定的工作实施方案内容开展工作，并定期汇报服务进度，</w:t>
            </w:r>
            <w:r>
              <w:rPr>
                <w:rFonts w:hint="eastAsia" w:ascii="宋体" w:hAnsi="宋体" w:cs="宋体"/>
                <w:bCs/>
                <w:color w:val="auto"/>
                <w:sz w:val="21"/>
                <w:szCs w:val="21"/>
                <w:highlight w:val="none"/>
                <w:lang w:val="en-US" w:eastAsia="zh-CN"/>
              </w:rPr>
              <w:t>在</w:t>
            </w:r>
            <w:r>
              <w:rPr>
                <w:rFonts w:hint="eastAsia" w:ascii="宋体" w:hAnsi="宋体" w:eastAsia="宋体" w:cs="宋体"/>
                <w:bCs/>
                <w:color w:val="auto"/>
                <w:sz w:val="21"/>
                <w:szCs w:val="21"/>
                <w:highlight w:val="none"/>
              </w:rPr>
              <w:t>项目结束后提供合同期内工作开展情况及相关证明材料。</w:t>
            </w:r>
          </w:p>
          <w:p w14:paraId="3591AB4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6、中标后，采购人将根据最终确认的工作实施方案，在不改变招标文件实质性条款（单价、核心服务标准、结算方式）的前提下，与中标人签订具体实施协议。若实施方案导致服务范围或工作量发生重大变化，双方应另行协商或按相关规定处理。</w:t>
            </w:r>
          </w:p>
        </w:tc>
      </w:tr>
      <w:tr w14:paraId="19D9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09" w:type="dxa"/>
            <w:gridSpan w:val="2"/>
            <w:tcBorders>
              <w:top w:val="single" w:color="auto" w:sz="4" w:space="0"/>
              <w:left w:val="single" w:color="auto" w:sz="4" w:space="0"/>
              <w:bottom w:val="single" w:color="auto" w:sz="4" w:space="0"/>
              <w:right w:val="single" w:color="auto" w:sz="4" w:space="0"/>
            </w:tcBorders>
            <w:noWrap w:val="0"/>
            <w:vAlign w:val="center"/>
          </w:tcPr>
          <w:p w14:paraId="32494DAB">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投标报价及</w:t>
            </w:r>
            <w:r>
              <w:rPr>
                <w:rFonts w:hint="eastAsia" w:ascii="宋体" w:hAnsi="宋体" w:eastAsia="宋体" w:cs="宋体"/>
                <w:bCs/>
                <w:color w:val="auto"/>
                <w:sz w:val="21"/>
                <w:szCs w:val="21"/>
                <w:highlight w:val="none"/>
              </w:rPr>
              <w:t>要求</w:t>
            </w:r>
          </w:p>
        </w:tc>
        <w:tc>
          <w:tcPr>
            <w:tcW w:w="7677" w:type="dxa"/>
            <w:gridSpan w:val="2"/>
            <w:tcBorders>
              <w:top w:val="single" w:color="auto" w:sz="4" w:space="0"/>
              <w:left w:val="single" w:color="auto" w:sz="4" w:space="0"/>
              <w:bottom w:val="single" w:color="auto" w:sz="4" w:space="0"/>
              <w:right w:val="single" w:color="auto" w:sz="4" w:space="0"/>
            </w:tcBorders>
            <w:noWrap w:val="0"/>
            <w:vAlign w:val="center"/>
          </w:tcPr>
          <w:p w14:paraId="19590EE2">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投标报价为采购人指定地点的现场交货价，包括：</w:t>
            </w:r>
          </w:p>
          <w:p w14:paraId="72EB2C85">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（1）服务、货物的价格：包括货款、验收费（含检定、校准费等）；</w:t>
            </w:r>
          </w:p>
          <w:p w14:paraId="44FB3DAD">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（2）所需的材料费、标准附件、备品备件、专用工具的价格；</w:t>
            </w:r>
          </w:p>
          <w:p w14:paraId="33C4F8A5">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（3）作业费、运输、装卸、售后服务费；</w:t>
            </w:r>
          </w:p>
          <w:p w14:paraId="0A84EC8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（4）投标报价应包含本次检测项目所需要的所有费用（含</w:t>
            </w:r>
            <w:r>
              <w:rPr>
                <w:rFonts w:hint="eastAsia" w:ascii="宋体" w:hAnsi="宋体" w:eastAsia="宋体" w:cs="宋体"/>
                <w:bCs/>
                <w:color w:val="auto"/>
                <w:sz w:val="21"/>
                <w:szCs w:val="21"/>
                <w:highlight w:val="none"/>
                <w:lang w:val="en-US" w:eastAsia="zh-CN"/>
              </w:rPr>
              <w:t>样品采集费</w:t>
            </w:r>
            <w:r>
              <w:rPr>
                <w:rFonts w:hint="eastAsia" w:ascii="宋体" w:hAnsi="宋体" w:eastAsia="宋体" w:cs="宋体"/>
                <w:bCs/>
                <w:color w:val="auto"/>
                <w:sz w:val="21"/>
                <w:szCs w:val="21"/>
                <w:highlight w:val="none"/>
              </w:rPr>
              <w:t>）、招标代理服务费、保险费、验收费用和各项税金；</w:t>
            </w:r>
          </w:p>
          <w:p w14:paraId="56BBC9EB">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（5）技术支持、宣传培训、驻点检测、信息平台对接及其他相关工作开展需要的其他费用；所检测样品的抽样、制备和各项检测指标的费用。</w:t>
            </w:r>
          </w:p>
          <w:p w14:paraId="7F63D4F1">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（6）供应商应自行考虑完成本项目所需的人力、物力等全部成本，以及可预见的其他因素及风险费用。投标人未列明的费用，均视为已包含在投标报价中，中标后采购人不再另行支付任何额外费用。</w:t>
            </w:r>
          </w:p>
          <w:p w14:paraId="6DFF7759">
            <w:pPr>
              <w:keepNext w:val="0"/>
              <w:keepLines w:val="0"/>
              <w:pageBreakBefore w:val="0"/>
              <w:widowControl w:val="0"/>
              <w:kinsoku/>
              <w:wordWrap/>
              <w:overflowPunct/>
              <w:topLinePunct w:val="0"/>
              <w:autoSpaceDE/>
              <w:autoSpaceDN/>
              <w:bidi w:val="0"/>
              <w:spacing w:line="400" w:lineRule="exact"/>
              <w:ind w:firstLine="422" w:firstLineChars="200"/>
              <w:jc w:val="left"/>
              <w:textAlignment w:val="auto"/>
              <w:rPr>
                <w:rFonts w:hint="eastAsia" w:ascii="宋体" w:hAnsi="宋体" w:eastAsia="宋体" w:cs="宋体"/>
                <w:bCs/>
                <w:color w:val="auto"/>
                <w:sz w:val="21"/>
                <w:szCs w:val="21"/>
                <w:highlight w:val="none"/>
              </w:rPr>
            </w:pPr>
            <w:r>
              <w:rPr>
                <w:rFonts w:hint="eastAsia" w:ascii="宋体" w:hAnsi="宋体" w:cs="宋体"/>
                <w:b/>
                <w:bCs w:val="0"/>
                <w:color w:val="auto"/>
                <w:sz w:val="21"/>
                <w:szCs w:val="21"/>
                <w:highlight w:val="none"/>
                <w:lang w:eastAsia="zh-CN"/>
              </w:rPr>
              <w:t>（</w:t>
            </w:r>
            <w:r>
              <w:rPr>
                <w:rFonts w:hint="eastAsia" w:ascii="宋体" w:hAnsi="宋体" w:cs="宋体"/>
                <w:b/>
                <w:bCs w:val="0"/>
                <w:color w:val="auto"/>
                <w:sz w:val="21"/>
                <w:szCs w:val="21"/>
                <w:highlight w:val="none"/>
                <w:lang w:val="en-US" w:eastAsia="zh-CN"/>
              </w:rPr>
              <w:t>7</w:t>
            </w:r>
            <w:r>
              <w:rPr>
                <w:rFonts w:hint="eastAsia" w:ascii="宋体" w:hAnsi="宋体" w:cs="宋体"/>
                <w:b/>
                <w:bCs w:val="0"/>
                <w:color w:val="auto"/>
                <w:sz w:val="21"/>
                <w:szCs w:val="21"/>
                <w:highlight w:val="none"/>
                <w:lang w:eastAsia="zh-CN"/>
              </w:rPr>
              <w:t>）单价最高限价与结算原则：本</w:t>
            </w:r>
            <w:r>
              <w:rPr>
                <w:rFonts w:hint="eastAsia" w:ascii="宋体" w:hAnsi="宋体" w:cs="宋体"/>
                <w:b/>
                <w:bCs w:val="0"/>
                <w:color w:val="auto"/>
                <w:sz w:val="21"/>
                <w:szCs w:val="21"/>
                <w:highlight w:val="none"/>
                <w:lang w:val="en-US" w:eastAsia="zh-CN"/>
              </w:rPr>
              <w:t>标段</w:t>
            </w:r>
            <w:r>
              <w:rPr>
                <w:rFonts w:hint="eastAsia" w:ascii="宋体" w:hAnsi="宋体" w:cs="宋体"/>
                <w:b/>
                <w:bCs w:val="0"/>
                <w:color w:val="auto"/>
                <w:sz w:val="21"/>
                <w:szCs w:val="21"/>
                <w:highlight w:val="none"/>
                <w:lang w:eastAsia="zh-CN"/>
              </w:rPr>
              <w:t>设置单价最高限价为</w:t>
            </w:r>
            <w:r>
              <w:rPr>
                <w:rFonts w:hint="eastAsia" w:ascii="宋体" w:hAnsi="宋体" w:cs="宋体"/>
                <w:b/>
                <w:bCs w:val="0"/>
                <w:color w:val="auto"/>
                <w:sz w:val="21"/>
                <w:szCs w:val="21"/>
                <w:highlight w:val="none"/>
                <w:lang w:val="en-US" w:eastAsia="zh-CN"/>
              </w:rPr>
              <w:t>400</w:t>
            </w:r>
            <w:r>
              <w:rPr>
                <w:rFonts w:hint="eastAsia" w:ascii="宋体" w:hAnsi="宋体" w:cs="宋体"/>
                <w:b/>
                <w:bCs w:val="0"/>
                <w:color w:val="auto"/>
                <w:sz w:val="21"/>
                <w:szCs w:val="21"/>
                <w:highlight w:val="none"/>
                <w:lang w:eastAsia="zh-CN"/>
              </w:rPr>
              <w:t>元/批次（即每批次检测服务费不超过</w:t>
            </w:r>
            <w:r>
              <w:rPr>
                <w:rFonts w:hint="eastAsia" w:ascii="宋体" w:hAnsi="宋体" w:cs="宋体"/>
                <w:b/>
                <w:bCs w:val="0"/>
                <w:color w:val="auto"/>
                <w:sz w:val="21"/>
                <w:szCs w:val="21"/>
                <w:highlight w:val="none"/>
                <w:lang w:val="en-US" w:eastAsia="zh-CN"/>
              </w:rPr>
              <w:t>400</w:t>
            </w:r>
            <w:r>
              <w:rPr>
                <w:rFonts w:hint="eastAsia" w:ascii="宋体" w:hAnsi="宋体" w:cs="宋体"/>
                <w:b/>
                <w:bCs w:val="0"/>
                <w:color w:val="auto"/>
                <w:sz w:val="21"/>
                <w:szCs w:val="21"/>
                <w:highlight w:val="none"/>
                <w:lang w:eastAsia="zh-CN"/>
              </w:rPr>
              <w:t>元），投标人的单价报价不得超过此限价，否则视为无效投标。本项目采用固定单价、据实结算方式，最终支付金额以实际发生量乘以中标单价为准。本项目设置总价最高限额为预算上控价</w:t>
            </w:r>
            <w:r>
              <w:rPr>
                <w:rFonts w:hint="eastAsia" w:ascii="宋体" w:hAnsi="宋体" w:cs="宋体"/>
                <w:b/>
                <w:bCs w:val="0"/>
                <w:color w:val="auto"/>
                <w:sz w:val="21"/>
                <w:szCs w:val="21"/>
                <w:highlight w:val="none"/>
                <w:lang w:val="en-US" w:eastAsia="zh-CN"/>
              </w:rPr>
              <w:t>53</w:t>
            </w:r>
            <w:r>
              <w:rPr>
                <w:rFonts w:hint="eastAsia" w:ascii="宋体" w:hAnsi="宋体" w:cs="宋体"/>
                <w:b/>
                <w:bCs w:val="0"/>
                <w:color w:val="auto"/>
                <w:sz w:val="21"/>
                <w:szCs w:val="21"/>
                <w:highlight w:val="none"/>
                <w:lang w:eastAsia="zh-CN"/>
              </w:rPr>
              <w:t>0000.00元（大写：</w:t>
            </w:r>
            <w:r>
              <w:rPr>
                <w:rFonts w:hint="eastAsia" w:ascii="宋体" w:hAnsi="宋体" w:cs="宋体"/>
                <w:b/>
                <w:bCs w:val="0"/>
                <w:color w:val="auto"/>
                <w:sz w:val="21"/>
                <w:szCs w:val="21"/>
                <w:highlight w:val="none"/>
                <w:lang w:val="en-US" w:eastAsia="zh-CN"/>
              </w:rPr>
              <w:t>伍拾叁万元整</w:t>
            </w:r>
            <w:r>
              <w:rPr>
                <w:rFonts w:hint="eastAsia" w:ascii="宋体" w:hAnsi="宋体" w:cs="宋体"/>
                <w:b/>
                <w:bCs w:val="0"/>
                <w:color w:val="auto"/>
                <w:sz w:val="21"/>
                <w:szCs w:val="21"/>
                <w:highlight w:val="none"/>
                <w:lang w:eastAsia="zh-CN"/>
              </w:rPr>
              <w:t>），若按实际发生量计算的金额超出该上控价，则一律按</w:t>
            </w:r>
            <w:r>
              <w:rPr>
                <w:rFonts w:hint="eastAsia" w:ascii="宋体" w:hAnsi="宋体" w:cs="宋体"/>
                <w:b/>
                <w:bCs w:val="0"/>
                <w:color w:val="auto"/>
                <w:sz w:val="21"/>
                <w:szCs w:val="21"/>
                <w:highlight w:val="none"/>
                <w:lang w:val="en-US" w:eastAsia="zh-CN"/>
              </w:rPr>
              <w:t>53</w:t>
            </w:r>
            <w:r>
              <w:rPr>
                <w:rFonts w:hint="eastAsia" w:ascii="宋体" w:hAnsi="宋体" w:cs="宋体"/>
                <w:b/>
                <w:bCs w:val="0"/>
                <w:color w:val="auto"/>
                <w:sz w:val="21"/>
                <w:szCs w:val="21"/>
                <w:highlight w:val="none"/>
                <w:lang w:eastAsia="zh-CN"/>
              </w:rPr>
              <w:t>0000.00元进行封顶结算，超出部分采购人不予支付。</w:t>
            </w:r>
          </w:p>
        </w:tc>
      </w:tr>
    </w:tbl>
    <w:p w14:paraId="24EEB4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highlight w:val="none"/>
        </w:rPr>
      </w:pPr>
      <w:r>
        <w:rPr>
          <w:rFonts w:ascii="Calibri" w:hAnsi="Calibri"/>
          <w:color w:val="auto"/>
          <w:szCs w:val="22"/>
          <w:highlight w:val="none"/>
        </w:rPr>
        <w:br w:type="page"/>
      </w:r>
      <w:r>
        <w:rPr>
          <w:rFonts w:hint="eastAsia" w:ascii="宋体" w:hAnsi="宋体" w:cs="宋体"/>
          <w:b/>
          <w:bCs/>
          <w:color w:val="auto"/>
          <w:sz w:val="40"/>
          <w:szCs w:val="48"/>
          <w:highlight w:val="none"/>
        </w:rPr>
        <w:t>附件：</w:t>
      </w:r>
    </w:p>
    <w:p w14:paraId="5558AF4F">
      <w:pPr>
        <w:spacing w:line="528" w:lineRule="exact"/>
        <w:ind w:left="11" w:hanging="11"/>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38"/>
        <w:tblW w:w="8969" w:type="dxa"/>
        <w:jc w:val="center"/>
        <w:tblLayout w:type="fixed"/>
        <w:tblCellMar>
          <w:top w:w="0" w:type="dxa"/>
          <w:left w:w="108" w:type="dxa"/>
          <w:bottom w:w="0" w:type="dxa"/>
          <w:right w:w="108" w:type="dxa"/>
        </w:tblCellMar>
      </w:tblPr>
      <w:tblGrid>
        <w:gridCol w:w="1690"/>
        <w:gridCol w:w="1642"/>
        <w:gridCol w:w="1084"/>
        <w:gridCol w:w="1923"/>
        <w:gridCol w:w="1709"/>
        <w:gridCol w:w="921"/>
      </w:tblGrid>
      <w:tr w14:paraId="3CD9AC6D">
        <w:tblPrEx>
          <w:tblCellMar>
            <w:top w:w="0" w:type="dxa"/>
            <w:left w:w="108" w:type="dxa"/>
            <w:bottom w:w="0" w:type="dxa"/>
            <w:right w:w="108" w:type="dxa"/>
          </w:tblCellMar>
        </w:tblPrEx>
        <w:trPr>
          <w:trHeight w:val="661" w:hRule="atLeast"/>
          <w:jc w:val="center"/>
        </w:trPr>
        <w:tc>
          <w:tcPr>
            <w:tcW w:w="1690" w:type="dxa"/>
            <w:tcBorders>
              <w:top w:val="single" w:color="auto" w:sz="4" w:space="0"/>
              <w:left w:val="single" w:color="auto" w:sz="4" w:space="0"/>
              <w:bottom w:val="single" w:color="auto" w:sz="4" w:space="0"/>
              <w:right w:val="single" w:color="auto" w:sz="4" w:space="0"/>
            </w:tcBorders>
            <w:noWrap w:val="0"/>
            <w:vAlign w:val="center"/>
          </w:tcPr>
          <w:p w14:paraId="2C0E1787">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642" w:type="dxa"/>
            <w:tcBorders>
              <w:top w:val="single" w:color="auto" w:sz="4" w:space="0"/>
              <w:left w:val="nil"/>
              <w:bottom w:val="single" w:color="auto" w:sz="4" w:space="0"/>
              <w:right w:val="single" w:color="auto" w:sz="4" w:space="0"/>
            </w:tcBorders>
            <w:noWrap w:val="0"/>
            <w:vAlign w:val="center"/>
          </w:tcPr>
          <w:p w14:paraId="3790A6A6">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084" w:type="dxa"/>
            <w:tcBorders>
              <w:top w:val="single" w:color="auto" w:sz="4" w:space="0"/>
              <w:left w:val="nil"/>
              <w:bottom w:val="single" w:color="auto" w:sz="4" w:space="0"/>
              <w:right w:val="single" w:color="auto" w:sz="4" w:space="0"/>
            </w:tcBorders>
            <w:noWrap w:val="0"/>
            <w:vAlign w:val="center"/>
          </w:tcPr>
          <w:p w14:paraId="1B688F7D">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923" w:type="dxa"/>
            <w:tcBorders>
              <w:top w:val="single" w:color="auto" w:sz="4" w:space="0"/>
              <w:left w:val="nil"/>
              <w:bottom w:val="single" w:color="auto" w:sz="4" w:space="0"/>
              <w:right w:val="single" w:color="auto" w:sz="4" w:space="0"/>
            </w:tcBorders>
            <w:noWrap w:val="0"/>
            <w:vAlign w:val="center"/>
          </w:tcPr>
          <w:p w14:paraId="20E2EBFC">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6C103B32">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921" w:type="dxa"/>
            <w:tcBorders>
              <w:top w:val="single" w:color="auto" w:sz="4" w:space="0"/>
              <w:left w:val="nil"/>
              <w:bottom w:val="single" w:color="auto" w:sz="4" w:space="0"/>
              <w:right w:val="single" w:color="auto" w:sz="4" w:space="0"/>
            </w:tcBorders>
            <w:noWrap w:val="0"/>
            <w:vAlign w:val="center"/>
          </w:tcPr>
          <w:p w14:paraId="4610FCC1">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239F2BC9">
        <w:tblPrEx>
          <w:tblCellMar>
            <w:top w:w="0" w:type="dxa"/>
            <w:left w:w="108" w:type="dxa"/>
            <w:bottom w:w="0" w:type="dxa"/>
            <w:right w:w="108" w:type="dxa"/>
          </w:tblCellMar>
        </w:tblPrEx>
        <w:trPr>
          <w:trHeight w:val="336" w:hRule="atLeast"/>
          <w:jc w:val="center"/>
        </w:trPr>
        <w:tc>
          <w:tcPr>
            <w:tcW w:w="1690" w:type="dxa"/>
            <w:tcBorders>
              <w:top w:val="nil"/>
              <w:left w:val="single" w:color="auto" w:sz="4" w:space="0"/>
              <w:bottom w:val="single" w:color="auto" w:sz="4" w:space="0"/>
              <w:right w:val="single" w:color="auto" w:sz="4" w:space="0"/>
            </w:tcBorders>
            <w:noWrap w:val="0"/>
            <w:vAlign w:val="bottom"/>
          </w:tcPr>
          <w:p w14:paraId="3B363CFF">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642" w:type="dxa"/>
            <w:tcBorders>
              <w:top w:val="nil"/>
              <w:left w:val="nil"/>
              <w:bottom w:val="single" w:color="auto" w:sz="4" w:space="0"/>
              <w:right w:val="single" w:color="auto" w:sz="4" w:space="0"/>
            </w:tcBorders>
            <w:noWrap w:val="0"/>
            <w:vAlign w:val="center"/>
          </w:tcPr>
          <w:p w14:paraId="409A6CC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0A0B942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DB9B02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5741502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50≤Y＜500</w:t>
            </w:r>
          </w:p>
        </w:tc>
        <w:tc>
          <w:tcPr>
            <w:tcW w:w="921" w:type="dxa"/>
            <w:tcBorders>
              <w:top w:val="nil"/>
              <w:left w:val="nil"/>
              <w:bottom w:val="single" w:color="auto" w:sz="4" w:space="0"/>
              <w:right w:val="single" w:color="auto" w:sz="4" w:space="0"/>
            </w:tcBorders>
            <w:noWrap w:val="0"/>
            <w:vAlign w:val="center"/>
          </w:tcPr>
          <w:p w14:paraId="48D5D51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1DE31C95">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23C92A90">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642" w:type="dxa"/>
            <w:tcBorders>
              <w:top w:val="nil"/>
              <w:left w:val="nil"/>
              <w:bottom w:val="single" w:color="auto" w:sz="4" w:space="0"/>
              <w:right w:val="single" w:color="auto" w:sz="4" w:space="0"/>
            </w:tcBorders>
            <w:noWrap w:val="0"/>
            <w:vAlign w:val="center"/>
          </w:tcPr>
          <w:p w14:paraId="7F7939C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E56D4B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2B22E41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192B735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921" w:type="dxa"/>
            <w:tcBorders>
              <w:top w:val="nil"/>
              <w:left w:val="nil"/>
              <w:bottom w:val="single" w:color="auto" w:sz="4" w:space="0"/>
              <w:right w:val="single" w:color="auto" w:sz="4" w:space="0"/>
            </w:tcBorders>
            <w:noWrap w:val="0"/>
            <w:vAlign w:val="center"/>
          </w:tcPr>
          <w:p w14:paraId="1928356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7EB793B5">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1E634BDB">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1718A4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1390423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817589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9" w:type="dxa"/>
            <w:tcBorders>
              <w:top w:val="nil"/>
              <w:left w:val="nil"/>
              <w:bottom w:val="single" w:color="auto" w:sz="4" w:space="0"/>
              <w:right w:val="single" w:color="auto" w:sz="4" w:space="0"/>
            </w:tcBorders>
            <w:noWrap w:val="0"/>
            <w:vAlign w:val="center"/>
          </w:tcPr>
          <w:p w14:paraId="43C1348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921" w:type="dxa"/>
            <w:tcBorders>
              <w:top w:val="nil"/>
              <w:left w:val="nil"/>
              <w:bottom w:val="single" w:color="auto" w:sz="4" w:space="0"/>
              <w:right w:val="single" w:color="auto" w:sz="4" w:space="0"/>
            </w:tcBorders>
            <w:noWrap w:val="0"/>
            <w:vAlign w:val="center"/>
          </w:tcPr>
          <w:p w14:paraId="512AA28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7EA61B0B">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3AA182CC">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642" w:type="dxa"/>
            <w:tcBorders>
              <w:top w:val="nil"/>
              <w:left w:val="nil"/>
              <w:bottom w:val="single" w:color="auto" w:sz="4" w:space="0"/>
              <w:right w:val="single" w:color="auto" w:sz="4" w:space="0"/>
            </w:tcBorders>
            <w:noWrap w:val="0"/>
            <w:vAlign w:val="center"/>
          </w:tcPr>
          <w:p w14:paraId="611C135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03E023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0BA2B5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9" w:type="dxa"/>
            <w:tcBorders>
              <w:top w:val="nil"/>
              <w:left w:val="nil"/>
              <w:bottom w:val="single" w:color="auto" w:sz="4" w:space="0"/>
              <w:right w:val="single" w:color="auto" w:sz="4" w:space="0"/>
            </w:tcBorders>
            <w:noWrap w:val="0"/>
            <w:vAlign w:val="center"/>
          </w:tcPr>
          <w:p w14:paraId="757C0E6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921" w:type="dxa"/>
            <w:tcBorders>
              <w:top w:val="nil"/>
              <w:left w:val="nil"/>
              <w:bottom w:val="single" w:color="auto" w:sz="4" w:space="0"/>
              <w:right w:val="single" w:color="auto" w:sz="4" w:space="0"/>
            </w:tcBorders>
            <w:noWrap w:val="0"/>
            <w:vAlign w:val="center"/>
          </w:tcPr>
          <w:p w14:paraId="168B9DB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20F3E73C">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6585C912">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1F305C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35E4F12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B80B70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9" w:type="dxa"/>
            <w:tcBorders>
              <w:top w:val="nil"/>
              <w:left w:val="nil"/>
              <w:bottom w:val="single" w:color="auto" w:sz="4" w:space="0"/>
              <w:right w:val="single" w:color="auto" w:sz="4" w:space="0"/>
            </w:tcBorders>
            <w:noWrap w:val="0"/>
            <w:vAlign w:val="center"/>
          </w:tcPr>
          <w:p w14:paraId="06EA057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921" w:type="dxa"/>
            <w:tcBorders>
              <w:top w:val="nil"/>
              <w:left w:val="nil"/>
              <w:bottom w:val="single" w:color="auto" w:sz="4" w:space="0"/>
              <w:right w:val="single" w:color="auto" w:sz="4" w:space="0"/>
            </w:tcBorders>
            <w:noWrap w:val="0"/>
            <w:vAlign w:val="center"/>
          </w:tcPr>
          <w:p w14:paraId="3278857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Z＜300</w:t>
            </w:r>
          </w:p>
        </w:tc>
      </w:tr>
      <w:tr w14:paraId="72AB299D">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6A910D9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642" w:type="dxa"/>
            <w:tcBorders>
              <w:top w:val="nil"/>
              <w:left w:val="nil"/>
              <w:bottom w:val="single" w:color="auto" w:sz="4" w:space="0"/>
              <w:right w:val="single" w:color="auto" w:sz="4" w:space="0"/>
            </w:tcBorders>
            <w:noWrap w:val="0"/>
            <w:vAlign w:val="center"/>
          </w:tcPr>
          <w:p w14:paraId="68A0FC3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AA0FD0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137DA90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09" w:type="dxa"/>
            <w:tcBorders>
              <w:top w:val="nil"/>
              <w:left w:val="nil"/>
              <w:bottom w:val="single" w:color="auto" w:sz="4" w:space="0"/>
              <w:right w:val="single" w:color="auto" w:sz="4" w:space="0"/>
            </w:tcBorders>
            <w:noWrap w:val="0"/>
            <w:vAlign w:val="center"/>
          </w:tcPr>
          <w:p w14:paraId="782BACB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5≤X＜20</w:t>
            </w:r>
          </w:p>
        </w:tc>
        <w:tc>
          <w:tcPr>
            <w:tcW w:w="921" w:type="dxa"/>
            <w:tcBorders>
              <w:top w:val="nil"/>
              <w:left w:val="nil"/>
              <w:bottom w:val="single" w:color="auto" w:sz="4" w:space="0"/>
              <w:right w:val="single" w:color="auto" w:sz="4" w:space="0"/>
            </w:tcBorders>
            <w:noWrap w:val="0"/>
            <w:vAlign w:val="center"/>
          </w:tcPr>
          <w:p w14:paraId="7E176EC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X＜5</w:t>
            </w:r>
          </w:p>
        </w:tc>
      </w:tr>
      <w:tr w14:paraId="4309986E">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2BA5CB87">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734A4A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5CEA4AF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E8F197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9" w:type="dxa"/>
            <w:tcBorders>
              <w:top w:val="nil"/>
              <w:left w:val="nil"/>
              <w:bottom w:val="single" w:color="auto" w:sz="4" w:space="0"/>
              <w:right w:val="single" w:color="auto" w:sz="4" w:space="0"/>
            </w:tcBorders>
            <w:noWrap w:val="0"/>
            <w:vAlign w:val="center"/>
          </w:tcPr>
          <w:p w14:paraId="2C35B73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921" w:type="dxa"/>
            <w:tcBorders>
              <w:top w:val="nil"/>
              <w:left w:val="nil"/>
              <w:bottom w:val="single" w:color="auto" w:sz="4" w:space="0"/>
              <w:right w:val="single" w:color="auto" w:sz="4" w:space="0"/>
            </w:tcBorders>
            <w:noWrap w:val="0"/>
            <w:vAlign w:val="center"/>
          </w:tcPr>
          <w:p w14:paraId="2826D5F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Y＜1000</w:t>
            </w:r>
          </w:p>
        </w:tc>
      </w:tr>
      <w:tr w14:paraId="478E6C9E">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72E5982C">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642" w:type="dxa"/>
            <w:tcBorders>
              <w:top w:val="nil"/>
              <w:left w:val="nil"/>
              <w:bottom w:val="single" w:color="auto" w:sz="4" w:space="0"/>
              <w:right w:val="single" w:color="auto" w:sz="4" w:space="0"/>
            </w:tcBorders>
            <w:noWrap w:val="0"/>
            <w:vAlign w:val="center"/>
          </w:tcPr>
          <w:p w14:paraId="50FFCF6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17034DF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2D6F8B2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09" w:type="dxa"/>
            <w:tcBorders>
              <w:top w:val="nil"/>
              <w:left w:val="nil"/>
              <w:bottom w:val="single" w:color="auto" w:sz="4" w:space="0"/>
              <w:right w:val="single" w:color="auto" w:sz="4" w:space="0"/>
            </w:tcBorders>
            <w:noWrap w:val="0"/>
            <w:vAlign w:val="center"/>
          </w:tcPr>
          <w:p w14:paraId="7AEE0CE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10≤X＜50</w:t>
            </w:r>
          </w:p>
        </w:tc>
        <w:tc>
          <w:tcPr>
            <w:tcW w:w="921" w:type="dxa"/>
            <w:tcBorders>
              <w:top w:val="nil"/>
              <w:left w:val="nil"/>
              <w:bottom w:val="single" w:color="auto" w:sz="4" w:space="0"/>
              <w:right w:val="single" w:color="auto" w:sz="4" w:space="0"/>
            </w:tcBorders>
            <w:noWrap w:val="0"/>
            <w:vAlign w:val="center"/>
          </w:tcPr>
          <w:p w14:paraId="76B85C8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7AEE5608">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625C7ECD">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19790C5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E5CEAE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4185DB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58695C8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100≤Y＜500</w:t>
            </w:r>
          </w:p>
        </w:tc>
        <w:tc>
          <w:tcPr>
            <w:tcW w:w="921" w:type="dxa"/>
            <w:tcBorders>
              <w:top w:val="nil"/>
              <w:left w:val="nil"/>
              <w:bottom w:val="single" w:color="auto" w:sz="4" w:space="0"/>
              <w:right w:val="single" w:color="auto" w:sz="4" w:space="0"/>
            </w:tcBorders>
            <w:noWrap w:val="0"/>
            <w:vAlign w:val="center"/>
          </w:tcPr>
          <w:p w14:paraId="081C2C6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19E5126">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440B851E">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642" w:type="dxa"/>
            <w:tcBorders>
              <w:top w:val="nil"/>
              <w:left w:val="nil"/>
              <w:bottom w:val="single" w:color="auto" w:sz="4" w:space="0"/>
              <w:right w:val="single" w:color="auto" w:sz="4" w:space="0"/>
            </w:tcBorders>
            <w:noWrap w:val="0"/>
            <w:vAlign w:val="center"/>
          </w:tcPr>
          <w:p w14:paraId="2FF9742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F57A67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22AA8ED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5875515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921" w:type="dxa"/>
            <w:tcBorders>
              <w:top w:val="nil"/>
              <w:left w:val="nil"/>
              <w:bottom w:val="single" w:color="auto" w:sz="4" w:space="0"/>
              <w:right w:val="single" w:color="auto" w:sz="4" w:space="0"/>
            </w:tcBorders>
            <w:noWrap w:val="0"/>
            <w:vAlign w:val="center"/>
          </w:tcPr>
          <w:p w14:paraId="657C781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3090613D">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30B422D0">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F84E53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693315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50417E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9" w:type="dxa"/>
            <w:tcBorders>
              <w:top w:val="nil"/>
              <w:left w:val="nil"/>
              <w:bottom w:val="single" w:color="auto" w:sz="4" w:space="0"/>
              <w:right w:val="single" w:color="auto" w:sz="4" w:space="0"/>
            </w:tcBorders>
            <w:noWrap w:val="0"/>
            <w:vAlign w:val="center"/>
          </w:tcPr>
          <w:p w14:paraId="548BEBA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921" w:type="dxa"/>
            <w:tcBorders>
              <w:top w:val="nil"/>
              <w:left w:val="nil"/>
              <w:bottom w:val="single" w:color="auto" w:sz="4" w:space="0"/>
              <w:right w:val="single" w:color="auto" w:sz="4" w:space="0"/>
            </w:tcBorders>
            <w:noWrap w:val="0"/>
            <w:vAlign w:val="center"/>
          </w:tcPr>
          <w:p w14:paraId="51B11B2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w:t>
            </w:r>
          </w:p>
        </w:tc>
      </w:tr>
      <w:tr w14:paraId="21C375CB">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0FB1A09F">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642" w:type="dxa"/>
            <w:tcBorders>
              <w:top w:val="nil"/>
              <w:left w:val="nil"/>
              <w:bottom w:val="single" w:color="auto" w:sz="4" w:space="0"/>
              <w:right w:val="single" w:color="auto" w:sz="4" w:space="0"/>
            </w:tcBorders>
            <w:noWrap w:val="0"/>
            <w:vAlign w:val="center"/>
          </w:tcPr>
          <w:p w14:paraId="7E52537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107E6E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6BC811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09" w:type="dxa"/>
            <w:tcBorders>
              <w:top w:val="nil"/>
              <w:left w:val="nil"/>
              <w:bottom w:val="single" w:color="auto" w:sz="4" w:space="0"/>
              <w:right w:val="single" w:color="auto" w:sz="4" w:space="0"/>
            </w:tcBorders>
            <w:noWrap w:val="0"/>
            <w:vAlign w:val="center"/>
          </w:tcPr>
          <w:p w14:paraId="1CFEC51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20≤X＜100</w:t>
            </w:r>
          </w:p>
        </w:tc>
        <w:tc>
          <w:tcPr>
            <w:tcW w:w="921" w:type="dxa"/>
            <w:tcBorders>
              <w:top w:val="nil"/>
              <w:left w:val="nil"/>
              <w:bottom w:val="single" w:color="auto" w:sz="4" w:space="0"/>
              <w:right w:val="single" w:color="auto" w:sz="4" w:space="0"/>
            </w:tcBorders>
            <w:noWrap w:val="0"/>
            <w:vAlign w:val="center"/>
          </w:tcPr>
          <w:p w14:paraId="0FAE106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04087C73">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333BB935">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166D71F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B14616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C2D67B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9" w:type="dxa"/>
            <w:tcBorders>
              <w:top w:val="nil"/>
              <w:left w:val="nil"/>
              <w:bottom w:val="single" w:color="auto" w:sz="4" w:space="0"/>
              <w:right w:val="single" w:color="auto" w:sz="4" w:space="0"/>
            </w:tcBorders>
            <w:noWrap w:val="0"/>
            <w:vAlign w:val="center"/>
          </w:tcPr>
          <w:p w14:paraId="1A99410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921" w:type="dxa"/>
            <w:tcBorders>
              <w:top w:val="nil"/>
              <w:left w:val="nil"/>
              <w:bottom w:val="single" w:color="auto" w:sz="4" w:space="0"/>
              <w:right w:val="single" w:color="auto" w:sz="4" w:space="0"/>
            </w:tcBorders>
            <w:noWrap w:val="0"/>
            <w:vAlign w:val="center"/>
          </w:tcPr>
          <w:p w14:paraId="0C6B4F5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5CD27A81">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6561E8A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642" w:type="dxa"/>
            <w:tcBorders>
              <w:top w:val="nil"/>
              <w:left w:val="nil"/>
              <w:bottom w:val="single" w:color="auto" w:sz="4" w:space="0"/>
              <w:right w:val="single" w:color="auto" w:sz="4" w:space="0"/>
            </w:tcBorders>
            <w:noWrap w:val="0"/>
            <w:vAlign w:val="center"/>
          </w:tcPr>
          <w:p w14:paraId="49E9450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F3B0D0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68EA9FF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7038FB3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921" w:type="dxa"/>
            <w:tcBorders>
              <w:top w:val="nil"/>
              <w:left w:val="nil"/>
              <w:bottom w:val="single" w:color="auto" w:sz="4" w:space="0"/>
              <w:right w:val="single" w:color="auto" w:sz="4" w:space="0"/>
            </w:tcBorders>
            <w:noWrap w:val="0"/>
            <w:vAlign w:val="center"/>
          </w:tcPr>
          <w:p w14:paraId="28577DE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792AF039">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153B0C92">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5FD48C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5F3570B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03B43F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9" w:type="dxa"/>
            <w:tcBorders>
              <w:top w:val="nil"/>
              <w:left w:val="nil"/>
              <w:bottom w:val="single" w:color="auto" w:sz="4" w:space="0"/>
              <w:right w:val="single" w:color="auto" w:sz="4" w:space="0"/>
            </w:tcBorders>
            <w:noWrap w:val="0"/>
            <w:vAlign w:val="center"/>
          </w:tcPr>
          <w:p w14:paraId="6F50C49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921" w:type="dxa"/>
            <w:tcBorders>
              <w:top w:val="nil"/>
              <w:left w:val="nil"/>
              <w:bottom w:val="single" w:color="auto" w:sz="4" w:space="0"/>
              <w:right w:val="single" w:color="auto" w:sz="4" w:space="0"/>
            </w:tcBorders>
            <w:noWrap w:val="0"/>
            <w:vAlign w:val="center"/>
          </w:tcPr>
          <w:p w14:paraId="531B62B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049C6520">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226640FE">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642" w:type="dxa"/>
            <w:tcBorders>
              <w:top w:val="nil"/>
              <w:left w:val="nil"/>
              <w:bottom w:val="single" w:color="auto" w:sz="4" w:space="0"/>
              <w:right w:val="single" w:color="auto" w:sz="4" w:space="0"/>
            </w:tcBorders>
            <w:noWrap w:val="0"/>
            <w:vAlign w:val="center"/>
          </w:tcPr>
          <w:p w14:paraId="25761E6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FC7ACD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12D59F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40FDCC8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7790AEF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DC3A71F">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0C17A3CF">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A26E93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68FCA3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A93EEA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5EAE913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921" w:type="dxa"/>
            <w:tcBorders>
              <w:top w:val="nil"/>
              <w:left w:val="nil"/>
              <w:bottom w:val="single" w:color="auto" w:sz="4" w:space="0"/>
              <w:right w:val="single" w:color="auto" w:sz="4" w:space="0"/>
            </w:tcBorders>
            <w:noWrap w:val="0"/>
            <w:vAlign w:val="center"/>
          </w:tcPr>
          <w:p w14:paraId="0065B9B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35194A09">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473AF0BA">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642" w:type="dxa"/>
            <w:tcBorders>
              <w:top w:val="nil"/>
              <w:left w:val="nil"/>
              <w:bottom w:val="single" w:color="auto" w:sz="4" w:space="0"/>
              <w:right w:val="single" w:color="auto" w:sz="4" w:space="0"/>
            </w:tcBorders>
            <w:noWrap w:val="0"/>
            <w:vAlign w:val="center"/>
          </w:tcPr>
          <w:p w14:paraId="672C76F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95D384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CE5B1F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0B251E3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290BA16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5E9F605C">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658FA920">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36E196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98535F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59EA25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785827A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921" w:type="dxa"/>
            <w:tcBorders>
              <w:top w:val="nil"/>
              <w:left w:val="nil"/>
              <w:bottom w:val="single" w:color="auto" w:sz="4" w:space="0"/>
              <w:right w:val="single" w:color="auto" w:sz="4" w:space="0"/>
            </w:tcBorders>
            <w:noWrap w:val="0"/>
            <w:vAlign w:val="center"/>
          </w:tcPr>
          <w:p w14:paraId="7381C69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4B2FE774">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36C29541">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642" w:type="dxa"/>
            <w:tcBorders>
              <w:top w:val="nil"/>
              <w:left w:val="nil"/>
              <w:bottom w:val="single" w:color="auto" w:sz="4" w:space="0"/>
              <w:right w:val="single" w:color="auto" w:sz="4" w:space="0"/>
            </w:tcBorders>
            <w:noWrap w:val="0"/>
            <w:vAlign w:val="center"/>
          </w:tcPr>
          <w:p w14:paraId="368A976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1F5C4A1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240E01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09" w:type="dxa"/>
            <w:tcBorders>
              <w:top w:val="nil"/>
              <w:left w:val="nil"/>
              <w:bottom w:val="single" w:color="auto" w:sz="4" w:space="0"/>
              <w:right w:val="single" w:color="auto" w:sz="4" w:space="0"/>
            </w:tcBorders>
            <w:noWrap w:val="0"/>
            <w:vAlign w:val="center"/>
          </w:tcPr>
          <w:p w14:paraId="782EACB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49AF59E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484A994">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2A5A2298">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753337C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31E41D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CF16EF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9" w:type="dxa"/>
            <w:tcBorders>
              <w:top w:val="nil"/>
              <w:left w:val="nil"/>
              <w:bottom w:val="single" w:color="auto" w:sz="4" w:space="0"/>
              <w:right w:val="single" w:color="auto" w:sz="4" w:space="0"/>
            </w:tcBorders>
            <w:noWrap w:val="0"/>
            <w:vAlign w:val="center"/>
          </w:tcPr>
          <w:p w14:paraId="0B6F75D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921" w:type="dxa"/>
            <w:tcBorders>
              <w:top w:val="nil"/>
              <w:left w:val="nil"/>
              <w:bottom w:val="single" w:color="auto" w:sz="4" w:space="0"/>
              <w:right w:val="single" w:color="auto" w:sz="4" w:space="0"/>
            </w:tcBorders>
            <w:noWrap w:val="0"/>
            <w:vAlign w:val="center"/>
          </w:tcPr>
          <w:p w14:paraId="18CF6EF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A92C681">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2BF68D0C">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642" w:type="dxa"/>
            <w:tcBorders>
              <w:top w:val="nil"/>
              <w:left w:val="nil"/>
              <w:bottom w:val="single" w:color="auto" w:sz="4" w:space="0"/>
              <w:right w:val="single" w:color="auto" w:sz="4" w:space="0"/>
            </w:tcBorders>
            <w:noWrap w:val="0"/>
            <w:vAlign w:val="center"/>
          </w:tcPr>
          <w:p w14:paraId="116E730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58B667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54349F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0F23369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6357B15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42CDB16">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306EE51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A937D7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EEE330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C4CFC7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9" w:type="dxa"/>
            <w:tcBorders>
              <w:top w:val="nil"/>
              <w:left w:val="nil"/>
              <w:bottom w:val="single" w:color="auto" w:sz="4" w:space="0"/>
              <w:right w:val="single" w:color="auto" w:sz="4" w:space="0"/>
            </w:tcBorders>
            <w:noWrap w:val="0"/>
            <w:vAlign w:val="center"/>
          </w:tcPr>
          <w:p w14:paraId="5AF84CB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50≤Y＜1000</w:t>
            </w:r>
          </w:p>
        </w:tc>
        <w:tc>
          <w:tcPr>
            <w:tcW w:w="921" w:type="dxa"/>
            <w:tcBorders>
              <w:top w:val="nil"/>
              <w:left w:val="nil"/>
              <w:bottom w:val="single" w:color="auto" w:sz="4" w:space="0"/>
              <w:right w:val="single" w:color="auto" w:sz="4" w:space="0"/>
            </w:tcBorders>
            <w:noWrap w:val="0"/>
            <w:vAlign w:val="center"/>
          </w:tcPr>
          <w:p w14:paraId="74E32F1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49EE2DB0">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7229A8D9">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642" w:type="dxa"/>
            <w:tcBorders>
              <w:top w:val="nil"/>
              <w:left w:val="nil"/>
              <w:bottom w:val="single" w:color="auto" w:sz="4" w:space="0"/>
              <w:right w:val="single" w:color="auto" w:sz="4" w:space="0"/>
            </w:tcBorders>
            <w:noWrap w:val="0"/>
            <w:vAlign w:val="center"/>
          </w:tcPr>
          <w:p w14:paraId="568F5BA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2B1CEE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E7587C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9" w:type="dxa"/>
            <w:tcBorders>
              <w:top w:val="nil"/>
              <w:left w:val="nil"/>
              <w:bottom w:val="single" w:color="auto" w:sz="4" w:space="0"/>
              <w:right w:val="single" w:color="auto" w:sz="4" w:space="0"/>
            </w:tcBorders>
            <w:noWrap w:val="0"/>
            <w:vAlign w:val="center"/>
          </w:tcPr>
          <w:p w14:paraId="42D0B24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921" w:type="dxa"/>
            <w:tcBorders>
              <w:top w:val="nil"/>
              <w:left w:val="nil"/>
              <w:bottom w:val="single" w:color="auto" w:sz="4" w:space="0"/>
              <w:right w:val="single" w:color="auto" w:sz="4" w:space="0"/>
            </w:tcBorders>
            <w:noWrap w:val="0"/>
            <w:vAlign w:val="center"/>
          </w:tcPr>
          <w:p w14:paraId="79E0EF7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100A1BD4">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2546B121">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16CBFBC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4F52214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7ABA4C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9" w:type="dxa"/>
            <w:tcBorders>
              <w:top w:val="nil"/>
              <w:left w:val="nil"/>
              <w:bottom w:val="single" w:color="auto" w:sz="4" w:space="0"/>
              <w:right w:val="single" w:color="auto" w:sz="4" w:space="0"/>
            </w:tcBorders>
            <w:noWrap w:val="0"/>
            <w:vAlign w:val="center"/>
          </w:tcPr>
          <w:p w14:paraId="0459568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921" w:type="dxa"/>
            <w:tcBorders>
              <w:top w:val="nil"/>
              <w:left w:val="nil"/>
              <w:bottom w:val="single" w:color="auto" w:sz="4" w:space="0"/>
              <w:right w:val="single" w:color="auto" w:sz="4" w:space="0"/>
            </w:tcBorders>
            <w:noWrap w:val="0"/>
            <w:vAlign w:val="center"/>
          </w:tcPr>
          <w:p w14:paraId="448210D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Y＜2000</w:t>
            </w:r>
          </w:p>
        </w:tc>
      </w:tr>
      <w:tr w14:paraId="490C81C1">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2E90B0B9">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642" w:type="dxa"/>
            <w:tcBorders>
              <w:top w:val="nil"/>
              <w:left w:val="nil"/>
              <w:bottom w:val="single" w:color="auto" w:sz="4" w:space="0"/>
              <w:right w:val="single" w:color="auto" w:sz="4" w:space="0"/>
            </w:tcBorders>
            <w:noWrap w:val="0"/>
            <w:vAlign w:val="center"/>
          </w:tcPr>
          <w:p w14:paraId="26F9496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8574CC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3FBB50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7A4934B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921" w:type="dxa"/>
            <w:tcBorders>
              <w:top w:val="nil"/>
              <w:left w:val="nil"/>
              <w:bottom w:val="single" w:color="auto" w:sz="4" w:space="0"/>
              <w:right w:val="single" w:color="auto" w:sz="4" w:space="0"/>
            </w:tcBorders>
            <w:noWrap w:val="0"/>
            <w:vAlign w:val="center"/>
          </w:tcPr>
          <w:p w14:paraId="31B84F0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4753962E">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687EE82B">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F0BED6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56BE7F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1B7455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9" w:type="dxa"/>
            <w:tcBorders>
              <w:top w:val="nil"/>
              <w:left w:val="nil"/>
              <w:bottom w:val="single" w:color="auto" w:sz="4" w:space="0"/>
              <w:right w:val="single" w:color="auto" w:sz="4" w:space="0"/>
            </w:tcBorders>
            <w:noWrap w:val="0"/>
            <w:vAlign w:val="center"/>
          </w:tcPr>
          <w:p w14:paraId="6866DE8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921" w:type="dxa"/>
            <w:tcBorders>
              <w:top w:val="nil"/>
              <w:left w:val="nil"/>
              <w:bottom w:val="single" w:color="auto" w:sz="4" w:space="0"/>
              <w:right w:val="single" w:color="auto" w:sz="4" w:space="0"/>
            </w:tcBorders>
            <w:noWrap w:val="0"/>
            <w:vAlign w:val="center"/>
          </w:tcPr>
          <w:p w14:paraId="3B14A76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Y＜500</w:t>
            </w:r>
          </w:p>
        </w:tc>
      </w:tr>
      <w:tr w14:paraId="523F5303">
        <w:tblPrEx>
          <w:tblCellMar>
            <w:top w:w="0" w:type="dxa"/>
            <w:left w:w="108" w:type="dxa"/>
            <w:bottom w:w="0" w:type="dxa"/>
            <w:right w:w="108" w:type="dxa"/>
          </w:tblCellMar>
        </w:tblPrEx>
        <w:trPr>
          <w:trHeight w:val="336" w:hRule="atLeast"/>
          <w:jc w:val="center"/>
        </w:trPr>
        <w:tc>
          <w:tcPr>
            <w:tcW w:w="1690" w:type="dxa"/>
            <w:vMerge w:val="restart"/>
            <w:tcBorders>
              <w:top w:val="nil"/>
              <w:left w:val="single" w:color="auto" w:sz="4" w:space="0"/>
              <w:bottom w:val="single" w:color="auto" w:sz="4" w:space="0"/>
              <w:right w:val="single" w:color="auto" w:sz="4" w:space="0"/>
            </w:tcBorders>
            <w:noWrap w:val="0"/>
            <w:vAlign w:val="bottom"/>
          </w:tcPr>
          <w:p w14:paraId="04DF46B8">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642" w:type="dxa"/>
            <w:tcBorders>
              <w:top w:val="nil"/>
              <w:left w:val="nil"/>
              <w:bottom w:val="single" w:color="auto" w:sz="4" w:space="0"/>
              <w:right w:val="single" w:color="auto" w:sz="4" w:space="0"/>
            </w:tcBorders>
            <w:noWrap w:val="0"/>
            <w:vAlign w:val="center"/>
          </w:tcPr>
          <w:p w14:paraId="491483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1BA6706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2444AE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18EFDEB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04BEB2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109D737">
        <w:tblPrEx>
          <w:tblCellMar>
            <w:top w:w="0" w:type="dxa"/>
            <w:left w:w="108" w:type="dxa"/>
            <w:bottom w:w="0" w:type="dxa"/>
            <w:right w:w="108" w:type="dxa"/>
          </w:tblCellMar>
        </w:tblPrEx>
        <w:trPr>
          <w:trHeight w:val="336" w:hRule="atLeast"/>
          <w:jc w:val="center"/>
        </w:trPr>
        <w:tc>
          <w:tcPr>
            <w:tcW w:w="1690" w:type="dxa"/>
            <w:vMerge w:val="continue"/>
            <w:tcBorders>
              <w:top w:val="nil"/>
              <w:left w:val="single" w:color="auto" w:sz="4" w:space="0"/>
              <w:bottom w:val="single" w:color="auto" w:sz="4" w:space="0"/>
              <w:right w:val="single" w:color="auto" w:sz="4" w:space="0"/>
            </w:tcBorders>
            <w:noWrap w:val="0"/>
            <w:vAlign w:val="center"/>
          </w:tcPr>
          <w:p w14:paraId="42B0320F">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9D6AE4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08F0CA6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CB0B46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9" w:type="dxa"/>
            <w:tcBorders>
              <w:top w:val="nil"/>
              <w:left w:val="nil"/>
              <w:bottom w:val="single" w:color="auto" w:sz="4" w:space="0"/>
              <w:right w:val="single" w:color="auto" w:sz="4" w:space="0"/>
            </w:tcBorders>
            <w:noWrap w:val="0"/>
            <w:vAlign w:val="center"/>
          </w:tcPr>
          <w:p w14:paraId="324B976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921" w:type="dxa"/>
            <w:tcBorders>
              <w:top w:val="nil"/>
              <w:left w:val="nil"/>
              <w:bottom w:val="single" w:color="auto" w:sz="4" w:space="0"/>
              <w:right w:val="single" w:color="auto" w:sz="4" w:space="0"/>
            </w:tcBorders>
            <w:noWrap w:val="0"/>
            <w:vAlign w:val="center"/>
          </w:tcPr>
          <w:p w14:paraId="532EF29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4B608001">
        <w:tblPrEx>
          <w:tblCellMar>
            <w:top w:w="0" w:type="dxa"/>
            <w:left w:w="108" w:type="dxa"/>
            <w:bottom w:w="0" w:type="dxa"/>
            <w:right w:w="108" w:type="dxa"/>
          </w:tblCellMar>
        </w:tblPrEx>
        <w:trPr>
          <w:trHeight w:val="346" w:hRule="atLeast"/>
          <w:jc w:val="center"/>
        </w:trPr>
        <w:tc>
          <w:tcPr>
            <w:tcW w:w="1690" w:type="dxa"/>
            <w:tcBorders>
              <w:top w:val="nil"/>
              <w:left w:val="single" w:color="auto" w:sz="4" w:space="0"/>
              <w:bottom w:val="single" w:color="auto" w:sz="4" w:space="0"/>
              <w:right w:val="single" w:color="auto" w:sz="4" w:space="0"/>
            </w:tcBorders>
            <w:noWrap w:val="0"/>
            <w:vAlign w:val="bottom"/>
          </w:tcPr>
          <w:p w14:paraId="711740BF">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642" w:type="dxa"/>
            <w:tcBorders>
              <w:top w:val="nil"/>
              <w:left w:val="nil"/>
              <w:bottom w:val="single" w:color="auto" w:sz="4" w:space="0"/>
              <w:right w:val="single" w:color="auto" w:sz="4" w:space="0"/>
            </w:tcBorders>
            <w:noWrap w:val="0"/>
            <w:vAlign w:val="center"/>
          </w:tcPr>
          <w:p w14:paraId="4BFEF91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05062C3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17FEABB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089F668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921" w:type="dxa"/>
            <w:tcBorders>
              <w:top w:val="nil"/>
              <w:left w:val="nil"/>
              <w:bottom w:val="single" w:color="auto" w:sz="4" w:space="0"/>
              <w:right w:val="single" w:color="auto" w:sz="4" w:space="0"/>
            </w:tcBorders>
            <w:noWrap w:val="0"/>
            <w:vAlign w:val="center"/>
          </w:tcPr>
          <w:p w14:paraId="2463233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bl>
    <w:p w14:paraId="78C1A4B8">
      <w:pPr>
        <w:keepNext w:val="0"/>
        <w:keepLines w:val="0"/>
        <w:pageBreakBefore w:val="0"/>
        <w:widowControl w:val="0"/>
        <w:kinsoku/>
        <w:wordWrap/>
        <w:overflowPunct/>
        <w:topLinePunct w:val="0"/>
        <w:autoSpaceDE/>
        <w:autoSpaceDN/>
        <w:bidi w:val="0"/>
        <w:adjustRightInd/>
        <w:snapToGrid/>
        <w:spacing w:line="360" w:lineRule="exact"/>
        <w:ind w:firstLine="525" w:firstLineChars="250"/>
        <w:textAlignment w:val="auto"/>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A9BBF22">
      <w:pPr>
        <w:pStyle w:val="25"/>
        <w:rPr>
          <w:rFonts w:hint="eastAsia"/>
          <w:color w:val="auto"/>
          <w:highlight w:val="none"/>
        </w:rPr>
      </w:pPr>
    </w:p>
    <w:p w14:paraId="33CED232">
      <w:pPr>
        <w:pStyle w:val="2"/>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pPr>
      <w:bookmarkStart w:id="129" w:name="_Toc6950"/>
      <w:bookmarkStart w:id="130" w:name="_Toc21295"/>
      <w:bookmarkStart w:id="131" w:name="_Toc24453"/>
      <w:r>
        <w:rPr>
          <w:rFonts w:hint="eastAsia" w:ascii="宋体" w:hAnsi="宋体" w:cs="宋体"/>
          <w:color w:val="auto"/>
          <w:highlight w:val="none"/>
        </w:rPr>
        <w:t>第三章  投标人须知</w:t>
      </w:r>
      <w:bookmarkEnd w:id="129"/>
      <w:bookmarkEnd w:id="130"/>
      <w:bookmarkEnd w:id="131"/>
    </w:p>
    <w:p w14:paraId="7CBD4317">
      <w:pPr>
        <w:pStyle w:val="3"/>
        <w:spacing w:line="240" w:lineRule="auto"/>
        <w:jc w:val="center"/>
        <w:rPr>
          <w:rFonts w:hint="eastAsia" w:ascii="宋体" w:hAnsi="宋体" w:eastAsia="宋体" w:cs="宋体"/>
          <w:color w:val="auto"/>
          <w:sz w:val="36"/>
          <w:szCs w:val="36"/>
          <w:highlight w:val="none"/>
        </w:rPr>
      </w:pPr>
      <w:bookmarkStart w:id="132" w:name="_Toc254970667"/>
      <w:bookmarkStart w:id="133" w:name="_Toc4963"/>
      <w:bookmarkStart w:id="134" w:name="_Toc254970526"/>
      <w:bookmarkStart w:id="135" w:name="_Toc3016"/>
      <w:bookmarkStart w:id="136" w:name="_Toc25167"/>
      <w:r>
        <w:rPr>
          <w:rFonts w:hint="eastAsia" w:ascii="宋体" w:hAnsi="宋体" w:eastAsia="宋体" w:cs="宋体"/>
          <w:color w:val="auto"/>
          <w:sz w:val="36"/>
          <w:szCs w:val="36"/>
          <w:highlight w:val="none"/>
        </w:rPr>
        <w:t>投标人须知前附表</w:t>
      </w:r>
      <w:bookmarkEnd w:id="132"/>
      <w:bookmarkEnd w:id="133"/>
      <w:bookmarkEnd w:id="134"/>
      <w:bookmarkEnd w:id="135"/>
      <w:bookmarkEnd w:id="136"/>
    </w:p>
    <w:tbl>
      <w:tblPr>
        <w:tblStyle w:val="38"/>
        <w:tblW w:w="8734" w:type="dxa"/>
        <w:tblInd w:w="-6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8"/>
        <w:gridCol w:w="7846"/>
      </w:tblGrid>
      <w:tr w14:paraId="00CF1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00346A56">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6E8F1F55">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7EA22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01040163">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9C1E9BB">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4DB123D2">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6013F967">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320B931">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D2132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632325B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37" w:name="_9.2"/>
            <w:bookmarkEnd w:id="137"/>
            <w:bookmarkStart w:id="138" w:name="_8.1"/>
            <w:bookmarkEnd w:id="138"/>
            <w:bookmarkStart w:id="139" w:name="_5"/>
            <w:bookmarkEnd w:id="139"/>
            <w:r>
              <w:rPr>
                <w:rFonts w:hint="eastAsia" w:ascii="宋体" w:hAnsi="宋体" w:cs="宋体"/>
                <w:color w:val="auto"/>
                <w:szCs w:val="21"/>
                <w:highlight w:val="none"/>
              </w:rPr>
              <w:t>6.1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65F2C16B">
            <w:pPr>
              <w:pStyle w:val="12"/>
              <w:keepNext w:val="0"/>
              <w:keepLines w:val="0"/>
              <w:pageBreakBefore w:val="0"/>
              <w:widowControl w:val="0"/>
              <w:kinsoku/>
              <w:overflowPunct/>
              <w:topLinePunct w:val="0"/>
              <w:bidi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本项目是否接受联合体投标：详见招标公告。</w:t>
            </w:r>
          </w:p>
        </w:tc>
      </w:tr>
      <w:tr w14:paraId="44207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6D50209E">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0786796">
            <w:pPr>
              <w:pStyle w:val="12"/>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57307271">
            <w:pPr>
              <w:pStyle w:val="12"/>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140" w:name="OLE_LINK12"/>
            <w:r>
              <w:rPr>
                <w:rFonts w:hint="eastAsia" w:ascii="宋体" w:hAnsi="宋体" w:cs="宋体"/>
                <w:color w:val="auto"/>
                <w:szCs w:val="21"/>
                <w:highlight w:val="none"/>
              </w:rPr>
              <w:t>□</w:t>
            </w:r>
            <w:bookmarkEnd w:id="140"/>
            <w:r>
              <w:rPr>
                <w:rFonts w:hint="eastAsia" w:ascii="宋体" w:hAnsi="宋体" w:cs="宋体"/>
                <w:color w:val="auto"/>
                <w:szCs w:val="21"/>
                <w:highlight w:val="none"/>
              </w:rPr>
              <w:t>允许分包</w:t>
            </w:r>
          </w:p>
          <w:p w14:paraId="4BA3EBC6">
            <w:pPr>
              <w:pStyle w:val="12"/>
              <w:keepNext w:val="0"/>
              <w:keepLines w:val="0"/>
              <w:pageBreakBefore w:val="0"/>
              <w:widowControl w:val="0"/>
              <w:kinsoku/>
              <w:overflowPunct/>
              <w:topLinePunct w:val="0"/>
              <w:bidi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4A2C5554">
            <w:pPr>
              <w:pStyle w:val="12"/>
              <w:keepNext w:val="0"/>
              <w:keepLines w:val="0"/>
              <w:pageBreakBefore w:val="0"/>
              <w:widowControl w:val="0"/>
              <w:kinsoku/>
              <w:overflowPunct/>
              <w:topLinePunct w:val="0"/>
              <w:bidi w:val="0"/>
              <w:spacing w:line="400" w:lineRule="exact"/>
              <w:jc w:val="both"/>
              <w:rPr>
                <w:rFonts w:hint="eastAsia" w:ascii="宋体" w:hAnsi="宋体" w:cs="宋体"/>
                <w:color w:val="auto"/>
                <w:szCs w:val="21"/>
                <w:highlight w:val="none"/>
                <w:u w:val="singl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13175E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88" w:type="dxa"/>
            <w:vMerge w:val="restart"/>
            <w:tcBorders>
              <w:top w:val="single" w:color="auto" w:sz="4" w:space="0"/>
              <w:left w:val="single" w:color="auto" w:sz="4" w:space="0"/>
              <w:right w:val="single" w:color="auto" w:sz="4" w:space="0"/>
            </w:tcBorders>
            <w:noWrap w:val="0"/>
            <w:vAlign w:val="center"/>
          </w:tcPr>
          <w:p w14:paraId="63A4D068">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3441C88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bookmarkStart w:id="141" w:name="OLE_LINK13"/>
            <w:r>
              <w:rPr>
                <w:rFonts w:hint="eastAsia" w:ascii="宋体" w:hAnsi="宋体" w:cs="宋体"/>
                <w:color w:val="auto"/>
                <w:szCs w:val="21"/>
                <w:highlight w:val="none"/>
              </w:rPr>
              <w:t>☑</w:t>
            </w:r>
            <w:bookmarkEnd w:id="141"/>
            <w:r>
              <w:rPr>
                <w:rFonts w:hint="eastAsia" w:ascii="宋体" w:hAnsi="宋体" w:cs="宋体"/>
                <w:color w:val="auto"/>
                <w:szCs w:val="21"/>
                <w:highlight w:val="none"/>
              </w:rPr>
              <w:t>不组织现场考察</w:t>
            </w:r>
          </w:p>
        </w:tc>
      </w:tr>
      <w:tr w14:paraId="78CC2D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888" w:type="dxa"/>
            <w:vMerge w:val="continue"/>
            <w:tcBorders>
              <w:left w:val="single" w:color="auto" w:sz="4" w:space="0"/>
              <w:bottom w:val="single" w:color="auto" w:sz="4" w:space="0"/>
              <w:right w:val="single" w:color="auto" w:sz="4" w:space="0"/>
            </w:tcBorders>
            <w:noWrap w:val="0"/>
            <w:vAlign w:val="center"/>
          </w:tcPr>
          <w:p w14:paraId="3F87D1B5">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9A37421">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tc>
      </w:tr>
      <w:tr w14:paraId="311A4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vMerge w:val="restart"/>
            <w:tcBorders>
              <w:top w:val="single" w:color="auto" w:sz="4" w:space="0"/>
              <w:left w:val="single" w:color="auto" w:sz="4" w:space="0"/>
              <w:right w:val="single" w:color="auto" w:sz="4" w:space="0"/>
            </w:tcBorders>
            <w:noWrap w:val="0"/>
            <w:vAlign w:val="center"/>
          </w:tcPr>
          <w:p w14:paraId="2A23D26B">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42" w:name="_13.1"/>
            <w:bookmarkEnd w:id="142"/>
            <w:r>
              <w:rPr>
                <w:rFonts w:hint="eastAsia" w:ascii="宋体" w:hAnsi="宋体" w:cs="宋体"/>
                <w:color w:val="auto"/>
                <w:szCs w:val="21"/>
                <w:highlight w:val="none"/>
              </w:rPr>
              <w:t>13</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17EC0567">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0A0827DA">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4B787034">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0A28BDD">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3.中小企业声明函或监狱企业证明文件或残疾人福利性单位声明函；（如有请提供）</w:t>
            </w:r>
          </w:p>
          <w:p w14:paraId="4BCCD06C">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4.投标人针对报价需要说明的其他文件和说明（格式自拟）。（如有请提供）</w:t>
            </w:r>
          </w:p>
          <w:p w14:paraId="2F06D313">
            <w:pPr>
              <w:keepNext w:val="0"/>
              <w:keepLines w:val="0"/>
              <w:pageBreakBefore w:val="0"/>
              <w:widowControl w:val="0"/>
              <w:tabs>
                <w:tab w:val="left" w:pos="459"/>
              </w:tabs>
              <w:kinsoku/>
              <w:overflowPunct/>
              <w:topLinePunct w:val="0"/>
              <w:bidi w:val="0"/>
              <w:snapToGrid w:val="0"/>
              <w:spacing w:line="400" w:lineRule="exact"/>
              <w:ind w:left="-2" w:leftChars="-1" w:firstLine="843" w:firstLineChars="4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注：以上标明“必须提供”的材料的，必须加盖投标人电子签章，否则按无效投标处理</w:t>
            </w:r>
            <w:r>
              <w:rPr>
                <w:rFonts w:hint="eastAsia" w:ascii="宋体" w:hAnsi="宋体" w:cs="宋体"/>
                <w:b/>
                <w:color w:val="auto"/>
                <w:szCs w:val="21"/>
                <w:highlight w:val="none"/>
                <w:lang w:eastAsia="zh-CN"/>
              </w:rPr>
              <w:t>。</w:t>
            </w:r>
          </w:p>
        </w:tc>
      </w:tr>
      <w:tr w14:paraId="75E9F5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vMerge w:val="continue"/>
            <w:tcBorders>
              <w:left w:val="single" w:color="auto" w:sz="4" w:space="0"/>
              <w:right w:val="single" w:color="auto" w:sz="4" w:space="0"/>
            </w:tcBorders>
            <w:noWrap w:val="0"/>
            <w:vAlign w:val="center"/>
          </w:tcPr>
          <w:p w14:paraId="1EC50822">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143" w:name="_13.2"/>
            <w:bookmarkEnd w:id="143"/>
          </w:p>
        </w:tc>
        <w:tc>
          <w:tcPr>
            <w:tcW w:w="7846" w:type="dxa"/>
            <w:tcBorders>
              <w:top w:val="single" w:color="auto" w:sz="4" w:space="0"/>
              <w:left w:val="single" w:color="auto" w:sz="4" w:space="0"/>
              <w:bottom w:val="single" w:color="auto" w:sz="4" w:space="0"/>
              <w:right w:val="single" w:color="auto" w:sz="4" w:space="0"/>
            </w:tcBorders>
            <w:noWrap w:val="0"/>
            <w:vAlign w:val="center"/>
          </w:tcPr>
          <w:p w14:paraId="3755EFE5">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3963AC9D">
            <w:pPr>
              <w:keepNext w:val="0"/>
              <w:keepLines w:val="0"/>
              <w:pageBreakBefore w:val="0"/>
              <w:widowControl w:val="0"/>
              <w:kinsoku/>
              <w:overflowPunct/>
              <w:topLinePunct w:val="0"/>
              <w:bidi w:val="0"/>
              <w:snapToGrid w:val="0"/>
              <w:spacing w:line="40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0.满足《中华人民共和国政府采购法》第二十二条规定（自拟承诺书）；</w:t>
            </w:r>
          </w:p>
          <w:p w14:paraId="47E91193">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75"/>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EF43A0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lang w:val="en-US" w:eastAsia="zh-CN"/>
              </w:rPr>
              <w:t>[</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年1月至2026年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rPr>
              <w:t>内任意连续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证明材料的凭据复印件；依法免税的投标人，必须提供相应文件证明其依法免税。从成立之日起到投标文件提交截止时间止不足要求月数的，只需提供从成立之日起的依法缴纳税收相应证明文件</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7054B4D">
            <w:pPr>
              <w:keepNext w:val="0"/>
              <w:keepLines w:val="0"/>
              <w:pageBreakBefore w:val="0"/>
              <w:widowControl w:val="0"/>
              <w:kinsoku/>
              <w:overflowPunct/>
              <w:topLinePunct w:val="0"/>
              <w:bidi w:val="0"/>
              <w:snapToGrid w:val="0"/>
              <w:spacing w:line="400" w:lineRule="exact"/>
              <w:ind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年1月至2026年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rPr>
              <w:t>内任意连续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社会保障资金的缴费凭证（专用收据或者社会保险缴纳清单或者社保部门的证明）复印件；依法不需要缴纳社会保障资金的投标人，必须提供相应文件证明不需要缴纳社会保障资金。从成立之日起到投标文件提交截止时间止不足要求月数的只需提供从成立之日起的依法缴纳社会保障资金的相应证明文件]（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BCA2236">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lang w:val="en-US" w:eastAsia="zh-CN"/>
              </w:rPr>
              <w:t>2025</w:t>
            </w:r>
            <w:r>
              <w:rPr>
                <w:rFonts w:hint="eastAsia" w:ascii="宋体" w:hAnsi="宋体" w:cs="宋体"/>
                <w:color w:val="auto"/>
                <w:szCs w:val="21"/>
                <w:highlight w:val="none"/>
                <w:u w:val="single"/>
              </w:rPr>
              <w:t>年度</w:t>
            </w:r>
            <w:r>
              <w:rPr>
                <w:rFonts w:hint="eastAsia" w:ascii="宋体" w:hAnsi="宋体" w:cs="宋体"/>
                <w:color w:val="auto"/>
                <w:szCs w:val="21"/>
                <w:highlight w:val="none"/>
              </w:rPr>
              <w:t>的财务审计报告（至少包括资产负债表、利润表、现金流量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63FF753">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5.投标人直接控股、管理关系信息表（格式后附）；（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1BA98A4">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6.投标声明（格式后附）；（</w:t>
            </w:r>
            <w:r>
              <w:rPr>
                <w:rFonts w:hint="eastAsia" w:ascii="宋体" w:hAnsi="宋体" w:cs="宋体"/>
                <w:b/>
                <w:color w:val="auto"/>
                <w:szCs w:val="21"/>
                <w:highlight w:val="none"/>
              </w:rPr>
              <w:t>需法定代表人签字或电子签名，必须提供，否则按无效投标处理</w:t>
            </w:r>
            <w:r>
              <w:rPr>
                <w:rFonts w:hint="eastAsia" w:ascii="宋体" w:hAnsi="宋体" w:cs="宋体"/>
                <w:color w:val="auto"/>
                <w:szCs w:val="21"/>
                <w:highlight w:val="none"/>
              </w:rPr>
              <w:t>）</w:t>
            </w:r>
          </w:p>
          <w:p w14:paraId="60399E7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u w:val="none"/>
                <w:lang w:val="en-US" w:eastAsia="zh-CN"/>
              </w:rPr>
              <w:t>7.</w:t>
            </w:r>
            <w:r>
              <w:rPr>
                <w:rFonts w:hint="eastAsia" w:ascii="宋体" w:hAnsi="宋体" w:cs="宋体"/>
                <w:color w:val="auto"/>
                <w:szCs w:val="21"/>
                <w:highlight w:val="none"/>
              </w:rPr>
              <w:t>联合体协议书（格式后附）；（</w:t>
            </w:r>
            <w:r>
              <w:rPr>
                <w:rFonts w:hint="eastAsia" w:ascii="宋体" w:hAnsi="宋体" w:cs="宋体"/>
                <w:b/>
                <w:color w:val="auto"/>
                <w:szCs w:val="21"/>
                <w:highlight w:val="none"/>
              </w:rPr>
              <w:t>联合体投标时必须提供，否则按无效投标处理</w:t>
            </w:r>
            <w:r>
              <w:rPr>
                <w:rFonts w:hint="eastAsia" w:ascii="宋体" w:hAnsi="宋体" w:cs="宋体"/>
                <w:color w:val="auto"/>
                <w:szCs w:val="21"/>
                <w:highlight w:val="none"/>
              </w:rPr>
              <w:t>）</w:t>
            </w:r>
          </w:p>
          <w:p w14:paraId="5A38F840">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b w:val="0"/>
                <w:bCs w:val="0"/>
                <w:color w:val="auto"/>
                <w:szCs w:val="21"/>
                <w:highlight w:val="none"/>
              </w:rPr>
              <w:t>.本项目的特定资格要求：</w:t>
            </w:r>
            <w:r>
              <w:rPr>
                <w:rFonts w:hint="eastAsia" w:ascii="宋体" w:hAnsi="宋体" w:cs="宋体"/>
                <w:b/>
                <w:bCs/>
                <w:color w:val="auto"/>
                <w:szCs w:val="21"/>
                <w:highlight w:val="none"/>
                <w:lang w:val="en-US" w:eastAsia="zh-CN"/>
              </w:rPr>
              <w:t>分标1-分标5:无；分标6:投标人须具备省级及以上市场监督管理部门颁发的检验检测机构资质认定证书（CMA），且资质附表中须包含本项目要求检测的重金属参数（如铅、镉、汞、砷等）。</w:t>
            </w:r>
            <w:r>
              <w:rPr>
                <w:rFonts w:hint="eastAsia" w:ascii="宋体" w:hAnsi="宋体" w:cs="宋体"/>
                <w:color w:val="auto"/>
                <w:szCs w:val="21"/>
                <w:highlight w:val="none"/>
              </w:rPr>
              <w:t>（</w:t>
            </w:r>
            <w:r>
              <w:rPr>
                <w:rFonts w:hint="eastAsia" w:ascii="宋体" w:hAnsi="宋体" w:eastAsia="宋体" w:cs="宋体"/>
                <w:b/>
                <w:color w:val="auto"/>
                <w:szCs w:val="21"/>
                <w:highlight w:val="none"/>
                <w:lang w:val="en-US" w:eastAsia="zh-CN"/>
              </w:rPr>
              <w:t>如有要求则</w:t>
            </w:r>
            <w:r>
              <w:rPr>
                <w:rFonts w:hint="eastAsia" w:ascii="宋体" w:hAnsi="宋体" w:eastAsia="宋体" w:cs="宋体"/>
                <w:b/>
                <w:color w:val="auto"/>
                <w:szCs w:val="21"/>
                <w:highlight w:val="none"/>
              </w:rPr>
              <w:t>必须</w:t>
            </w:r>
            <w:r>
              <w:rPr>
                <w:rFonts w:hint="eastAsia" w:ascii="宋体" w:hAnsi="宋体" w:cs="宋体"/>
                <w:b/>
                <w:color w:val="auto"/>
                <w:szCs w:val="21"/>
                <w:highlight w:val="none"/>
              </w:rPr>
              <w:t>提供，否则按无效投标处理</w:t>
            </w:r>
            <w:r>
              <w:rPr>
                <w:rFonts w:hint="eastAsia" w:ascii="宋体" w:hAnsi="宋体" w:cs="宋体"/>
                <w:color w:val="auto"/>
                <w:szCs w:val="21"/>
                <w:highlight w:val="none"/>
              </w:rPr>
              <w:t>）</w:t>
            </w:r>
          </w:p>
          <w:p w14:paraId="52482F61">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除招标文件规定必须提供以外，投标人认为需要提供的其他证明材料。（如有请提供）</w:t>
            </w:r>
          </w:p>
          <w:p w14:paraId="12ADA2A2">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注：以上标明“必须提供”的材料的，必须加盖投标人电子签章，否则按无效投标处理。</w:t>
            </w:r>
            <w:r>
              <w:rPr>
                <w:rFonts w:hint="eastAsia" w:ascii="宋体" w:hAnsi="宋体" w:cs="宋体"/>
                <w:b/>
                <w:color w:val="auto"/>
                <w:szCs w:val="21"/>
                <w:highlight w:val="none"/>
              </w:rPr>
              <w:t>格式中有要求法定代表人或者委托代理人签字的，必须按要求签字（或是电子签名），并加盖供应商电子签章，否则响应文件按无效处理。</w:t>
            </w:r>
          </w:p>
          <w:p w14:paraId="6693F6F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p>
        </w:tc>
      </w:tr>
      <w:tr w14:paraId="4F673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vMerge w:val="continue"/>
            <w:tcBorders>
              <w:left w:val="single" w:color="auto" w:sz="4" w:space="0"/>
              <w:right w:val="single" w:color="auto" w:sz="4" w:space="0"/>
            </w:tcBorders>
            <w:noWrap w:val="0"/>
            <w:vAlign w:val="center"/>
          </w:tcPr>
          <w:p w14:paraId="22D09885">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144" w:name="_13.3"/>
            <w:bookmarkEnd w:id="144"/>
          </w:p>
        </w:tc>
        <w:tc>
          <w:tcPr>
            <w:tcW w:w="7846" w:type="dxa"/>
            <w:tcBorders>
              <w:top w:val="single" w:color="auto" w:sz="4" w:space="0"/>
              <w:left w:val="single" w:color="auto" w:sz="4" w:space="0"/>
              <w:bottom w:val="single" w:color="auto" w:sz="4" w:space="0"/>
              <w:right w:val="single" w:color="auto" w:sz="4" w:space="0"/>
            </w:tcBorders>
            <w:noWrap w:val="0"/>
            <w:vAlign w:val="center"/>
          </w:tcPr>
          <w:p w14:paraId="77DC5C38">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kern w:val="0"/>
                <w:szCs w:val="21"/>
                <w:highlight w:val="none"/>
              </w:rPr>
              <w:t>商务及技术文件</w:t>
            </w:r>
            <w:r>
              <w:rPr>
                <w:rFonts w:hint="eastAsia" w:ascii="宋体" w:hAnsi="宋体" w:cs="宋体"/>
                <w:b/>
                <w:color w:val="auto"/>
                <w:szCs w:val="21"/>
                <w:highlight w:val="none"/>
              </w:rPr>
              <w:t>：</w:t>
            </w:r>
          </w:p>
          <w:p w14:paraId="22C77578">
            <w:pPr>
              <w:pStyle w:val="33"/>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商务文件：</w:t>
            </w:r>
          </w:p>
          <w:p w14:paraId="364CDD4D">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258D88D">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2.投标保证金缴纳证明；（</w:t>
            </w:r>
            <w:r>
              <w:rPr>
                <w:rFonts w:hint="eastAsia" w:ascii="宋体" w:hAnsi="宋体" w:cs="宋体"/>
                <w:b/>
                <w:bCs/>
                <w:color w:val="auto"/>
                <w:szCs w:val="21"/>
                <w:highlight w:val="none"/>
              </w:rPr>
              <w:t>如要求提交投标保证金的则必须提供</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53BC671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3.法定代表人身份证明及法定代表人有效身份证正反面复印件（格式后附）；（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614F309">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6A588307">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F2F4724">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3178AEB">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7.投标人情况介绍（格式自拟）；（如有请提供）</w:t>
            </w:r>
          </w:p>
          <w:p w14:paraId="009E2230">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8.投标人业绩证明材料（格式后附）；（如有请提供）</w:t>
            </w:r>
          </w:p>
          <w:p w14:paraId="011234D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9.除招标文件规定必须提供以外，投标人认为需要提供的其他证明材料（格式自拟）。（投标人根据“第二章 采购需求”及“第四章 评标方法及评标标准”提供有关证明材料）。（如有请提供）</w:t>
            </w:r>
          </w:p>
          <w:p w14:paraId="789290DE">
            <w:pPr>
              <w:pStyle w:val="33"/>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技术文件：</w:t>
            </w:r>
          </w:p>
          <w:p w14:paraId="2B469D0A">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4BFC12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2.</w:t>
            </w:r>
            <w:r>
              <w:rPr>
                <w:rFonts w:hint="eastAsia" w:ascii="宋体" w:hAnsi="宋体"/>
                <w:color w:val="auto"/>
                <w:szCs w:val="21"/>
                <w:highlight w:val="none"/>
                <w:lang w:val="en-US" w:eastAsia="zh-CN"/>
              </w:rPr>
              <w:t>技术</w:t>
            </w:r>
            <w:r>
              <w:rPr>
                <w:rFonts w:hint="eastAsia" w:ascii="宋体" w:hAnsi="宋体"/>
                <w:color w:val="auto"/>
                <w:szCs w:val="21"/>
                <w:highlight w:val="none"/>
              </w:rPr>
              <w:t>方案</w:t>
            </w:r>
            <w:r>
              <w:rPr>
                <w:rFonts w:hint="eastAsia" w:ascii="宋体" w:hAnsi="宋体" w:cs="宋体"/>
                <w:color w:val="auto"/>
                <w:szCs w:val="21"/>
                <w:highlight w:val="none"/>
              </w:rPr>
              <w:t>（格式自拟）</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投标人根据“第四章 评标方法及评标标准”提供</w:t>
            </w:r>
            <w:r>
              <w:rPr>
                <w:rFonts w:hint="eastAsia" w:ascii="宋体" w:hAnsi="宋体" w:cs="宋体"/>
                <w:color w:val="auto"/>
                <w:szCs w:val="21"/>
                <w:highlight w:val="none"/>
                <w:lang w:eastAsia="zh-CN"/>
              </w:rPr>
              <w:t>，</w:t>
            </w:r>
            <w:r>
              <w:rPr>
                <w:rFonts w:hint="eastAsia" w:ascii="宋体" w:hAnsi="宋体" w:cs="宋体"/>
                <w:color w:val="auto"/>
                <w:szCs w:val="21"/>
                <w:highlight w:val="none"/>
              </w:rPr>
              <w:t>如有请提供</w:t>
            </w:r>
            <w:r>
              <w:rPr>
                <w:rFonts w:hint="eastAsia" w:ascii="宋体" w:hAnsi="宋体" w:cs="宋体"/>
                <w:color w:val="auto"/>
                <w:szCs w:val="21"/>
                <w:highlight w:val="none"/>
                <w:lang w:val="en-US" w:eastAsia="zh-CN"/>
              </w:rPr>
              <w:t>）</w:t>
            </w:r>
          </w:p>
          <w:p w14:paraId="17C2E3CD">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3.项目实施人员一览表（格式后附）；（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4F02E84">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投标人对本项目的合理化建议和改进措施（格式自拟）；（如有请提供）</w:t>
            </w:r>
          </w:p>
          <w:p w14:paraId="12C5519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.除招标文件规定必须提供以外，投标人认为需要提供的其他证明材料（格式自拟）。（投标人根据“第二章 采购需求”及“第四章 评标方法及评标标准”提供有关证明材料）。（如有请提供）</w:t>
            </w:r>
          </w:p>
          <w:p w14:paraId="38FD4A76">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注：以上标明“必须提供”的材料的，必须加盖投标人电子签章，否则按无效投标处理；</w:t>
            </w:r>
          </w:p>
        </w:tc>
      </w:tr>
      <w:tr w14:paraId="2A953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4EF0EA1F">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45" w:name="_16.2"/>
            <w:bookmarkEnd w:id="145"/>
            <w:bookmarkStart w:id="146" w:name="_13.4"/>
            <w:bookmarkEnd w:id="146"/>
            <w:bookmarkStart w:id="147" w:name="_13.5"/>
            <w:bookmarkEnd w:id="147"/>
            <w:r>
              <w:rPr>
                <w:rFonts w:hint="eastAsia" w:ascii="宋体" w:hAnsi="宋体" w:cs="宋体"/>
                <w:color w:val="auto"/>
                <w:szCs w:val="21"/>
                <w:highlight w:val="none"/>
              </w:rPr>
              <w:t>16</w:t>
            </w:r>
            <w:bookmarkStart w:id="148" w:name="_Hlt19693759"/>
            <w:bookmarkStart w:id="149" w:name="_Hlt19194067"/>
            <w:bookmarkStart w:id="150" w:name="_Hlt19194066"/>
            <w:bookmarkStart w:id="151" w:name="_Hlt19693758"/>
            <w:r>
              <w:rPr>
                <w:rFonts w:hint="eastAsia" w:ascii="宋体" w:hAnsi="宋体" w:cs="宋体"/>
                <w:color w:val="auto"/>
                <w:szCs w:val="21"/>
                <w:highlight w:val="none"/>
              </w:rPr>
              <w:t>.</w:t>
            </w:r>
            <w:bookmarkEnd w:id="148"/>
            <w:bookmarkEnd w:id="149"/>
            <w:bookmarkEnd w:id="150"/>
            <w:bookmarkEnd w:id="151"/>
            <w:r>
              <w:rPr>
                <w:rFonts w:hint="eastAsia" w:ascii="宋体" w:hAnsi="宋体" w:cs="宋体"/>
                <w:color w:val="auto"/>
                <w:szCs w:val="21"/>
                <w:highlight w:val="none"/>
              </w:rPr>
              <w:t>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6B5C56DF">
            <w:pPr>
              <w:keepNext w:val="0"/>
              <w:keepLines w:val="0"/>
              <w:pageBreakBefore w:val="0"/>
              <w:widowControl w:val="0"/>
              <w:kinsoku/>
              <w:overflowPunct/>
              <w:topLinePunct w:val="0"/>
              <w:bidi w:val="0"/>
              <w:snapToGrid w:val="0"/>
              <w:spacing w:line="400" w:lineRule="exact"/>
              <w:rPr>
                <w:rFonts w:hint="eastAsia" w:ascii="宋体" w:hAnsi="宋体" w:cs="宋体"/>
                <w:b/>
                <w:i/>
                <w:color w:val="auto"/>
                <w:szCs w:val="21"/>
                <w:highlight w:val="none"/>
              </w:rPr>
            </w:pPr>
            <w:r>
              <w:rPr>
                <w:rFonts w:hint="eastAsia" w:ascii="宋体" w:hAnsi="宋体" w:cs="宋体"/>
                <w:color w:val="auto"/>
                <w:szCs w:val="21"/>
                <w:highlight w:val="none"/>
              </w:rPr>
              <w:t>投标报价是履行合同的最终价格。</w:t>
            </w:r>
          </w:p>
        </w:tc>
      </w:tr>
      <w:tr w14:paraId="14B9B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0CEA1C66">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52" w:name="_17.1"/>
            <w:bookmarkEnd w:id="152"/>
            <w:r>
              <w:rPr>
                <w:rFonts w:hint="eastAsia" w:ascii="宋体" w:hAnsi="宋体" w:cs="宋体"/>
                <w:color w:val="auto"/>
                <w:szCs w:val="21"/>
                <w:highlight w:val="none"/>
              </w:rPr>
              <w:t>17.2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61770A92">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416AF3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1ADE1732">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53" w:name="_18"/>
            <w:bookmarkEnd w:id="153"/>
            <w:r>
              <w:rPr>
                <w:rFonts w:hint="eastAsia" w:ascii="宋体" w:hAnsi="宋体" w:cs="宋体"/>
                <w:color w:val="auto"/>
                <w:szCs w:val="21"/>
                <w:highlight w:val="none"/>
              </w:rPr>
              <w:t>18.1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5FCBAB4">
            <w:pPr>
              <w:keepNext w:val="0"/>
              <w:keepLines w:val="0"/>
              <w:pageBreakBefore w:val="0"/>
              <w:widowControl w:val="0"/>
              <w:kinsoku/>
              <w:overflowPunct/>
              <w:topLinePunct w:val="0"/>
              <w:autoSpaceDE w:val="0"/>
              <w:autoSpaceDN w:val="0"/>
              <w:bidi w:val="0"/>
              <w:snapToGrid w:val="0"/>
              <w:spacing w:line="400" w:lineRule="exact"/>
              <w:ind w:firstLine="420" w:firstLineChars="200"/>
              <w:textAlignment w:val="bottom"/>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本项目不收取投标保证金。</w:t>
            </w:r>
          </w:p>
          <w:p w14:paraId="65C31F51">
            <w:pPr>
              <w:keepNext w:val="0"/>
              <w:keepLines w:val="0"/>
              <w:pageBreakBefore w:val="0"/>
              <w:kinsoku/>
              <w:overflowPunct/>
              <w:topLinePunct w:val="0"/>
              <w:bidi w:val="0"/>
              <w:spacing w:line="400" w:lineRule="exact"/>
              <w:ind w:firstLine="422" w:firstLineChars="200"/>
              <w:rPr>
                <w:rFonts w:hint="default" w:ascii="宋体" w:hAnsi="宋体" w:eastAsia="宋体" w:cs="宋体"/>
                <w:color w:val="auto"/>
                <w:kern w:val="0"/>
                <w:szCs w:val="21"/>
                <w:highlight w:val="none"/>
                <w:lang w:val="en-US"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本项目收取投标保证金</w:t>
            </w:r>
            <w:r>
              <w:rPr>
                <w:rFonts w:hint="eastAsia" w:ascii="宋体" w:hAnsi="宋体" w:cs="宋体"/>
                <w:color w:val="auto"/>
                <w:szCs w:val="21"/>
                <w:highlight w:val="none"/>
              </w:rPr>
              <w:t>，具体规定</w:t>
            </w:r>
            <w:r>
              <w:rPr>
                <w:rFonts w:hint="eastAsia" w:ascii="宋体" w:hAnsi="宋体" w:eastAsia="宋体" w:cs="宋体"/>
                <w:color w:val="auto"/>
                <w:szCs w:val="21"/>
                <w:highlight w:val="none"/>
                <w:lang w:val="en-US" w:eastAsia="zh-CN"/>
              </w:rPr>
              <w:t>如下：</w:t>
            </w:r>
            <w:r>
              <w:rPr>
                <w:rFonts w:hint="eastAsia" w:ascii="宋体" w:hAnsi="宋体" w:cs="宋体"/>
                <w:color w:val="auto"/>
                <w:kern w:val="0"/>
                <w:szCs w:val="21"/>
                <w:highlight w:val="none"/>
              </w:rPr>
              <w:t>1、2</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3、4、5</w:t>
            </w:r>
            <w:r>
              <w:rPr>
                <w:rFonts w:hint="eastAsia" w:ascii="宋体" w:hAnsi="宋体" w:cs="宋体"/>
                <w:color w:val="auto"/>
                <w:kern w:val="0"/>
                <w:szCs w:val="21"/>
                <w:highlight w:val="none"/>
              </w:rPr>
              <w:t>分标：</w:t>
            </w:r>
            <w:r>
              <w:rPr>
                <w:rFonts w:hint="eastAsia" w:ascii="宋体" w:hAnsi="宋体" w:cs="宋体"/>
                <w:color w:val="auto"/>
                <w:kern w:val="0"/>
                <w:szCs w:val="21"/>
                <w:highlight w:val="none"/>
                <w:lang w:val="en-US" w:eastAsia="zh-CN"/>
              </w:rPr>
              <w:t>各</w:t>
            </w:r>
            <w:r>
              <w:rPr>
                <w:rFonts w:hint="eastAsia" w:ascii="宋体" w:hAnsi="宋体" w:cs="宋体"/>
                <w:color w:val="auto"/>
                <w:kern w:val="0"/>
                <w:szCs w:val="21"/>
                <w:highlight w:val="none"/>
              </w:rPr>
              <w:t>分标</w:t>
            </w:r>
            <w:r>
              <w:rPr>
                <w:rFonts w:hint="eastAsia" w:ascii="宋体" w:hAnsi="宋体" w:cs="宋体"/>
                <w:color w:val="auto"/>
                <w:kern w:val="0"/>
                <w:szCs w:val="21"/>
                <w:highlight w:val="none"/>
                <w:lang w:val="en-US" w:eastAsia="zh-CN"/>
              </w:rPr>
              <w:t>80</w:t>
            </w:r>
            <w:r>
              <w:rPr>
                <w:rFonts w:hint="eastAsia" w:ascii="宋体" w:hAnsi="宋体" w:cs="宋体"/>
                <w:color w:val="auto"/>
                <w:kern w:val="0"/>
                <w:szCs w:val="21"/>
                <w:highlight w:val="none"/>
              </w:rPr>
              <w:t>00.00元，</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分标：</w:t>
            </w:r>
            <w:r>
              <w:rPr>
                <w:rFonts w:hint="eastAsia" w:ascii="宋体" w:hAnsi="宋体" w:cs="宋体"/>
                <w:color w:val="auto"/>
                <w:kern w:val="0"/>
                <w:szCs w:val="21"/>
                <w:highlight w:val="none"/>
                <w:lang w:val="en-US" w:eastAsia="zh-CN"/>
              </w:rPr>
              <w:t>50</w:t>
            </w:r>
            <w:r>
              <w:rPr>
                <w:rFonts w:hint="eastAsia" w:ascii="宋体" w:hAnsi="宋体" w:cs="宋体"/>
                <w:color w:val="auto"/>
                <w:kern w:val="0"/>
                <w:szCs w:val="21"/>
                <w:highlight w:val="none"/>
              </w:rPr>
              <w:t>00.00元。</w:t>
            </w:r>
          </w:p>
          <w:p w14:paraId="58683AC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投标保证金的交纳方式：银行转账、支票、汇票、本票或者金融、担保机构出具的保函（包含电子保函），禁止采用现钞方式。采用银行转账方式的，在投标截止时间前从投标人账户交至指定账户并且到账【</w:t>
            </w:r>
            <w:r>
              <w:rPr>
                <w:rFonts w:hint="eastAsia" w:ascii="宋体" w:hAnsi="宋体" w:eastAsia="宋体" w:cs="宋体"/>
                <w:color w:val="auto"/>
                <w:sz w:val="21"/>
                <w:szCs w:val="21"/>
                <w:highlight w:val="none"/>
                <w:lang w:eastAsia="zh-CN"/>
              </w:rPr>
              <w:t>广西建设工程机电设备招标中心有限公司</w:t>
            </w: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lang w:eastAsia="zh-CN"/>
              </w:rPr>
              <w:t>招商银行南宁分行营业部</w:t>
            </w: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lang w:eastAsia="zh-CN"/>
              </w:rPr>
              <w:t>7719 0142 3310 201</w:t>
            </w:r>
            <w:r>
              <w:rPr>
                <w:rFonts w:hint="eastAsia" w:ascii="宋体" w:hAnsi="宋体" w:eastAsia="宋体" w:cs="宋体"/>
                <w:color w:val="auto"/>
                <w:szCs w:val="21"/>
                <w:highlight w:val="none"/>
              </w:rPr>
              <w:t>】；采用支票、汇票、本票或者保函等方式的，在投标截止时间前，投标人必须递交单独密封的支票、汇票、本票或者保函原件。否则视为无效投标保证金。</w:t>
            </w:r>
          </w:p>
          <w:p w14:paraId="1BBFB3A3">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相关要求：</w:t>
            </w:r>
          </w:p>
          <w:p w14:paraId="533F368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1.投标保证金采用银行转账交纳方式的，在投标截止时间前交至指定账户并且到账，投标人应将银行转账底单的复印件作为投标保证金提交凭证，放置于商务及技术文件中，</w:t>
            </w:r>
            <w:r>
              <w:rPr>
                <w:rFonts w:hint="eastAsia" w:ascii="宋体" w:hAnsi="宋体" w:eastAsia="宋体" w:cs="宋体"/>
                <w:b/>
                <w:bCs/>
                <w:color w:val="auto"/>
                <w:szCs w:val="21"/>
                <w:highlight w:val="none"/>
                <w:lang w:val="en-US" w:eastAsia="zh-CN"/>
              </w:rPr>
              <w:t>否则投标无效</w:t>
            </w:r>
            <w:r>
              <w:rPr>
                <w:rFonts w:hint="eastAsia" w:ascii="宋体" w:hAnsi="宋体" w:eastAsia="宋体" w:cs="宋体"/>
                <w:color w:val="auto"/>
                <w:szCs w:val="21"/>
                <w:highlight w:val="none"/>
                <w:lang w:val="en-US" w:eastAsia="zh-CN"/>
              </w:rPr>
              <w:t>。</w:t>
            </w:r>
          </w:p>
          <w:p w14:paraId="2686669C">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2.投标保证金采用支票、汇票、本票或者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出具的保函（包含电子保函）交纳方式的，投标人应将支票、汇票、本票或者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出具的保函（包含电子保函）的复印件作为投标保证金提交凭证，放置于商务及技术文件中，</w:t>
            </w:r>
            <w:r>
              <w:rPr>
                <w:rFonts w:hint="eastAsia" w:ascii="宋体" w:hAnsi="宋体" w:eastAsia="宋体" w:cs="宋体"/>
                <w:b/>
                <w:bCs/>
                <w:color w:val="auto"/>
                <w:szCs w:val="21"/>
                <w:highlight w:val="none"/>
              </w:rPr>
              <w:t>否则投标无效</w:t>
            </w:r>
            <w:r>
              <w:rPr>
                <w:rFonts w:hint="eastAsia" w:ascii="宋体" w:hAnsi="宋体" w:eastAsia="宋体" w:cs="宋体"/>
                <w:color w:val="auto"/>
                <w:szCs w:val="21"/>
                <w:highlight w:val="none"/>
              </w:rPr>
              <w:t>。投标人必须在投标截止时间前采用现场或邮寄方式（现场提交地址：广西壮族自治区公共资源交易中心（广西南宁市青秀区</w:t>
            </w:r>
            <w:r>
              <w:rPr>
                <w:rFonts w:hint="eastAsia" w:ascii="宋体" w:hAnsi="宋体" w:eastAsia="宋体" w:cs="宋体"/>
                <w:color w:val="auto"/>
                <w:szCs w:val="21"/>
                <w:highlight w:val="none"/>
                <w:lang w:eastAsia="zh-CN"/>
              </w:rPr>
              <w:t>星湖路22号开标楼</w:t>
            </w:r>
            <w:r>
              <w:rPr>
                <w:rFonts w:hint="eastAsia" w:ascii="宋体" w:hAnsi="宋体" w:eastAsia="宋体" w:cs="宋体"/>
                <w:color w:val="auto"/>
                <w:szCs w:val="21"/>
                <w:highlight w:val="none"/>
              </w:rPr>
              <w:t>）（具体根据开标当日电子屏幕显示的安排）；邮寄地址：</w:t>
            </w:r>
            <w:r>
              <w:rPr>
                <w:rFonts w:hint="eastAsia" w:ascii="宋体" w:hAnsi="宋体" w:eastAsia="宋体" w:cs="宋体"/>
                <w:color w:val="auto"/>
                <w:szCs w:val="21"/>
                <w:highlight w:val="none"/>
                <w:lang w:eastAsia="zh-CN"/>
              </w:rPr>
              <w:t>南宁市青秀区枫林路18号广西国控集团（枫林路办公区）裙楼三层</w:t>
            </w:r>
            <w:r>
              <w:rPr>
                <w:rFonts w:hint="eastAsia" w:ascii="宋体" w:hAnsi="宋体" w:eastAsia="宋体" w:cs="宋体"/>
                <w:color w:val="auto"/>
                <w:szCs w:val="21"/>
                <w:highlight w:val="none"/>
              </w:rPr>
              <w:t>，收件人：</w:t>
            </w:r>
            <w:r>
              <w:rPr>
                <w:rFonts w:hint="eastAsia" w:ascii="宋体" w:hAnsi="宋体" w:cs="宋体"/>
                <w:color w:val="auto"/>
                <w:szCs w:val="21"/>
                <w:highlight w:val="none"/>
                <w:lang w:val="en-US" w:eastAsia="zh-CN"/>
              </w:rPr>
              <w:t>黄艳颀</w:t>
            </w:r>
            <w:r>
              <w:rPr>
                <w:rFonts w:hint="eastAsia" w:ascii="宋体" w:hAnsi="宋体" w:eastAsia="宋体" w:cs="宋体"/>
                <w:color w:val="auto"/>
                <w:szCs w:val="21"/>
                <w:highlight w:val="none"/>
              </w:rPr>
              <w:t>，联系方式：</w:t>
            </w:r>
            <w:r>
              <w:rPr>
                <w:rFonts w:hint="eastAsia" w:ascii="宋体" w:hAnsi="宋体" w:cs="宋体"/>
                <w:color w:val="auto"/>
                <w:szCs w:val="21"/>
                <w:highlight w:val="none"/>
                <w:lang w:eastAsia="zh-CN"/>
              </w:rPr>
              <w:t>0771-5581680</w:t>
            </w:r>
            <w:r>
              <w:rPr>
                <w:rFonts w:hint="eastAsia" w:ascii="宋体" w:hAnsi="宋体" w:eastAsia="宋体" w:cs="宋体"/>
                <w:color w:val="auto"/>
                <w:szCs w:val="21"/>
                <w:highlight w:val="none"/>
              </w:rPr>
              <w:t>）将单独密封的支票、汇票、本票或者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出具的保函原件提交给采购人或者采购代理机构，未按时提交的，投标无效，由采购人或者采购代理机构向投标人出具回执（邮寄方式的除外），并妥善保管。</w:t>
            </w:r>
          </w:p>
          <w:p w14:paraId="051D3DB6">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投标人为联合体的，可以由联合体中的一方或者多方共同交纳投标保证金，其交纳的保证金对联合体各方均具有约束力。</w:t>
            </w:r>
          </w:p>
          <w:p w14:paraId="3C2A4282">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备注： </w:t>
            </w:r>
          </w:p>
          <w:p w14:paraId="37721E17">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1.投标保证金在投标截止时间后提交的，或者不按规定交纳方式交纳的，或者未足额交纳的（包含保函额度不足的），视为无效投标保证金。</w:t>
            </w:r>
          </w:p>
          <w:p w14:paraId="0E089356">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2.投标人采用现钞方式或者从个人账户（自然人投标除外）转出的投标保证金，视为无效投标保证金。</w:t>
            </w:r>
          </w:p>
          <w:p w14:paraId="3051782E">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3.支票、汇票或者本票出现无效或者背书情形的，视为无效投标保证金。</w:t>
            </w:r>
          </w:p>
          <w:p w14:paraId="5C62B7C8">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4.保函有效期低于投标有效期的，视为无效投标保证金。</w:t>
            </w:r>
          </w:p>
          <w:p w14:paraId="4831A566">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eastAsia="宋体" w:cs="宋体"/>
                <w:b/>
                <w:bCs/>
                <w:color w:val="auto"/>
                <w:szCs w:val="21"/>
                <w:highlight w:val="none"/>
              </w:rPr>
              <w:t>5.采用</w:t>
            </w:r>
            <w:r>
              <w:rPr>
                <w:rFonts w:hint="eastAsia" w:ascii="宋体" w:hAnsi="宋体" w:cs="宋体"/>
                <w:b/>
                <w:bCs/>
                <w:color w:val="auto"/>
                <w:szCs w:val="21"/>
                <w:highlight w:val="none"/>
                <w:lang w:eastAsia="zh-CN"/>
              </w:rPr>
              <w:t>金融、担保机构</w:t>
            </w:r>
            <w:r>
              <w:rPr>
                <w:rFonts w:hint="eastAsia" w:ascii="宋体" w:hAnsi="宋体" w:eastAsia="宋体" w:cs="宋体"/>
                <w:b/>
                <w:bCs/>
                <w:color w:val="auto"/>
                <w:szCs w:val="21"/>
                <w:highlight w:val="none"/>
              </w:rPr>
              <w:t>出具保函的，必须为无条件保函，否则视为无效投标保证金。</w:t>
            </w:r>
          </w:p>
        </w:tc>
      </w:tr>
      <w:tr w14:paraId="1EF24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888" w:type="dxa"/>
            <w:tcBorders>
              <w:top w:val="single" w:color="auto" w:sz="4" w:space="0"/>
              <w:left w:val="single" w:color="auto" w:sz="4" w:space="0"/>
              <w:bottom w:val="single" w:color="auto" w:sz="4" w:space="0"/>
              <w:right w:val="single" w:color="auto" w:sz="4" w:space="0"/>
            </w:tcBorders>
            <w:noWrap w:val="0"/>
            <w:vAlign w:val="center"/>
          </w:tcPr>
          <w:p w14:paraId="157F4A4B">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54" w:name="_19.2"/>
            <w:bookmarkEnd w:id="154"/>
            <w:bookmarkStart w:id="155" w:name="_21.1"/>
            <w:bookmarkEnd w:id="155"/>
            <w:r>
              <w:rPr>
                <w:rFonts w:hint="eastAsia" w:ascii="宋体" w:hAnsi="宋体" w:cs="宋体"/>
                <w:color w:val="auto"/>
                <w:szCs w:val="21"/>
                <w:highlight w:val="none"/>
              </w:rPr>
              <w:t>20</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58926874">
            <w:pPr>
              <w:keepNext w:val="0"/>
              <w:keepLines w:val="0"/>
              <w:pageBreakBefore w:val="0"/>
              <w:widowControl w:val="0"/>
              <w:kinsoku/>
              <w:overflowPunct/>
              <w:topLinePunct w:val="0"/>
              <w:autoSpaceDE w:val="0"/>
              <w:autoSpaceDN w:val="0"/>
              <w:bidi w:val="0"/>
              <w:adjustRightIn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本项目不接受电子备份投标文件 </w:t>
            </w:r>
          </w:p>
        </w:tc>
      </w:tr>
      <w:tr w14:paraId="1807C8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88" w:type="dxa"/>
            <w:tcBorders>
              <w:top w:val="single" w:color="auto" w:sz="4" w:space="0"/>
              <w:left w:val="single" w:color="auto" w:sz="4" w:space="0"/>
              <w:bottom w:val="single" w:color="auto" w:sz="4" w:space="0"/>
              <w:right w:val="single" w:color="auto" w:sz="4" w:space="0"/>
            </w:tcBorders>
            <w:noWrap w:val="0"/>
            <w:vAlign w:val="center"/>
          </w:tcPr>
          <w:p w14:paraId="5BDC79D8">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173175B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62228592">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2.投标地点：详见招标公告</w:t>
            </w:r>
          </w:p>
        </w:tc>
      </w:tr>
      <w:tr w14:paraId="6C725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30DB7CA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56" w:name="_23"/>
            <w:bookmarkEnd w:id="156"/>
            <w:r>
              <w:rPr>
                <w:rFonts w:hint="eastAsia" w:ascii="宋体" w:hAnsi="宋体" w:cs="宋体"/>
                <w:color w:val="auto"/>
                <w:szCs w:val="21"/>
                <w:highlight w:val="none"/>
              </w:rPr>
              <w:t>23</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308C22A6">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1.开标时间：详见招标公告</w:t>
            </w:r>
          </w:p>
          <w:p w14:paraId="6BD8658A">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2.开标地点：详见招标公告</w:t>
            </w:r>
          </w:p>
        </w:tc>
      </w:tr>
      <w:tr w14:paraId="67379E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7AE7E3D6">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24.3（1）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53B73B5A">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电子投标文件解密时间：</w:t>
            </w:r>
            <w:r>
              <w:rPr>
                <w:rFonts w:hint="eastAsia" w:ascii="宋体" w:hAnsi="宋体" w:cs="宋体"/>
                <w:color w:val="auto"/>
                <w:szCs w:val="21"/>
                <w:highlight w:val="none"/>
                <w:u w:val="single"/>
              </w:rPr>
              <w:t>30</w:t>
            </w:r>
            <w:r>
              <w:rPr>
                <w:rFonts w:hint="eastAsia" w:ascii="宋体" w:hAnsi="宋体" w:cs="宋体"/>
                <w:color w:val="auto"/>
                <w:szCs w:val="21"/>
                <w:highlight w:val="none"/>
              </w:rPr>
              <w:t>分钟</w:t>
            </w:r>
          </w:p>
        </w:tc>
      </w:tr>
      <w:tr w14:paraId="7D37E9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1F21CA66">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57" w:name="_25.3"/>
            <w:bookmarkEnd w:id="157"/>
            <w:r>
              <w:rPr>
                <w:rFonts w:hint="eastAsia" w:ascii="宋体" w:hAnsi="宋体" w:cs="宋体"/>
                <w:color w:val="auto"/>
                <w:szCs w:val="21"/>
                <w:highlight w:val="none"/>
              </w:rPr>
              <w:t>25.3（2）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3842C184">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743F4959">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查询渠道：“信用中国”网站（www.creditchina.gov.cn）、中国政府采购网（www.ccgp.gov.cn）。</w:t>
            </w:r>
          </w:p>
          <w:p w14:paraId="54EBFB2A">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0D81D06F">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查询记录和证据留存方式：在查询网站中直接截图查询记录，截图作为在广西政府采购云平台（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）作为附件上传保存。</w:t>
            </w:r>
          </w:p>
          <w:p w14:paraId="3D487B62">
            <w:pPr>
              <w:keepNext w:val="0"/>
              <w:keepLines w:val="0"/>
              <w:pageBreakBefore w:val="0"/>
              <w:widowControl w:val="0"/>
              <w:kinsoku/>
              <w:wordWrap w:val="0"/>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或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4B0C2D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335B29FE">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szCs w:val="21"/>
                <w:highlight w:val="none"/>
              </w:rPr>
            </w:pPr>
            <w:bookmarkStart w:id="158" w:name="_26"/>
            <w:bookmarkEnd w:id="158"/>
            <w:r>
              <w:rPr>
                <w:rFonts w:hint="eastAsia" w:ascii="宋体" w:hAnsi="宋体" w:eastAsia="宋体" w:cs="宋体"/>
                <w:color w:val="auto"/>
                <w:szCs w:val="21"/>
                <w:highlight w:val="none"/>
              </w:rPr>
              <w:t>26.1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7075C86">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评标委员会的人数</w:t>
            </w:r>
            <w:r>
              <w:rPr>
                <w:rFonts w:hint="eastAsia" w:ascii="宋体" w:hAnsi="宋体" w:eastAsia="宋体" w:cs="宋体"/>
                <w:color w:val="auto"/>
                <w:szCs w:val="21"/>
                <w:highlight w:val="none"/>
                <w:u w:val="none"/>
                <w:lang w:eastAsia="zh-CN"/>
              </w:rPr>
              <w:t>：</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rPr>
              <w:t>人</w:t>
            </w:r>
            <w:r>
              <w:rPr>
                <w:rFonts w:hint="eastAsia" w:ascii="宋体" w:hAnsi="宋体" w:cs="宋体"/>
                <w:color w:val="auto"/>
                <w:szCs w:val="21"/>
                <w:highlight w:val="none"/>
                <w:lang w:val="en-US" w:eastAsia="zh-CN"/>
              </w:rPr>
              <w:t>及以上单数</w:t>
            </w:r>
          </w:p>
        </w:tc>
      </w:tr>
      <w:tr w14:paraId="3ADF1A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88" w:type="dxa"/>
            <w:tcBorders>
              <w:top w:val="single" w:color="auto" w:sz="4" w:space="0"/>
              <w:left w:val="single" w:color="auto" w:sz="4" w:space="0"/>
              <w:bottom w:val="single" w:color="auto" w:sz="4" w:space="0"/>
              <w:right w:val="single" w:color="auto" w:sz="4" w:space="0"/>
            </w:tcBorders>
            <w:noWrap w:val="0"/>
            <w:vAlign w:val="center"/>
          </w:tcPr>
          <w:p w14:paraId="76849144">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59" w:name="_28.3"/>
            <w:bookmarkEnd w:id="159"/>
            <w:r>
              <w:rPr>
                <w:rFonts w:hint="eastAsia" w:ascii="宋体" w:hAnsi="宋体" w:cs="宋体"/>
                <w:color w:val="auto"/>
                <w:szCs w:val="21"/>
                <w:highlight w:val="none"/>
              </w:rPr>
              <w:t>29.1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521FF7CF">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评标方法：综合评分法</w:t>
            </w:r>
          </w:p>
        </w:tc>
      </w:tr>
      <w:tr w14:paraId="05387B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88" w:type="dxa"/>
            <w:tcBorders>
              <w:top w:val="single" w:color="auto" w:sz="4" w:space="0"/>
              <w:left w:val="single" w:color="auto" w:sz="4" w:space="0"/>
              <w:bottom w:val="single" w:color="auto" w:sz="4" w:space="0"/>
              <w:right w:val="single" w:color="auto" w:sz="4" w:space="0"/>
            </w:tcBorders>
            <w:noWrap w:val="0"/>
            <w:vAlign w:val="center"/>
          </w:tcPr>
          <w:p w14:paraId="2AEB3AFB">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60" w:name="_29.2.2（2）"/>
            <w:bookmarkEnd w:id="160"/>
            <w:r>
              <w:rPr>
                <w:rFonts w:hint="eastAsia" w:ascii="宋体" w:hAnsi="宋体" w:cs="宋体"/>
                <w:color w:val="auto"/>
                <w:szCs w:val="21"/>
                <w:highlight w:val="none"/>
              </w:rPr>
              <w:t>29.2</w:t>
            </w:r>
          </w:p>
        </w:tc>
        <w:tc>
          <w:tcPr>
            <w:tcW w:w="7846" w:type="dxa"/>
            <w:tcBorders>
              <w:top w:val="single" w:color="auto" w:sz="4" w:space="0"/>
              <w:left w:val="single" w:color="auto" w:sz="4" w:space="0"/>
              <w:right w:val="single" w:color="auto" w:sz="4" w:space="0"/>
            </w:tcBorders>
            <w:noWrap w:val="0"/>
            <w:vAlign w:val="center"/>
          </w:tcPr>
          <w:p w14:paraId="6E298E39">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rPr>
              <w:t>项。</w:t>
            </w:r>
          </w:p>
          <w:p w14:paraId="03AC0182">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rPr>
              <w:t>项。</w:t>
            </w:r>
          </w:p>
        </w:tc>
      </w:tr>
      <w:tr w14:paraId="5E50E4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88" w:type="dxa"/>
            <w:tcBorders>
              <w:top w:val="single" w:color="auto" w:sz="4" w:space="0"/>
              <w:left w:val="single" w:color="auto" w:sz="4" w:space="0"/>
              <w:right w:val="single" w:color="auto" w:sz="4" w:space="0"/>
            </w:tcBorders>
            <w:noWrap w:val="0"/>
            <w:vAlign w:val="center"/>
          </w:tcPr>
          <w:p w14:paraId="358282EE">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29.3</w:t>
            </w:r>
          </w:p>
        </w:tc>
        <w:tc>
          <w:tcPr>
            <w:tcW w:w="7846" w:type="dxa"/>
            <w:tcBorders>
              <w:top w:val="single" w:color="auto" w:sz="4" w:space="0"/>
              <w:left w:val="single" w:color="auto" w:sz="4" w:space="0"/>
              <w:right w:val="single" w:color="auto" w:sz="4" w:space="0"/>
            </w:tcBorders>
            <w:noWrap w:val="0"/>
            <w:vAlign w:val="center"/>
          </w:tcPr>
          <w:p w14:paraId="0DB8839D">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中标候选人推荐数量：</w:t>
            </w:r>
            <w:r>
              <w:rPr>
                <w:rFonts w:hint="eastAsia" w:ascii="宋体" w:hAnsi="宋体" w:cs="宋体"/>
                <w:color w:val="auto"/>
                <w:szCs w:val="21"/>
                <w:highlight w:val="none"/>
                <w:u w:val="single"/>
              </w:rPr>
              <w:t>3</w:t>
            </w:r>
            <w:r>
              <w:rPr>
                <w:rFonts w:hint="eastAsia" w:ascii="宋体" w:hAnsi="宋体" w:cs="宋体"/>
                <w:color w:val="auto"/>
                <w:szCs w:val="21"/>
                <w:highlight w:val="none"/>
              </w:rPr>
              <w:t>名</w:t>
            </w:r>
          </w:p>
        </w:tc>
      </w:tr>
      <w:tr w14:paraId="51232C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7EF27402">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30.1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74D25C5A">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采用综合评分法的采购项目，采购人确定中标人时，出现中标候选人并列的情形，采购人按以下的方式确定中标人：</w:t>
            </w:r>
            <w:r>
              <w:rPr>
                <w:rFonts w:hint="eastAsia" w:ascii="宋体" w:hAnsi="宋体" w:cs="宋体"/>
                <w:iCs/>
                <w:color w:val="auto"/>
                <w:szCs w:val="21"/>
                <w:highlight w:val="none"/>
              </w:rPr>
              <w:t>依次按投标报价低的优先、投标报价评分得分高的优先、服务方案评分高的顺序确定；按上述方式无法确定的，由采购人随机抽取。</w:t>
            </w:r>
          </w:p>
        </w:tc>
      </w:tr>
      <w:tr w14:paraId="3925E3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88" w:type="dxa"/>
            <w:tcBorders>
              <w:top w:val="single" w:color="auto" w:sz="4" w:space="0"/>
              <w:left w:val="single" w:color="auto" w:sz="4" w:space="0"/>
              <w:bottom w:val="single" w:color="auto" w:sz="4" w:space="0"/>
              <w:right w:val="single" w:color="auto" w:sz="4" w:space="0"/>
            </w:tcBorders>
            <w:noWrap w:val="0"/>
            <w:vAlign w:val="center"/>
          </w:tcPr>
          <w:p w14:paraId="05BC5CD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61" w:name="_39.1"/>
            <w:bookmarkEnd w:id="161"/>
            <w:r>
              <w:rPr>
                <w:rFonts w:hint="eastAsia" w:ascii="宋体" w:hAnsi="宋体" w:cs="宋体"/>
                <w:color w:val="auto"/>
                <w:szCs w:val="21"/>
                <w:highlight w:val="none"/>
              </w:rPr>
              <w:t>35.1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6AA1DA7D">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eastAsia="宋体" w:cs="宋体"/>
                <w:color w:val="auto"/>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本项目不收取履约保证金。</w:t>
            </w:r>
          </w:p>
          <w:p w14:paraId="729A5B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本项目收取履约保证金</w:t>
            </w:r>
            <w:r>
              <w:rPr>
                <w:rFonts w:hint="eastAsia" w:ascii="宋体" w:hAnsi="宋体" w:cs="宋体"/>
                <w:color w:val="auto"/>
                <w:szCs w:val="21"/>
                <w:highlight w:val="none"/>
                <w:lang w:eastAsia="zh-CN"/>
              </w:rPr>
              <w:t>：</w:t>
            </w:r>
          </w:p>
          <w:p w14:paraId="74DD12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color w:val="auto"/>
                <w:sz w:val="21"/>
                <w:szCs w:val="21"/>
                <w:highlight w:val="none"/>
                <w:lang w:val="en-US" w:eastAsia="zh-CN"/>
              </w:rPr>
            </w:pPr>
            <w:r>
              <w:rPr>
                <w:rFonts w:hint="default"/>
                <w:color w:val="auto"/>
                <w:sz w:val="21"/>
                <w:szCs w:val="21"/>
                <w:highlight w:val="none"/>
                <w:lang w:val="en-US" w:eastAsia="zh-CN"/>
              </w:rPr>
              <w:t>1.履约保证金金额：</w:t>
            </w:r>
            <w:r>
              <w:rPr>
                <w:rFonts w:hint="eastAsia"/>
                <w:color w:val="auto"/>
                <w:sz w:val="21"/>
                <w:szCs w:val="21"/>
                <w:highlight w:val="none"/>
                <w:lang w:val="en-US" w:eastAsia="zh-CN"/>
              </w:rPr>
              <w:t>各分标</w:t>
            </w:r>
            <w:r>
              <w:rPr>
                <w:rFonts w:hint="default"/>
                <w:color w:val="auto"/>
                <w:sz w:val="21"/>
                <w:szCs w:val="21"/>
                <w:highlight w:val="none"/>
                <w:lang w:val="en-US" w:eastAsia="zh-CN"/>
              </w:rPr>
              <w:t>按</w:t>
            </w:r>
            <w:r>
              <w:rPr>
                <w:rFonts w:hint="eastAsia"/>
                <w:color w:val="auto"/>
                <w:sz w:val="21"/>
                <w:szCs w:val="21"/>
                <w:highlight w:val="none"/>
                <w:lang w:val="en-US" w:eastAsia="zh-CN"/>
              </w:rPr>
              <w:t>中标</w:t>
            </w:r>
            <w:r>
              <w:rPr>
                <w:rFonts w:hint="default"/>
                <w:color w:val="auto"/>
                <w:sz w:val="21"/>
                <w:szCs w:val="21"/>
                <w:highlight w:val="none"/>
                <w:lang w:val="en-US" w:eastAsia="zh-CN"/>
              </w:rPr>
              <w:t>金额的2%。</w:t>
            </w:r>
          </w:p>
          <w:p w14:paraId="699BCD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color w:val="auto"/>
                <w:sz w:val="21"/>
                <w:szCs w:val="21"/>
                <w:highlight w:val="none"/>
                <w:lang w:val="en-US" w:eastAsia="zh-CN"/>
              </w:rPr>
            </w:pPr>
            <w:r>
              <w:rPr>
                <w:rFonts w:hint="default"/>
                <w:color w:val="auto"/>
                <w:sz w:val="21"/>
                <w:szCs w:val="21"/>
                <w:highlight w:val="none"/>
                <w:lang w:val="en-US" w:eastAsia="zh-CN"/>
              </w:rPr>
              <w:t>2.履约保证金缴纳方式：</w:t>
            </w:r>
            <w:r>
              <w:rPr>
                <w:rFonts w:hint="eastAsia"/>
                <w:color w:val="auto"/>
                <w:sz w:val="21"/>
                <w:szCs w:val="21"/>
                <w:highlight w:val="none"/>
                <w:lang w:val="en-US" w:eastAsia="zh-CN"/>
              </w:rPr>
              <w:t>中标人</w:t>
            </w:r>
            <w:r>
              <w:rPr>
                <w:rFonts w:hint="default"/>
                <w:color w:val="auto"/>
                <w:sz w:val="21"/>
                <w:szCs w:val="21"/>
                <w:highlight w:val="none"/>
              </w:rPr>
              <w:t>须于签订合同后</w:t>
            </w:r>
            <w:r>
              <w:rPr>
                <w:rFonts w:hint="eastAsia"/>
                <w:color w:val="auto"/>
                <w:sz w:val="21"/>
                <w:szCs w:val="21"/>
                <w:highlight w:val="none"/>
                <w:lang w:eastAsia="zh-CN"/>
              </w:rPr>
              <w:t>1</w:t>
            </w:r>
            <w:r>
              <w:rPr>
                <w:rFonts w:hint="eastAsia"/>
                <w:color w:val="auto"/>
                <w:sz w:val="21"/>
                <w:szCs w:val="21"/>
                <w:highlight w:val="none"/>
                <w:lang w:val="en-US" w:eastAsia="zh-CN"/>
              </w:rPr>
              <w:t>0</w:t>
            </w:r>
            <w:r>
              <w:rPr>
                <w:rFonts w:hint="default"/>
                <w:color w:val="auto"/>
                <w:sz w:val="21"/>
                <w:szCs w:val="21"/>
                <w:highlight w:val="none"/>
              </w:rPr>
              <w:t>个工作日内将履约保证金递交到采购人指定账户。递交方式：银行转账、支票、汇票、本票或者金融机构出具的保函等非现金方式</w:t>
            </w:r>
            <w:r>
              <w:rPr>
                <w:rFonts w:hint="default"/>
                <w:color w:val="auto"/>
                <w:sz w:val="21"/>
                <w:szCs w:val="21"/>
                <w:highlight w:val="none"/>
                <w:lang w:eastAsia="zh-CN"/>
              </w:rPr>
              <w:t>，</w:t>
            </w:r>
            <w:r>
              <w:rPr>
                <w:rFonts w:hint="default"/>
                <w:color w:val="auto"/>
                <w:sz w:val="21"/>
                <w:szCs w:val="21"/>
                <w:highlight w:val="none"/>
                <w:lang w:val="en-US" w:eastAsia="zh-CN"/>
              </w:rPr>
              <w:t>转账时请备注“项目名称（可简写）+履约保证金”。</w:t>
            </w:r>
          </w:p>
          <w:p w14:paraId="1328374A">
            <w:pPr>
              <w:keepNext w:val="0"/>
              <w:keepLines w:val="0"/>
              <w:pageBreakBefore w:val="0"/>
              <w:widowControl w:val="0"/>
              <w:kinsoku/>
              <w:overflowPunct/>
              <w:topLinePunct w:val="0"/>
              <w:autoSpaceDE w:val="0"/>
              <w:autoSpaceDN w:val="0"/>
              <w:bidi w:val="0"/>
              <w:snapToGrid w:val="0"/>
              <w:spacing w:line="400" w:lineRule="exact"/>
              <w:ind w:firstLine="420" w:firstLineChars="200"/>
              <w:textAlignment w:val="bottom"/>
              <w:rPr>
                <w:rFonts w:hint="eastAsia" w:ascii="宋体" w:hAnsi="宋体" w:eastAsia="宋体" w:cs="宋体"/>
                <w:iCs/>
                <w:color w:val="auto"/>
                <w:szCs w:val="21"/>
                <w:highlight w:val="none"/>
                <w:lang w:eastAsia="zh-CN"/>
              </w:rPr>
            </w:pPr>
            <w:r>
              <w:rPr>
                <w:rFonts w:hint="default"/>
                <w:color w:val="auto"/>
                <w:sz w:val="21"/>
                <w:szCs w:val="21"/>
                <w:highlight w:val="none"/>
                <w:lang w:val="en-US" w:eastAsia="zh-CN"/>
              </w:rPr>
              <w:t>3.履约保证金退付：在本项目服务期限内完成约定工作任务后，由</w:t>
            </w:r>
            <w:r>
              <w:rPr>
                <w:rFonts w:hint="eastAsia"/>
                <w:color w:val="auto"/>
                <w:sz w:val="21"/>
                <w:szCs w:val="21"/>
                <w:highlight w:val="none"/>
                <w:lang w:val="en-US" w:eastAsia="zh-CN"/>
              </w:rPr>
              <w:t>中标人</w:t>
            </w:r>
            <w:r>
              <w:rPr>
                <w:rFonts w:hint="default"/>
                <w:color w:val="auto"/>
                <w:sz w:val="21"/>
                <w:szCs w:val="21"/>
                <w:highlight w:val="none"/>
                <w:lang w:val="en-US" w:eastAsia="zh-CN"/>
              </w:rPr>
              <w:t>向采购人提供《广西壮族自治区政府采购项目合同验收书》</w:t>
            </w:r>
            <w:r>
              <w:rPr>
                <w:rFonts w:hint="eastAsia" w:ascii="宋体" w:hAnsi="宋体" w:cs="宋体"/>
                <w:color w:val="auto"/>
                <w:sz w:val="21"/>
                <w:szCs w:val="21"/>
                <w:highlight w:val="none"/>
                <w:lang w:eastAsia="zh-CN"/>
              </w:rPr>
              <w:t>、履约保证金退付函和乙方履约保证金支付凭证</w:t>
            </w:r>
            <w:r>
              <w:rPr>
                <w:rFonts w:hint="default"/>
                <w:color w:val="auto"/>
                <w:sz w:val="21"/>
                <w:szCs w:val="21"/>
                <w:highlight w:val="none"/>
                <w:lang w:val="en-US" w:eastAsia="zh-CN"/>
              </w:rPr>
              <w:t>，采购人在验收合格并出具验收书后</w:t>
            </w:r>
            <w:r>
              <w:rPr>
                <w:rFonts w:hint="eastAsia"/>
                <w:color w:val="auto"/>
                <w:sz w:val="21"/>
                <w:szCs w:val="21"/>
                <w:highlight w:val="none"/>
                <w:lang w:val="en-US" w:eastAsia="zh-CN"/>
              </w:rPr>
              <w:t>5</w:t>
            </w:r>
            <w:r>
              <w:rPr>
                <w:rFonts w:hint="default"/>
                <w:color w:val="auto"/>
                <w:sz w:val="21"/>
                <w:szCs w:val="21"/>
                <w:highlight w:val="none"/>
              </w:rPr>
              <w:t>个工作日内</w:t>
            </w:r>
            <w:r>
              <w:rPr>
                <w:rFonts w:hint="default"/>
                <w:color w:val="auto"/>
                <w:sz w:val="21"/>
                <w:szCs w:val="21"/>
                <w:highlight w:val="none"/>
                <w:lang w:val="en-US" w:eastAsia="zh-CN"/>
              </w:rPr>
              <w:t>办理退还手续（不计利息）。</w:t>
            </w:r>
          </w:p>
          <w:p w14:paraId="1055BF23">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备注：</w:t>
            </w:r>
          </w:p>
          <w:p w14:paraId="5658FFB2">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1. 根据《广西壮族自治区财政厅关于贯彻落实政府采购优化营商环境百日攻坚行动方案的通知》（桂财采〔2020〕49号）规定、广西壮族自治区财政厅关于规范政府采购货物和服务项目保证金管理的通知（桂财规〔2022〕8号 ）和《广西壮族自治区财政厅关于持续优化政府采购营商环境推动高质量发展的通知》（桂财采〔2024〕55 号），采购文件要求中标或者中标人提交履约保证金的，履约保证金数额不得超过政府采购合同金额的5%，对中小企业收取的履约保证金数额不得超过政府采购合同金额的2%。采购人可根据供应商的资信等情况减免履约保证金。</w:t>
            </w:r>
          </w:p>
          <w:p w14:paraId="381EC64B">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52722E7D">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3.采用</w:t>
            </w:r>
            <w:r>
              <w:rPr>
                <w:rFonts w:hint="eastAsia" w:ascii="宋体" w:hAnsi="宋体" w:cs="宋体"/>
                <w:b/>
                <w:iCs/>
                <w:color w:val="auto"/>
                <w:szCs w:val="21"/>
                <w:highlight w:val="none"/>
                <w:lang w:eastAsia="zh-CN"/>
              </w:rPr>
              <w:t>金融、担保机构</w:t>
            </w:r>
            <w:r>
              <w:rPr>
                <w:rFonts w:hint="eastAsia" w:ascii="宋体" w:hAnsi="宋体" w:cs="宋体"/>
                <w:b/>
                <w:iCs/>
                <w:color w:val="auto"/>
                <w:szCs w:val="21"/>
                <w:highlight w:val="none"/>
              </w:rPr>
              <w:t>出具的保函的，必须为无条件保函，否则不予签订合同。</w:t>
            </w:r>
          </w:p>
          <w:p w14:paraId="628B96D6">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b/>
                <w:iCs/>
                <w:color w:val="auto"/>
                <w:szCs w:val="21"/>
                <w:highlight w:val="none"/>
              </w:rPr>
              <w:t>4.投标人为联合体的，由联合体其中一方按规定提交的履约保证金，视为有效履约保证金。</w:t>
            </w:r>
          </w:p>
        </w:tc>
      </w:tr>
      <w:tr w14:paraId="6152A3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4FCC06A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62" w:name="_40.1"/>
            <w:bookmarkEnd w:id="162"/>
            <w:r>
              <w:rPr>
                <w:rFonts w:hint="eastAsia" w:ascii="宋体" w:hAnsi="宋体" w:cs="宋体"/>
                <w:color w:val="auto"/>
                <w:szCs w:val="21"/>
                <w:highlight w:val="none"/>
              </w:rPr>
              <w:t>36.1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70D631A7">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签订合同携带的证明材料：</w:t>
            </w:r>
          </w:p>
          <w:p w14:paraId="34BAA565">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r>
              <w:rPr>
                <w:rFonts w:hint="eastAsia" w:ascii="宋体" w:hAnsi="宋体" w:cs="宋体"/>
                <w:color w:val="auto"/>
                <w:szCs w:val="21"/>
                <w:highlight w:val="none"/>
                <w:lang w:eastAsia="zh-CN"/>
              </w:rPr>
              <w:t>；</w:t>
            </w:r>
            <w:r>
              <w:rPr>
                <w:rFonts w:hint="eastAsia" w:ascii="宋体" w:hAnsi="宋体" w:cs="宋体"/>
                <w:color w:val="auto"/>
                <w:szCs w:val="21"/>
                <w:highlight w:val="none"/>
              </w:rPr>
              <w:t>法定代表人负责签订合同的，须携带法定代表人身份证明原件及身份证原件等其他证明材料。</w:t>
            </w:r>
          </w:p>
        </w:tc>
      </w:tr>
      <w:tr w14:paraId="69A08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6712D967">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38.2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74FC29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2270C102">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0771-5581680</w:t>
            </w: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w:t>
            </w:r>
            <w:r>
              <w:rPr>
                <w:rFonts w:hint="eastAsia" w:ascii="宋体" w:hAnsi="宋体" w:cs="宋体"/>
                <w:color w:val="auto"/>
                <w:szCs w:val="21"/>
                <w:highlight w:val="none"/>
                <w:lang w:eastAsia="zh-CN"/>
              </w:rPr>
              <w:t>广西南宁市青秀区枫林路18号广西国控大厦（枫林路办公区）裙楼三楼</w:t>
            </w:r>
            <w:r>
              <w:rPr>
                <w:rFonts w:hint="eastAsia" w:ascii="宋体" w:hAnsi="宋体" w:cs="宋体"/>
                <w:color w:val="auto"/>
                <w:szCs w:val="21"/>
                <w:highlight w:val="none"/>
              </w:rPr>
              <w:t>）</w:t>
            </w:r>
          </w:p>
          <w:p w14:paraId="6EF4AC8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业务时间：工作日每天上午8时30分到12时00分，下午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0分到</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w:t>
            </w:r>
          </w:p>
        </w:tc>
      </w:tr>
      <w:tr w14:paraId="10482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74BDE7DD">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163" w:name="_42"/>
            <w:bookmarkEnd w:id="163"/>
            <w:bookmarkStart w:id="164" w:name="_41"/>
            <w:bookmarkEnd w:id="164"/>
            <w:bookmarkStart w:id="165" w:name="_Hlt17709148"/>
            <w:r>
              <w:rPr>
                <w:rFonts w:hint="eastAsia" w:ascii="宋体" w:hAnsi="宋体" w:cs="宋体"/>
                <w:color w:val="auto"/>
                <w:szCs w:val="21"/>
                <w:highlight w:val="none"/>
              </w:rPr>
              <w:t>3</w:t>
            </w:r>
            <w:bookmarkEnd w:id="165"/>
            <w:r>
              <w:rPr>
                <w:rFonts w:hint="eastAsia" w:ascii="宋体" w:hAnsi="宋体" w:cs="宋体"/>
                <w:color w:val="auto"/>
                <w:szCs w:val="21"/>
                <w:highlight w:val="none"/>
              </w:rPr>
              <w:t>9.1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4961F3E8">
            <w:pPr>
              <w:pStyle w:val="20"/>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hAnsi="宋体" w:cs="宋体"/>
                <w:color w:val="auto"/>
                <w:highlight w:val="none"/>
              </w:rPr>
              <w:t>1.采购代理费支付方式：本项目代理服务费由</w:t>
            </w:r>
            <w:r>
              <w:rPr>
                <w:rFonts w:hint="eastAsia" w:hAnsi="宋体" w:cs="宋体"/>
                <w:color w:val="auto"/>
                <w:highlight w:val="none"/>
                <w:u w:val="single"/>
              </w:rPr>
              <w:t>中标人</w:t>
            </w:r>
            <w:r>
              <w:rPr>
                <w:rFonts w:hint="eastAsia" w:hAnsi="宋体" w:cs="宋体"/>
                <w:color w:val="auto"/>
                <w:highlight w:val="none"/>
              </w:rPr>
              <w:t>一次性向采购代理机构支付。</w:t>
            </w:r>
          </w:p>
          <w:p w14:paraId="34C1E849">
            <w:pPr>
              <w:pStyle w:val="20"/>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hAnsi="宋体" w:cs="宋体"/>
                <w:color w:val="auto"/>
                <w:highlight w:val="none"/>
              </w:rPr>
              <w:t>2.采购代理费收取标准：</w:t>
            </w:r>
          </w:p>
          <w:p w14:paraId="1BA9E248">
            <w:pPr>
              <w:pStyle w:val="20"/>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hAnsi="宋体" w:cs="宋体"/>
                <w:color w:val="auto"/>
                <w:highlight w:val="none"/>
                <w:lang w:val="en-US" w:eastAsia="zh-CN"/>
              </w:rPr>
              <w:t>各分标</w:t>
            </w:r>
            <w:r>
              <w:rPr>
                <w:rFonts w:hint="eastAsia" w:hAnsi="宋体" w:cs="宋体"/>
                <w:color w:val="auto"/>
                <w:highlight w:val="none"/>
              </w:rPr>
              <w:t>以中标金额为计费额，按本须知正文第39.1条规定的收费计算标准（服务类）采用差额定率累进法计算出收费基准价格，采购代理收费以收费</w:t>
            </w:r>
            <w:r>
              <w:rPr>
                <w:rFonts w:hint="eastAsia" w:hAnsi="宋体" w:cs="宋体"/>
                <w:color w:val="auto"/>
                <w:highlight w:val="none"/>
                <w:lang w:val="en-US" w:eastAsia="zh-CN"/>
              </w:rPr>
              <w:t>标准</w:t>
            </w:r>
            <w:r>
              <w:rPr>
                <w:rFonts w:hint="eastAsia" w:hAnsi="宋体" w:cs="宋体"/>
                <w:color w:val="auto"/>
                <w:highlight w:val="none"/>
              </w:rPr>
              <w:t>收取。</w:t>
            </w:r>
          </w:p>
          <w:p w14:paraId="194D2E36">
            <w:pPr>
              <w:pStyle w:val="20"/>
              <w:keepNext w:val="0"/>
              <w:keepLines w:val="0"/>
              <w:pageBreakBefore w:val="0"/>
              <w:widowControl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rPr>
            </w:pPr>
            <w:r>
              <w:rPr>
                <w:rFonts w:hint="eastAsia" w:ascii="宋体" w:hAnsi="宋体" w:cs="宋体"/>
                <w:color w:val="auto"/>
                <w:kern w:val="0"/>
                <w:szCs w:val="21"/>
                <w:highlight w:val="none"/>
              </w:rPr>
              <w:t>3.</w:t>
            </w:r>
            <w:r>
              <w:rPr>
                <w:rFonts w:hint="eastAsia" w:ascii="宋体" w:hAnsi="宋体" w:eastAsia="宋体" w:cs="宋体"/>
                <w:color w:val="auto"/>
                <w:sz w:val="21"/>
                <w:szCs w:val="21"/>
                <w:highlight w:val="none"/>
              </w:rPr>
              <w:t>账户名称：</w:t>
            </w:r>
            <w:r>
              <w:rPr>
                <w:rFonts w:hint="eastAsia" w:ascii="宋体" w:hAnsi="宋体" w:eastAsia="宋体" w:cs="宋体"/>
                <w:color w:val="auto"/>
                <w:sz w:val="21"/>
                <w:szCs w:val="21"/>
                <w:highlight w:val="none"/>
                <w:lang w:eastAsia="zh-CN"/>
              </w:rPr>
              <w:t>广西建设工程机电设备招标中心有限公司</w:t>
            </w:r>
          </w:p>
          <w:p w14:paraId="09AF1E63">
            <w:pPr>
              <w:pStyle w:val="20"/>
              <w:keepNext w:val="0"/>
              <w:keepLines w:val="0"/>
              <w:pageBreakBefore w:val="0"/>
              <w:widowControl w:val="0"/>
              <w:kinsoku/>
              <w:wordWrap/>
              <w:overflowPunct/>
              <w:topLinePunct w:val="0"/>
              <w:bidi w:val="0"/>
              <w:adjustRightInd/>
              <w:snapToGrid w:val="0"/>
              <w:spacing w:line="4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lang w:eastAsia="zh-CN"/>
              </w:rPr>
              <w:t>招商银行南宁分行营业部</w:t>
            </w:r>
          </w:p>
          <w:p w14:paraId="50250DFC">
            <w:pPr>
              <w:pStyle w:val="20"/>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lang w:eastAsia="zh-CN"/>
              </w:rPr>
              <w:t>7719 0142 3310 201</w:t>
            </w:r>
          </w:p>
        </w:tc>
      </w:tr>
      <w:tr w14:paraId="7FE9C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4170E81D">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40.1</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49E32A3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0515FD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8" w:type="dxa"/>
            <w:tcBorders>
              <w:top w:val="single" w:color="auto" w:sz="4" w:space="0"/>
              <w:left w:val="single" w:color="auto" w:sz="4" w:space="0"/>
              <w:bottom w:val="single" w:color="auto" w:sz="4" w:space="0"/>
              <w:right w:val="single" w:color="auto" w:sz="4" w:space="0"/>
            </w:tcBorders>
            <w:noWrap w:val="0"/>
            <w:vAlign w:val="center"/>
          </w:tcPr>
          <w:p w14:paraId="02982F19">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40.2</w:t>
            </w:r>
          </w:p>
        </w:tc>
        <w:tc>
          <w:tcPr>
            <w:tcW w:w="7846" w:type="dxa"/>
            <w:tcBorders>
              <w:top w:val="single" w:color="auto" w:sz="4" w:space="0"/>
              <w:left w:val="single" w:color="auto" w:sz="4" w:space="0"/>
              <w:bottom w:val="single" w:color="auto" w:sz="4" w:space="0"/>
              <w:right w:val="single" w:color="auto" w:sz="4" w:space="0"/>
            </w:tcBorders>
            <w:noWrap w:val="0"/>
            <w:vAlign w:val="center"/>
          </w:tcPr>
          <w:p w14:paraId="287F2645">
            <w:pPr>
              <w:pStyle w:val="20"/>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32455C34">
            <w:pPr>
              <w:pStyle w:val="20"/>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2.本招标文件所称的“</w:t>
            </w:r>
            <w:r>
              <w:rPr>
                <w:rFonts w:hint="eastAsia" w:hAnsi="宋体" w:cs="宋体"/>
                <w:color w:val="auto"/>
                <w:highlight w:val="none"/>
              </w:rPr>
              <w:t>电子签章</w:t>
            </w:r>
            <w:r>
              <w:rPr>
                <w:rFonts w:hint="eastAsia" w:hAnsi="宋体" w:cs="宋体"/>
                <w:bCs/>
                <w:color w:val="auto"/>
                <w:highlight w:val="none"/>
              </w:rPr>
              <w:t>”、“电子签名”</w:t>
            </w:r>
            <w:r>
              <w:rPr>
                <w:rFonts w:hint="eastAsia" w:hAnsi="宋体" w:cs="宋体"/>
                <w:color w:val="auto"/>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4DAC3D97">
            <w:pPr>
              <w:pStyle w:val="20"/>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0645292E">
            <w:pPr>
              <w:pStyle w:val="20"/>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242B09B2">
            <w:pPr>
              <w:keepNext w:val="0"/>
              <w:keepLines w:val="0"/>
              <w:pageBreakBefore w:val="0"/>
              <w:widowControl w:val="0"/>
              <w:kinsoku/>
              <w:overflowPunct/>
              <w:topLinePunct w:val="0"/>
              <w:bidi w:val="0"/>
              <w:spacing w:line="400" w:lineRule="exact"/>
              <w:jc w:val="left"/>
              <w:rPr>
                <w:rFonts w:hint="eastAsia" w:ascii="宋体" w:hAnsi="宋体" w:cs="宋体"/>
                <w:color w:val="auto"/>
                <w:szCs w:val="21"/>
                <w:highlight w:val="none"/>
              </w:rPr>
            </w:pPr>
            <w:r>
              <w:rPr>
                <w:rFonts w:hint="eastAsia" w:ascii="宋体" w:hAnsi="宋体" w:cs="宋体"/>
                <w:bCs/>
                <w:color w:val="auto"/>
                <w:szCs w:val="21"/>
                <w:highlight w:val="none"/>
              </w:rPr>
              <w:t>5.</w:t>
            </w:r>
            <w:r>
              <w:rPr>
                <w:rFonts w:hint="eastAsia" w:ascii="宋体" w:hAnsi="宋体" w:cs="宋体"/>
                <w:bCs/>
                <w:color w:val="auto"/>
                <w:kern w:val="0"/>
                <w:szCs w:val="21"/>
                <w:highlight w:val="none"/>
              </w:rPr>
              <w:t>本招标文件所称的“以上”“以下”“以内”“届满”，包括本数；所称的“不满”“超过”“以外”，不包括本数。</w:t>
            </w:r>
          </w:p>
        </w:tc>
      </w:tr>
    </w:tbl>
    <w:p w14:paraId="5B42C83B">
      <w:pPr>
        <w:pStyle w:val="3"/>
        <w:jc w:val="center"/>
        <w:rPr>
          <w:rFonts w:hint="eastAsia" w:ascii="宋体" w:hAnsi="宋体" w:eastAsia="宋体" w:cs="宋体"/>
          <w:color w:val="auto"/>
          <w:highlight w:val="none"/>
        </w:rPr>
      </w:pPr>
      <w:bookmarkStart w:id="166" w:name="_Toc21607"/>
      <w:bookmarkStart w:id="167" w:name="_Toc978"/>
      <w:bookmarkStart w:id="168" w:name="_Toc4106"/>
      <w:r>
        <w:rPr>
          <w:rFonts w:hint="eastAsia" w:ascii="宋体" w:hAnsi="宋体" w:eastAsia="宋体" w:cs="宋体"/>
          <w:color w:val="auto"/>
          <w:highlight w:val="none"/>
        </w:rPr>
        <w:t>投标人须知正文</w:t>
      </w:r>
      <w:bookmarkEnd w:id="166"/>
      <w:bookmarkEnd w:id="167"/>
      <w:bookmarkEnd w:id="168"/>
    </w:p>
    <w:p w14:paraId="1B87C122">
      <w:pPr>
        <w:pStyle w:val="4"/>
        <w:keepNext w:val="0"/>
        <w:keepLines w:val="0"/>
        <w:jc w:val="center"/>
        <w:rPr>
          <w:rFonts w:hint="eastAsia" w:ascii="宋体" w:hAnsi="宋体" w:cs="宋体"/>
          <w:color w:val="auto"/>
          <w:highlight w:val="none"/>
        </w:rPr>
      </w:pPr>
      <w:bookmarkStart w:id="169" w:name="_Toc7551"/>
      <w:bookmarkStart w:id="170" w:name="_Toc1149"/>
      <w:r>
        <w:rPr>
          <w:rFonts w:hint="eastAsia" w:ascii="宋体" w:hAnsi="宋体" w:cs="宋体"/>
          <w:color w:val="auto"/>
          <w:highlight w:val="none"/>
        </w:rPr>
        <w:t>一、总  则</w:t>
      </w:r>
      <w:bookmarkEnd w:id="169"/>
      <w:bookmarkEnd w:id="170"/>
    </w:p>
    <w:p w14:paraId="260FB211">
      <w:pPr>
        <w:spacing w:line="440" w:lineRule="exact"/>
        <w:ind w:firstLine="482" w:firstLineChars="200"/>
        <w:rPr>
          <w:rFonts w:hint="eastAsia" w:ascii="宋体" w:hAnsi="宋体" w:cs="宋体"/>
          <w:b/>
          <w:color w:val="auto"/>
          <w:sz w:val="24"/>
          <w:highlight w:val="none"/>
        </w:rPr>
      </w:pPr>
      <w:bookmarkStart w:id="171" w:name="_Toc254970668"/>
      <w:bookmarkStart w:id="172" w:name="_Toc254970527"/>
      <w:r>
        <w:rPr>
          <w:rFonts w:hint="eastAsia" w:ascii="宋体" w:hAnsi="宋体" w:cs="宋体"/>
          <w:b/>
          <w:color w:val="auto"/>
          <w:sz w:val="24"/>
          <w:highlight w:val="none"/>
        </w:rPr>
        <w:t>1.适用范围</w:t>
      </w:r>
      <w:bookmarkEnd w:id="171"/>
      <w:bookmarkEnd w:id="172"/>
    </w:p>
    <w:p w14:paraId="4B5370DA">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AD10534">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3A59ECB0">
      <w:pPr>
        <w:spacing w:line="440" w:lineRule="exact"/>
        <w:ind w:firstLine="482" w:firstLineChars="200"/>
        <w:rPr>
          <w:rFonts w:hint="eastAsia" w:ascii="宋体" w:hAnsi="宋体" w:cs="宋体"/>
          <w:b/>
          <w:color w:val="auto"/>
          <w:sz w:val="24"/>
          <w:highlight w:val="none"/>
        </w:rPr>
      </w:pPr>
      <w:bookmarkStart w:id="173" w:name="_Toc254970528"/>
      <w:bookmarkStart w:id="174" w:name="_Toc254970669"/>
      <w:r>
        <w:rPr>
          <w:rFonts w:hint="eastAsia" w:ascii="宋体" w:hAnsi="宋体" w:cs="宋体"/>
          <w:b/>
          <w:color w:val="auto"/>
          <w:sz w:val="24"/>
          <w:highlight w:val="none"/>
        </w:rPr>
        <w:t>2.定义</w:t>
      </w:r>
      <w:bookmarkEnd w:id="173"/>
      <w:bookmarkEnd w:id="174"/>
    </w:p>
    <w:p w14:paraId="2A760FD1">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3ACDE9F6">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2DA3444F">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7C55D93E">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193362A2">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26D0A008">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2DD21691">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4EFCCCEA">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2CE30781">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1353222C">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175" w:name="_Toc254970670"/>
      <w:bookmarkStart w:id="176" w:name="_Toc254970529"/>
    </w:p>
    <w:p w14:paraId="3462B510">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w:t>
      </w:r>
      <w:bookmarkEnd w:id="175"/>
      <w:bookmarkEnd w:id="176"/>
      <w:r>
        <w:rPr>
          <w:rFonts w:hint="eastAsia" w:ascii="宋体" w:hAnsi="宋体" w:cs="宋体"/>
          <w:b/>
          <w:color w:val="auto"/>
          <w:sz w:val="24"/>
          <w:highlight w:val="none"/>
        </w:rPr>
        <w:t>投标人的资格要求</w:t>
      </w:r>
    </w:p>
    <w:p w14:paraId="5F9D06C0">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6861BE94">
      <w:pPr>
        <w:spacing w:line="440" w:lineRule="exact"/>
        <w:ind w:firstLine="482" w:firstLineChars="200"/>
        <w:rPr>
          <w:rFonts w:hint="eastAsia" w:ascii="宋体" w:hAnsi="宋体" w:cs="宋体"/>
          <w:b/>
          <w:color w:val="auto"/>
          <w:sz w:val="24"/>
          <w:highlight w:val="none"/>
        </w:rPr>
      </w:pPr>
      <w:bookmarkStart w:id="177" w:name="_Toc254970530"/>
      <w:bookmarkStart w:id="178" w:name="_Toc254970671"/>
      <w:r>
        <w:rPr>
          <w:rFonts w:hint="eastAsia" w:ascii="宋体" w:hAnsi="宋体" w:cs="宋体"/>
          <w:b/>
          <w:color w:val="auto"/>
          <w:sz w:val="24"/>
          <w:highlight w:val="none"/>
        </w:rPr>
        <w:t>4.投标委托</w:t>
      </w:r>
      <w:bookmarkEnd w:id="177"/>
      <w:bookmarkEnd w:id="178"/>
    </w:p>
    <w:p w14:paraId="49C02610">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18837E5E">
      <w:pPr>
        <w:spacing w:line="440" w:lineRule="exact"/>
        <w:ind w:firstLine="482" w:firstLineChars="200"/>
        <w:rPr>
          <w:rFonts w:hint="eastAsia" w:ascii="宋体" w:hAnsi="宋体" w:cs="宋体"/>
          <w:b/>
          <w:color w:val="auto"/>
          <w:sz w:val="24"/>
          <w:highlight w:val="none"/>
        </w:rPr>
      </w:pPr>
      <w:bookmarkStart w:id="179" w:name="_5.投标费用"/>
      <w:bookmarkEnd w:id="179"/>
      <w:bookmarkStart w:id="180" w:name="_Toc254970531"/>
      <w:bookmarkStart w:id="181" w:name="_Toc254970672"/>
      <w:r>
        <w:rPr>
          <w:rFonts w:hint="eastAsia" w:ascii="宋体" w:hAnsi="宋体" w:cs="宋体"/>
          <w:b/>
          <w:color w:val="auto"/>
          <w:sz w:val="24"/>
          <w:highlight w:val="none"/>
        </w:rPr>
        <w:t>5.投标费用</w:t>
      </w:r>
      <w:bookmarkEnd w:id="180"/>
      <w:bookmarkEnd w:id="181"/>
    </w:p>
    <w:p w14:paraId="286EC1A7">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2D6AA2CF">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6.联合体投标</w:t>
      </w:r>
    </w:p>
    <w:p w14:paraId="5AF36EA6">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7D07A8F8">
      <w:pPr>
        <w:snapToGrid w:val="0"/>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2863BACB">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6.3</w:t>
      </w:r>
      <w:r>
        <w:rPr>
          <w:rFonts w:hint="eastAsia" w:ascii="宋体" w:hAnsi="宋体" w:cs="宋体"/>
          <w:color w:val="auto"/>
          <w:szCs w:val="21"/>
          <w:highlight w:val="none"/>
        </w:rPr>
        <w:t>根据《政府采购促进中小企业发展管理办法》（财库〔2020〕46号）第九条第二款、《财政部关于进一步加大政府采购支持中小企业力度的通知》（财库〔2022〕19号）和《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w:t>
      </w:r>
    </w:p>
    <w:p w14:paraId="5AA04E32">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7.转包与分包</w:t>
      </w:r>
    </w:p>
    <w:p w14:paraId="7C64EC90">
      <w:pPr>
        <w:snapToGrid w:val="0"/>
        <w:spacing w:line="440" w:lineRule="exact"/>
        <w:ind w:firstLine="420" w:firstLineChars="200"/>
        <w:jc w:val="left"/>
        <w:rPr>
          <w:rFonts w:hint="eastAsia" w:ascii="宋体" w:hAnsi="宋体" w:cs="宋体"/>
          <w:color w:val="auto"/>
          <w:szCs w:val="21"/>
          <w:highlight w:val="none"/>
        </w:rPr>
      </w:pPr>
      <w:bookmarkStart w:id="182" w:name="_Toc254970532"/>
      <w:bookmarkStart w:id="183" w:name="_Toc254970673"/>
      <w:r>
        <w:rPr>
          <w:rFonts w:hint="eastAsia" w:ascii="宋体" w:hAnsi="宋体" w:cs="宋体"/>
          <w:color w:val="auto"/>
          <w:szCs w:val="21"/>
          <w:highlight w:val="none"/>
        </w:rPr>
        <w:t>7.1本项目不允许转包。</w:t>
      </w:r>
    </w:p>
    <w:p w14:paraId="39F0F4AA">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7B02A8EB">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3F014550">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8.特别说明</w:t>
      </w:r>
      <w:bookmarkEnd w:id="182"/>
      <w:bookmarkEnd w:id="183"/>
    </w:p>
    <w:p w14:paraId="7F499792">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2FA58447">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2836755B">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7F62A57B">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9.回避与串通投标</w:t>
      </w:r>
    </w:p>
    <w:p w14:paraId="79823ECF">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27C124E3">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F19A802">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EC71FF3">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1A9E784">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4B8D4A6">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1A06EA4">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235B2E5">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63C491CE">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（1）不同投标人的投标文件由同一单位或者个人编制；或者不同投标人报名的IP地址一致的；或者编制标书硬件设备CPU编号、硬盘编号、网卡地址一致的情况。</w:t>
      </w:r>
    </w:p>
    <w:p w14:paraId="5240447D">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437D997C">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6DAE4519">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5A39298B">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20AF7A5D">
      <w:pPr>
        <w:snapToGrid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08A48919">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548C92F3">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（1）供应商直接或者间接从采购人或者采购代理机构处获得其他供应商的相关信息并修改其投标文件或者响应文件；</w:t>
      </w:r>
    </w:p>
    <w:p w14:paraId="3F04699F">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（2）供应商按照采购人或者采购代理机构的授意撤换、修改投标文件或者响应文件；</w:t>
      </w:r>
    </w:p>
    <w:p w14:paraId="5800B5F1">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（3）供应商之间协商报价、技术方案等投标文件或者响应文件的实质性内容；</w:t>
      </w:r>
    </w:p>
    <w:p w14:paraId="0D0B295E">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5EFCA80">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7B834BEA">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23896E8D">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6A5B8958">
      <w:pPr>
        <w:pStyle w:val="4"/>
        <w:keepNext w:val="0"/>
        <w:keepLines w:val="0"/>
        <w:jc w:val="center"/>
        <w:rPr>
          <w:rFonts w:hint="eastAsia" w:ascii="宋体" w:hAnsi="宋体" w:cs="宋体"/>
          <w:color w:val="auto"/>
          <w:highlight w:val="none"/>
        </w:rPr>
      </w:pPr>
      <w:bookmarkStart w:id="184" w:name="_Toc254970675"/>
      <w:bookmarkStart w:id="185" w:name="_Toc30666"/>
      <w:bookmarkStart w:id="186" w:name="_Toc16733"/>
      <w:bookmarkStart w:id="187" w:name="_Toc254970534"/>
      <w:r>
        <w:rPr>
          <w:rFonts w:hint="eastAsia" w:ascii="宋体" w:hAnsi="宋体" w:cs="宋体"/>
          <w:color w:val="auto"/>
          <w:highlight w:val="none"/>
        </w:rPr>
        <w:t>二、招标文件</w:t>
      </w:r>
      <w:bookmarkEnd w:id="184"/>
      <w:bookmarkEnd w:id="185"/>
      <w:bookmarkEnd w:id="186"/>
      <w:bookmarkEnd w:id="187"/>
    </w:p>
    <w:p w14:paraId="54384655">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10.招标文件的组成</w:t>
      </w:r>
    </w:p>
    <w:p w14:paraId="7203AAEC">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（1）招标公告；</w:t>
      </w:r>
    </w:p>
    <w:p w14:paraId="530542AD">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（2）采购需求； </w:t>
      </w:r>
    </w:p>
    <w:p w14:paraId="116B10E8">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477AC1FA">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5A082D87">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61DD4C28">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19857D8E">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1E21DBD7">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C55E9D6">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0BA92EC8">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11.2</w:t>
      </w:r>
      <w:bookmarkStart w:id="188" w:name="_Hlk53134511"/>
      <w:r>
        <w:rPr>
          <w:rFonts w:hint="eastAsia" w:hAnsi="宋体" w:cs="宋体"/>
          <w:color w:val="auto"/>
          <w:highlight w:val="none"/>
        </w:rPr>
        <w:t>采购人或者采购代理机构可以在招标文件提供期限截止后，组织已获取招标文件的潜在投标人现场考察或者召开开标前答疑会，具体详见“投标人须知前附表”。</w:t>
      </w:r>
    </w:p>
    <w:bookmarkEnd w:id="188"/>
    <w:p w14:paraId="13651FFA">
      <w:pPr>
        <w:pStyle w:val="4"/>
        <w:keepNext w:val="0"/>
        <w:keepLines w:val="0"/>
        <w:jc w:val="center"/>
        <w:rPr>
          <w:rFonts w:hint="eastAsia" w:ascii="宋体" w:hAnsi="宋体" w:cs="宋体"/>
          <w:color w:val="auto"/>
          <w:highlight w:val="none"/>
        </w:rPr>
      </w:pPr>
      <w:bookmarkStart w:id="189" w:name="_Toc11493"/>
      <w:bookmarkStart w:id="190" w:name="_Toc28609"/>
      <w:bookmarkStart w:id="191" w:name="_Toc254970535"/>
      <w:bookmarkStart w:id="192" w:name="_Toc254970676"/>
      <w:r>
        <w:rPr>
          <w:rFonts w:hint="eastAsia" w:ascii="宋体" w:hAnsi="宋体" w:cs="宋体"/>
          <w:color w:val="auto"/>
          <w:highlight w:val="none"/>
        </w:rPr>
        <w:t>三、投标文件的编制</w:t>
      </w:r>
      <w:bookmarkEnd w:id="189"/>
      <w:bookmarkEnd w:id="190"/>
      <w:bookmarkEnd w:id="191"/>
      <w:bookmarkEnd w:id="192"/>
    </w:p>
    <w:p w14:paraId="4234A73A">
      <w:pPr>
        <w:spacing w:line="440" w:lineRule="exact"/>
        <w:ind w:firstLine="482" w:firstLineChars="200"/>
        <w:rPr>
          <w:rFonts w:hint="eastAsia" w:ascii="宋体" w:hAnsi="宋体" w:cs="宋体"/>
          <w:b/>
          <w:color w:val="auto"/>
          <w:sz w:val="24"/>
          <w:highlight w:val="none"/>
        </w:rPr>
      </w:pPr>
      <w:bookmarkStart w:id="193" w:name="_Toc254970677"/>
      <w:bookmarkStart w:id="194" w:name="_Toc254970536"/>
      <w:r>
        <w:rPr>
          <w:rFonts w:hint="eastAsia" w:ascii="宋体" w:hAnsi="宋体" w:cs="宋体"/>
          <w:b/>
          <w:color w:val="auto"/>
          <w:sz w:val="24"/>
          <w:highlight w:val="none"/>
        </w:rPr>
        <w:t>12.投标文件的编制原则</w:t>
      </w:r>
    </w:p>
    <w:p w14:paraId="10B033D7">
      <w:pPr>
        <w:snapToGrid w:val="0"/>
        <w:spacing w:line="44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249362EA">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13.投标文件的组成</w:t>
      </w:r>
      <w:bookmarkEnd w:id="193"/>
      <w:bookmarkEnd w:id="194"/>
    </w:p>
    <w:p w14:paraId="639B30A2">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37B14BF2">
      <w:pPr>
        <w:snapToGrid w:val="0"/>
        <w:spacing w:line="440" w:lineRule="exact"/>
        <w:ind w:firstLine="420" w:firstLineChars="200"/>
        <w:jc w:val="left"/>
        <w:rPr>
          <w:rFonts w:hint="eastAsia" w:ascii="宋体" w:hAnsi="宋体" w:cs="宋体"/>
          <w:color w:val="auto"/>
          <w:szCs w:val="21"/>
          <w:highlight w:val="none"/>
        </w:rPr>
      </w:pPr>
      <w:bookmarkStart w:id="195" w:name="_13.1报价文件:_具体材料见“投标人须知前附表”。"/>
      <w:bookmarkEnd w:id="195"/>
      <w:r>
        <w:rPr>
          <w:rFonts w:hint="eastAsia" w:ascii="宋体" w:hAnsi="宋体" w:cs="宋体"/>
          <w:color w:val="auto"/>
          <w:szCs w:val="21"/>
          <w:highlight w:val="none"/>
        </w:rPr>
        <w:t>（1）报价文件：具体材料见“投标人须知前附表”。</w:t>
      </w:r>
    </w:p>
    <w:p w14:paraId="122D4AB5">
      <w:pPr>
        <w:snapToGrid w:val="0"/>
        <w:spacing w:line="440" w:lineRule="exact"/>
        <w:ind w:firstLine="420" w:firstLineChars="200"/>
        <w:jc w:val="left"/>
        <w:rPr>
          <w:rFonts w:hint="eastAsia" w:ascii="宋体" w:hAnsi="宋体" w:cs="宋体"/>
          <w:color w:val="auto"/>
          <w:szCs w:val="21"/>
          <w:highlight w:val="none"/>
        </w:rPr>
      </w:pPr>
      <w:bookmarkStart w:id="196" w:name="_13.2资格证明文件：具体材料见“投标人须知前附表”。"/>
      <w:bookmarkEnd w:id="196"/>
      <w:r>
        <w:rPr>
          <w:rFonts w:hint="eastAsia" w:ascii="宋体" w:hAnsi="宋体" w:cs="宋体"/>
          <w:color w:val="auto"/>
          <w:szCs w:val="21"/>
          <w:highlight w:val="none"/>
        </w:rPr>
        <w:t>（2）资格证明文件：具体材料见“投标人须知前附表”。</w:t>
      </w:r>
    </w:p>
    <w:p w14:paraId="0DB26829">
      <w:pPr>
        <w:snapToGrid w:val="0"/>
        <w:spacing w:line="440" w:lineRule="exact"/>
        <w:ind w:firstLine="420" w:firstLineChars="200"/>
        <w:jc w:val="left"/>
        <w:rPr>
          <w:rFonts w:hint="eastAsia" w:ascii="宋体" w:hAnsi="宋体" w:cs="宋体"/>
          <w:color w:val="auto"/>
          <w:szCs w:val="21"/>
          <w:highlight w:val="none"/>
        </w:rPr>
      </w:pPr>
      <w:bookmarkStart w:id="197" w:name="_13.3商务文件:_具体材料见“投标人须知前附表”。"/>
      <w:bookmarkEnd w:id="197"/>
      <w:r>
        <w:rPr>
          <w:rFonts w:hint="eastAsia" w:ascii="宋体" w:hAnsi="宋体" w:cs="宋体"/>
          <w:color w:val="auto"/>
          <w:szCs w:val="21"/>
          <w:highlight w:val="none"/>
        </w:rPr>
        <w:t>（3）商务及技术文件：具体材料见“投标人须知前附表”。</w:t>
      </w:r>
    </w:p>
    <w:p w14:paraId="1AA875F5">
      <w:pPr>
        <w:spacing w:line="440" w:lineRule="exact"/>
        <w:ind w:firstLine="482" w:firstLineChars="200"/>
        <w:rPr>
          <w:rFonts w:hint="eastAsia" w:ascii="宋体" w:hAnsi="宋体" w:cs="宋体"/>
          <w:b/>
          <w:color w:val="auto"/>
          <w:sz w:val="24"/>
          <w:highlight w:val="none"/>
        </w:rPr>
      </w:pPr>
      <w:bookmarkStart w:id="198" w:name="_13.5投标文件电子版：具体材料见“投标人须知前附表”。"/>
      <w:bookmarkEnd w:id="198"/>
      <w:bookmarkStart w:id="199" w:name="_13.4技术文件：具体材料见“投标人须知前附表”。"/>
      <w:bookmarkEnd w:id="199"/>
      <w:bookmarkStart w:id="200" w:name="_Toc254970678"/>
      <w:bookmarkStart w:id="201" w:name="_Toc254970537"/>
      <w:r>
        <w:rPr>
          <w:rFonts w:hint="eastAsia" w:ascii="宋体" w:hAnsi="宋体" w:cs="宋体"/>
          <w:b/>
          <w:color w:val="auto"/>
          <w:sz w:val="24"/>
          <w:highlight w:val="none"/>
        </w:rPr>
        <w:t>14.投标文件的语言及计量</w:t>
      </w:r>
      <w:bookmarkEnd w:id="200"/>
      <w:bookmarkEnd w:id="201"/>
    </w:p>
    <w:p w14:paraId="2D5DA1DD">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14.1语言文字</w:t>
      </w:r>
    </w:p>
    <w:p w14:paraId="53A7FB64">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2D675FA">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14.2投标计量单位</w:t>
      </w:r>
    </w:p>
    <w:p w14:paraId="505A5FC2">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b/>
          <w:color w:val="auto"/>
          <w:szCs w:val="21"/>
          <w:highlight w:val="none"/>
        </w:rPr>
        <w:t>否则视同未响应</w:t>
      </w:r>
      <w:r>
        <w:rPr>
          <w:rFonts w:hint="eastAsia" w:ascii="宋体" w:hAnsi="宋体" w:cs="宋体"/>
          <w:color w:val="auto"/>
          <w:szCs w:val="21"/>
          <w:highlight w:val="none"/>
        </w:rPr>
        <w:t>。</w:t>
      </w:r>
    </w:p>
    <w:p w14:paraId="482CB525">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15.投标的风险</w:t>
      </w:r>
    </w:p>
    <w:p w14:paraId="7F7A239E">
      <w:pPr>
        <w:pStyle w:val="20"/>
        <w:snapToGrid w:val="0"/>
        <w:spacing w:line="440" w:lineRule="exact"/>
        <w:ind w:firstLine="420" w:firstLineChars="200"/>
        <w:jc w:val="left"/>
        <w:rPr>
          <w:rFonts w:hint="eastAsia" w:hAnsi="宋体" w:cs="宋体"/>
          <w:color w:val="auto"/>
          <w:highlight w:val="none"/>
        </w:rPr>
      </w:pPr>
      <w:r>
        <w:rPr>
          <w:rFonts w:hint="eastAsia" w:hAnsi="宋体" w:cs="宋体"/>
          <w:color w:val="auto"/>
          <w:highlight w:val="none"/>
        </w:rPr>
        <w:t>投标人没有按照招标文件要求提供全部资料，或者投标人没有对招标文件作出实质性响应是投标人的风险，并可能导致其投标被拒绝。</w:t>
      </w:r>
    </w:p>
    <w:p w14:paraId="184401F0">
      <w:pPr>
        <w:spacing w:line="440" w:lineRule="exact"/>
        <w:ind w:firstLine="482" w:firstLineChars="200"/>
        <w:rPr>
          <w:rFonts w:hint="eastAsia" w:ascii="宋体" w:hAnsi="宋体" w:cs="宋体"/>
          <w:b/>
          <w:color w:val="auto"/>
          <w:sz w:val="24"/>
          <w:highlight w:val="none"/>
        </w:rPr>
      </w:pPr>
      <w:bookmarkStart w:id="202" w:name="_Toc254970679"/>
      <w:bookmarkStart w:id="203" w:name="_Toc254970538"/>
      <w:r>
        <w:rPr>
          <w:rFonts w:hint="eastAsia" w:ascii="宋体" w:hAnsi="宋体" w:cs="宋体"/>
          <w:b/>
          <w:color w:val="auto"/>
          <w:sz w:val="24"/>
          <w:highlight w:val="none"/>
        </w:rPr>
        <w:t>16.投标报价</w:t>
      </w:r>
      <w:bookmarkEnd w:id="202"/>
      <w:bookmarkEnd w:id="203"/>
    </w:p>
    <w:p w14:paraId="24EC8E83">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投标文件格式”中“开标一览表”格式填写。</w:t>
      </w:r>
    </w:p>
    <w:p w14:paraId="07E5577C">
      <w:pPr>
        <w:snapToGrid w:val="0"/>
        <w:spacing w:line="440" w:lineRule="exact"/>
        <w:ind w:firstLine="420" w:firstLineChars="200"/>
        <w:jc w:val="left"/>
        <w:rPr>
          <w:rFonts w:hint="eastAsia" w:ascii="宋体" w:hAnsi="宋体" w:cs="宋体"/>
          <w:color w:val="auto"/>
          <w:szCs w:val="21"/>
          <w:highlight w:val="none"/>
        </w:rPr>
      </w:pPr>
      <w:bookmarkStart w:id="204" w:name="_16.2投标报价具体定义见投标人须知前附表。"/>
      <w:bookmarkEnd w:id="204"/>
      <w:r>
        <w:rPr>
          <w:rFonts w:hint="eastAsia" w:ascii="宋体" w:hAnsi="宋体" w:cs="宋体"/>
          <w:color w:val="auto"/>
          <w:szCs w:val="21"/>
          <w:highlight w:val="none"/>
        </w:rPr>
        <w:t>16.2投标报价具体包括内容详见“投标人须知前附表”。</w:t>
      </w:r>
    </w:p>
    <w:p w14:paraId="1CB2A310">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16.3投标人必须就所投每个分标的全部内容分别作完整唯一总价报价，不得存在漏项报价；投标人必须就所投分标的单项内容作唯一报价。</w:t>
      </w:r>
    </w:p>
    <w:p w14:paraId="3247B57B">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17.投标有效期</w:t>
      </w:r>
    </w:p>
    <w:p w14:paraId="3D69D925">
      <w:pPr>
        <w:snapToGrid w:val="0"/>
        <w:spacing w:line="440" w:lineRule="exact"/>
        <w:ind w:firstLine="420" w:firstLineChars="200"/>
        <w:jc w:val="left"/>
        <w:rPr>
          <w:rFonts w:hint="eastAsia" w:ascii="宋体" w:hAnsi="宋体" w:cs="宋体"/>
          <w:color w:val="auto"/>
          <w:szCs w:val="21"/>
          <w:highlight w:val="none"/>
        </w:rPr>
      </w:pPr>
      <w:bookmarkStart w:id="205" w:name="_17.1投标有效期应按“投标人须知中的前附表”规定的期限。"/>
      <w:bookmarkEnd w:id="205"/>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7F81070C">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17.2</w:t>
      </w:r>
      <w:bookmarkStart w:id="206" w:name="_Toc254970540"/>
      <w:bookmarkStart w:id="207" w:name="_Toc254970681"/>
      <w:r>
        <w:rPr>
          <w:rFonts w:hint="eastAsia" w:ascii="宋体" w:hAnsi="宋体" w:cs="宋体"/>
          <w:color w:val="auto"/>
          <w:szCs w:val="21"/>
          <w:highlight w:val="none"/>
        </w:rPr>
        <w:t xml:space="preserve"> 投标有效期应按招标文件规定的期限作出承诺，具体详见“投标人须知前附表”。</w:t>
      </w:r>
      <w:r>
        <w:rPr>
          <w:rFonts w:hint="eastAsia" w:ascii="宋体" w:hAnsi="宋体" w:cs="宋体"/>
          <w:b/>
          <w:color w:val="auto"/>
          <w:szCs w:val="21"/>
          <w:highlight w:val="none"/>
        </w:rPr>
        <w:t>承诺的投标有效期低于招标文件规定期限的，按无效投标处理</w:t>
      </w:r>
      <w:r>
        <w:rPr>
          <w:rFonts w:hint="eastAsia" w:ascii="宋体" w:hAnsi="宋体" w:cs="宋体"/>
          <w:color w:val="auto"/>
          <w:szCs w:val="21"/>
          <w:highlight w:val="none"/>
        </w:rPr>
        <w:t>。</w:t>
      </w:r>
    </w:p>
    <w:p w14:paraId="72B33260">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206"/>
      <w:bookmarkEnd w:id="207"/>
    </w:p>
    <w:p w14:paraId="6D22674D">
      <w:pPr>
        <w:spacing w:line="440" w:lineRule="exact"/>
        <w:ind w:firstLine="482" w:firstLineChars="200"/>
        <w:rPr>
          <w:rFonts w:hint="eastAsia" w:ascii="宋体" w:hAnsi="宋体" w:cs="宋体"/>
          <w:b/>
          <w:color w:val="auto"/>
          <w:sz w:val="24"/>
          <w:highlight w:val="none"/>
        </w:rPr>
      </w:pPr>
      <w:bookmarkStart w:id="208" w:name="_18.投标保证金"/>
      <w:bookmarkEnd w:id="208"/>
      <w:bookmarkStart w:id="209" w:name="_Toc254970541"/>
      <w:bookmarkStart w:id="210" w:name="_Toc254970682"/>
      <w:r>
        <w:rPr>
          <w:rFonts w:hint="eastAsia" w:ascii="宋体" w:hAnsi="宋体" w:cs="宋体"/>
          <w:b/>
          <w:color w:val="auto"/>
          <w:sz w:val="24"/>
          <w:highlight w:val="none"/>
        </w:rPr>
        <w:t>18.投标保证金</w:t>
      </w:r>
      <w:bookmarkEnd w:id="209"/>
      <w:bookmarkEnd w:id="210"/>
    </w:p>
    <w:p w14:paraId="5A4FE94D">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18.1投标人须按“投标人须知前附表” 的规定提交投标保证金。</w:t>
      </w:r>
    </w:p>
    <w:p w14:paraId="107E7E86">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18.2投标保证金的退还</w:t>
      </w:r>
    </w:p>
    <w:p w14:paraId="30B187F6">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未中标人的投标保证金自中标通知书发出之日起5个工作日内退还；中标人的投标保证金自政府采购合同签订之日起5个工作日内退还。 </w:t>
      </w:r>
    </w:p>
    <w:p w14:paraId="0FB92B9B">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18.3除逾期退还投标保证金和终止招标的情形以外，投标保证金不计息。</w:t>
      </w:r>
    </w:p>
    <w:p w14:paraId="50D2B9FC">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18.4投标人有下列情形之一的，投标保证金将不予退还：</w:t>
      </w:r>
    </w:p>
    <w:p w14:paraId="30E51296">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0AED3BB3">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58E0F69C">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63D881C0">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4B306C9F">
      <w:pPr>
        <w:snapToGrid w:val="0"/>
        <w:spacing w:line="440" w:lineRule="exact"/>
        <w:ind w:firstLine="420" w:firstLineChars="200"/>
        <w:jc w:val="left"/>
        <w:rPr>
          <w:rFonts w:hint="eastAsia" w:ascii="宋体" w:hAnsi="宋体" w:cs="宋体"/>
          <w:color w:val="auto"/>
          <w:szCs w:val="21"/>
          <w:highlight w:val="none"/>
        </w:rPr>
      </w:pPr>
      <w:bookmarkStart w:id="211" w:name="_Toc254970683"/>
      <w:bookmarkStart w:id="212" w:name="_Toc254970542"/>
      <w:r>
        <w:rPr>
          <w:rFonts w:hint="eastAsia" w:ascii="宋体" w:hAnsi="宋体" w:cs="宋体"/>
          <w:color w:val="auto"/>
          <w:szCs w:val="21"/>
          <w:highlight w:val="none"/>
        </w:rPr>
        <w:t>（5）投标人出现本章第9.2、9.3情形的；</w:t>
      </w:r>
    </w:p>
    <w:p w14:paraId="1DCDE3E4">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bookmarkEnd w:id="211"/>
    <w:bookmarkEnd w:id="212"/>
    <w:p w14:paraId="6374DD4F">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19.投标文件的编制</w:t>
      </w:r>
    </w:p>
    <w:p w14:paraId="03A4BB2E">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348F7EC3">
      <w:pPr>
        <w:pStyle w:val="20"/>
        <w:spacing w:line="440" w:lineRule="exact"/>
        <w:ind w:firstLine="420" w:firstLineChars="200"/>
        <w:rPr>
          <w:rFonts w:hint="eastAsia" w:hAnsi="宋体" w:cs="宋体"/>
          <w:color w:val="auto"/>
          <w:highlight w:val="none"/>
        </w:rPr>
      </w:pPr>
      <w:bookmarkStart w:id="213" w:name="_19.2投标文件应按报价文件、资格证明文件、商务文件、技术文件分别编制"/>
      <w:bookmarkEnd w:id="213"/>
      <w:r>
        <w:rPr>
          <w:rFonts w:hint="eastAsia" w:hAnsi="宋体" w:cs="宋体"/>
          <w:color w:val="auto"/>
          <w:highlight w:val="none"/>
        </w:rPr>
        <w:t>19.2为确保网上操作合法、有效和安全，投标人应当在投标截止时间前完成在广西政府采购云平台的身份认证，确保在电子投标过程中能够对相关数据电文进行加密和使用电子签章。</w:t>
      </w:r>
    </w:p>
    <w:p w14:paraId="1DE55096">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19.3投标文件须由投标人在规定位置签字（或者电子签名）、盖章（具体以投标人须知前附表或投标文件格式规定为准），</w:t>
      </w:r>
      <w:r>
        <w:rPr>
          <w:rFonts w:hint="eastAsia" w:hAnsi="宋体" w:cs="宋体"/>
          <w:b/>
          <w:color w:val="auto"/>
          <w:highlight w:val="none"/>
        </w:rPr>
        <w:t>否则按无效投标处理</w:t>
      </w:r>
      <w:r>
        <w:rPr>
          <w:rFonts w:hint="eastAsia" w:hAnsi="宋体" w:cs="宋体"/>
          <w:color w:val="auto"/>
          <w:highlight w:val="none"/>
        </w:rPr>
        <w:t>。</w:t>
      </w:r>
    </w:p>
    <w:p w14:paraId="1561B985">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hAnsi="宋体" w:cs="宋体"/>
          <w:b/>
          <w:color w:val="auto"/>
          <w:highlight w:val="none"/>
        </w:rPr>
        <w:t>否则按无效投标处理</w:t>
      </w:r>
      <w:r>
        <w:rPr>
          <w:rFonts w:hint="eastAsia" w:hAnsi="宋体" w:cs="宋体"/>
          <w:color w:val="auto"/>
          <w:highlight w:val="none"/>
        </w:rPr>
        <w:t>。</w:t>
      </w:r>
    </w:p>
    <w:p w14:paraId="3C63D0E6">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688E34A">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20.电子备份投标文件</w:t>
      </w:r>
    </w:p>
    <w:p w14:paraId="605D0A52">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电子备份投标文件是指通过“广西政府采购云电子投标客户端”在线编制生成且后缀名为“bfbs”的文件，是否接受电子备份投标文件详见“投标人须知前附表”。</w:t>
      </w:r>
    </w:p>
    <w:p w14:paraId="224073E0">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21.投标文件的提交</w:t>
      </w:r>
    </w:p>
    <w:p w14:paraId="1B8F9634">
      <w:pPr>
        <w:spacing w:line="440" w:lineRule="exact"/>
        <w:ind w:firstLine="420" w:firstLineChars="200"/>
        <w:rPr>
          <w:rFonts w:hint="eastAsia" w:ascii="宋体" w:hAnsi="宋体" w:cs="宋体"/>
          <w:b/>
          <w:color w:val="auto"/>
          <w:highlight w:val="none"/>
        </w:rPr>
      </w:pPr>
      <w:bookmarkStart w:id="214" w:name="_21.1投标人必须在“投标人须知中的前附表”规定的投标文件接收时间和投"/>
      <w:bookmarkEnd w:id="214"/>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b/>
          <w:color w:val="auto"/>
          <w:szCs w:val="21"/>
          <w:highlight w:val="none"/>
        </w:rPr>
        <w:t>广西政府采购云平台</w:t>
      </w:r>
      <w:r>
        <w:rPr>
          <w:rFonts w:hint="eastAsia" w:ascii="宋体" w:hAnsi="宋体" w:cs="宋体"/>
          <w:bCs/>
          <w:color w:val="auto"/>
          <w:szCs w:val="21"/>
          <w:highlight w:val="none"/>
        </w:rPr>
        <w:t>。</w:t>
      </w:r>
    </w:p>
    <w:p w14:paraId="3F757EAB">
      <w:pPr>
        <w:spacing w:line="440" w:lineRule="exact"/>
        <w:ind w:firstLine="422" w:firstLineChars="200"/>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3A3432AF">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38466D41">
      <w:pPr>
        <w:snapToGrid w:val="0"/>
        <w:spacing w:line="440" w:lineRule="exact"/>
        <w:ind w:firstLine="420"/>
        <w:jc w:val="left"/>
        <w:rPr>
          <w:rFonts w:hint="eastAsia" w:ascii="宋体" w:hAnsi="宋体" w:cs="宋体"/>
          <w:color w:val="auto"/>
          <w:szCs w:val="21"/>
          <w:highlight w:val="none"/>
        </w:rPr>
      </w:pPr>
      <w:bookmarkStart w:id="215" w:name="_Toc254970543"/>
      <w:bookmarkStart w:id="216" w:name="_Toc254970684"/>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依次进入“服务中心”中查看 “电子投标文件制作与投送教程”）</w:t>
      </w:r>
    </w:p>
    <w:bookmarkEnd w:id="215"/>
    <w:bookmarkEnd w:id="216"/>
    <w:p w14:paraId="0F41D87A">
      <w:pPr>
        <w:pStyle w:val="79"/>
        <w:spacing w:before="0" w:line="44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4C7D8D1E">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79F6B2EA">
      <w:pPr>
        <w:pStyle w:val="4"/>
        <w:keepNext w:val="0"/>
        <w:keepLines w:val="0"/>
        <w:jc w:val="center"/>
        <w:rPr>
          <w:rFonts w:hint="eastAsia" w:ascii="宋体" w:hAnsi="宋体" w:cs="宋体"/>
          <w:color w:val="auto"/>
          <w:highlight w:val="none"/>
        </w:rPr>
      </w:pPr>
      <w:bookmarkStart w:id="217" w:name="_Toc254970685"/>
      <w:bookmarkStart w:id="218" w:name="_Toc254970544"/>
      <w:bookmarkStart w:id="219" w:name="_Toc21393"/>
      <w:bookmarkStart w:id="220" w:name="_Toc23160"/>
      <w:r>
        <w:rPr>
          <w:rFonts w:hint="eastAsia" w:ascii="宋体" w:hAnsi="宋体" w:cs="宋体"/>
          <w:color w:val="auto"/>
          <w:highlight w:val="none"/>
        </w:rPr>
        <w:t>四、开  标</w:t>
      </w:r>
      <w:bookmarkEnd w:id="217"/>
      <w:bookmarkEnd w:id="218"/>
      <w:bookmarkEnd w:id="219"/>
      <w:bookmarkEnd w:id="220"/>
    </w:p>
    <w:p w14:paraId="6EDF6EB0">
      <w:pPr>
        <w:spacing w:line="440" w:lineRule="exact"/>
        <w:ind w:firstLine="482" w:firstLineChars="200"/>
        <w:rPr>
          <w:rFonts w:hint="eastAsia" w:ascii="宋体" w:hAnsi="宋体" w:cs="宋体"/>
          <w:b/>
          <w:color w:val="auto"/>
          <w:sz w:val="24"/>
          <w:highlight w:val="none"/>
        </w:rPr>
      </w:pPr>
      <w:bookmarkStart w:id="221" w:name="_23.开标时间和地点"/>
      <w:bookmarkEnd w:id="221"/>
      <w:r>
        <w:rPr>
          <w:rFonts w:hint="eastAsia" w:ascii="宋体" w:hAnsi="宋体" w:cs="宋体"/>
          <w:b/>
          <w:color w:val="auto"/>
          <w:sz w:val="24"/>
          <w:highlight w:val="none"/>
        </w:rPr>
        <w:t>23.开标时间和地点</w:t>
      </w:r>
    </w:p>
    <w:p w14:paraId="362997CC">
      <w:pPr>
        <w:spacing w:line="440" w:lineRule="exact"/>
        <w:ind w:firstLine="420" w:firstLineChars="200"/>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43CFB182">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24.开标程序</w:t>
      </w:r>
    </w:p>
    <w:p w14:paraId="0D7678F3">
      <w:pPr>
        <w:pStyle w:val="9"/>
        <w:spacing w:line="440" w:lineRule="exact"/>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3534D541">
      <w:pPr>
        <w:pStyle w:val="9"/>
        <w:spacing w:line="440" w:lineRule="exact"/>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08E5F93">
      <w:pPr>
        <w:pStyle w:val="9"/>
        <w:spacing w:line="440" w:lineRule="exact"/>
        <w:rPr>
          <w:rFonts w:hint="eastAsia" w:ascii="宋体" w:hAnsi="宋体" w:cs="宋体"/>
          <w:color w:val="auto"/>
          <w:highlight w:val="none"/>
        </w:rPr>
      </w:pPr>
      <w:r>
        <w:rPr>
          <w:rFonts w:hint="eastAsia" w:ascii="宋体" w:hAnsi="宋体" w:cs="宋体"/>
          <w:color w:val="auto"/>
          <w:highlight w:val="none"/>
        </w:rPr>
        <w:t>24.3开标程序</w:t>
      </w:r>
    </w:p>
    <w:p w14:paraId="7F9BFA98">
      <w:pPr>
        <w:pStyle w:val="9"/>
        <w:spacing w:line="440" w:lineRule="exact"/>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highlight w:val="none"/>
        </w:rPr>
        <w:t>。</w:t>
      </w:r>
    </w:p>
    <w:p w14:paraId="5A5C352D">
      <w:pPr>
        <w:pStyle w:val="9"/>
        <w:spacing w:line="440" w:lineRule="exact"/>
        <w:rPr>
          <w:rFonts w:hint="eastAsia"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6FC2AB44">
      <w:pPr>
        <w:pStyle w:val="9"/>
        <w:spacing w:line="440" w:lineRule="exact"/>
        <w:rPr>
          <w:rFonts w:hint="eastAsia" w:ascii="宋体" w:hAnsi="宋体" w:cs="宋体"/>
          <w:color w:val="auto"/>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5E5601CF">
      <w:pPr>
        <w:pStyle w:val="9"/>
        <w:spacing w:line="440" w:lineRule="exact"/>
        <w:rPr>
          <w:rFonts w:hint="eastAsia" w:ascii="宋体" w:hAnsi="宋体" w:cs="宋体"/>
          <w:color w:val="auto"/>
          <w:highlight w:val="none"/>
        </w:rPr>
      </w:pPr>
      <w:r>
        <w:rPr>
          <w:rFonts w:hint="eastAsia" w:ascii="宋体" w:hAnsi="宋体" w:cs="宋体"/>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5140627C">
      <w:pPr>
        <w:pStyle w:val="9"/>
        <w:spacing w:line="440" w:lineRule="exact"/>
        <w:rPr>
          <w:rFonts w:hint="eastAsia" w:ascii="宋体" w:hAnsi="宋体" w:cs="宋体"/>
          <w:color w:val="auto"/>
          <w:szCs w:val="21"/>
          <w:highlight w:val="none"/>
        </w:rPr>
      </w:pPr>
      <w:r>
        <w:rPr>
          <w:rFonts w:hint="eastAsia" w:ascii="宋体" w:hAnsi="宋体" w:cs="宋体"/>
          <w:color w:val="auto"/>
          <w:szCs w:val="21"/>
          <w:highlight w:val="none"/>
        </w:rPr>
        <w:t>（5）开标结束。</w:t>
      </w:r>
    </w:p>
    <w:p w14:paraId="211416D5">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特别说明：如遇广西政府采购云平台电子化开标或评审程序调整的，按调整后执行。</w:t>
      </w:r>
    </w:p>
    <w:p w14:paraId="5127D393">
      <w:pPr>
        <w:pStyle w:val="4"/>
        <w:keepNext w:val="0"/>
        <w:keepLines w:val="0"/>
        <w:jc w:val="center"/>
        <w:rPr>
          <w:rFonts w:hint="eastAsia" w:ascii="宋体" w:hAnsi="宋体" w:cs="宋体"/>
          <w:color w:val="auto"/>
          <w:highlight w:val="none"/>
        </w:rPr>
      </w:pPr>
      <w:bookmarkStart w:id="222" w:name="_Toc6086"/>
      <w:bookmarkStart w:id="223" w:name="_Toc2525"/>
      <w:r>
        <w:rPr>
          <w:rFonts w:hint="eastAsia" w:ascii="宋体" w:hAnsi="宋体" w:cs="宋体"/>
          <w:color w:val="auto"/>
          <w:highlight w:val="none"/>
        </w:rPr>
        <w:t>五、资格审查</w:t>
      </w:r>
      <w:bookmarkEnd w:id="222"/>
      <w:bookmarkEnd w:id="223"/>
    </w:p>
    <w:p w14:paraId="376959F4">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25.资格审查</w:t>
      </w:r>
    </w:p>
    <w:p w14:paraId="2652E072">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25.1开标结束后，采购人或者采购代理机构通过电子开评标系统依据招标文件对电子投标文件进行线上资格审查。</w:t>
      </w:r>
    </w:p>
    <w:p w14:paraId="053C3558">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25.2资格审查标准为本招标文件中载明对投标人资格要求的条件。本项目资格审查采用合格制，凡符合招标文件规定的投标人资格要求的投标人均通过资格审查。</w:t>
      </w:r>
    </w:p>
    <w:p w14:paraId="0F911B32">
      <w:pPr>
        <w:pStyle w:val="20"/>
        <w:spacing w:line="440" w:lineRule="exact"/>
        <w:ind w:firstLine="422" w:firstLineChars="200"/>
        <w:rPr>
          <w:rFonts w:hint="eastAsia" w:hAnsi="宋体" w:cs="宋体"/>
          <w:b/>
          <w:color w:val="auto"/>
          <w:highlight w:val="none"/>
        </w:rPr>
      </w:pPr>
      <w:bookmarkStart w:id="224" w:name="_25.3_投标人有下列情形之一的，资格审查不通过而导致其投标无效："/>
      <w:bookmarkEnd w:id="224"/>
      <w:r>
        <w:rPr>
          <w:rFonts w:hint="eastAsia" w:hAnsi="宋体" w:cs="宋体"/>
          <w:b/>
          <w:color w:val="auto"/>
          <w:highlight w:val="none"/>
        </w:rPr>
        <w:t>25.3 投标人有下列情形之一的，资格审查不通过，作无效投标处理：</w:t>
      </w:r>
    </w:p>
    <w:p w14:paraId="64437F18">
      <w:pPr>
        <w:pStyle w:val="20"/>
        <w:spacing w:line="440" w:lineRule="exact"/>
        <w:ind w:firstLine="422" w:firstLineChars="200"/>
        <w:rPr>
          <w:rFonts w:hint="eastAsia" w:hAnsi="宋体" w:cs="宋体"/>
          <w:b/>
          <w:color w:val="auto"/>
          <w:highlight w:val="none"/>
        </w:rPr>
      </w:pPr>
      <w:r>
        <w:rPr>
          <w:rFonts w:hint="eastAsia" w:hAnsi="宋体" w:cs="宋体"/>
          <w:b/>
          <w:color w:val="auto"/>
          <w:highlight w:val="none"/>
        </w:rPr>
        <w:t>（1）不具备招标文件中规定的资格要求的；</w:t>
      </w:r>
    </w:p>
    <w:p w14:paraId="21148525">
      <w:pPr>
        <w:pStyle w:val="20"/>
        <w:spacing w:line="440" w:lineRule="exact"/>
        <w:ind w:firstLine="422" w:firstLineChars="200"/>
        <w:rPr>
          <w:rFonts w:hint="eastAsia" w:hAnsi="宋体" w:cs="宋体"/>
          <w:b/>
          <w:color w:val="auto"/>
          <w:highlight w:val="none"/>
        </w:rPr>
      </w:pPr>
      <w:r>
        <w:rPr>
          <w:rFonts w:hint="eastAsia" w:hAnsi="宋体" w:cs="宋体"/>
          <w:b/>
          <w:color w:val="auto"/>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29029446">
      <w:pPr>
        <w:pStyle w:val="20"/>
        <w:spacing w:line="440" w:lineRule="exact"/>
        <w:ind w:firstLine="422" w:firstLineChars="200"/>
        <w:rPr>
          <w:rFonts w:hint="eastAsia" w:hAnsi="宋体" w:cs="宋体"/>
          <w:b/>
          <w:color w:val="auto"/>
          <w:highlight w:val="none"/>
        </w:rPr>
      </w:pPr>
      <w:r>
        <w:rPr>
          <w:rFonts w:hint="eastAsia" w:hAnsi="宋体" w:cs="宋体"/>
          <w:b/>
          <w:color w:val="auto"/>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07618EC1">
      <w:pPr>
        <w:pStyle w:val="20"/>
        <w:spacing w:line="440" w:lineRule="exact"/>
        <w:ind w:firstLine="422" w:firstLineChars="200"/>
        <w:rPr>
          <w:rFonts w:hint="eastAsia" w:hAnsi="宋体" w:cs="宋体"/>
          <w:b/>
          <w:color w:val="auto"/>
          <w:highlight w:val="none"/>
        </w:rPr>
      </w:pPr>
      <w:r>
        <w:rPr>
          <w:rFonts w:hint="eastAsia" w:hAnsi="宋体" w:cs="宋体"/>
          <w:b/>
          <w:color w:val="auto"/>
          <w:highlight w:val="none"/>
        </w:rPr>
        <w:t>（4）投标文件中的资格证明文件缺少任一项“投标人须知前附表”资格证明文件规定“必须提供”的文件资料的；</w:t>
      </w:r>
    </w:p>
    <w:p w14:paraId="5F60A067">
      <w:pPr>
        <w:pStyle w:val="20"/>
        <w:spacing w:line="440" w:lineRule="exact"/>
        <w:ind w:firstLine="422" w:firstLineChars="200"/>
        <w:rPr>
          <w:rFonts w:hint="eastAsia" w:hAnsi="宋体" w:cs="宋体"/>
          <w:b/>
          <w:color w:val="auto"/>
          <w:highlight w:val="none"/>
        </w:rPr>
      </w:pPr>
      <w:r>
        <w:rPr>
          <w:rFonts w:hint="eastAsia" w:hAnsi="宋体" w:cs="宋体"/>
          <w:b/>
          <w:color w:val="auto"/>
          <w:highlight w:val="none"/>
        </w:rPr>
        <w:t>（5）投标文件中的资格证明文件出现任一项不符合“投标人须知前附表”资格证明文件规定“必须提供”的文件资料要求或者无效的。</w:t>
      </w:r>
    </w:p>
    <w:p w14:paraId="79BE36DB">
      <w:pPr>
        <w:pStyle w:val="20"/>
        <w:spacing w:line="440" w:lineRule="exact"/>
        <w:ind w:firstLine="422" w:firstLineChars="200"/>
        <w:rPr>
          <w:rFonts w:hint="eastAsia" w:hAnsi="宋体" w:cs="宋体"/>
          <w:b/>
          <w:color w:val="auto"/>
          <w:highlight w:val="none"/>
        </w:rPr>
      </w:pPr>
      <w:r>
        <w:rPr>
          <w:rFonts w:hint="eastAsia" w:hAnsi="宋体" w:cs="宋体"/>
          <w:b/>
          <w:color w:val="auto"/>
          <w:highlight w:val="none"/>
        </w:rPr>
        <w:t>25.4合格投标人不足3家的，不得评标。</w:t>
      </w:r>
    </w:p>
    <w:p w14:paraId="281B5A8B">
      <w:pPr>
        <w:pStyle w:val="20"/>
        <w:snapToGrid w:val="0"/>
        <w:spacing w:line="360" w:lineRule="auto"/>
        <w:ind w:left="689" w:leftChars="228" w:hanging="210" w:hangingChars="100"/>
        <w:rPr>
          <w:rFonts w:hint="eastAsia" w:hAnsi="宋体" w:cs="宋体"/>
          <w:color w:val="auto"/>
          <w:highlight w:val="none"/>
        </w:rPr>
      </w:pPr>
    </w:p>
    <w:p w14:paraId="6FA03CCD">
      <w:pPr>
        <w:pStyle w:val="4"/>
        <w:keepNext w:val="0"/>
        <w:keepLines w:val="0"/>
        <w:jc w:val="center"/>
        <w:rPr>
          <w:rFonts w:hint="eastAsia" w:ascii="宋体" w:hAnsi="宋体" w:cs="宋体"/>
          <w:color w:val="auto"/>
          <w:highlight w:val="none"/>
        </w:rPr>
      </w:pPr>
      <w:bookmarkStart w:id="225" w:name="_Toc31107"/>
      <w:bookmarkStart w:id="226" w:name="_Toc17386"/>
      <w:r>
        <w:rPr>
          <w:rFonts w:hint="eastAsia" w:ascii="宋体" w:hAnsi="宋体" w:cs="宋体"/>
          <w:color w:val="auto"/>
          <w:highlight w:val="none"/>
        </w:rPr>
        <w:t>六、评  标</w:t>
      </w:r>
      <w:bookmarkEnd w:id="225"/>
      <w:bookmarkEnd w:id="226"/>
    </w:p>
    <w:p w14:paraId="213A60B7">
      <w:pPr>
        <w:spacing w:line="440" w:lineRule="exact"/>
        <w:ind w:firstLine="482" w:firstLineChars="200"/>
        <w:rPr>
          <w:rFonts w:hint="eastAsia" w:ascii="宋体" w:hAnsi="宋体" w:cs="宋体"/>
          <w:b/>
          <w:color w:val="auto"/>
          <w:sz w:val="24"/>
          <w:highlight w:val="none"/>
        </w:rPr>
      </w:pPr>
      <w:bookmarkStart w:id="227" w:name="_26.组建评标委员会"/>
      <w:bookmarkEnd w:id="227"/>
      <w:r>
        <w:rPr>
          <w:rFonts w:hint="eastAsia" w:ascii="宋体" w:hAnsi="宋体" w:cs="宋体"/>
          <w:b/>
          <w:color w:val="auto"/>
          <w:sz w:val="24"/>
          <w:highlight w:val="none"/>
        </w:rPr>
        <w:t>26.组建评标委员会</w:t>
      </w:r>
    </w:p>
    <w:p w14:paraId="5F77CBB6">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26.1评标委员会由采购人代表和评审专家组成，具体人数详见“投标人须知前附表”，其中评审专家不得少于成员总数的三分之二。</w:t>
      </w:r>
    </w:p>
    <w:p w14:paraId="378F8086">
      <w:pPr>
        <w:pStyle w:val="20"/>
        <w:snapToGrid w:val="0"/>
        <w:spacing w:line="440" w:lineRule="exact"/>
        <w:ind w:left="2" w:leftChars="1" w:firstLine="420" w:firstLineChars="200"/>
        <w:rPr>
          <w:rFonts w:hint="eastAsia" w:hAnsi="宋体" w:cs="宋体"/>
          <w:color w:val="auto"/>
          <w:highlight w:val="none"/>
        </w:rPr>
      </w:pPr>
      <w:r>
        <w:rPr>
          <w:rFonts w:hint="eastAsia" w:hAnsi="宋体" w:cs="宋体"/>
          <w:color w:val="auto"/>
          <w:highlight w:val="none"/>
        </w:rPr>
        <w:t>26.2参加过采购项目前期咨询论证的专家，不得参加该采购项目的评审活动。</w:t>
      </w:r>
    </w:p>
    <w:p w14:paraId="160E2DCE">
      <w:pPr>
        <w:pStyle w:val="20"/>
        <w:snapToGrid w:val="0"/>
        <w:spacing w:line="440" w:lineRule="exact"/>
        <w:ind w:left="2" w:leftChars="1" w:firstLine="420" w:firstLineChars="200"/>
        <w:rPr>
          <w:rFonts w:hint="eastAsia" w:hAnsi="宋体" w:cs="宋体"/>
          <w:color w:val="auto"/>
          <w:highlight w:val="none"/>
        </w:rPr>
      </w:pPr>
      <w:r>
        <w:rPr>
          <w:rFonts w:hint="eastAsia" w:hAnsi="宋体" w:cs="宋体"/>
          <w:color w:val="auto"/>
          <w:highlight w:val="none"/>
        </w:rPr>
        <w:t>26.3</w:t>
      </w:r>
      <w:r>
        <w:rPr>
          <w:rFonts w:hint="eastAsia" w:hAnsi="宋体" w:cs="宋体"/>
          <w:bCs/>
          <w:color w:val="auto"/>
          <w:highlight w:val="none"/>
        </w:rPr>
        <w:t>采购代理机构应当基于广西政府采购云平台抽（选）取评审专家。</w:t>
      </w:r>
    </w:p>
    <w:p w14:paraId="4C71F644">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27.评标的依据</w:t>
      </w:r>
    </w:p>
    <w:p w14:paraId="24D49BCE">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评标委员会以“第四章 评标方法和评标标准”为依据对投标文件进行评审，没有规定的方法、评审因素和标准，不作为评标依据。</w:t>
      </w:r>
    </w:p>
    <w:p w14:paraId="2002B6A7">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28.评标原则</w:t>
      </w:r>
    </w:p>
    <w:p w14:paraId="1730B047">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867E26E">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28.2</w:t>
      </w:r>
      <w:bookmarkStart w:id="228" w:name="_28.3评标方法。本项目将按须知前附表规定的评标办法进行评标，具体评标"/>
      <w:bookmarkEnd w:id="228"/>
      <w:r>
        <w:rPr>
          <w:rFonts w:hint="eastAsia" w:hAnsi="宋体" w:cs="宋体"/>
          <w:color w:val="auto"/>
          <w:highlight w:val="none"/>
        </w:rPr>
        <w:t>评委表决。评标委员会成员对需要共同认定的事项存在争议的，应当按照少数服从多数的原则作出结论。</w:t>
      </w:r>
    </w:p>
    <w:p w14:paraId="68A444A4">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F2E5D48">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28.4评标过程的监控。本项目电子评标过程实行网上留痕、全程录音、录像监控，</w:t>
      </w:r>
      <w:r>
        <w:rPr>
          <w:rFonts w:hint="eastAsia" w:hAnsi="宋体" w:cs="宋体"/>
          <w:b/>
          <w:color w:val="auto"/>
          <w:highlight w:val="none"/>
        </w:rPr>
        <w:t>投标人在评标过程中所进行的试图影响评标结果的不公正活动，可能导致其投标按无效处理。</w:t>
      </w:r>
    </w:p>
    <w:p w14:paraId="2A56643F">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29.评标方法及中标候选人推荐</w:t>
      </w:r>
    </w:p>
    <w:p w14:paraId="66C77C8B">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29.1本项目的评标方法详见“投标人须知前附表”。</w:t>
      </w:r>
    </w:p>
    <w:p w14:paraId="33CB3563">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29.2 商务/技术要求允许负偏离的条款数详见“投标人须知前附表”。</w:t>
      </w:r>
    </w:p>
    <w:p w14:paraId="09A61B89">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29.3 中标候选人推荐数量详见“投标人须知前附表”。</w:t>
      </w:r>
    </w:p>
    <w:p w14:paraId="2FD286BC">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29.4 电子交易活动的中止。采购过程中出现以下情形，导致电子交易平台无法正常运行，或者无法保证电子交易的公平、公正和安全时，采购代理机构可以中止电子交易活动：</w:t>
      </w:r>
    </w:p>
    <w:p w14:paraId="0447372A">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（1）电子交易平台发生故障而无法登录访问的；</w:t>
      </w:r>
    </w:p>
    <w:p w14:paraId="03C8F50C">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（2）电子交易平台应用或数据库出现错误，不能进行正常操作的；</w:t>
      </w:r>
    </w:p>
    <w:p w14:paraId="0D742804">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（3）电子交易平台发现严重安全漏洞，有潜在泄密危险的；</w:t>
      </w:r>
    </w:p>
    <w:p w14:paraId="728604EE">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（4）病毒发作导致不能进行正常操作的；</w:t>
      </w:r>
    </w:p>
    <w:p w14:paraId="3C0878F5">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（5）其他无法保证电子交易的公平、公正和安全的情况。</w:t>
      </w:r>
    </w:p>
    <w:p w14:paraId="20E1851A">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1B5546CC">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29.5出现下列情形之一的，应予废标：</w:t>
      </w:r>
    </w:p>
    <w:p w14:paraId="4B352723">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（1）符合专业条件的供应商或者对招标文件作实质响应的供应商不足三家的；</w:t>
      </w:r>
    </w:p>
    <w:p w14:paraId="112CCDE8">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（2）出现影响采购公正的违法、违规行为的；</w:t>
      </w:r>
    </w:p>
    <w:p w14:paraId="2A125AEF">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（3）投标人的报价均超过了采购预算，采购人不能支付的；</w:t>
      </w:r>
    </w:p>
    <w:p w14:paraId="5C3EA06E">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（4）因重大变故，采购任务取消的。</w:t>
      </w:r>
    </w:p>
    <w:p w14:paraId="3A1C84B2">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废标后，采购人应当将废标理由通知所有投标人。</w:t>
      </w:r>
    </w:p>
    <w:p w14:paraId="04120C2F">
      <w:pPr>
        <w:pStyle w:val="20"/>
        <w:snapToGrid w:val="0"/>
        <w:spacing w:line="360" w:lineRule="auto"/>
        <w:rPr>
          <w:rFonts w:hint="eastAsia" w:hAnsi="宋体" w:cs="宋体"/>
          <w:color w:val="auto"/>
          <w:highlight w:val="none"/>
        </w:rPr>
      </w:pPr>
    </w:p>
    <w:p w14:paraId="5EBFDD50">
      <w:pPr>
        <w:pStyle w:val="4"/>
        <w:keepNext w:val="0"/>
        <w:keepLines w:val="0"/>
        <w:jc w:val="center"/>
        <w:rPr>
          <w:rFonts w:hint="eastAsia" w:ascii="宋体" w:hAnsi="宋体" w:cs="宋体"/>
          <w:color w:val="auto"/>
          <w:highlight w:val="none"/>
        </w:rPr>
      </w:pPr>
      <w:bookmarkStart w:id="229" w:name="_Toc254970546"/>
      <w:bookmarkStart w:id="230" w:name="_Toc254970687"/>
      <w:bookmarkStart w:id="231" w:name="_Toc12517"/>
      <w:bookmarkStart w:id="232" w:name="_Toc3006"/>
      <w:r>
        <w:rPr>
          <w:rFonts w:hint="eastAsia" w:ascii="宋体" w:hAnsi="宋体" w:cs="宋体"/>
          <w:color w:val="auto"/>
          <w:highlight w:val="none"/>
        </w:rPr>
        <w:t>七、</w:t>
      </w:r>
      <w:bookmarkEnd w:id="229"/>
      <w:bookmarkEnd w:id="230"/>
      <w:r>
        <w:rPr>
          <w:rFonts w:hint="eastAsia" w:ascii="宋体" w:hAnsi="宋体" w:cs="宋体"/>
          <w:color w:val="auto"/>
          <w:highlight w:val="none"/>
        </w:rPr>
        <w:t>中标和合同</w:t>
      </w:r>
      <w:bookmarkEnd w:id="231"/>
      <w:bookmarkEnd w:id="232"/>
    </w:p>
    <w:p w14:paraId="4A8C3DE4">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30 确定中标人</w:t>
      </w:r>
    </w:p>
    <w:p w14:paraId="372DCC4E">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447F68DB">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30.2采购人在收到评标报告5个工作日内未按评标报告推荐的中标候选人顺序确定中标人，又不能说明合法理由的，视同按评标报告推荐的顺序确定排名第一的中标候选人为中标人。</w:t>
      </w:r>
    </w:p>
    <w:p w14:paraId="32C7619E">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31.结果公告</w:t>
      </w:r>
    </w:p>
    <w:p w14:paraId="5624296E">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EC78116">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以上信息查询记录及相关证据与招标文件一并保存。</w:t>
      </w:r>
    </w:p>
    <w:p w14:paraId="4088E551">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31.2中标供应商享受《政府采购促进中小企业发展管理办法》（财库〔2020〕46号）规定的中小企业扶持政策的，采购人、采购代理机构应当随中标结果公开中标供应商的《中小企业声明函》。</w:t>
      </w:r>
    </w:p>
    <w:p w14:paraId="1BC21254">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32.发出中标通知书</w:t>
      </w:r>
    </w:p>
    <w:p w14:paraId="7B69FA2F">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33AFA3D0">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33.无义务解释未中标原因</w:t>
      </w:r>
    </w:p>
    <w:p w14:paraId="74A6FC73">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采购代理机构无义务向未中标的投标人解释未中标原因。</w:t>
      </w:r>
    </w:p>
    <w:p w14:paraId="4B7CC880">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34.合同授予标准</w:t>
      </w:r>
    </w:p>
    <w:p w14:paraId="5C6D53CF">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34CB8F49">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35.履约保证金</w:t>
      </w:r>
    </w:p>
    <w:p w14:paraId="111F9F8C">
      <w:pPr>
        <w:pStyle w:val="20"/>
        <w:spacing w:line="440" w:lineRule="exact"/>
        <w:ind w:firstLine="420" w:firstLineChars="200"/>
        <w:rPr>
          <w:rFonts w:hint="eastAsia" w:hAnsi="宋体" w:cs="宋体"/>
          <w:color w:val="auto"/>
          <w:highlight w:val="none"/>
        </w:rPr>
      </w:pPr>
      <w:bookmarkStart w:id="233" w:name="_39.1中标人须于签订合同前按本须知前附表规定的金额转账或电汇到指定账"/>
      <w:bookmarkEnd w:id="233"/>
      <w:r>
        <w:rPr>
          <w:rFonts w:hint="eastAsia" w:hAnsi="宋体" w:cs="宋体"/>
          <w:color w:val="auto"/>
          <w:highlight w:val="none"/>
        </w:rPr>
        <w:t>35.1 履约保证金的金额、提交方式、缴纳期限、退付的时间和条件详见 “投标人须知前附表”。中标人未按规定提交履约保证金的，视为拒绝与采购人签订合同。</w:t>
      </w:r>
    </w:p>
    <w:p w14:paraId="04D3FB3D">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35.2在履约保证金退还日期前，若中标人的开户名称、开户银行、账号有变动的，请以书面形式通知履约保证金收取单位，否则由此产生的后果由中标人自行承担。</w:t>
      </w:r>
    </w:p>
    <w:p w14:paraId="4506DCF5">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36.签订合同</w:t>
      </w:r>
    </w:p>
    <w:p w14:paraId="0CD28A63">
      <w:pPr>
        <w:pStyle w:val="20"/>
        <w:spacing w:line="440" w:lineRule="exact"/>
        <w:ind w:firstLine="420" w:firstLineChars="200"/>
        <w:rPr>
          <w:rFonts w:hint="eastAsia" w:hAnsi="宋体" w:cs="宋体"/>
          <w:color w:val="auto"/>
          <w:highlight w:val="none"/>
        </w:rPr>
      </w:pPr>
      <w:bookmarkStart w:id="234" w:name="_40.1投标人接到中标通知书后，按须知前附表规定向采购人出示相关资格证"/>
      <w:bookmarkEnd w:id="234"/>
      <w:r>
        <w:rPr>
          <w:rFonts w:hint="eastAsia" w:hAnsi="宋体" w:cs="宋体"/>
          <w:color w:val="auto"/>
          <w:highlight w:val="none"/>
        </w:rPr>
        <w:t>36.1签订电子采购合同：中标人领取电子中标通知书后，在规定的日期、时间、地点，由法定代表人或其授权代表与采购人代表签订电子采购合同。如中标人为联合体的，由联合体成员各方法定代表人或其授权代表与采购人代表签订合同。</w:t>
      </w:r>
    </w:p>
    <w:p w14:paraId="54BA571D">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线下签订纸质合同：投标人领取中标通知书后，按“投标人须知前附表”规定向采购人出示相关证明材料，经采购人核验合格后方可签订合同。</w:t>
      </w:r>
    </w:p>
    <w:p w14:paraId="78848AEC">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36.2签订合同时间：按中标通知书规定的时间与采购人签订合同。</w:t>
      </w:r>
    </w:p>
    <w:p w14:paraId="5918A77D">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0AC9398">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8BA7FB2">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218C6614">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36.6如签订合同并生效后，供应商无故拒绝或延期，除按照合同条款处理外，将承担相应的法律责任。</w:t>
      </w:r>
    </w:p>
    <w:p w14:paraId="2886B067">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31A8BE05">
      <w:pPr>
        <w:spacing w:line="440" w:lineRule="exact"/>
        <w:ind w:firstLine="482" w:firstLineChars="200"/>
        <w:rPr>
          <w:rFonts w:hint="eastAsia" w:ascii="宋体" w:hAnsi="宋体" w:cs="宋体"/>
          <w:b/>
          <w:color w:val="auto"/>
          <w:sz w:val="24"/>
          <w:highlight w:val="none"/>
        </w:rPr>
      </w:pPr>
      <w:bookmarkStart w:id="235" w:name="_41.政府采购合同公告"/>
      <w:bookmarkEnd w:id="235"/>
      <w:r>
        <w:rPr>
          <w:rFonts w:hint="eastAsia" w:ascii="宋体" w:hAnsi="宋体" w:cs="宋体"/>
          <w:b/>
          <w:color w:val="auto"/>
          <w:sz w:val="24"/>
          <w:highlight w:val="none"/>
        </w:rPr>
        <w:t>37.政府采购合同公告</w:t>
      </w:r>
    </w:p>
    <w:p w14:paraId="5DDA78B4">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0CFC0104">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38.询问、质疑和投诉</w:t>
      </w:r>
    </w:p>
    <w:p w14:paraId="6CD10261">
      <w:pPr>
        <w:pStyle w:val="9"/>
        <w:spacing w:line="440" w:lineRule="exact"/>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个工作日内对供应商依法提出的询问作出答复，但答复的内容不得涉及商业秘密。</w:t>
      </w:r>
    </w:p>
    <w:p w14:paraId="6CAFD2EA">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6E85837E">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（1）对可以质疑的招标文件提出质疑的，为收到招标文件之日或者招标文件公告期限届满之日；</w:t>
      </w:r>
    </w:p>
    <w:p w14:paraId="3EFE891F">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（2）对采购过程提出质疑的，为各采购程序环节结束之日；</w:t>
      </w:r>
    </w:p>
    <w:p w14:paraId="515A4A85">
      <w:pPr>
        <w:pStyle w:val="20"/>
        <w:snapToGrid w:val="0"/>
        <w:spacing w:line="440" w:lineRule="exact"/>
        <w:ind w:firstLine="420" w:firstLineChars="200"/>
        <w:rPr>
          <w:rFonts w:hint="eastAsia" w:hAnsi="宋体" w:cs="宋体"/>
          <w:bCs/>
          <w:color w:val="auto"/>
          <w:highlight w:val="none"/>
        </w:rPr>
      </w:pPr>
      <w:r>
        <w:rPr>
          <w:rFonts w:hint="eastAsia" w:hAnsi="宋体" w:cs="宋体"/>
          <w:color w:val="auto"/>
          <w:highlight w:val="none"/>
        </w:rPr>
        <w:t>（3）对中标结果提出质疑的，为中标结果公告期限届满之日。</w:t>
      </w:r>
    </w:p>
    <w:p w14:paraId="57B41D6C">
      <w:pPr>
        <w:pStyle w:val="20"/>
        <w:spacing w:line="440" w:lineRule="exact"/>
        <w:ind w:firstLine="420" w:firstLineChars="200"/>
        <w:rPr>
          <w:rFonts w:hint="eastAsia" w:hAnsi="宋体" w:cs="宋体"/>
          <w:color w:val="auto"/>
          <w:highlight w:val="none"/>
        </w:rPr>
      </w:pPr>
      <w:bookmarkStart w:id="236" w:name="_9.2质疑、投诉应当采用书面形式，质疑函、投诉书均应明确阐述招标文件、"/>
      <w:bookmarkEnd w:id="236"/>
      <w:r>
        <w:rPr>
          <w:rFonts w:hint="eastAsia" w:hAnsi="宋体" w:cs="宋体"/>
          <w:color w:val="auto"/>
          <w:highlight w:val="none"/>
        </w:rPr>
        <w:t>38.3供应商提出质疑应当提交质疑函和必要的证明材料，针对同一采购程序环节的质疑必须在法定质疑期内一次性提出。质疑函应当包括下列内容（质疑函格式后附）：</w:t>
      </w:r>
    </w:p>
    <w:p w14:paraId="7A4AB5E4">
      <w:pPr>
        <w:pStyle w:val="20"/>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（1）供应商的姓名或者名称、地址、邮编、联系人及联系电话；</w:t>
      </w:r>
    </w:p>
    <w:p w14:paraId="3C4D509E">
      <w:pPr>
        <w:pStyle w:val="20"/>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（2）质疑项目的名称、编号；</w:t>
      </w:r>
    </w:p>
    <w:p w14:paraId="74422910">
      <w:pPr>
        <w:pStyle w:val="20"/>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（3）具体、明确的质疑事项和与质疑事项相关的请求；</w:t>
      </w:r>
    </w:p>
    <w:p w14:paraId="5DAD34F7">
      <w:pPr>
        <w:pStyle w:val="20"/>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（4）事实依据；</w:t>
      </w:r>
    </w:p>
    <w:p w14:paraId="6643CA0D">
      <w:pPr>
        <w:pStyle w:val="20"/>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（5）必要的法律依据；</w:t>
      </w:r>
    </w:p>
    <w:p w14:paraId="5F759600">
      <w:pPr>
        <w:pStyle w:val="20"/>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（6）提出质疑的日期。</w:t>
      </w:r>
    </w:p>
    <w:p w14:paraId="14D55B01">
      <w:pPr>
        <w:pStyle w:val="20"/>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供应商为自然人的，应当由本人签字；供应商为法人或者其他组织的，应当由法定代表人、主要负责人，或者其委托代理人签字或者盖章，并加盖公章。</w:t>
      </w:r>
    </w:p>
    <w:p w14:paraId="29B94BB9">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38.4采购人、采购代理机构认为供应商质疑不成立，或者成立但未对中标结果构成影响的，继续开展采购活动；认为供应商质疑成立且影响或者可能影响中标结果的，按照下列情况处理：</w:t>
      </w:r>
    </w:p>
    <w:p w14:paraId="342D021F">
      <w:pPr>
        <w:pStyle w:val="20"/>
        <w:snapToGrid w:val="0"/>
        <w:spacing w:line="440" w:lineRule="exact"/>
        <w:rPr>
          <w:rFonts w:hint="eastAsia" w:hAnsi="宋体" w:cs="宋体"/>
          <w:bCs/>
          <w:color w:val="auto"/>
          <w:highlight w:val="none"/>
        </w:rPr>
      </w:pPr>
      <w:r>
        <w:rPr>
          <w:rFonts w:hint="eastAsia"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40F79831">
      <w:pPr>
        <w:pStyle w:val="20"/>
        <w:snapToGrid w:val="0"/>
        <w:spacing w:line="440" w:lineRule="exact"/>
        <w:rPr>
          <w:rFonts w:hint="eastAsia" w:hAnsi="宋体" w:cs="宋体"/>
          <w:bCs/>
          <w:color w:val="auto"/>
          <w:highlight w:val="none"/>
        </w:rPr>
      </w:pPr>
      <w:r>
        <w:rPr>
          <w:rFonts w:hint="eastAsia"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3FCBE13F">
      <w:pPr>
        <w:pStyle w:val="20"/>
        <w:snapToGrid w:val="0"/>
        <w:spacing w:line="440" w:lineRule="exact"/>
        <w:ind w:firstLine="420"/>
        <w:rPr>
          <w:rFonts w:hint="eastAsia" w:hAnsi="宋体" w:cs="宋体"/>
          <w:bCs/>
          <w:color w:val="auto"/>
          <w:highlight w:val="none"/>
        </w:rPr>
      </w:pPr>
      <w:r>
        <w:rPr>
          <w:rFonts w:hint="eastAsia" w:hAnsi="宋体" w:cs="宋体"/>
          <w:bCs/>
          <w:color w:val="auto"/>
          <w:highlight w:val="none"/>
        </w:rPr>
        <w:t>质疑答复导致中标结果改变的，采购人或者采购代理机构应当将有关情况书面报告本级财政部门。</w:t>
      </w:r>
    </w:p>
    <w:p w14:paraId="51CDA834">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5675C34">
      <w:pPr>
        <w:pStyle w:val="4"/>
        <w:keepNext w:val="0"/>
        <w:keepLines w:val="0"/>
        <w:spacing w:before="240" w:after="240" w:line="415" w:lineRule="auto"/>
        <w:jc w:val="center"/>
        <w:rPr>
          <w:rFonts w:hint="eastAsia" w:ascii="宋体" w:hAnsi="宋体" w:cs="宋体"/>
          <w:color w:val="auto"/>
          <w:highlight w:val="none"/>
        </w:rPr>
      </w:pPr>
      <w:bookmarkStart w:id="237" w:name="_八、其他事项"/>
      <w:bookmarkEnd w:id="237"/>
      <w:bookmarkStart w:id="238" w:name="_Toc24956"/>
      <w:bookmarkStart w:id="239" w:name="_Toc17072"/>
      <w:r>
        <w:rPr>
          <w:rFonts w:hint="eastAsia" w:ascii="宋体" w:hAnsi="宋体" w:cs="宋体"/>
          <w:color w:val="auto"/>
          <w:highlight w:val="none"/>
        </w:rPr>
        <w:t>八、其他事项</w:t>
      </w:r>
      <w:bookmarkEnd w:id="238"/>
      <w:bookmarkEnd w:id="239"/>
    </w:p>
    <w:p w14:paraId="0B179FC8">
      <w:pPr>
        <w:spacing w:line="440" w:lineRule="exact"/>
        <w:ind w:firstLine="482" w:firstLineChars="200"/>
        <w:rPr>
          <w:rFonts w:hint="eastAsia" w:ascii="宋体" w:hAnsi="宋体" w:cs="宋体"/>
          <w:b/>
          <w:color w:val="auto"/>
          <w:sz w:val="24"/>
          <w:highlight w:val="none"/>
        </w:rPr>
      </w:pPr>
      <w:bookmarkStart w:id="240" w:name="_42.代理服务费"/>
      <w:bookmarkEnd w:id="240"/>
      <w:r>
        <w:rPr>
          <w:rFonts w:hint="eastAsia" w:ascii="宋体" w:hAnsi="宋体" w:cs="宋体"/>
          <w:b/>
          <w:color w:val="auto"/>
          <w:sz w:val="24"/>
          <w:highlight w:val="none"/>
        </w:rPr>
        <w:t>39.代理服务费</w:t>
      </w:r>
    </w:p>
    <w:p w14:paraId="60BF9A96">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39.1代理服务费收取标准参照国家发展计划委员会《招标代理服务费管理暂行办法》（计价格（2002）1980号、《国家发展改革委关于降低部分建设项目收费标准规范收费行为等有关问题的通知》（发改价格[2011]534号）收费标准（服务类）向供应商收取，供应商为联合体的，可以由联合体中的一方或者多方共同交纳代理服务费。代理服务费缴费账户详见“投标人须知前附表”。</w:t>
      </w:r>
    </w:p>
    <w:p w14:paraId="3C55F067">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代理服务费收取标准附表：</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9"/>
        <w:gridCol w:w="1720"/>
        <w:gridCol w:w="1749"/>
        <w:gridCol w:w="1454"/>
      </w:tblGrid>
      <w:tr w14:paraId="155D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tcBorders>
              <w:tl2br w:val="single" w:color="auto" w:sz="4" w:space="0"/>
            </w:tcBorders>
            <w:noWrap w:val="0"/>
            <w:vAlign w:val="center"/>
          </w:tcPr>
          <w:p w14:paraId="3855791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费率</w:t>
            </w:r>
          </w:p>
          <w:p w14:paraId="3179B5F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中标金额</w:t>
            </w:r>
          </w:p>
        </w:tc>
        <w:tc>
          <w:tcPr>
            <w:tcW w:w="1009" w:type="pct"/>
            <w:noWrap w:val="0"/>
            <w:vAlign w:val="center"/>
          </w:tcPr>
          <w:p w14:paraId="66E67C78">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货物招标</w:t>
            </w:r>
          </w:p>
        </w:tc>
        <w:tc>
          <w:tcPr>
            <w:tcW w:w="1026" w:type="pct"/>
            <w:noWrap w:val="0"/>
            <w:vAlign w:val="center"/>
          </w:tcPr>
          <w:p w14:paraId="50A8D3A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服务招标</w:t>
            </w:r>
          </w:p>
        </w:tc>
        <w:tc>
          <w:tcPr>
            <w:tcW w:w="853" w:type="pct"/>
            <w:noWrap w:val="0"/>
            <w:vAlign w:val="center"/>
          </w:tcPr>
          <w:p w14:paraId="0FAC6741">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工程招标</w:t>
            </w:r>
          </w:p>
        </w:tc>
      </w:tr>
      <w:tr w14:paraId="3014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5B6C779">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009" w:type="pct"/>
            <w:noWrap w:val="0"/>
            <w:vAlign w:val="center"/>
          </w:tcPr>
          <w:p w14:paraId="2828498D">
            <w:pPr>
              <w:spacing w:line="4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026" w:type="pct"/>
            <w:noWrap w:val="0"/>
            <w:vAlign w:val="center"/>
          </w:tcPr>
          <w:p w14:paraId="483F3A80">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853" w:type="pct"/>
            <w:noWrap w:val="0"/>
            <w:vAlign w:val="center"/>
          </w:tcPr>
          <w:p w14:paraId="3A9B9FE2">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1.0%</w:t>
            </w:r>
          </w:p>
        </w:tc>
      </w:tr>
      <w:tr w14:paraId="4F37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44C8A4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100万元～500万元</w:t>
            </w:r>
          </w:p>
        </w:tc>
        <w:tc>
          <w:tcPr>
            <w:tcW w:w="1009" w:type="pct"/>
            <w:noWrap w:val="0"/>
            <w:vAlign w:val="center"/>
          </w:tcPr>
          <w:p w14:paraId="2E573620">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1.1%</w:t>
            </w:r>
          </w:p>
        </w:tc>
        <w:tc>
          <w:tcPr>
            <w:tcW w:w="1026" w:type="pct"/>
            <w:noWrap w:val="0"/>
            <w:vAlign w:val="center"/>
          </w:tcPr>
          <w:p w14:paraId="7808A47F">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853" w:type="pct"/>
            <w:noWrap w:val="0"/>
            <w:vAlign w:val="center"/>
          </w:tcPr>
          <w:p w14:paraId="4055DE12">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0.7%</w:t>
            </w:r>
          </w:p>
        </w:tc>
      </w:tr>
      <w:tr w14:paraId="2FBB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01DC76E9">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500万元～1000万元</w:t>
            </w:r>
          </w:p>
        </w:tc>
        <w:tc>
          <w:tcPr>
            <w:tcW w:w="1009" w:type="pct"/>
            <w:noWrap w:val="0"/>
            <w:vAlign w:val="center"/>
          </w:tcPr>
          <w:p w14:paraId="717B8B1C">
            <w:pPr>
              <w:spacing w:line="4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026" w:type="pct"/>
            <w:noWrap w:val="0"/>
            <w:vAlign w:val="center"/>
          </w:tcPr>
          <w:p w14:paraId="476B6699">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853" w:type="pct"/>
            <w:noWrap w:val="0"/>
            <w:vAlign w:val="center"/>
          </w:tcPr>
          <w:p w14:paraId="4632C5A8">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7D97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001E5D96">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1000万元～5000万元</w:t>
            </w:r>
          </w:p>
        </w:tc>
        <w:tc>
          <w:tcPr>
            <w:tcW w:w="1009" w:type="pct"/>
            <w:noWrap w:val="0"/>
            <w:vAlign w:val="center"/>
          </w:tcPr>
          <w:p w14:paraId="6FFD547B">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0.5%</w:t>
            </w:r>
          </w:p>
        </w:tc>
        <w:tc>
          <w:tcPr>
            <w:tcW w:w="1026" w:type="pct"/>
            <w:noWrap w:val="0"/>
            <w:vAlign w:val="center"/>
          </w:tcPr>
          <w:p w14:paraId="303FCC84">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853" w:type="pct"/>
            <w:noWrap w:val="0"/>
            <w:vAlign w:val="center"/>
          </w:tcPr>
          <w:p w14:paraId="46D590AB">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0.35%</w:t>
            </w:r>
          </w:p>
        </w:tc>
      </w:tr>
      <w:tr w14:paraId="791A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78050D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009" w:type="pct"/>
            <w:noWrap w:val="0"/>
            <w:vAlign w:val="center"/>
          </w:tcPr>
          <w:p w14:paraId="58AAFC81">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026" w:type="pct"/>
            <w:noWrap w:val="0"/>
            <w:vAlign w:val="center"/>
          </w:tcPr>
          <w:p w14:paraId="453788DF">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853" w:type="pct"/>
            <w:noWrap w:val="0"/>
            <w:vAlign w:val="center"/>
          </w:tcPr>
          <w:p w14:paraId="57B04301">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2FB7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4078C12">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1亿元～5亿元</w:t>
            </w:r>
          </w:p>
        </w:tc>
        <w:tc>
          <w:tcPr>
            <w:tcW w:w="1009" w:type="pct"/>
            <w:noWrap w:val="0"/>
            <w:vAlign w:val="center"/>
          </w:tcPr>
          <w:p w14:paraId="70498A00">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0.05%</w:t>
            </w:r>
          </w:p>
        </w:tc>
        <w:tc>
          <w:tcPr>
            <w:tcW w:w="1026" w:type="pct"/>
            <w:noWrap w:val="0"/>
            <w:vAlign w:val="center"/>
          </w:tcPr>
          <w:p w14:paraId="457FFF6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0.05%</w:t>
            </w:r>
          </w:p>
        </w:tc>
        <w:tc>
          <w:tcPr>
            <w:tcW w:w="853" w:type="pct"/>
            <w:noWrap w:val="0"/>
            <w:vAlign w:val="center"/>
          </w:tcPr>
          <w:p w14:paraId="68B5BAC9">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0.05%</w:t>
            </w:r>
          </w:p>
        </w:tc>
      </w:tr>
      <w:tr w14:paraId="15EF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12854A6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5亿元～10亿元</w:t>
            </w:r>
          </w:p>
        </w:tc>
        <w:tc>
          <w:tcPr>
            <w:tcW w:w="1009" w:type="pct"/>
            <w:noWrap w:val="0"/>
            <w:vAlign w:val="center"/>
          </w:tcPr>
          <w:p w14:paraId="566D809C">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026" w:type="pct"/>
            <w:noWrap w:val="0"/>
            <w:vAlign w:val="center"/>
          </w:tcPr>
          <w:p w14:paraId="4674464A">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0.035%</w:t>
            </w:r>
          </w:p>
        </w:tc>
        <w:tc>
          <w:tcPr>
            <w:tcW w:w="853" w:type="pct"/>
            <w:noWrap w:val="0"/>
            <w:vAlign w:val="center"/>
          </w:tcPr>
          <w:p w14:paraId="2BFF2FC8">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0.035%</w:t>
            </w:r>
          </w:p>
        </w:tc>
      </w:tr>
      <w:tr w14:paraId="170D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1E435A8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10亿元～50亿元</w:t>
            </w:r>
          </w:p>
        </w:tc>
        <w:tc>
          <w:tcPr>
            <w:tcW w:w="1009" w:type="pct"/>
            <w:noWrap w:val="0"/>
            <w:vAlign w:val="center"/>
          </w:tcPr>
          <w:p w14:paraId="733B7D80">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026" w:type="pct"/>
            <w:noWrap w:val="0"/>
            <w:vAlign w:val="center"/>
          </w:tcPr>
          <w:p w14:paraId="5846888D">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c>
          <w:tcPr>
            <w:tcW w:w="853" w:type="pct"/>
            <w:noWrap w:val="0"/>
            <w:vAlign w:val="center"/>
          </w:tcPr>
          <w:p w14:paraId="02050C7F">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0.008%</w:t>
            </w:r>
          </w:p>
        </w:tc>
      </w:tr>
      <w:tr w14:paraId="7999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12AA4EE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50亿元～100亿元</w:t>
            </w:r>
          </w:p>
        </w:tc>
        <w:tc>
          <w:tcPr>
            <w:tcW w:w="1009" w:type="pct"/>
            <w:noWrap w:val="0"/>
            <w:vAlign w:val="center"/>
          </w:tcPr>
          <w:p w14:paraId="3E224CE9">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026" w:type="pct"/>
            <w:noWrap w:val="0"/>
            <w:vAlign w:val="center"/>
          </w:tcPr>
          <w:p w14:paraId="640B8B9E">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0.006%</w:t>
            </w:r>
          </w:p>
        </w:tc>
        <w:tc>
          <w:tcPr>
            <w:tcW w:w="853" w:type="pct"/>
            <w:noWrap w:val="0"/>
            <w:vAlign w:val="center"/>
          </w:tcPr>
          <w:p w14:paraId="3E933AD7">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0.006%</w:t>
            </w:r>
          </w:p>
        </w:tc>
      </w:tr>
      <w:tr w14:paraId="0C9E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76362BFF">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009" w:type="pct"/>
            <w:noWrap w:val="0"/>
            <w:vAlign w:val="center"/>
          </w:tcPr>
          <w:p w14:paraId="1C4CEEBF">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026" w:type="pct"/>
            <w:noWrap w:val="0"/>
            <w:vAlign w:val="center"/>
          </w:tcPr>
          <w:p w14:paraId="5B9AC783">
            <w:pPr>
              <w:spacing w:line="440" w:lineRule="exact"/>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0.004%</w:t>
            </w:r>
          </w:p>
        </w:tc>
        <w:tc>
          <w:tcPr>
            <w:tcW w:w="853" w:type="pct"/>
            <w:noWrap w:val="0"/>
            <w:vAlign w:val="center"/>
          </w:tcPr>
          <w:p w14:paraId="2729CFBC">
            <w:pPr>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3AE66F9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375FA22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3549DAE7">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6AC8B45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例如：某服务采购代理业务中标金额或者暂定价为200万元，计算采购代理收费额如下：</w:t>
      </w:r>
    </w:p>
    <w:p w14:paraId="33AE94A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100 万元×l.5 %＝ 1.5 万元</w:t>
      </w:r>
    </w:p>
    <w:p w14:paraId="152B7DC7">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（200－100）万元 ×0.8%＝0.8万元</w:t>
      </w:r>
    </w:p>
    <w:p w14:paraId="0BD2414D">
      <w:pPr>
        <w:pStyle w:val="20"/>
        <w:snapToGrid w:val="0"/>
        <w:spacing w:line="440" w:lineRule="exact"/>
        <w:ind w:firstLine="420" w:firstLineChars="200"/>
        <w:rPr>
          <w:rFonts w:hint="eastAsia" w:hAnsi="宋体" w:cs="宋体"/>
          <w:color w:val="auto"/>
          <w:highlight w:val="none"/>
        </w:rPr>
      </w:pPr>
      <w:r>
        <w:rPr>
          <w:rFonts w:hint="eastAsia" w:hAnsi="宋体" w:cs="宋体"/>
          <w:color w:val="auto"/>
          <w:highlight w:val="none"/>
        </w:rPr>
        <w:t>合计收费＝ 1.5+0.8＝ 2.3（万元）</w:t>
      </w:r>
    </w:p>
    <w:p w14:paraId="0E906CFF">
      <w:pPr>
        <w:spacing w:line="44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40. 需要补充的其他内容</w:t>
      </w:r>
    </w:p>
    <w:p w14:paraId="49DE35F8">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40.1本招标文件解释规则详见“投标人须知前附表”。</w:t>
      </w:r>
    </w:p>
    <w:p w14:paraId="4170CA0A">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40.2 其他事项详见“投标人须知前附表”。</w:t>
      </w:r>
    </w:p>
    <w:p w14:paraId="6D58E334">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2775A71">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（1）在货物采购项目中，货物由中小企业制造，即货物由中小企业生产且使用该中小企业商号或者注册商标，不对其中涉及的工程承建商和服务的承接商作出要求；</w:t>
      </w:r>
    </w:p>
    <w:p w14:paraId="1F3B29E3">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（2）在工程采购项目中，工程由中小企业承建，即工程施工单位为中小企业，不对其中涉及的货物的制造商和服务的承接商作出要求；</w:t>
      </w:r>
    </w:p>
    <w:p w14:paraId="3AC7B177">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C385E0D">
      <w:pPr>
        <w:pStyle w:val="20"/>
        <w:spacing w:line="440" w:lineRule="exact"/>
        <w:ind w:firstLine="420" w:firstLineChars="200"/>
        <w:rPr>
          <w:rFonts w:hint="eastAsia" w:hAnsi="宋体" w:cs="宋体"/>
          <w:color w:val="auto"/>
          <w:highlight w:val="none"/>
        </w:rPr>
      </w:pPr>
      <w:r>
        <w:rPr>
          <w:rFonts w:hint="eastAsia" w:hAnsi="宋体" w:cs="宋体"/>
          <w:color w:val="auto"/>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5D583CB5">
      <w:pPr>
        <w:pStyle w:val="20"/>
        <w:spacing w:line="440" w:lineRule="exact"/>
        <w:ind w:firstLine="420" w:firstLineChars="200"/>
        <w:rPr>
          <w:rFonts w:hAnsi="宋体" w:cs="宋体"/>
          <w:color w:val="auto"/>
          <w:highlight w:val="none"/>
        </w:rPr>
      </w:pPr>
      <w:r>
        <w:rPr>
          <w:rFonts w:hint="eastAsia" w:hAnsi="宋体" w:cs="宋体"/>
          <w:color w:val="auto"/>
          <w:highlight w:val="none"/>
        </w:rPr>
        <w:t>依据本招标文件规定享受扶持政策获得政府采购合同的，小微企业不得将合同分包给大中型企业，中型企业不得将合同分包给大型企业。</w:t>
      </w:r>
    </w:p>
    <w:p w14:paraId="0A14E831">
      <w:pPr>
        <w:pStyle w:val="15"/>
        <w:spacing w:line="360" w:lineRule="auto"/>
        <w:rPr>
          <w:rFonts w:hint="eastAsia" w:ascii="宋体" w:hAnsi="宋体" w:cs="宋体"/>
          <w:color w:val="auto"/>
          <w:highlight w:val="none"/>
        </w:rPr>
      </w:pPr>
      <w:r>
        <w:rPr>
          <w:color w:val="auto"/>
          <w:highlight w:val="none"/>
        </w:rPr>
        <w:br w:type="page"/>
      </w:r>
      <w:r>
        <w:rPr>
          <w:rFonts w:hint="eastAsia" w:ascii="宋体" w:hAnsi="宋体" w:cs="宋体"/>
          <w:b/>
          <w:bCs/>
          <w:color w:val="auto"/>
          <w:sz w:val="36"/>
          <w:szCs w:val="36"/>
          <w:highlight w:val="none"/>
        </w:rPr>
        <w:t>附件1：</w:t>
      </w:r>
    </w:p>
    <w:p w14:paraId="4011FF8D">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广西壮族自治区政府采购项目合同验收书</w:t>
      </w:r>
    </w:p>
    <w:p w14:paraId="3FC02BC1">
      <w:pPr>
        <w:widowControl/>
        <w:shd w:val="clear" w:color="auto" w:fill="FFFFFF"/>
        <w:spacing w:line="360" w:lineRule="auto"/>
        <w:jc w:val="center"/>
        <w:rPr>
          <w:rFonts w:hint="eastAsia" w:ascii="宋体" w:hAnsi="宋体" w:cs="宋体"/>
          <w:color w:val="auto"/>
          <w:kern w:val="0"/>
          <w:sz w:val="32"/>
          <w:szCs w:val="32"/>
          <w:highlight w:val="none"/>
        </w:rPr>
      </w:pPr>
      <w:r>
        <w:rPr>
          <w:rFonts w:hint="eastAsia" w:ascii="宋体" w:hAnsi="宋体" w:cs="宋体"/>
          <w:color w:val="auto"/>
          <w:kern w:val="0"/>
          <w:sz w:val="32"/>
          <w:szCs w:val="32"/>
          <w:highlight w:val="none"/>
        </w:rPr>
        <w:t>（格式）</w:t>
      </w:r>
    </w:p>
    <w:p w14:paraId="47F0E871">
      <w:pPr>
        <w:keepNext w:val="0"/>
        <w:keepLines w:val="0"/>
        <w:pageBreakBefore w:val="0"/>
        <w:widowControl/>
        <w:shd w:val="clear" w:color="auto" w:fill="FFFFFF"/>
        <w:kinsoku/>
        <w:wordWrap/>
        <w:overflowPunct/>
        <w:topLinePunct w:val="0"/>
        <w:autoSpaceDE/>
        <w:autoSpaceDN/>
        <w:bidi w:val="0"/>
        <w:adjustRightInd/>
        <w:snapToGrid w:val="0"/>
        <w:spacing w:line="400" w:lineRule="exact"/>
        <w:ind w:firstLine="480"/>
        <w:jc w:val="left"/>
        <w:textAlignment w:val="auto"/>
        <w:rPr>
          <w:rFonts w:hint="eastAsia" w:ascii="宋体" w:hAnsi="宋体" w:cs="宋体"/>
          <w:color w:val="auto"/>
          <w:kern w:val="0"/>
          <w:szCs w:val="21"/>
          <w:highlight w:val="none"/>
        </w:rPr>
      </w:pPr>
      <w:r>
        <w:rPr>
          <w:rFonts w:hint="eastAsia" w:ascii="宋体" w:hAnsi="宋体" w:cs="宋体"/>
          <w:color w:val="auto"/>
          <w:kern w:val="0"/>
          <w:highlight w:val="none"/>
        </w:rPr>
        <w:t>根据政府采购项目（</w:t>
      </w:r>
      <w:r>
        <w:rPr>
          <w:rFonts w:hint="eastAsia" w:ascii="宋体" w:hAnsi="宋体" w:cs="宋体"/>
          <w:color w:val="auto"/>
          <w:kern w:val="0"/>
          <w:highlight w:val="none"/>
          <w:u w:val="single"/>
        </w:rPr>
        <w:t>采购合同编号：</w:t>
      </w:r>
      <w:r>
        <w:rPr>
          <w:rFonts w:hint="eastAsia" w:ascii="宋体" w:hAnsi="宋体" w:cs="宋体"/>
          <w:color w:val="auto"/>
          <w:kern w:val="0"/>
          <w:highlight w:val="none"/>
          <w:u w:val="single"/>
        </w:rPr>
        <w:softHyphen/>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）的约定，我单位对（</w:t>
      </w:r>
      <w:r>
        <w:rPr>
          <w:rFonts w:hint="eastAsia" w:ascii="宋体" w:hAnsi="宋体" w:cs="宋体"/>
          <w:color w:val="auto"/>
          <w:kern w:val="0"/>
          <w:highlight w:val="none"/>
          <w:u w:val="single"/>
        </w:rPr>
        <w:t xml:space="preserve"> 项目名称 </w:t>
      </w:r>
      <w:r>
        <w:rPr>
          <w:rFonts w:hint="eastAsia" w:ascii="宋体" w:hAnsi="宋体" w:cs="宋体"/>
          <w:color w:val="auto"/>
          <w:kern w:val="0"/>
          <w:highlight w:val="none"/>
        </w:rPr>
        <w:t>） 政府采购项目中标（或成交）供应商（</w:t>
      </w:r>
      <w:r>
        <w:rPr>
          <w:rFonts w:hint="eastAsia" w:ascii="宋体" w:hAnsi="宋体" w:cs="宋体"/>
          <w:color w:val="auto"/>
          <w:kern w:val="0"/>
          <w:highlight w:val="none"/>
          <w:u w:val="single"/>
        </w:rPr>
        <w:t xml:space="preserve"> 公司名称 </w:t>
      </w:r>
      <w:r>
        <w:rPr>
          <w:rFonts w:hint="eastAsia" w:ascii="宋体" w:hAnsi="宋体" w:cs="宋体"/>
          <w:color w:val="auto"/>
          <w:kern w:val="0"/>
          <w:highlight w:val="none"/>
        </w:rPr>
        <w:t>） 提供的货物（或工程、服务）进行了验收，验收情况如下：</w:t>
      </w:r>
    </w:p>
    <w:tbl>
      <w:tblPr>
        <w:tblStyle w:val="38"/>
        <w:tblW w:w="9371" w:type="dxa"/>
        <w:jc w:val="center"/>
        <w:tblLayout w:type="fixed"/>
        <w:tblCellMar>
          <w:top w:w="0" w:type="dxa"/>
          <w:left w:w="0" w:type="dxa"/>
          <w:bottom w:w="0" w:type="dxa"/>
          <w:right w:w="0" w:type="dxa"/>
        </w:tblCellMar>
      </w:tblPr>
      <w:tblGrid>
        <w:gridCol w:w="1486"/>
        <w:gridCol w:w="1766"/>
        <w:gridCol w:w="798"/>
        <w:gridCol w:w="102"/>
        <w:gridCol w:w="2002"/>
        <w:gridCol w:w="178"/>
        <w:gridCol w:w="685"/>
        <w:gridCol w:w="2354"/>
      </w:tblGrid>
      <w:tr w14:paraId="422B1A75">
        <w:tblPrEx>
          <w:tblCellMar>
            <w:top w:w="0" w:type="dxa"/>
            <w:left w:w="0" w:type="dxa"/>
            <w:bottom w:w="0" w:type="dxa"/>
            <w:right w:w="0" w:type="dxa"/>
          </w:tblCellMar>
        </w:tblPrEx>
        <w:trPr>
          <w:trHeight w:val="382"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387C8BC3">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4BA5CF4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80"/>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□自行验收 □委托验收</w:t>
            </w:r>
          </w:p>
        </w:tc>
      </w:tr>
      <w:tr w14:paraId="0675E06B">
        <w:tblPrEx>
          <w:tblCellMar>
            <w:top w:w="0" w:type="dxa"/>
            <w:left w:w="0" w:type="dxa"/>
            <w:bottom w:w="0" w:type="dxa"/>
            <w:right w:w="0" w:type="dxa"/>
          </w:tblCellMar>
        </w:tblPrEx>
        <w:trPr>
          <w:trHeight w:val="622" w:hRule="atLeast"/>
          <w:jc w:val="center"/>
        </w:trPr>
        <w:tc>
          <w:tcPr>
            <w:tcW w:w="1486" w:type="dxa"/>
            <w:tcBorders>
              <w:top w:val="nil"/>
              <w:left w:val="single" w:color="auto" w:sz="8" w:space="0"/>
              <w:bottom w:val="single" w:color="auto" w:sz="8" w:space="0"/>
              <w:right w:val="single" w:color="auto" w:sz="8" w:space="0"/>
            </w:tcBorders>
            <w:noWrap w:val="0"/>
            <w:vAlign w:val="center"/>
          </w:tcPr>
          <w:p w14:paraId="2C865EC1">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序号</w:t>
            </w:r>
          </w:p>
        </w:tc>
        <w:tc>
          <w:tcPr>
            <w:tcW w:w="1766" w:type="dxa"/>
            <w:tcBorders>
              <w:top w:val="nil"/>
              <w:left w:val="nil"/>
              <w:bottom w:val="single" w:color="auto" w:sz="8" w:space="0"/>
              <w:right w:val="single" w:color="auto" w:sz="8" w:space="0"/>
            </w:tcBorders>
            <w:noWrap w:val="0"/>
            <w:vAlign w:val="center"/>
          </w:tcPr>
          <w:p w14:paraId="337FDBBC">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5F8DC27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7D6AA889">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数量</w:t>
            </w:r>
          </w:p>
        </w:tc>
        <w:tc>
          <w:tcPr>
            <w:tcW w:w="2354" w:type="dxa"/>
            <w:tcBorders>
              <w:top w:val="nil"/>
              <w:left w:val="nil"/>
              <w:bottom w:val="single" w:color="auto" w:sz="8" w:space="0"/>
              <w:right w:val="single" w:color="auto" w:sz="8" w:space="0"/>
            </w:tcBorders>
            <w:noWrap w:val="0"/>
            <w:vAlign w:val="center"/>
          </w:tcPr>
          <w:p w14:paraId="5429D245">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金 额</w:t>
            </w:r>
          </w:p>
        </w:tc>
      </w:tr>
      <w:tr w14:paraId="7CF32E99">
        <w:tblPrEx>
          <w:tblCellMar>
            <w:top w:w="0" w:type="dxa"/>
            <w:left w:w="0" w:type="dxa"/>
            <w:bottom w:w="0" w:type="dxa"/>
            <w:right w:w="0" w:type="dxa"/>
          </w:tblCellMar>
        </w:tblPrEx>
        <w:trPr>
          <w:trHeight w:val="487" w:hRule="atLeast"/>
          <w:jc w:val="center"/>
        </w:trPr>
        <w:tc>
          <w:tcPr>
            <w:tcW w:w="1486" w:type="dxa"/>
            <w:tcBorders>
              <w:top w:val="nil"/>
              <w:left w:val="single" w:color="auto" w:sz="8" w:space="0"/>
              <w:bottom w:val="single" w:color="auto" w:sz="8" w:space="0"/>
              <w:right w:val="single" w:color="auto" w:sz="8" w:space="0"/>
            </w:tcBorders>
            <w:noWrap w:val="0"/>
            <w:vAlign w:val="center"/>
          </w:tcPr>
          <w:p w14:paraId="3E90BA6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1766" w:type="dxa"/>
            <w:tcBorders>
              <w:top w:val="nil"/>
              <w:left w:val="nil"/>
              <w:bottom w:val="single" w:color="auto" w:sz="8" w:space="0"/>
              <w:right w:val="single" w:color="auto" w:sz="8" w:space="0"/>
            </w:tcBorders>
            <w:noWrap w:val="0"/>
            <w:vAlign w:val="center"/>
          </w:tcPr>
          <w:p w14:paraId="58C29643">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902" w:type="dxa"/>
            <w:gridSpan w:val="3"/>
            <w:tcBorders>
              <w:top w:val="nil"/>
              <w:left w:val="nil"/>
              <w:bottom w:val="single" w:color="auto" w:sz="8" w:space="0"/>
              <w:right w:val="single" w:color="auto" w:sz="8" w:space="0"/>
            </w:tcBorders>
            <w:noWrap w:val="0"/>
            <w:vAlign w:val="center"/>
          </w:tcPr>
          <w:p w14:paraId="1FBC7146">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863" w:type="dxa"/>
            <w:gridSpan w:val="2"/>
            <w:tcBorders>
              <w:top w:val="nil"/>
              <w:left w:val="nil"/>
              <w:bottom w:val="single" w:color="auto" w:sz="8" w:space="0"/>
              <w:right w:val="single" w:color="auto" w:sz="8" w:space="0"/>
            </w:tcBorders>
            <w:noWrap w:val="0"/>
            <w:vAlign w:val="center"/>
          </w:tcPr>
          <w:p w14:paraId="02788C9B">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51707CE6">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6FF937A5">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490A2B5C">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 计</w:t>
            </w:r>
          </w:p>
        </w:tc>
        <w:tc>
          <w:tcPr>
            <w:tcW w:w="863" w:type="dxa"/>
            <w:gridSpan w:val="2"/>
            <w:tcBorders>
              <w:top w:val="nil"/>
              <w:left w:val="nil"/>
              <w:bottom w:val="single" w:color="auto" w:sz="8" w:space="0"/>
              <w:right w:val="single" w:color="auto" w:sz="8" w:space="0"/>
            </w:tcBorders>
            <w:noWrap w:val="0"/>
            <w:vAlign w:val="center"/>
          </w:tcPr>
          <w:p w14:paraId="4F4F42FD">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68695738">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60795D46">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3AB2B0DC">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合计大写金额： 仟 佰 拾 万 仟 佰 拾 元</w:t>
            </w:r>
          </w:p>
        </w:tc>
      </w:tr>
      <w:tr w14:paraId="26D3BCF7">
        <w:tblPrEx>
          <w:tblCellMar>
            <w:top w:w="0" w:type="dxa"/>
            <w:left w:w="0" w:type="dxa"/>
            <w:bottom w:w="0" w:type="dxa"/>
            <w:right w:w="0" w:type="dxa"/>
          </w:tblCellMar>
        </w:tblPrEx>
        <w:trPr>
          <w:trHeight w:val="491" w:hRule="atLeast"/>
          <w:jc w:val="center"/>
        </w:trPr>
        <w:tc>
          <w:tcPr>
            <w:tcW w:w="1486" w:type="dxa"/>
            <w:tcBorders>
              <w:top w:val="nil"/>
              <w:left w:val="single" w:color="auto" w:sz="8" w:space="0"/>
              <w:bottom w:val="single" w:color="auto" w:sz="8" w:space="0"/>
              <w:right w:val="single" w:color="auto" w:sz="8" w:space="0"/>
            </w:tcBorders>
            <w:noWrap w:val="0"/>
            <w:vAlign w:val="center"/>
          </w:tcPr>
          <w:p w14:paraId="3A9FEBB9">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实际供货日期</w:t>
            </w:r>
          </w:p>
        </w:tc>
        <w:tc>
          <w:tcPr>
            <w:tcW w:w="2564" w:type="dxa"/>
            <w:gridSpan w:val="2"/>
            <w:tcBorders>
              <w:top w:val="nil"/>
              <w:left w:val="nil"/>
              <w:bottom w:val="single" w:color="auto" w:sz="8" w:space="0"/>
              <w:right w:val="single" w:color="auto" w:sz="8" w:space="0"/>
            </w:tcBorders>
            <w:noWrap w:val="0"/>
            <w:vAlign w:val="center"/>
          </w:tcPr>
          <w:p w14:paraId="379A1E3A">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277DECFC">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6"/>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690E413F">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3795A30B">
        <w:tblPrEx>
          <w:tblCellMar>
            <w:top w:w="0" w:type="dxa"/>
            <w:left w:w="0" w:type="dxa"/>
            <w:bottom w:w="0" w:type="dxa"/>
            <w:right w:w="0" w:type="dxa"/>
          </w:tblCellMar>
        </w:tblPrEx>
        <w:trPr>
          <w:trHeight w:val="394" w:hRule="atLeast"/>
          <w:jc w:val="center"/>
        </w:trPr>
        <w:tc>
          <w:tcPr>
            <w:tcW w:w="1486" w:type="dxa"/>
            <w:tcBorders>
              <w:top w:val="nil"/>
              <w:left w:val="single" w:color="auto" w:sz="8" w:space="0"/>
              <w:bottom w:val="single" w:color="auto" w:sz="8" w:space="0"/>
              <w:right w:val="single" w:color="auto" w:sz="8" w:space="0"/>
            </w:tcBorders>
            <w:noWrap w:val="0"/>
            <w:vAlign w:val="center"/>
          </w:tcPr>
          <w:p w14:paraId="47EC667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564" w:type="dxa"/>
            <w:gridSpan w:val="2"/>
            <w:tcBorders>
              <w:top w:val="nil"/>
              <w:left w:val="nil"/>
              <w:bottom w:val="single" w:color="auto" w:sz="8" w:space="0"/>
              <w:right w:val="single" w:color="auto" w:sz="8" w:space="0"/>
            </w:tcBorders>
            <w:noWrap w:val="0"/>
            <w:vAlign w:val="center"/>
          </w:tcPr>
          <w:p w14:paraId="391D359A">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387754D2">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3039" w:type="dxa"/>
            <w:gridSpan w:val="2"/>
            <w:tcBorders>
              <w:top w:val="nil"/>
              <w:left w:val="nil"/>
              <w:bottom w:val="single" w:color="auto" w:sz="8" w:space="0"/>
              <w:right w:val="single" w:color="auto" w:sz="8" w:space="0"/>
            </w:tcBorders>
            <w:noWrap w:val="0"/>
            <w:vAlign w:val="center"/>
          </w:tcPr>
          <w:p w14:paraId="3F046883">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641EF3B2">
        <w:tblPrEx>
          <w:tblCellMar>
            <w:top w:w="0" w:type="dxa"/>
            <w:left w:w="0" w:type="dxa"/>
            <w:bottom w:w="0" w:type="dxa"/>
            <w:right w:w="0" w:type="dxa"/>
          </w:tblCellMar>
        </w:tblPrEx>
        <w:trPr>
          <w:trHeight w:val="693" w:hRule="atLeast"/>
          <w:jc w:val="center"/>
        </w:trPr>
        <w:tc>
          <w:tcPr>
            <w:tcW w:w="148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2689247">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验收具体内容</w:t>
            </w:r>
          </w:p>
        </w:tc>
        <w:tc>
          <w:tcPr>
            <w:tcW w:w="7885"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3C8D50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应按采购合同、采购文件、投标响应文件及验收方案等进行验收；并核对中标或者中标人在安装调试等方面是否违反合同约定或服务规范要求、提供的质量保证证明材料是否齐全、应有的配件及附件是否达到合同约定等。可附件）</w:t>
            </w:r>
          </w:p>
        </w:tc>
      </w:tr>
      <w:tr w14:paraId="42711C5B">
        <w:tblPrEx>
          <w:tblCellMar>
            <w:top w:w="0" w:type="dxa"/>
            <w:left w:w="0" w:type="dxa"/>
            <w:bottom w:w="0" w:type="dxa"/>
            <w:right w:w="0" w:type="dxa"/>
          </w:tblCellMar>
        </w:tblPrEx>
        <w:trPr>
          <w:trHeight w:val="927" w:hRule="atLeast"/>
          <w:jc w:val="center"/>
        </w:trPr>
        <w:tc>
          <w:tcPr>
            <w:tcW w:w="1486"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2C90B4">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验收小组意见</w:t>
            </w:r>
          </w:p>
        </w:tc>
        <w:tc>
          <w:tcPr>
            <w:tcW w:w="7885" w:type="dxa"/>
            <w:gridSpan w:val="7"/>
            <w:tcBorders>
              <w:top w:val="nil"/>
              <w:left w:val="nil"/>
              <w:bottom w:val="single" w:color="auto" w:sz="8" w:space="0"/>
              <w:right w:val="single" w:color="auto" w:sz="8" w:space="0"/>
            </w:tcBorders>
            <w:noWrap w:val="0"/>
            <w:vAlign w:val="center"/>
          </w:tcPr>
          <w:p w14:paraId="32B9A17F">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验收结论性意见：</w:t>
            </w:r>
          </w:p>
        </w:tc>
      </w:tr>
      <w:tr w14:paraId="3CB53C58">
        <w:tblPrEx>
          <w:tblCellMar>
            <w:top w:w="0" w:type="dxa"/>
            <w:left w:w="0" w:type="dxa"/>
            <w:bottom w:w="0" w:type="dxa"/>
            <w:right w:w="0" w:type="dxa"/>
          </w:tblCellMar>
        </w:tblPrEx>
        <w:trPr>
          <w:trHeight w:val="607" w:hRule="atLeast"/>
          <w:jc w:val="center"/>
        </w:trPr>
        <w:tc>
          <w:tcPr>
            <w:tcW w:w="1486" w:type="dxa"/>
            <w:vMerge w:val="continue"/>
            <w:tcBorders>
              <w:top w:val="nil"/>
              <w:left w:val="single" w:color="auto" w:sz="8" w:space="0"/>
              <w:bottom w:val="single" w:color="auto" w:sz="8" w:space="0"/>
              <w:right w:val="single" w:color="auto" w:sz="8" w:space="0"/>
            </w:tcBorders>
            <w:noWrap w:val="0"/>
            <w:vAlign w:val="center"/>
          </w:tcPr>
          <w:p w14:paraId="15F48639">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cs="宋体"/>
                <w:color w:val="auto"/>
                <w:kern w:val="0"/>
                <w:szCs w:val="21"/>
                <w:highlight w:val="none"/>
              </w:rPr>
            </w:pPr>
          </w:p>
        </w:tc>
        <w:tc>
          <w:tcPr>
            <w:tcW w:w="7885" w:type="dxa"/>
            <w:gridSpan w:val="7"/>
            <w:tcBorders>
              <w:top w:val="nil"/>
              <w:left w:val="nil"/>
              <w:bottom w:val="single" w:color="auto" w:sz="8" w:space="0"/>
              <w:right w:val="single" w:color="auto" w:sz="8" w:space="0"/>
            </w:tcBorders>
            <w:noWrap w:val="0"/>
            <w:vAlign w:val="center"/>
          </w:tcPr>
          <w:p w14:paraId="334C2D85">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96"/>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有异议的意见和说明理由：</w:t>
            </w:r>
          </w:p>
          <w:p w14:paraId="188AE21A">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签字：</w:t>
            </w:r>
          </w:p>
        </w:tc>
      </w:tr>
      <w:tr w14:paraId="7F29990F">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2E3642E">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验收小组成员签字：</w:t>
            </w:r>
          </w:p>
        </w:tc>
      </w:tr>
      <w:tr w14:paraId="5FFD8BBF">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C9B4776">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监督人员或其他相关人员签字：</w:t>
            </w:r>
          </w:p>
          <w:p w14:paraId="15F1288C">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或受邀机构的意见（盖章）：</w:t>
            </w:r>
          </w:p>
        </w:tc>
      </w:tr>
      <w:tr w14:paraId="3F45E749">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62E3B4EC">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 xml:space="preserve">中标或者成交供应商负责人签字或盖章：      </w:t>
            </w:r>
          </w:p>
          <w:p w14:paraId="52D60AF7">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4F53A6D7">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采购人或受托机构的意见（盖章）：</w:t>
            </w:r>
          </w:p>
          <w:p w14:paraId="55A34B4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r>
    </w:tbl>
    <w:p w14:paraId="74B9F1E7">
      <w:pPr>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br w:type="page"/>
      </w:r>
    </w:p>
    <w:p w14:paraId="7BDC6397">
      <w:pPr>
        <w:spacing w:line="360" w:lineRule="auto"/>
        <w:jc w:val="left"/>
        <w:rPr>
          <w:rFonts w:hint="eastAsia" w:ascii="宋体" w:hAnsi="宋体" w:cs="宋体"/>
          <w:color w:val="auto"/>
          <w:sz w:val="18"/>
          <w:szCs w:val="18"/>
          <w:highlight w:val="none"/>
        </w:rPr>
      </w:pPr>
      <w:r>
        <w:rPr>
          <w:rFonts w:hint="eastAsia" w:ascii="宋体" w:hAnsi="宋体" w:cs="宋体"/>
          <w:b/>
          <w:bCs/>
          <w:color w:val="auto"/>
          <w:sz w:val="28"/>
          <w:szCs w:val="36"/>
          <w:highlight w:val="none"/>
        </w:rPr>
        <w:t>附件2：</w:t>
      </w:r>
    </w:p>
    <w:p w14:paraId="502A94C0">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政府采购项目履约保证金退付意见书（参考）</w:t>
      </w:r>
    </w:p>
    <w:tbl>
      <w:tblPr>
        <w:tblStyle w:val="3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6D44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1970E7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供</w:t>
            </w:r>
          </w:p>
          <w:p w14:paraId="2D31CA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应</w:t>
            </w:r>
          </w:p>
          <w:p w14:paraId="37330A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商</w:t>
            </w:r>
          </w:p>
          <w:p w14:paraId="6F6583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申</w:t>
            </w:r>
          </w:p>
          <w:p w14:paraId="3441DF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请</w:t>
            </w:r>
          </w:p>
        </w:tc>
        <w:tc>
          <w:tcPr>
            <w:tcW w:w="8456" w:type="dxa"/>
            <w:noWrap w:val="0"/>
            <w:vAlign w:val="center"/>
          </w:tcPr>
          <w:p w14:paraId="6F2EBC0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项目编号：</w:t>
            </w:r>
          </w:p>
        </w:tc>
      </w:tr>
      <w:tr w14:paraId="193D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2C6E53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8456" w:type="dxa"/>
            <w:noWrap w:val="0"/>
            <w:vAlign w:val="center"/>
          </w:tcPr>
          <w:p w14:paraId="50BAC31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项目名称：</w:t>
            </w:r>
          </w:p>
        </w:tc>
      </w:tr>
      <w:tr w14:paraId="35FC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5D93A4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8456" w:type="dxa"/>
            <w:noWrap w:val="0"/>
            <w:vAlign w:val="top"/>
          </w:tcPr>
          <w:p w14:paraId="28D721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1B94AE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该项目已于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日验收并交付使用。根据合同规定，该项目的履约保证金期限于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日已满，请将履约保证金</w:t>
            </w:r>
          </w:p>
          <w:p w14:paraId="74CB4F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（小写）退付到达以下账户。</w:t>
            </w:r>
          </w:p>
          <w:p w14:paraId="32473666">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单位名称：</w:t>
            </w:r>
          </w:p>
          <w:p w14:paraId="674B1E5F">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开户银行：</w:t>
            </w:r>
          </w:p>
          <w:p w14:paraId="3927676F">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账   号：</w:t>
            </w:r>
          </w:p>
          <w:p w14:paraId="07587D2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w:t>
            </w:r>
          </w:p>
          <w:p w14:paraId="511DF3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2FC66F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投标人签章：</w:t>
            </w:r>
          </w:p>
          <w:p w14:paraId="64C438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166B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6D6F5D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采</w:t>
            </w:r>
          </w:p>
          <w:p w14:paraId="2933DE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购</w:t>
            </w:r>
          </w:p>
          <w:p w14:paraId="3549B0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人</w:t>
            </w:r>
          </w:p>
          <w:p w14:paraId="54584C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意</w:t>
            </w:r>
          </w:p>
          <w:p w14:paraId="4FBD55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见</w:t>
            </w:r>
          </w:p>
        </w:tc>
        <w:tc>
          <w:tcPr>
            <w:tcW w:w="8456" w:type="dxa"/>
            <w:noWrap w:val="0"/>
            <w:vAlign w:val="top"/>
          </w:tcPr>
          <w:p w14:paraId="177890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17F6FE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退付意见：（是否同意退付履约保证金及退付金额）</w:t>
            </w:r>
          </w:p>
          <w:p w14:paraId="54B99E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31CF42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752F27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5C487D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2C926CD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                         采购人签章</w:t>
            </w:r>
          </w:p>
          <w:p w14:paraId="7E9D37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7D94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4615D8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备注</w:t>
            </w:r>
          </w:p>
        </w:tc>
        <w:tc>
          <w:tcPr>
            <w:tcW w:w="8456" w:type="dxa"/>
            <w:noWrap w:val="0"/>
            <w:vAlign w:val="top"/>
          </w:tcPr>
          <w:p w14:paraId="0045A9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r>
    </w:tbl>
    <w:p w14:paraId="14FEB6A9">
      <w:pPr>
        <w:pStyle w:val="15"/>
        <w:keepNext w:val="0"/>
        <w:keepLines w:val="0"/>
        <w:pageBreakBefore w:val="0"/>
        <w:widowControl w:val="0"/>
        <w:kinsoku/>
        <w:wordWrap/>
        <w:overflowPunct/>
        <w:topLinePunct w:val="0"/>
        <w:autoSpaceDE/>
        <w:autoSpaceDN/>
        <w:bidi w:val="0"/>
        <w:adjustRightInd/>
        <w:snapToGrid/>
        <w:spacing w:line="400" w:lineRule="exact"/>
        <w:ind w:left="450" w:leftChars="114" w:hanging="211" w:hangingChars="1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注：投标人凭经采购人审批的退付意见书到保证金收取单位办理履约保证金退付事宜。</w:t>
      </w:r>
    </w:p>
    <w:p w14:paraId="57401F1C">
      <w:pPr>
        <w:pStyle w:val="2"/>
        <w:spacing w:before="0" w:after="0" w:line="360" w:lineRule="auto"/>
        <w:jc w:val="center"/>
        <w:rPr>
          <w:rFonts w:hint="eastAsia" w:ascii="宋体" w:hAnsi="宋体" w:cs="宋体"/>
          <w:color w:val="auto"/>
          <w:highlight w:val="none"/>
        </w:rPr>
      </w:pPr>
      <w:bookmarkStart w:id="241" w:name="_Toc2178"/>
      <w:bookmarkStart w:id="242" w:name="_Toc15433"/>
      <w:bookmarkStart w:id="243" w:name="_Toc254970689"/>
      <w:bookmarkStart w:id="244" w:name="_Toc330456896"/>
      <w:bookmarkStart w:id="245" w:name="_Toc254970548"/>
      <w:bookmarkStart w:id="246" w:name="_Toc27431"/>
      <w:r>
        <w:rPr>
          <w:rFonts w:hint="eastAsia" w:ascii="宋体" w:hAnsi="宋体" w:cs="宋体"/>
          <w:color w:val="auto"/>
          <w:highlight w:val="none"/>
        </w:rPr>
        <w:t>第四章  评标方法及评标标准</w:t>
      </w:r>
      <w:bookmarkEnd w:id="241"/>
      <w:bookmarkEnd w:id="242"/>
      <w:bookmarkEnd w:id="243"/>
      <w:bookmarkEnd w:id="244"/>
      <w:bookmarkEnd w:id="245"/>
      <w:bookmarkEnd w:id="246"/>
    </w:p>
    <w:p w14:paraId="530F1800">
      <w:pPr>
        <w:pStyle w:val="3"/>
        <w:spacing w:before="0" w:after="0" w:line="360" w:lineRule="auto"/>
        <w:jc w:val="center"/>
        <w:rPr>
          <w:rFonts w:hint="eastAsia" w:ascii="宋体" w:hAnsi="宋体" w:eastAsia="宋体" w:cs="宋体"/>
          <w:color w:val="auto"/>
          <w:highlight w:val="none"/>
        </w:rPr>
      </w:pPr>
      <w:bookmarkStart w:id="247" w:name="_Toc23781"/>
      <w:bookmarkStart w:id="248" w:name="_Toc22273"/>
      <w:r>
        <w:rPr>
          <w:rFonts w:hint="eastAsia" w:ascii="宋体" w:hAnsi="宋体" w:eastAsia="宋体" w:cs="宋体"/>
          <w:color w:val="auto"/>
          <w:highlight w:val="none"/>
        </w:rPr>
        <w:t>一、评标方法</w:t>
      </w:r>
      <w:bookmarkEnd w:id="247"/>
      <w:bookmarkEnd w:id="248"/>
    </w:p>
    <w:p w14:paraId="73D4A7CA">
      <w:pPr>
        <w:pStyle w:val="20"/>
        <w:pageBreakBefore w:val="0"/>
        <w:kinsoku/>
        <w:wordWrap/>
        <w:overflowPunct/>
        <w:topLinePunct w:val="0"/>
        <w:autoSpaceDE/>
        <w:autoSpaceDN/>
        <w:bidi w:val="0"/>
        <w:spacing w:line="400" w:lineRule="exact"/>
        <w:ind w:firstLine="420"/>
        <w:textAlignment w:val="auto"/>
        <w:rPr>
          <w:rFonts w:hint="eastAsia" w:hAnsi="宋体" w:cs="宋体"/>
          <w:color w:val="auto"/>
          <w:highlight w:val="none"/>
        </w:rPr>
      </w:pPr>
      <w:r>
        <w:rPr>
          <w:rFonts w:hint="eastAsia" w:hAnsi="宋体" w:cs="宋体"/>
          <w:color w:val="auto"/>
          <w:highlight w:val="none"/>
        </w:rPr>
        <w:t>综合评分法，是指投标文件满足招标文件全部实质性要求，且按照评审因素的量化指标评审得分最高的投标人为中标候选人的评标方法。</w:t>
      </w:r>
    </w:p>
    <w:p w14:paraId="7363533C">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249" w:name="_Toc29445"/>
      <w:bookmarkStart w:id="250" w:name="_Toc3353"/>
      <w:r>
        <w:rPr>
          <w:rFonts w:hint="eastAsia" w:ascii="宋体" w:hAnsi="宋体" w:eastAsia="宋体" w:cs="宋体"/>
          <w:color w:val="auto"/>
          <w:highlight w:val="none"/>
        </w:rPr>
        <w:t>二、评标程序</w:t>
      </w:r>
      <w:bookmarkEnd w:id="249"/>
      <w:bookmarkEnd w:id="250"/>
    </w:p>
    <w:p w14:paraId="4F704A4E">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1.符合性审查</w:t>
      </w:r>
    </w:p>
    <w:p w14:paraId="39C3842A">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评标委员会应当对符合资格的投标人的投标文件进行投标报价、商务、技术等实质性内容符合性审查，以确定其是否满足招标文件的实质性要求。</w:t>
      </w:r>
    </w:p>
    <w:p w14:paraId="1AB902A9">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2.符合性审查不通过而导致投标无效的情形</w:t>
      </w:r>
    </w:p>
    <w:p w14:paraId="03CADBA0">
      <w:pPr>
        <w:pageBreakBefore w:val="0"/>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27450CAF">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2.1在报价评审时，如发现下列情形之一的，将被视为投标无效：</w:t>
      </w:r>
    </w:p>
    <w:p w14:paraId="7A7DA884">
      <w:pPr>
        <w:pStyle w:val="9"/>
        <w:pageBreakBefore w:val="0"/>
        <w:numPr>
          <w:ilvl w:val="0"/>
          <w:numId w:val="2"/>
        </w:numPr>
        <w:kinsoku/>
        <w:wordWrap/>
        <w:overflowPunct/>
        <w:topLinePunct w:val="0"/>
        <w:autoSpaceDE/>
        <w:autoSpaceDN/>
        <w:bidi w:val="0"/>
        <w:spacing w:line="400" w:lineRule="exact"/>
        <w:ind w:firstLine="398" w:firstLineChars="200"/>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报价文件未提供“投标人须知前附表”第13条</w:t>
      </w:r>
      <w:r>
        <w:rPr>
          <w:rFonts w:hint="eastAsia" w:ascii="宋体" w:hAnsi="宋体" w:cs="宋体"/>
          <w:b/>
          <w:color w:val="auto"/>
          <w:szCs w:val="21"/>
          <w:highlight w:val="none"/>
        </w:rPr>
        <w:t>“报价文件”</w:t>
      </w:r>
      <w:r>
        <w:rPr>
          <w:rFonts w:hint="eastAsia" w:ascii="宋体" w:hAnsi="宋体" w:cs="宋体"/>
          <w:b/>
          <w:color w:val="auto"/>
          <w:spacing w:val="-6"/>
          <w:szCs w:val="21"/>
          <w:highlight w:val="none"/>
        </w:rPr>
        <w:t>规定中“必须提供”的文件资料的；</w:t>
      </w:r>
    </w:p>
    <w:p w14:paraId="28F2999F">
      <w:pPr>
        <w:pStyle w:val="9"/>
        <w:pageBreakBefore w:val="0"/>
        <w:numPr>
          <w:ilvl w:val="0"/>
          <w:numId w:val="2"/>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513A240B">
      <w:pPr>
        <w:pStyle w:val="9"/>
        <w:pageBreakBefore w:val="0"/>
        <w:numPr>
          <w:ilvl w:val="0"/>
          <w:numId w:val="2"/>
        </w:numPr>
        <w:kinsoku/>
        <w:wordWrap/>
        <w:overflowPunct/>
        <w:topLinePunct w:val="0"/>
        <w:autoSpaceDE/>
        <w:autoSpaceDN/>
        <w:bidi w:val="0"/>
        <w:spacing w:line="400" w:lineRule="exact"/>
        <w:ind w:firstLine="422"/>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各分标报价超出招标文件相应分标规定最高限价，或者超出相应分标采购预算金额的；</w:t>
      </w:r>
    </w:p>
    <w:p w14:paraId="7597C8D4">
      <w:pPr>
        <w:pStyle w:val="9"/>
        <w:pageBreakBefore w:val="0"/>
        <w:numPr>
          <w:ilvl w:val="0"/>
          <w:numId w:val="2"/>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36F9367D">
      <w:pPr>
        <w:pStyle w:val="9"/>
        <w:pageBreakBefore w:val="0"/>
        <w:numPr>
          <w:ilvl w:val="0"/>
          <w:numId w:val="2"/>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7386A9DE">
      <w:pPr>
        <w:pStyle w:val="9"/>
        <w:pageBreakBefore w:val="0"/>
        <w:numPr>
          <w:ilvl w:val="0"/>
          <w:numId w:val="2"/>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投标人属于本章第5.1条（2）项情形的。</w:t>
      </w:r>
    </w:p>
    <w:p w14:paraId="439232D1">
      <w:pPr>
        <w:pStyle w:val="9"/>
        <w:pageBreakBefore w:val="0"/>
        <w:numPr>
          <w:ilvl w:val="0"/>
          <w:numId w:val="2"/>
        </w:numPr>
        <w:kinsoku/>
        <w:wordWrap/>
        <w:overflowPunct/>
        <w:topLinePunct w:val="0"/>
        <w:autoSpaceDE/>
        <w:autoSpaceDN/>
        <w:bidi w:val="0"/>
        <w:spacing w:line="400" w:lineRule="exact"/>
        <w:ind w:firstLine="398" w:firstLineChars="200"/>
        <w:textAlignment w:val="auto"/>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418AB7A1">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339CF06D">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5217642E">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委托代理人未能出具有效身份证或者出具的身份证与授权委托书中的信息不符的； </w:t>
      </w:r>
    </w:p>
    <w:p w14:paraId="4A8E4923">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2A9AFC99">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投标文件未提供“投标人须知前附表”第13.1条规定中“必须提供”或者“委托时必须提供”的文件资料的；</w:t>
      </w:r>
    </w:p>
    <w:p w14:paraId="5A23D38A">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商务要求评审允许负偏离的条款数超过“投标人须知前附表”规定项数的；</w:t>
      </w:r>
    </w:p>
    <w:p w14:paraId="7BB39BE4">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2253F13C">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285A7FEA">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2E9899A7">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78DBA499">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3B4D51FA">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0E3C5BEA">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未响应招标文件实质性要求的；</w:t>
      </w:r>
    </w:p>
    <w:p w14:paraId="04CB4B8F">
      <w:pPr>
        <w:pageBreakBefore w:val="0"/>
        <w:numPr>
          <w:ilvl w:val="0"/>
          <w:numId w:val="3"/>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14:paraId="7F3789D9">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0A698A92">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（1）技术要求评审允许负偏离的条款数超过“投标人须知前附表”规定项数的；</w:t>
      </w:r>
    </w:p>
    <w:p w14:paraId="7AE39CA9">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（2）投标文件未提供“投标人须知前附表”第13.1条规定中“必须提供”的文件资料的；</w:t>
      </w:r>
    </w:p>
    <w:p w14:paraId="68F49993">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（3）虚假投标，或者出现其他情形而导致被评标委员会认定无效的；</w:t>
      </w:r>
    </w:p>
    <w:p w14:paraId="3ECA5E4A">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w:t>
      </w:r>
      <w:bookmarkStart w:id="251" w:name="_Hlk71706244"/>
      <w:r>
        <w:rPr>
          <w:rFonts w:hint="eastAsia" w:hAnsi="宋体" w:cs="宋体"/>
          <w:b/>
          <w:color w:val="auto"/>
          <w:sz w:val="21"/>
          <w:szCs w:val="21"/>
          <w:highlight w:val="none"/>
        </w:rPr>
        <w:t>招标文件未载明允许提供备选（替代）投标方案或明确不允许提供备选（替代）投标方案时，投标人提供了备选（替代）投标方案的；</w:t>
      </w:r>
      <w:bookmarkEnd w:id="251"/>
    </w:p>
    <w:p w14:paraId="30E811A8">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color w:val="auto"/>
          <w:highlight w:val="none"/>
        </w:rPr>
      </w:pPr>
      <w:r>
        <w:rPr>
          <w:rFonts w:hint="eastAsia" w:hAnsi="宋体" w:cs="宋体"/>
          <w:b/>
          <w:color w:val="auto"/>
          <w:sz w:val="21"/>
          <w:szCs w:val="21"/>
          <w:highlight w:val="none"/>
        </w:rPr>
        <w:t>（5）未响应招标文件实质性要求的。</w:t>
      </w:r>
    </w:p>
    <w:p w14:paraId="124C457C">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2.4其他投标无效的情形：</w:t>
      </w:r>
    </w:p>
    <w:p w14:paraId="46DF3670">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（1）投标文件未按招标文件要求签署或CA电子签章的；</w:t>
      </w:r>
    </w:p>
    <w:p w14:paraId="6223908F">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（2）投标人提交两份或两份以上内容不同的投标文件；</w:t>
      </w:r>
    </w:p>
    <w:p w14:paraId="27934D5D">
      <w:pPr>
        <w:pStyle w:val="16"/>
        <w:pageBreakBefore w:val="0"/>
        <w:kinsoku/>
        <w:wordWrap/>
        <w:overflowPunct/>
        <w:topLinePunct w:val="0"/>
        <w:autoSpaceDE/>
        <w:autoSpaceDN/>
        <w:bidi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（3）投标人在线制作投标文件时填写的报价金额与解密后“电子加密投标文件”中《开标一览表》填写的金额不一致并拒绝按招标文件要求接受调整的；</w:t>
      </w:r>
    </w:p>
    <w:p w14:paraId="7F27A2F8">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（4）法律、法规和招标文件规定的其他无效情形（或出现重大偏差）。</w:t>
      </w:r>
    </w:p>
    <w:p w14:paraId="5AA58C69">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3.澄清补正</w:t>
      </w:r>
    </w:p>
    <w:p w14:paraId="058B9F97">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665D22D0">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60D7B46">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09B8FA05">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4.投标文件修正</w:t>
      </w:r>
    </w:p>
    <w:p w14:paraId="052B7B5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4.1投标文件报价出现前后不一致的，按照下列规定修正：</w:t>
      </w:r>
    </w:p>
    <w:p w14:paraId="7B5D9223">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（1）投标文件中开标一览表（报价表）内容与投标文件中相应内容不一致的，以开标一览表（报价表）为准；</w:t>
      </w:r>
    </w:p>
    <w:p w14:paraId="6A2A708E">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（2）大写金额和小写金额不一致的，以大写金额为准；</w:t>
      </w:r>
    </w:p>
    <w:p w14:paraId="458E038B">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（3）单价金额小数点或者百分比有明显错位的，以开标一览表的总价为准，并修改单价；</w:t>
      </w:r>
    </w:p>
    <w:p w14:paraId="66FA8611">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（4）总价金额与按单价汇总金额不一致的，以单价金额计算结果为准。</w:t>
      </w:r>
    </w:p>
    <w:p w14:paraId="416EF83E">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同时出现两种以上不一致的，按照以上（1）-（4）规定的顺序修正。修正后的报价经投标人确认后产生约束力，投标人不确认的，</w:t>
      </w:r>
      <w:r>
        <w:rPr>
          <w:rFonts w:hint="eastAsia" w:hAnsi="宋体" w:cs="宋体"/>
          <w:b/>
          <w:color w:val="auto"/>
          <w:highlight w:val="none"/>
        </w:rPr>
        <w:t>其投标无效</w:t>
      </w:r>
      <w:r>
        <w:rPr>
          <w:rFonts w:hint="eastAsia" w:hAnsi="宋体" w:cs="宋体"/>
          <w:color w:val="auto"/>
          <w:highlight w:val="none"/>
        </w:rPr>
        <w:t>。</w:t>
      </w:r>
    </w:p>
    <w:p w14:paraId="244C8BCD">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42DE9DA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3B126FE5">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5.比较与评价</w:t>
      </w:r>
    </w:p>
    <w:p w14:paraId="75D1A2DA">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5.1采用综合评分法的</w:t>
      </w:r>
    </w:p>
    <w:p w14:paraId="4441AAD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2D6B0505">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03260963">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b/>
          <w:color w:val="auto"/>
          <w:szCs w:val="21"/>
          <w:highlight w:val="none"/>
        </w:rPr>
      </w:pPr>
      <w:r>
        <w:rPr>
          <w:rFonts w:hint="eastAsia" w:ascii="宋体" w:hAnsi="宋体" w:cs="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b/>
          <w:color w:val="auto"/>
          <w:szCs w:val="21"/>
          <w:highlight w:val="none"/>
        </w:rPr>
        <w:t>投标人不能证明其报价合理性的，评标委员会应当将其作为无效投标处理。</w:t>
      </w:r>
    </w:p>
    <w:p w14:paraId="7B87F244">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0D45043F">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327A6C7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06BCC08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43BDE6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6.异常低价审查 </w:t>
      </w:r>
    </w:p>
    <w:p w14:paraId="0046BB8C">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6.1</w:t>
      </w:r>
      <w:r>
        <w:rPr>
          <w:rFonts w:hint="eastAsia" w:ascii="宋体" w:hAnsi="宋体" w:eastAsia="宋体" w:cs="宋体"/>
          <w:color w:val="auto"/>
          <w:szCs w:val="21"/>
          <w:highlight w:val="none"/>
        </w:rPr>
        <w:t>依据规定</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《财政部关于推动解决政府采购异常低价问题的通知》（财库〔2026〕2号）</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规定，政府采购评审中出现以下异常低价情形，评标委员会应当启动异常低价投标审查程序：</w:t>
      </w:r>
    </w:p>
    <w:p w14:paraId="38FBB8FD">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（1）投标报价低于全部通过符合性审查供应商投标）报价平均值</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65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61DB2BE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（2）投标报价低于通过符合性审查的次低报价供应商投标报价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65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％的（注：此处由采购人根据项目实际情况填写，填写范围不得低于50％，最高不得超过65％）；</w:t>
      </w:r>
    </w:p>
    <w:p w14:paraId="7F2674C8">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（3）投标报价低于采购项目最高限价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65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％的（注：此处由采购人根据项目实际情况填写，填写范围不得低于45％，最高不得超过65％）；</w:t>
      </w:r>
    </w:p>
    <w:p w14:paraId="405E1A2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（4）评标委员会基于专业判断，认为供应商报价过低，有可能影响产品质量或者不能诚信履约的其他情形。相关法律法规对供应商报价有规定的，从其规定。</w:t>
      </w:r>
    </w:p>
    <w:p w14:paraId="2539CAE3">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（5）相关法律法规对供应商报价有规定的，从其规定。</w:t>
      </w:r>
    </w:p>
    <w:p w14:paraId="7CE0944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6.2</w:t>
      </w:r>
      <w:r>
        <w:rPr>
          <w:rFonts w:hint="eastAsia" w:ascii="宋体" w:hAnsi="宋体" w:eastAsia="宋体" w:cs="宋体"/>
          <w:color w:val="auto"/>
          <w:szCs w:val="21"/>
          <w:highlight w:val="none"/>
        </w:rPr>
        <w:t>评标委员会启动异常低价投标（响应）审查后，属于前述第1项至第4项情形的，应当要求相关供应商</w:t>
      </w:r>
      <w:r>
        <w:rPr>
          <w:rFonts w:hint="eastAsia" w:ascii="宋体" w:hAnsi="宋体" w:cs="宋体"/>
          <w:b/>
          <w:color w:val="auto"/>
          <w:szCs w:val="21"/>
          <w:highlight w:val="none"/>
        </w:rPr>
        <w:t>在评审现场</w:t>
      </w:r>
      <w:r>
        <w:rPr>
          <w:rFonts w:hint="eastAsia" w:ascii="宋体" w:hAnsi="宋体" w:cs="宋体"/>
          <w:b/>
          <w:color w:val="auto"/>
          <w:szCs w:val="21"/>
          <w:highlight w:val="none"/>
          <w:u w:val="single"/>
        </w:rPr>
        <w:t>30分钟</w:t>
      </w:r>
      <w:r>
        <w:rPr>
          <w:rFonts w:hint="eastAsia" w:ascii="宋体" w:hAnsi="宋体" w:cs="宋体"/>
          <w:b/>
          <w:color w:val="auto"/>
          <w:szCs w:val="21"/>
          <w:highlight w:val="none"/>
        </w:rPr>
        <w:t>内对投标（响应）价格作出解释</w:t>
      </w:r>
      <w:r>
        <w:rPr>
          <w:rFonts w:hint="eastAsia" w:ascii="宋体" w:hAnsi="宋体" w:eastAsia="宋体" w:cs="宋体"/>
          <w:color w:val="auto"/>
          <w:szCs w:val="21"/>
          <w:highlight w:val="none"/>
        </w:rPr>
        <w:t>，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98A8CD9">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highlight w:val="none"/>
        </w:rPr>
        <w:t>投标（响应）供应商不能提供书面说明、证明材料，或者提供的书面说明、证明材料不能证明其报价合理性的，评标委员会）应当将其作为无效投标（响应）处理。</w:t>
      </w:r>
    </w:p>
    <w:p w14:paraId="51968665">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168740C">
      <w:pPr>
        <w:pageBreakBefore w:val="0"/>
        <w:kinsoku/>
        <w:wordWrap/>
        <w:overflowPunct/>
        <w:topLinePunct w:val="0"/>
        <w:autoSpaceDE/>
        <w:autoSpaceDN/>
        <w:bidi w:val="0"/>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记录及归档:异常低价投标审查的启动原因、审查意见和审查结果应当在评审报告中记录，并随供应商提供的相关书面说明及证明材料，以及评审委员会有关互联网浏览、查询历史一并归档。</w:t>
      </w:r>
    </w:p>
    <w:p w14:paraId="41F70ED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p>
    <w:p w14:paraId="23014338">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252" w:name="_Toc4705"/>
      <w:bookmarkStart w:id="253" w:name="_Toc5924"/>
      <w:r>
        <w:rPr>
          <w:rFonts w:hint="eastAsia" w:ascii="宋体" w:hAnsi="宋体" w:eastAsia="宋体" w:cs="宋体"/>
          <w:color w:val="auto"/>
          <w:highlight w:val="none"/>
        </w:rPr>
        <w:t>三、评标标准</w:t>
      </w:r>
      <w:bookmarkEnd w:id="252"/>
      <w:bookmarkEnd w:id="253"/>
    </w:p>
    <w:p w14:paraId="2664EC47">
      <w:pPr>
        <w:pageBreakBefore w:val="0"/>
        <w:widowControl/>
        <w:kinsoku/>
        <w:wordWrap/>
        <w:overflowPunct/>
        <w:topLinePunct w:val="0"/>
        <w:autoSpaceDE/>
        <w:autoSpaceDN/>
        <w:bidi w:val="0"/>
        <w:adjustRightInd w:val="0"/>
        <w:snapToGrid w:val="0"/>
        <w:spacing w:line="400" w:lineRule="exact"/>
        <w:ind w:firstLine="42"/>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一、评标原则</w:t>
      </w:r>
    </w:p>
    <w:p w14:paraId="07942D1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（一）评委构成：《政府采购货物和服务招标投标管理办法》第四十七条 评标委员会由采购人代表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14:paraId="1407D131">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w:t>
      </w:r>
      <w:r>
        <w:rPr>
          <w:rFonts w:hint="eastAsia" w:ascii="宋体" w:hAnsi="宋体" w:cs="宋体"/>
          <w:color w:val="auto"/>
          <w:kern w:val="0"/>
          <w:szCs w:val="21"/>
          <w:highlight w:val="none"/>
        </w:rPr>
        <w:t>评标依据：</w:t>
      </w:r>
      <w:r>
        <w:rPr>
          <w:rFonts w:hint="eastAsia" w:ascii="宋体" w:hAnsi="宋体" w:cs="宋体"/>
          <w:bCs/>
          <w:color w:val="auto"/>
          <w:kern w:val="0"/>
          <w:szCs w:val="21"/>
          <w:highlight w:val="none"/>
        </w:rPr>
        <w:t>评委将以招投标文件为评标依据，对投标人的内容按百分制打分。</w:t>
      </w:r>
    </w:p>
    <w:p w14:paraId="60FDA3BC">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szCs w:val="21"/>
          <w:highlight w:val="none"/>
        </w:rPr>
      </w:pPr>
      <w:r>
        <w:rPr>
          <w:rFonts w:hint="eastAsia" w:ascii="宋体" w:hAnsi="宋体" w:cs="宋体"/>
          <w:bCs/>
          <w:color w:val="auto"/>
          <w:szCs w:val="21"/>
          <w:highlight w:val="none"/>
        </w:rPr>
        <w:t>（三）评标方式：以封闭方式进行。</w:t>
      </w:r>
    </w:p>
    <w:p w14:paraId="3771578B">
      <w:pPr>
        <w:pageBreakBefore w:val="0"/>
        <w:kinsoku/>
        <w:wordWrap/>
        <w:overflowPunct/>
        <w:topLinePunct w:val="0"/>
        <w:autoSpaceDE/>
        <w:autoSpaceDN/>
        <w:bidi w:val="0"/>
        <w:adjustRightInd w:val="0"/>
        <w:snapToGrid w:val="0"/>
        <w:spacing w:line="400" w:lineRule="exact"/>
        <w:ind w:firstLine="42" w:firstLineChars="20"/>
        <w:textAlignment w:val="auto"/>
        <w:rPr>
          <w:rFonts w:hint="eastAsia" w:ascii="宋体" w:hAnsi="宋体" w:cs="宋体"/>
          <w:b/>
          <w:color w:val="auto"/>
          <w:szCs w:val="21"/>
          <w:highlight w:val="none"/>
        </w:rPr>
      </w:pPr>
      <w:r>
        <w:rPr>
          <w:rFonts w:hint="eastAsia" w:ascii="宋体" w:hAnsi="宋体" w:cs="宋体"/>
          <w:b/>
          <w:color w:val="auto"/>
          <w:szCs w:val="21"/>
          <w:highlight w:val="none"/>
        </w:rPr>
        <w:t>二、评标方法</w:t>
      </w:r>
    </w:p>
    <w:p w14:paraId="30612B43">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（一）对进入详评的，采用百分制综合评分法。</w:t>
      </w:r>
    </w:p>
    <w:p w14:paraId="04BBE66C">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（二）计分办法（按四舍五入取至百分位）：</w:t>
      </w:r>
    </w:p>
    <w:p w14:paraId="0767A386">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254" w:name="_Toc1515"/>
      <w:bookmarkStart w:id="255" w:name="_Toc26687"/>
      <w:bookmarkStart w:id="256" w:name="_Toc29253"/>
    </w:p>
    <w:p w14:paraId="131DAD29">
      <w:pPr>
        <w:pStyle w:val="3"/>
        <w:pageBreakBefore w:val="0"/>
        <w:kinsoku/>
        <w:wordWrap/>
        <w:overflowPunct/>
        <w:topLinePunct w:val="0"/>
        <w:autoSpaceDE/>
        <w:autoSpaceDN/>
        <w:bidi w:val="0"/>
        <w:spacing w:before="0" w:after="0" w:line="400" w:lineRule="exact"/>
        <w:jc w:val="center"/>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评分标准（综合评分法）</w:t>
      </w:r>
      <w:bookmarkEnd w:id="254"/>
      <w:bookmarkEnd w:id="255"/>
      <w:bookmarkEnd w:id="256"/>
      <w:r>
        <w:rPr>
          <w:rFonts w:hint="eastAsia" w:ascii="宋体" w:hAnsi="宋体" w:eastAsia="宋体" w:cs="宋体"/>
          <w:color w:val="auto"/>
          <w:highlight w:val="none"/>
          <w:lang w:val="en-US" w:eastAsia="zh-CN"/>
        </w:rPr>
        <w:t>适用于分标1、2、3、4、5</w:t>
      </w:r>
    </w:p>
    <w:tbl>
      <w:tblPr>
        <w:tblStyle w:val="38"/>
        <w:tblW w:w="9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480"/>
        <w:gridCol w:w="6646"/>
        <w:gridCol w:w="838"/>
      </w:tblGrid>
      <w:tr w14:paraId="2ED7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5449EC3A">
            <w:pPr>
              <w:widowControl/>
              <w:spacing w:line="400" w:lineRule="exact"/>
              <w:jc w:val="center"/>
              <w:rPr>
                <w:rFonts w:ascii="宋体" w:hAnsi="宋体"/>
                <w:b/>
                <w:bCs/>
                <w:color w:val="auto"/>
                <w:kern w:val="0"/>
                <w:szCs w:val="21"/>
                <w:highlight w:val="none"/>
              </w:rPr>
            </w:pPr>
            <w:bookmarkStart w:id="257" w:name="_Toc13030"/>
            <w:bookmarkStart w:id="258" w:name="_Toc4130"/>
            <w:r>
              <w:rPr>
                <w:rFonts w:hint="eastAsia" w:ascii="宋体" w:hAnsi="宋体"/>
                <w:b/>
                <w:bCs/>
                <w:color w:val="auto"/>
                <w:kern w:val="0"/>
                <w:szCs w:val="21"/>
                <w:highlight w:val="none"/>
              </w:rPr>
              <w:t>序号</w:t>
            </w:r>
          </w:p>
        </w:tc>
        <w:tc>
          <w:tcPr>
            <w:tcW w:w="1480" w:type="dxa"/>
            <w:tcBorders>
              <w:top w:val="single" w:color="auto" w:sz="4" w:space="0"/>
              <w:left w:val="nil"/>
              <w:bottom w:val="single" w:color="auto" w:sz="4" w:space="0"/>
              <w:right w:val="single" w:color="auto" w:sz="4" w:space="0"/>
            </w:tcBorders>
            <w:noWrap w:val="0"/>
            <w:vAlign w:val="center"/>
          </w:tcPr>
          <w:p w14:paraId="19D6B9B9">
            <w:pPr>
              <w:widowControl/>
              <w:spacing w:line="400" w:lineRule="exact"/>
              <w:jc w:val="center"/>
              <w:rPr>
                <w:rFonts w:ascii="宋体" w:hAnsi="宋体"/>
                <w:b/>
                <w:bCs/>
                <w:color w:val="auto"/>
                <w:kern w:val="0"/>
                <w:szCs w:val="21"/>
                <w:highlight w:val="none"/>
              </w:rPr>
            </w:pPr>
            <w:r>
              <w:rPr>
                <w:rFonts w:hint="eastAsia" w:ascii="宋体" w:hAnsi="宋体"/>
                <w:b/>
                <w:bCs/>
                <w:color w:val="auto"/>
                <w:kern w:val="0"/>
                <w:szCs w:val="21"/>
                <w:highlight w:val="none"/>
              </w:rPr>
              <w:t>评审因素</w:t>
            </w:r>
          </w:p>
        </w:tc>
        <w:tc>
          <w:tcPr>
            <w:tcW w:w="6646" w:type="dxa"/>
            <w:tcBorders>
              <w:top w:val="single" w:color="auto" w:sz="4" w:space="0"/>
              <w:left w:val="nil"/>
              <w:bottom w:val="single" w:color="auto" w:sz="4" w:space="0"/>
              <w:right w:val="single" w:color="auto" w:sz="4" w:space="0"/>
            </w:tcBorders>
            <w:noWrap w:val="0"/>
            <w:vAlign w:val="center"/>
          </w:tcPr>
          <w:p w14:paraId="1A43C853">
            <w:pPr>
              <w:widowControl/>
              <w:spacing w:line="400" w:lineRule="exact"/>
              <w:jc w:val="center"/>
              <w:rPr>
                <w:rFonts w:ascii="宋体" w:hAnsi="宋体"/>
                <w:b/>
                <w:bCs/>
                <w:color w:val="auto"/>
                <w:kern w:val="0"/>
                <w:szCs w:val="21"/>
                <w:highlight w:val="none"/>
              </w:rPr>
            </w:pPr>
            <w:r>
              <w:rPr>
                <w:rFonts w:hint="eastAsia" w:ascii="宋体" w:hAnsi="宋体"/>
                <w:b/>
                <w:bCs/>
                <w:color w:val="auto"/>
                <w:kern w:val="0"/>
                <w:szCs w:val="21"/>
                <w:highlight w:val="none"/>
              </w:rPr>
              <w:t>评审因素具体内容</w:t>
            </w:r>
          </w:p>
        </w:tc>
        <w:tc>
          <w:tcPr>
            <w:tcW w:w="838" w:type="dxa"/>
            <w:tcBorders>
              <w:top w:val="single" w:color="auto" w:sz="4" w:space="0"/>
              <w:left w:val="nil"/>
              <w:bottom w:val="single" w:color="auto" w:sz="4" w:space="0"/>
              <w:right w:val="single" w:color="auto" w:sz="4" w:space="0"/>
            </w:tcBorders>
            <w:noWrap w:val="0"/>
            <w:vAlign w:val="center"/>
          </w:tcPr>
          <w:p w14:paraId="3FDF8BFA">
            <w:pPr>
              <w:widowControl/>
              <w:spacing w:line="400" w:lineRule="exact"/>
              <w:jc w:val="center"/>
              <w:rPr>
                <w:rFonts w:ascii="宋体" w:hAnsi="宋体"/>
                <w:b/>
                <w:bCs/>
                <w:color w:val="auto"/>
                <w:kern w:val="0"/>
                <w:szCs w:val="21"/>
                <w:highlight w:val="none"/>
              </w:rPr>
            </w:pPr>
            <w:r>
              <w:rPr>
                <w:rFonts w:hint="eastAsia" w:ascii="宋体" w:hAnsi="宋体"/>
                <w:b/>
                <w:bCs/>
                <w:color w:val="auto"/>
                <w:kern w:val="0"/>
                <w:szCs w:val="21"/>
                <w:highlight w:val="none"/>
              </w:rPr>
              <w:t>分值</w:t>
            </w:r>
          </w:p>
        </w:tc>
      </w:tr>
      <w:tr w14:paraId="721F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5843EC9E">
            <w:pPr>
              <w:widowControl/>
              <w:spacing w:line="400" w:lineRule="exact"/>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480" w:type="dxa"/>
            <w:tcBorders>
              <w:top w:val="single" w:color="auto" w:sz="4" w:space="0"/>
              <w:left w:val="nil"/>
              <w:bottom w:val="single" w:color="auto" w:sz="4" w:space="0"/>
              <w:right w:val="single" w:color="auto" w:sz="4" w:space="0"/>
            </w:tcBorders>
            <w:noWrap w:val="0"/>
            <w:vAlign w:val="center"/>
          </w:tcPr>
          <w:p w14:paraId="1B2C0103">
            <w:pPr>
              <w:widowControl/>
              <w:spacing w:line="400" w:lineRule="exact"/>
              <w:jc w:val="center"/>
              <w:rPr>
                <w:rFonts w:ascii="宋体" w:hAnsi="宋体"/>
                <w:b/>
                <w:color w:val="auto"/>
                <w:kern w:val="0"/>
                <w:szCs w:val="21"/>
                <w:highlight w:val="none"/>
              </w:rPr>
            </w:pPr>
            <w:r>
              <w:rPr>
                <w:rFonts w:hint="eastAsia" w:ascii="宋体" w:hAnsi="宋体"/>
                <w:b/>
                <w:color w:val="auto"/>
                <w:kern w:val="0"/>
                <w:szCs w:val="21"/>
                <w:highlight w:val="none"/>
              </w:rPr>
              <w:t>价格分</w:t>
            </w:r>
          </w:p>
          <w:p w14:paraId="65864406">
            <w:pPr>
              <w:widowControl/>
              <w:spacing w:line="400" w:lineRule="exact"/>
              <w:jc w:val="center"/>
              <w:rPr>
                <w:rFonts w:ascii="宋体" w:hAnsi="宋体"/>
                <w:b/>
                <w:color w:val="auto"/>
                <w:kern w:val="0"/>
                <w:szCs w:val="21"/>
                <w:highlight w:val="none"/>
              </w:rPr>
            </w:pPr>
            <w:r>
              <w:rPr>
                <w:rFonts w:hint="eastAsia" w:ascii="宋体" w:hAnsi="宋体"/>
                <w:b/>
                <w:color w:val="auto"/>
                <w:kern w:val="0"/>
                <w:szCs w:val="21"/>
                <w:highlight w:val="none"/>
              </w:rPr>
              <w:t>（满分10分）</w:t>
            </w:r>
          </w:p>
        </w:tc>
        <w:tc>
          <w:tcPr>
            <w:tcW w:w="6646" w:type="dxa"/>
            <w:tcBorders>
              <w:top w:val="single" w:color="auto" w:sz="4" w:space="0"/>
              <w:left w:val="nil"/>
              <w:bottom w:val="single" w:color="auto" w:sz="4" w:space="0"/>
              <w:right w:val="single" w:color="auto" w:sz="4" w:space="0"/>
            </w:tcBorders>
            <w:noWrap w:val="0"/>
            <w:vAlign w:val="top"/>
          </w:tcPr>
          <w:p w14:paraId="1C4A2AF9">
            <w:pPr>
              <w:spacing w:line="400" w:lineRule="exact"/>
              <w:ind w:firstLine="315" w:firstLineChars="150"/>
              <w:rPr>
                <w:rFonts w:hint="eastAsia" w:ascii="宋体" w:hAnsi="宋体"/>
                <w:color w:val="auto"/>
                <w:szCs w:val="21"/>
                <w:highlight w:val="none"/>
              </w:rPr>
            </w:pPr>
            <w:r>
              <w:rPr>
                <w:rFonts w:hint="eastAsia" w:ascii="宋体" w:hAnsi="宋体"/>
                <w:color w:val="auto"/>
                <w:szCs w:val="21"/>
                <w:highlight w:val="none"/>
              </w:rPr>
              <w:t>（1）评标报价为投标人的投标报价进行政策性扣除后的价格，评标报价只是作为评标时使用。最终中标人的中标金额等于投标报价。</w:t>
            </w:r>
          </w:p>
          <w:p w14:paraId="63F1530F">
            <w:pPr>
              <w:spacing w:line="400" w:lineRule="exact"/>
              <w:ind w:firstLine="315" w:firstLineChars="150"/>
              <w:rPr>
                <w:rFonts w:hint="eastAsia" w:ascii="宋体" w:hAnsi="宋体"/>
                <w:color w:val="auto"/>
                <w:szCs w:val="21"/>
                <w:highlight w:val="none"/>
              </w:rPr>
            </w:pPr>
            <w:r>
              <w:rPr>
                <w:rFonts w:hint="eastAsia" w:ascii="宋体" w:hAnsi="宋体"/>
                <w:color w:val="auto"/>
                <w:szCs w:val="21"/>
                <w:highlight w:val="none"/>
              </w:rPr>
              <w:t>（2）按照《政府采购促进中小企业发展管理办法》（财库〔2020〕46号）的规定，投标人在其投标文件中提供《中小企业声明函》，且其服务为小型和微型企业承接的，按《关于进一步加大政府采购支持中小企业力度的通知》（财库〔2022〕19号）、《广西壮族自治区财政厅关于持续优化政府采购营商环境推动高质量发展的通知》（桂财采〔2024〕55号）的规定，对其最后报价给予10%（范围为10-20%）的扣除。</w:t>
            </w:r>
          </w:p>
          <w:p w14:paraId="394F4E94">
            <w:pPr>
              <w:spacing w:line="400" w:lineRule="exact"/>
              <w:ind w:firstLine="315" w:firstLineChars="150"/>
              <w:rPr>
                <w:rFonts w:hint="eastAsia" w:ascii="宋体" w:hAnsi="宋体"/>
                <w:color w:val="auto"/>
                <w:szCs w:val="21"/>
                <w:highlight w:val="none"/>
              </w:rPr>
            </w:pPr>
            <w:r>
              <w:rPr>
                <w:rFonts w:hint="eastAsia" w:ascii="宋体" w:hAnsi="宋体"/>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5DA82810">
            <w:pPr>
              <w:spacing w:line="400" w:lineRule="exact"/>
              <w:ind w:firstLine="315" w:firstLineChars="150"/>
              <w:rPr>
                <w:rFonts w:hint="eastAsia" w:ascii="宋体" w:hAnsi="宋体"/>
                <w:color w:val="auto"/>
                <w:szCs w:val="21"/>
                <w:highlight w:val="none"/>
              </w:rPr>
            </w:pPr>
            <w:r>
              <w:rPr>
                <w:rFonts w:hint="eastAsia" w:ascii="宋体" w:hAnsi="宋体"/>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893F257">
            <w:pPr>
              <w:spacing w:line="400" w:lineRule="exact"/>
              <w:ind w:firstLine="315" w:firstLineChars="150"/>
              <w:rPr>
                <w:rFonts w:hint="eastAsia" w:ascii="宋体" w:hAnsi="宋体"/>
                <w:color w:val="auto"/>
                <w:szCs w:val="21"/>
                <w:highlight w:val="none"/>
              </w:rPr>
            </w:pPr>
            <w:r>
              <w:rPr>
                <w:rFonts w:hint="eastAsia" w:ascii="宋体" w:hAnsi="宋体"/>
                <w:color w:val="auto"/>
                <w:szCs w:val="21"/>
                <w:highlight w:val="none"/>
              </w:rPr>
              <w:t>（5）政策性扣除计算方法。</w:t>
            </w:r>
          </w:p>
          <w:p w14:paraId="1C3FD34C">
            <w:pPr>
              <w:spacing w:line="400" w:lineRule="exact"/>
              <w:ind w:firstLine="315" w:firstLineChars="150"/>
              <w:rPr>
                <w:rFonts w:hint="eastAsia" w:ascii="宋体" w:hAnsi="宋体"/>
                <w:color w:val="auto"/>
                <w:szCs w:val="21"/>
                <w:highlight w:val="none"/>
              </w:rPr>
            </w:pPr>
            <w:r>
              <w:rPr>
                <w:rFonts w:hint="eastAsia" w:ascii="宋体" w:hAnsi="宋体"/>
                <w:color w:val="auto"/>
                <w:szCs w:val="21"/>
                <w:highlight w:val="none"/>
              </w:rPr>
              <w:t>在服务采购项目中，服务由小微企业承接；对符合上述要求的投标人的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范围为4%-6%）的扣除，用扣除后的价格参加评审，扣除后的价格为评标报价，即评标报价=投标报价×（1-4%）。除上述情况外，评标报价=投标报价。</w:t>
            </w:r>
          </w:p>
          <w:p w14:paraId="0F1BA0B8">
            <w:pPr>
              <w:spacing w:line="400" w:lineRule="exact"/>
              <w:ind w:firstLine="315" w:firstLineChars="150"/>
              <w:rPr>
                <w:rFonts w:hint="eastAsia" w:ascii="宋体" w:hAnsi="宋体"/>
                <w:color w:val="auto"/>
                <w:szCs w:val="21"/>
                <w:highlight w:val="none"/>
              </w:rPr>
            </w:pPr>
            <w:r>
              <w:rPr>
                <w:rFonts w:hint="eastAsia" w:ascii="宋体" w:hAnsi="宋体"/>
                <w:color w:val="auto"/>
                <w:szCs w:val="21"/>
                <w:highlight w:val="none"/>
              </w:rPr>
              <w:t>（6）满足招标文件要求且评标报价最低的评标报价为评标基准价，其价格分为满分。</w:t>
            </w:r>
          </w:p>
          <w:p w14:paraId="7AD7576A">
            <w:pPr>
              <w:spacing w:line="400" w:lineRule="exact"/>
              <w:ind w:firstLine="315" w:firstLineChars="150"/>
              <w:rPr>
                <w:rFonts w:hint="eastAsia" w:ascii="宋体" w:hAnsi="宋体"/>
                <w:color w:val="auto"/>
                <w:szCs w:val="21"/>
                <w:highlight w:val="none"/>
              </w:rPr>
            </w:pPr>
            <w:r>
              <w:rPr>
                <w:rFonts w:hint="eastAsia" w:ascii="宋体" w:hAnsi="宋体"/>
                <w:color w:val="auto"/>
                <w:szCs w:val="21"/>
                <w:highlight w:val="none"/>
              </w:rPr>
              <w:t>（7）价格分计算公式：</w:t>
            </w:r>
          </w:p>
          <w:p w14:paraId="3FCCFBC9">
            <w:pPr>
              <w:spacing w:line="400" w:lineRule="exact"/>
              <w:ind w:firstLine="316" w:firstLineChars="150"/>
              <w:rPr>
                <w:rFonts w:hint="eastAsia" w:ascii="宋体" w:hAnsi="宋体"/>
                <w:b/>
                <w:bCs/>
                <w:color w:val="auto"/>
                <w:szCs w:val="21"/>
                <w:highlight w:val="none"/>
              </w:rPr>
            </w:pPr>
            <w:r>
              <w:rPr>
                <w:rFonts w:hint="eastAsia" w:ascii="宋体" w:hAnsi="宋体"/>
                <w:b/>
                <w:bCs/>
                <w:color w:val="auto"/>
                <w:szCs w:val="21"/>
                <w:highlight w:val="none"/>
              </w:rPr>
              <w:t>价格分=(评标基准价／评标报价)×10分。</w:t>
            </w:r>
          </w:p>
          <w:p w14:paraId="2F725AFC">
            <w:pPr>
              <w:spacing w:line="400" w:lineRule="exact"/>
              <w:ind w:firstLine="315" w:firstLineChars="150"/>
              <w:rPr>
                <w:rFonts w:hint="eastAsia" w:ascii="宋体" w:hAnsi="宋体"/>
                <w:color w:val="auto"/>
                <w:szCs w:val="21"/>
                <w:highlight w:val="none"/>
              </w:rPr>
            </w:pPr>
            <w:r>
              <w:rPr>
                <w:rFonts w:hint="eastAsia" w:ascii="宋体" w:hAnsi="宋体"/>
                <w:color w:val="auto"/>
                <w:szCs w:val="21"/>
                <w:highlight w:val="none"/>
              </w:rPr>
              <w:t>（8）异常低价说明。</w:t>
            </w:r>
          </w:p>
          <w:p w14:paraId="581E768A">
            <w:pPr>
              <w:spacing w:line="400" w:lineRule="exact"/>
              <w:ind w:firstLine="315" w:firstLineChars="150"/>
              <w:rPr>
                <w:rFonts w:ascii="宋体" w:hAnsi="宋体"/>
                <w:bCs/>
                <w:color w:val="auto"/>
                <w:szCs w:val="21"/>
                <w:highlight w:val="none"/>
              </w:rPr>
            </w:pPr>
            <w:r>
              <w:rPr>
                <w:rFonts w:hint="eastAsia" w:ascii="宋体" w:hAnsi="宋体"/>
                <w:color w:val="auto"/>
                <w:szCs w:val="21"/>
                <w:highlight w:val="none"/>
              </w:rPr>
              <w:t>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p>
        </w:tc>
        <w:tc>
          <w:tcPr>
            <w:tcW w:w="838" w:type="dxa"/>
            <w:tcBorders>
              <w:top w:val="single" w:color="auto" w:sz="4" w:space="0"/>
              <w:left w:val="nil"/>
              <w:bottom w:val="single" w:color="auto" w:sz="4" w:space="0"/>
              <w:right w:val="single" w:color="auto" w:sz="4" w:space="0"/>
            </w:tcBorders>
            <w:noWrap w:val="0"/>
            <w:vAlign w:val="center"/>
          </w:tcPr>
          <w:p w14:paraId="06CDC049">
            <w:pPr>
              <w:widowControl/>
              <w:spacing w:line="400" w:lineRule="exact"/>
              <w:jc w:val="center"/>
              <w:rPr>
                <w:rFonts w:ascii="宋体" w:hAnsi="宋体"/>
                <w:color w:val="auto"/>
                <w:kern w:val="0"/>
                <w:szCs w:val="21"/>
                <w:highlight w:val="none"/>
              </w:rPr>
            </w:pPr>
            <w:r>
              <w:rPr>
                <w:rFonts w:hint="eastAsia" w:ascii="宋体" w:hAnsi="宋体"/>
                <w:color w:val="auto"/>
                <w:kern w:val="0"/>
                <w:szCs w:val="21"/>
                <w:highlight w:val="none"/>
              </w:rPr>
              <w:t>10分</w:t>
            </w:r>
          </w:p>
        </w:tc>
      </w:tr>
      <w:tr w14:paraId="0DF6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26D40685">
            <w:pPr>
              <w:widowControl/>
              <w:spacing w:line="400" w:lineRule="exact"/>
              <w:jc w:val="center"/>
              <w:rPr>
                <w:rFonts w:ascii="宋体" w:hAnsi="宋体"/>
                <w:b/>
                <w:color w:val="auto"/>
                <w:kern w:val="0"/>
                <w:szCs w:val="21"/>
                <w:highlight w:val="none"/>
              </w:rPr>
            </w:pPr>
            <w:r>
              <w:rPr>
                <w:rFonts w:hint="eastAsia" w:ascii="宋体" w:hAnsi="宋体"/>
                <w:b/>
                <w:color w:val="auto"/>
                <w:kern w:val="0"/>
                <w:szCs w:val="21"/>
                <w:highlight w:val="none"/>
              </w:rPr>
              <w:t>2</w:t>
            </w:r>
          </w:p>
        </w:tc>
        <w:tc>
          <w:tcPr>
            <w:tcW w:w="1480" w:type="dxa"/>
            <w:tcBorders>
              <w:top w:val="single" w:color="auto" w:sz="4" w:space="0"/>
              <w:left w:val="nil"/>
              <w:bottom w:val="single" w:color="auto" w:sz="4" w:space="0"/>
              <w:right w:val="single" w:color="auto" w:sz="4" w:space="0"/>
            </w:tcBorders>
            <w:noWrap w:val="0"/>
            <w:vAlign w:val="center"/>
          </w:tcPr>
          <w:p w14:paraId="22DCCA91">
            <w:pPr>
              <w:widowControl/>
              <w:spacing w:line="400" w:lineRule="exact"/>
              <w:jc w:val="center"/>
              <w:rPr>
                <w:rFonts w:ascii="宋体" w:hAnsi="宋体"/>
                <w:b/>
                <w:color w:val="auto"/>
                <w:kern w:val="0"/>
                <w:szCs w:val="21"/>
                <w:highlight w:val="none"/>
              </w:rPr>
            </w:pPr>
            <w:r>
              <w:rPr>
                <w:rFonts w:hint="eastAsia" w:ascii="宋体" w:hAnsi="宋体"/>
                <w:b/>
                <w:color w:val="auto"/>
                <w:kern w:val="0"/>
                <w:szCs w:val="21"/>
                <w:highlight w:val="none"/>
              </w:rPr>
              <w:t>技术分</w:t>
            </w:r>
          </w:p>
          <w:p w14:paraId="2F0B80B5">
            <w:pPr>
              <w:widowControl/>
              <w:spacing w:line="400" w:lineRule="exact"/>
              <w:jc w:val="center"/>
              <w:rPr>
                <w:rFonts w:ascii="宋体" w:hAnsi="宋体"/>
                <w:b/>
                <w:color w:val="auto"/>
                <w:kern w:val="0"/>
                <w:szCs w:val="21"/>
                <w:highlight w:val="none"/>
              </w:rPr>
            </w:pPr>
            <w:r>
              <w:rPr>
                <w:rFonts w:hint="eastAsia" w:ascii="宋体" w:hAnsi="宋体"/>
                <w:b/>
                <w:color w:val="auto"/>
                <w:kern w:val="0"/>
                <w:szCs w:val="21"/>
                <w:highlight w:val="none"/>
              </w:rPr>
              <w:t>（满分82分）</w:t>
            </w:r>
          </w:p>
        </w:tc>
        <w:tc>
          <w:tcPr>
            <w:tcW w:w="7484" w:type="dxa"/>
            <w:gridSpan w:val="2"/>
            <w:tcBorders>
              <w:top w:val="single" w:color="auto" w:sz="4" w:space="0"/>
              <w:left w:val="nil"/>
              <w:bottom w:val="single" w:color="auto" w:sz="4" w:space="0"/>
              <w:right w:val="single" w:color="auto" w:sz="4" w:space="0"/>
            </w:tcBorders>
            <w:noWrap w:val="0"/>
            <w:vAlign w:val="center"/>
          </w:tcPr>
          <w:p w14:paraId="7AC7D932">
            <w:pPr>
              <w:widowControl/>
              <w:spacing w:line="400" w:lineRule="exact"/>
              <w:jc w:val="center"/>
              <w:rPr>
                <w:rFonts w:ascii="宋体" w:hAnsi="宋体"/>
                <w:b/>
                <w:color w:val="auto"/>
                <w:kern w:val="0"/>
                <w:szCs w:val="21"/>
                <w:highlight w:val="none"/>
              </w:rPr>
            </w:pPr>
            <w:r>
              <w:rPr>
                <w:rFonts w:hint="eastAsia" w:ascii="宋体" w:hAnsi="宋体"/>
                <w:b/>
                <w:color w:val="auto"/>
                <w:kern w:val="0"/>
                <w:szCs w:val="21"/>
                <w:highlight w:val="none"/>
              </w:rPr>
              <w:t>评审因素</w:t>
            </w:r>
          </w:p>
        </w:tc>
      </w:tr>
      <w:tr w14:paraId="1C23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7AEFED27">
            <w:pPr>
              <w:adjustRightInd w:val="0"/>
              <w:spacing w:line="400" w:lineRule="exact"/>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2.1</w:t>
            </w:r>
          </w:p>
        </w:tc>
        <w:tc>
          <w:tcPr>
            <w:tcW w:w="1480" w:type="dxa"/>
            <w:tcBorders>
              <w:top w:val="single" w:color="auto" w:sz="4" w:space="0"/>
              <w:left w:val="nil"/>
              <w:bottom w:val="single" w:color="auto" w:sz="4" w:space="0"/>
              <w:right w:val="single" w:color="auto" w:sz="4" w:space="0"/>
            </w:tcBorders>
            <w:noWrap w:val="0"/>
            <w:vAlign w:val="center"/>
          </w:tcPr>
          <w:p w14:paraId="2FF83141">
            <w:pPr>
              <w:spacing w:line="400" w:lineRule="exact"/>
              <w:jc w:val="center"/>
              <w:rPr>
                <w:rFonts w:ascii="宋体" w:hAnsi="宋体"/>
                <w:color w:val="auto"/>
                <w:szCs w:val="21"/>
                <w:highlight w:val="none"/>
              </w:rPr>
            </w:pPr>
            <w:r>
              <w:rPr>
                <w:rFonts w:hint="eastAsia" w:ascii="宋体" w:hAnsi="宋体"/>
                <w:color w:val="auto"/>
                <w:szCs w:val="21"/>
                <w:highlight w:val="none"/>
              </w:rPr>
              <w:t>服务及实施方案分（满分28分）</w:t>
            </w:r>
          </w:p>
        </w:tc>
        <w:tc>
          <w:tcPr>
            <w:tcW w:w="6646" w:type="dxa"/>
            <w:tcBorders>
              <w:top w:val="single" w:color="auto" w:sz="4" w:space="0"/>
              <w:left w:val="nil"/>
              <w:bottom w:val="single" w:color="auto" w:sz="4" w:space="0"/>
              <w:right w:val="single" w:color="auto" w:sz="4" w:space="0"/>
            </w:tcBorders>
            <w:noWrap w:val="0"/>
            <w:vAlign w:val="center"/>
          </w:tcPr>
          <w:p w14:paraId="550B0BE7">
            <w:pPr>
              <w:spacing w:line="400" w:lineRule="exact"/>
              <w:ind w:left="1" w:firstLine="417" w:firstLineChars="199"/>
              <w:rPr>
                <w:rFonts w:ascii="宋体" w:hAnsi="宋体" w:cs="Calibri"/>
                <w:color w:val="auto"/>
                <w:szCs w:val="21"/>
                <w:highlight w:val="none"/>
              </w:rPr>
            </w:pPr>
            <w:r>
              <w:rPr>
                <w:rFonts w:hint="eastAsia" w:ascii="宋体" w:hAnsi="宋体" w:cs="Calibri"/>
                <w:color w:val="auto"/>
                <w:szCs w:val="21"/>
                <w:highlight w:val="none"/>
              </w:rPr>
              <w:t xml:space="preserve">由评委根据供应商提供的服务及实施方案，根据以下标准自行独立打分，达不到一档的不得分：  </w:t>
            </w:r>
          </w:p>
          <w:p w14:paraId="06D6CA45">
            <w:pPr>
              <w:spacing w:line="380" w:lineRule="exact"/>
              <w:ind w:firstLine="411" w:firstLineChars="196"/>
              <w:rPr>
                <w:rFonts w:hint="eastAsia" w:ascii="宋体" w:hAnsi="宋体" w:cs="Calibri"/>
                <w:color w:val="auto"/>
                <w:szCs w:val="21"/>
                <w:highlight w:val="none"/>
              </w:rPr>
            </w:pPr>
            <w:bookmarkStart w:id="259" w:name="OLE_LINK69"/>
            <w:r>
              <w:rPr>
                <w:rFonts w:hint="eastAsia" w:ascii="宋体" w:hAnsi="宋体"/>
                <w:color w:val="auto"/>
                <w:szCs w:val="21"/>
                <w:highlight w:val="none"/>
              </w:rPr>
              <w:t>一档（7分）：</w:t>
            </w:r>
            <w:r>
              <w:rPr>
                <w:rFonts w:hint="eastAsia" w:ascii="宋体" w:hAnsi="宋体" w:cs="Calibri"/>
                <w:color w:val="auto"/>
                <w:szCs w:val="21"/>
                <w:highlight w:val="none"/>
              </w:rPr>
              <w:t>服务及实施方案</w:t>
            </w:r>
            <w:r>
              <w:rPr>
                <w:rFonts w:hint="eastAsia" w:ascii="宋体" w:hAnsi="宋体" w:cs="宋体"/>
                <w:bCs/>
                <w:color w:val="auto"/>
                <w:kern w:val="0"/>
                <w:szCs w:val="21"/>
                <w:highlight w:val="none"/>
              </w:rPr>
              <w:t>简单</w:t>
            </w:r>
            <w:bookmarkStart w:id="260" w:name="OLE_LINK106"/>
            <w:bookmarkStart w:id="261" w:name="OLE_LINK90"/>
            <w:r>
              <w:rPr>
                <w:rFonts w:hint="eastAsia" w:ascii="宋体" w:hAnsi="宋体" w:cs="宋体"/>
                <w:bCs/>
                <w:color w:val="auto"/>
                <w:szCs w:val="21"/>
                <w:highlight w:val="none"/>
              </w:rPr>
              <w:t>、</w:t>
            </w:r>
            <w:r>
              <w:rPr>
                <w:rFonts w:hint="eastAsia" w:ascii="宋体" w:hAnsi="宋体" w:cs="宋体"/>
                <w:bCs/>
                <w:color w:val="auto"/>
                <w:kern w:val="0"/>
                <w:szCs w:val="21"/>
                <w:highlight w:val="none"/>
              </w:rPr>
              <w:t>整体方案结构不完整，</w:t>
            </w:r>
            <w:bookmarkEnd w:id="260"/>
            <w:bookmarkEnd w:id="261"/>
            <w:r>
              <w:rPr>
                <w:rFonts w:hint="eastAsia" w:ascii="宋体" w:hAnsi="宋体" w:cs="Calibri"/>
                <w:color w:val="auto"/>
                <w:szCs w:val="21"/>
                <w:highlight w:val="none"/>
              </w:rPr>
              <w:t>服务流程、服务措施、</w:t>
            </w:r>
            <w:bookmarkStart w:id="262" w:name="OLE_LINK76"/>
            <w:bookmarkStart w:id="263" w:name="OLE_LINK70"/>
            <w:r>
              <w:rPr>
                <w:rFonts w:hint="eastAsia" w:ascii="宋体" w:hAnsi="宋体" w:cs="Calibri"/>
                <w:color w:val="auto"/>
                <w:szCs w:val="21"/>
                <w:highlight w:val="none"/>
              </w:rPr>
              <w:t>计划安排</w:t>
            </w:r>
            <w:bookmarkStart w:id="264" w:name="OLE_LINK107"/>
            <w:bookmarkStart w:id="265" w:name="OLE_LINK108"/>
            <w:r>
              <w:rPr>
                <w:rFonts w:hint="eastAsia" w:ascii="宋体" w:hAnsi="宋体" w:cs="Calibri"/>
                <w:color w:val="auto"/>
                <w:szCs w:val="21"/>
                <w:highlight w:val="none"/>
              </w:rPr>
              <w:t>等内容</w:t>
            </w:r>
            <w:bookmarkEnd w:id="262"/>
            <w:bookmarkEnd w:id="263"/>
            <w:r>
              <w:rPr>
                <w:rFonts w:hint="eastAsia" w:ascii="宋体" w:hAnsi="宋体" w:cs="Calibri"/>
                <w:color w:val="auto"/>
                <w:szCs w:val="21"/>
                <w:highlight w:val="none"/>
              </w:rPr>
              <w:t>不明确，有欠缺。</w:t>
            </w:r>
          </w:p>
          <w:bookmarkEnd w:id="259"/>
          <w:bookmarkEnd w:id="264"/>
          <w:bookmarkEnd w:id="265"/>
          <w:p w14:paraId="6483BF2A">
            <w:pPr>
              <w:spacing w:line="380" w:lineRule="exact"/>
              <w:ind w:firstLine="411" w:firstLineChars="196"/>
              <w:rPr>
                <w:rFonts w:hint="eastAsia" w:ascii="宋体" w:hAnsi="宋体"/>
                <w:color w:val="auto"/>
                <w:szCs w:val="21"/>
                <w:highlight w:val="none"/>
              </w:rPr>
            </w:pPr>
            <w:r>
              <w:rPr>
                <w:rFonts w:hint="eastAsia" w:ascii="宋体" w:hAnsi="宋体"/>
                <w:color w:val="auto"/>
                <w:szCs w:val="21"/>
                <w:highlight w:val="none"/>
              </w:rPr>
              <w:t>二档（14分）：</w:t>
            </w:r>
            <w:r>
              <w:rPr>
                <w:rFonts w:hint="eastAsia" w:ascii="宋体" w:hAnsi="宋体" w:cs="Calibri"/>
                <w:color w:val="auto"/>
                <w:szCs w:val="21"/>
                <w:highlight w:val="none"/>
              </w:rPr>
              <w:t>服务及实施方案</w:t>
            </w:r>
            <w:r>
              <w:rPr>
                <w:rFonts w:hint="eastAsia" w:ascii="宋体" w:hAnsi="宋体" w:cs="宋体"/>
                <w:bCs/>
                <w:color w:val="auto"/>
                <w:kern w:val="0"/>
                <w:szCs w:val="21"/>
                <w:highlight w:val="none"/>
              </w:rPr>
              <w:t>简单、整体方案结构基本完整，</w:t>
            </w:r>
            <w:r>
              <w:rPr>
                <w:rFonts w:hint="eastAsia" w:ascii="宋体" w:hAnsi="宋体" w:cs="Calibri"/>
                <w:color w:val="auto"/>
                <w:szCs w:val="21"/>
                <w:highlight w:val="none"/>
              </w:rPr>
              <w:t>服务流程、服务措施、计划安排等内容</w:t>
            </w:r>
            <w:bookmarkStart w:id="266" w:name="OLE_LINK77"/>
            <w:bookmarkStart w:id="267" w:name="OLE_LINK87"/>
            <w:r>
              <w:rPr>
                <w:rFonts w:hint="eastAsia" w:ascii="宋体" w:hAnsi="宋体" w:cs="Calibri"/>
                <w:color w:val="auto"/>
                <w:szCs w:val="21"/>
                <w:highlight w:val="none"/>
              </w:rPr>
              <w:t>简单，</w:t>
            </w:r>
            <w:bookmarkStart w:id="268" w:name="OLE_LINK125"/>
            <w:bookmarkStart w:id="269" w:name="OLE_LINK126"/>
            <w:r>
              <w:rPr>
                <w:rFonts w:hint="eastAsia" w:ascii="宋体" w:hAnsi="宋体" w:cs="Calibri"/>
                <w:color w:val="auto"/>
                <w:szCs w:val="21"/>
                <w:highlight w:val="none"/>
              </w:rPr>
              <w:t>基本符合采购项目的实际情况</w:t>
            </w:r>
            <w:bookmarkEnd w:id="266"/>
            <w:bookmarkEnd w:id="267"/>
            <w:r>
              <w:rPr>
                <w:rFonts w:hint="eastAsia" w:ascii="宋体" w:hAnsi="宋体" w:cs="Calibri"/>
                <w:color w:val="auto"/>
                <w:szCs w:val="21"/>
                <w:highlight w:val="none"/>
              </w:rPr>
              <w:t>，</w:t>
            </w:r>
            <w:r>
              <w:rPr>
                <w:rFonts w:hint="eastAsia" w:ascii="宋体" w:hAnsi="宋体" w:cs="宋体"/>
                <w:bCs/>
                <w:color w:val="auto"/>
                <w:kern w:val="0"/>
                <w:szCs w:val="21"/>
                <w:highlight w:val="none"/>
              </w:rPr>
              <w:t>能保证采购项目的正常实施。</w:t>
            </w:r>
            <w:bookmarkEnd w:id="268"/>
            <w:bookmarkEnd w:id="269"/>
          </w:p>
          <w:p w14:paraId="1E6E4189">
            <w:pPr>
              <w:spacing w:line="400" w:lineRule="exact"/>
              <w:ind w:left="1" w:firstLine="422" w:firstLineChars="201"/>
              <w:rPr>
                <w:rFonts w:hint="eastAsia" w:ascii="宋体" w:hAnsi="宋体" w:cs="宋体"/>
                <w:bCs/>
                <w:color w:val="auto"/>
                <w:kern w:val="0"/>
                <w:szCs w:val="21"/>
                <w:highlight w:val="none"/>
              </w:rPr>
            </w:pPr>
            <w:r>
              <w:rPr>
                <w:rFonts w:hint="eastAsia" w:ascii="宋体" w:hAnsi="宋体"/>
                <w:color w:val="auto"/>
                <w:szCs w:val="21"/>
                <w:highlight w:val="none"/>
              </w:rPr>
              <w:t>三档（21分）：</w:t>
            </w:r>
            <w:r>
              <w:rPr>
                <w:rFonts w:hint="eastAsia" w:ascii="宋体" w:hAnsi="宋体" w:cs="Calibri"/>
                <w:color w:val="auto"/>
                <w:szCs w:val="21"/>
                <w:highlight w:val="none"/>
              </w:rPr>
              <w:t>服务及实施方案</w:t>
            </w:r>
            <w:r>
              <w:rPr>
                <w:rFonts w:hint="eastAsia" w:ascii="宋体" w:hAnsi="宋体" w:cs="宋体"/>
                <w:bCs/>
                <w:color w:val="auto"/>
                <w:kern w:val="0"/>
                <w:szCs w:val="21"/>
                <w:highlight w:val="none"/>
              </w:rPr>
              <w:t>详细、整体方案结构完整，具有明确的</w:t>
            </w:r>
            <w:r>
              <w:rPr>
                <w:rFonts w:hint="eastAsia" w:ascii="宋体" w:hAnsi="宋体" w:cs="Calibri"/>
                <w:color w:val="auto"/>
                <w:szCs w:val="21"/>
                <w:highlight w:val="none"/>
              </w:rPr>
              <w:t>服务流程、进度</w:t>
            </w:r>
            <w:r>
              <w:rPr>
                <w:rFonts w:hint="eastAsia" w:ascii="宋体" w:hAnsi="宋体" w:cs="宋体"/>
                <w:bCs/>
                <w:color w:val="auto"/>
                <w:kern w:val="0"/>
                <w:szCs w:val="21"/>
                <w:highlight w:val="none"/>
              </w:rPr>
              <w:t>安排、质量控制等具体计划及措施，</w:t>
            </w:r>
            <w:r>
              <w:rPr>
                <w:rFonts w:hint="eastAsia" w:ascii="宋体" w:hAnsi="宋体" w:cs="Calibri"/>
                <w:color w:val="auto"/>
                <w:szCs w:val="21"/>
                <w:highlight w:val="none"/>
              </w:rPr>
              <w:t>符合采购项目的实际情况</w:t>
            </w:r>
            <w:r>
              <w:rPr>
                <w:rFonts w:hint="eastAsia" w:ascii="宋体" w:hAnsi="宋体" w:cs="宋体"/>
                <w:bCs/>
                <w:color w:val="auto"/>
                <w:kern w:val="0"/>
                <w:szCs w:val="21"/>
                <w:highlight w:val="none"/>
              </w:rPr>
              <w:t>，且具有可行性，能有效的保障项目的顺利实施及质量。</w:t>
            </w:r>
          </w:p>
          <w:p w14:paraId="054A0964">
            <w:pPr>
              <w:spacing w:line="400" w:lineRule="exact"/>
              <w:ind w:firstLine="420" w:firstLineChars="200"/>
              <w:rPr>
                <w:rFonts w:ascii="宋体" w:hAnsi="宋体"/>
                <w:bCs/>
                <w:color w:val="auto"/>
                <w:szCs w:val="21"/>
                <w:highlight w:val="none"/>
              </w:rPr>
            </w:pPr>
            <w:r>
              <w:rPr>
                <w:rFonts w:hint="eastAsia" w:ascii="宋体" w:hAnsi="宋体"/>
                <w:color w:val="auto"/>
                <w:szCs w:val="21"/>
                <w:highlight w:val="none"/>
              </w:rPr>
              <w:t>四档（28分）：</w:t>
            </w:r>
            <w:r>
              <w:rPr>
                <w:rFonts w:hint="eastAsia" w:ascii="宋体" w:hAnsi="宋体" w:cs="Calibri"/>
                <w:color w:val="auto"/>
                <w:szCs w:val="21"/>
                <w:highlight w:val="none"/>
              </w:rPr>
              <w:t>服务及实施方案</w:t>
            </w:r>
            <w:r>
              <w:rPr>
                <w:rFonts w:hint="eastAsia" w:ascii="宋体" w:hAnsi="宋体" w:cs="宋体"/>
                <w:bCs/>
                <w:color w:val="auto"/>
                <w:kern w:val="0"/>
                <w:szCs w:val="21"/>
                <w:highlight w:val="none"/>
              </w:rPr>
              <w:t>详尽、整体方案结构完整、</w:t>
            </w:r>
            <w:r>
              <w:rPr>
                <w:rFonts w:ascii="宋体" w:hAnsi="宋体" w:cs="宋体"/>
                <w:bCs/>
                <w:color w:val="auto"/>
                <w:kern w:val="0"/>
                <w:szCs w:val="21"/>
                <w:highlight w:val="none"/>
              </w:rPr>
              <w:t>切合项目特点</w:t>
            </w:r>
            <w:bookmarkStart w:id="270" w:name="OLE_LINK132"/>
            <w:bookmarkStart w:id="271" w:name="OLE_LINK135"/>
            <w:r>
              <w:rPr>
                <w:rFonts w:hint="eastAsia" w:ascii="宋体" w:hAnsi="宋体" w:cs="宋体"/>
                <w:bCs/>
                <w:color w:val="auto"/>
                <w:kern w:val="0"/>
                <w:szCs w:val="21"/>
                <w:highlight w:val="none"/>
              </w:rPr>
              <w:t>，完全</w:t>
            </w:r>
            <w:r>
              <w:rPr>
                <w:rFonts w:hint="eastAsia" w:ascii="宋体" w:hAnsi="宋体" w:cs="Calibri"/>
                <w:color w:val="auto"/>
                <w:szCs w:val="21"/>
                <w:highlight w:val="none"/>
              </w:rPr>
              <w:t>符合采购项目的实际情况</w:t>
            </w:r>
            <w:r>
              <w:rPr>
                <w:rFonts w:hint="eastAsia" w:ascii="宋体" w:hAnsi="宋体" w:cs="宋体"/>
                <w:bCs/>
                <w:color w:val="auto"/>
                <w:kern w:val="0"/>
                <w:szCs w:val="21"/>
                <w:highlight w:val="none"/>
              </w:rPr>
              <w:t>；</w:t>
            </w:r>
            <w:bookmarkEnd w:id="270"/>
            <w:bookmarkEnd w:id="271"/>
            <w:r>
              <w:rPr>
                <w:rFonts w:hint="eastAsia" w:ascii="宋体" w:hAnsi="宋体" w:cs="Calibri"/>
                <w:color w:val="auto"/>
                <w:szCs w:val="21"/>
                <w:highlight w:val="none"/>
              </w:rPr>
              <w:t>服务流程及实施进度</w:t>
            </w:r>
            <w:r>
              <w:rPr>
                <w:rFonts w:hint="eastAsia" w:ascii="宋体" w:hAnsi="宋体" w:cs="宋体"/>
                <w:bCs/>
                <w:color w:val="auto"/>
                <w:kern w:val="0"/>
                <w:szCs w:val="21"/>
                <w:highlight w:val="none"/>
              </w:rPr>
              <w:t>安排科学合理、</w:t>
            </w:r>
            <w:r>
              <w:rPr>
                <w:rFonts w:ascii="宋体" w:hAnsi="宋体" w:cs="宋体"/>
                <w:bCs/>
                <w:color w:val="auto"/>
                <w:kern w:val="0"/>
                <w:szCs w:val="21"/>
                <w:highlight w:val="none"/>
              </w:rPr>
              <w:t>组织管理得力</w:t>
            </w:r>
            <w:r>
              <w:rPr>
                <w:rFonts w:hint="eastAsia" w:ascii="宋体" w:hAnsi="宋体" w:cs="宋体"/>
                <w:bCs/>
                <w:color w:val="auto"/>
                <w:kern w:val="0"/>
                <w:szCs w:val="21"/>
                <w:highlight w:val="none"/>
              </w:rPr>
              <w:t>，项目实施质量及目标明确；具有明确的风险评估、质量控制及安全防范措施，且安排合理、切实可行，具有明确的</w:t>
            </w:r>
            <w:bookmarkStart w:id="272" w:name="OLE_LINK89"/>
            <w:bookmarkStart w:id="273" w:name="OLE_LINK88"/>
            <w:r>
              <w:rPr>
                <w:rFonts w:hint="eastAsia" w:ascii="宋体" w:hAnsi="宋体" w:cs="宋体"/>
                <w:bCs/>
                <w:color w:val="auto"/>
                <w:kern w:val="0"/>
                <w:szCs w:val="21"/>
                <w:highlight w:val="none"/>
              </w:rPr>
              <w:t>现场</w:t>
            </w:r>
            <w:bookmarkEnd w:id="272"/>
            <w:bookmarkEnd w:id="273"/>
            <w:r>
              <w:rPr>
                <w:rFonts w:hint="eastAsia" w:ascii="宋体" w:hAnsi="宋体" w:cs="宋体"/>
                <w:bCs/>
                <w:color w:val="auto"/>
                <w:kern w:val="0"/>
                <w:szCs w:val="21"/>
                <w:highlight w:val="none"/>
              </w:rPr>
              <w:t>核验及数据跟踪调查方案及措施，</w:t>
            </w:r>
            <w:r>
              <w:rPr>
                <w:rFonts w:hint="eastAsia" w:ascii="宋体" w:hAnsi="宋体" w:cs="Calibri"/>
                <w:color w:val="auto"/>
                <w:szCs w:val="21"/>
                <w:highlight w:val="none"/>
              </w:rPr>
              <w:t>服务及实施方案能有力的保障采购项目的顺利实施及整体监管目标的实现。</w:t>
            </w:r>
          </w:p>
        </w:tc>
        <w:tc>
          <w:tcPr>
            <w:tcW w:w="838" w:type="dxa"/>
            <w:tcBorders>
              <w:top w:val="single" w:color="auto" w:sz="4" w:space="0"/>
              <w:left w:val="nil"/>
              <w:bottom w:val="single" w:color="auto" w:sz="4" w:space="0"/>
              <w:right w:val="single" w:color="auto" w:sz="4" w:space="0"/>
            </w:tcBorders>
            <w:noWrap w:val="0"/>
            <w:vAlign w:val="center"/>
          </w:tcPr>
          <w:p w14:paraId="530D4FC8">
            <w:pPr>
              <w:spacing w:line="400" w:lineRule="exact"/>
              <w:jc w:val="center"/>
              <w:rPr>
                <w:rFonts w:ascii="宋体" w:hAnsi="宋体"/>
                <w:color w:val="auto"/>
                <w:kern w:val="0"/>
                <w:szCs w:val="21"/>
                <w:highlight w:val="none"/>
              </w:rPr>
            </w:pPr>
            <w:r>
              <w:rPr>
                <w:rFonts w:hint="eastAsia" w:ascii="宋体" w:hAnsi="宋体"/>
                <w:color w:val="auto"/>
                <w:szCs w:val="21"/>
                <w:highlight w:val="none"/>
              </w:rPr>
              <w:t>28分</w:t>
            </w:r>
          </w:p>
        </w:tc>
      </w:tr>
      <w:tr w14:paraId="06BB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319113F6">
            <w:pPr>
              <w:adjustRightInd w:val="0"/>
              <w:spacing w:line="400" w:lineRule="exact"/>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2.2</w:t>
            </w:r>
          </w:p>
        </w:tc>
        <w:tc>
          <w:tcPr>
            <w:tcW w:w="1480" w:type="dxa"/>
            <w:tcBorders>
              <w:top w:val="single" w:color="auto" w:sz="4" w:space="0"/>
              <w:left w:val="nil"/>
              <w:bottom w:val="single" w:color="auto" w:sz="4" w:space="0"/>
              <w:right w:val="single" w:color="auto" w:sz="4" w:space="0"/>
            </w:tcBorders>
            <w:noWrap w:val="0"/>
            <w:vAlign w:val="center"/>
          </w:tcPr>
          <w:p w14:paraId="73AAFFF7">
            <w:pPr>
              <w:spacing w:line="400" w:lineRule="exact"/>
              <w:jc w:val="center"/>
              <w:rPr>
                <w:rFonts w:ascii="宋体" w:hAnsi="宋体"/>
                <w:color w:val="auto"/>
                <w:szCs w:val="21"/>
                <w:highlight w:val="none"/>
              </w:rPr>
            </w:pPr>
            <w:r>
              <w:rPr>
                <w:rFonts w:hint="eastAsia" w:ascii="宋体" w:hAnsi="宋体"/>
                <w:color w:val="auto"/>
                <w:szCs w:val="21"/>
                <w:highlight w:val="none"/>
              </w:rPr>
              <w:t>技术方案分（满分24分）</w:t>
            </w:r>
          </w:p>
        </w:tc>
        <w:tc>
          <w:tcPr>
            <w:tcW w:w="6646" w:type="dxa"/>
            <w:tcBorders>
              <w:top w:val="single" w:color="auto" w:sz="4" w:space="0"/>
              <w:left w:val="nil"/>
              <w:bottom w:val="single" w:color="auto" w:sz="4" w:space="0"/>
              <w:right w:val="single" w:color="auto" w:sz="4" w:space="0"/>
            </w:tcBorders>
            <w:noWrap w:val="0"/>
            <w:vAlign w:val="center"/>
          </w:tcPr>
          <w:p w14:paraId="5E8B4EA3">
            <w:pPr>
              <w:spacing w:line="400" w:lineRule="exact"/>
              <w:ind w:left="1" w:firstLine="417" w:firstLineChars="199"/>
              <w:rPr>
                <w:rFonts w:hint="eastAsia" w:ascii="宋体" w:hAnsi="宋体" w:cs="Calibri"/>
                <w:color w:val="auto"/>
                <w:szCs w:val="21"/>
                <w:highlight w:val="none"/>
              </w:rPr>
            </w:pPr>
            <w:r>
              <w:rPr>
                <w:rFonts w:hint="eastAsia" w:ascii="宋体" w:hAnsi="宋体" w:cs="Calibri"/>
                <w:color w:val="auto"/>
                <w:szCs w:val="21"/>
                <w:highlight w:val="none"/>
              </w:rPr>
              <w:t>由评委根据供应商提供的技术方案，根据以下标准自行独立打分，达不到一档的不得分：</w:t>
            </w:r>
          </w:p>
          <w:p w14:paraId="7F96D6F1">
            <w:pPr>
              <w:spacing w:line="380" w:lineRule="exact"/>
              <w:ind w:firstLine="411" w:firstLineChars="196"/>
              <w:rPr>
                <w:rFonts w:hint="eastAsia" w:ascii="宋体" w:hAnsi="宋体" w:cs="宋体"/>
                <w:bCs/>
                <w:color w:val="auto"/>
                <w:kern w:val="0"/>
                <w:szCs w:val="21"/>
                <w:highlight w:val="none"/>
              </w:rPr>
            </w:pPr>
            <w:r>
              <w:rPr>
                <w:rFonts w:hint="eastAsia" w:ascii="宋体" w:hAnsi="宋体"/>
                <w:color w:val="auto"/>
                <w:szCs w:val="21"/>
                <w:highlight w:val="none"/>
              </w:rPr>
              <w:t>一档（6分）：</w:t>
            </w:r>
            <w:r>
              <w:rPr>
                <w:rFonts w:hint="eastAsia" w:ascii="宋体" w:hAnsi="宋体" w:cs="Calibri"/>
                <w:color w:val="auto"/>
                <w:szCs w:val="21"/>
                <w:highlight w:val="none"/>
              </w:rPr>
              <w:t>技术方案</w:t>
            </w:r>
            <w:r>
              <w:rPr>
                <w:rFonts w:hint="eastAsia" w:ascii="宋体" w:hAnsi="宋体" w:cs="宋体"/>
                <w:bCs/>
                <w:color w:val="auto"/>
                <w:kern w:val="0"/>
                <w:szCs w:val="21"/>
                <w:highlight w:val="none"/>
              </w:rPr>
              <w:t>简单、</w:t>
            </w:r>
            <w:bookmarkStart w:id="274" w:name="OLE_LINK109"/>
            <w:bookmarkStart w:id="275" w:name="OLE_LINK122"/>
            <w:r>
              <w:rPr>
                <w:rFonts w:hint="eastAsia" w:ascii="宋体" w:hAnsi="宋体" w:cs="宋体"/>
                <w:bCs/>
                <w:color w:val="auto"/>
                <w:kern w:val="0"/>
                <w:szCs w:val="21"/>
                <w:highlight w:val="none"/>
              </w:rPr>
              <w:t>整体方案结构不完整</w:t>
            </w:r>
            <w:bookmarkEnd w:id="274"/>
            <w:bookmarkEnd w:id="275"/>
            <w:r>
              <w:rPr>
                <w:rFonts w:hint="eastAsia" w:ascii="宋体" w:hAnsi="宋体" w:cs="宋体"/>
                <w:bCs/>
                <w:color w:val="auto"/>
                <w:kern w:val="0"/>
                <w:szCs w:val="21"/>
                <w:highlight w:val="none"/>
              </w:rPr>
              <w:t>，</w:t>
            </w:r>
            <w:bookmarkStart w:id="276" w:name="OLE_LINK124"/>
            <w:bookmarkStart w:id="277" w:name="OLE_LINK123"/>
            <w:r>
              <w:rPr>
                <w:rFonts w:hint="eastAsia" w:ascii="宋体" w:hAnsi="宋体" w:cs="Calibri"/>
                <w:color w:val="auto"/>
                <w:szCs w:val="21"/>
                <w:highlight w:val="none"/>
              </w:rPr>
              <w:t>检测设备、检测方式方法、措施等内容不明确，</w:t>
            </w:r>
            <w:bookmarkEnd w:id="276"/>
            <w:bookmarkEnd w:id="277"/>
            <w:r>
              <w:rPr>
                <w:rFonts w:hint="eastAsia" w:ascii="宋体" w:hAnsi="宋体" w:cs="Calibri"/>
                <w:color w:val="auto"/>
                <w:szCs w:val="21"/>
                <w:highlight w:val="none"/>
              </w:rPr>
              <w:t>有欠缺。</w:t>
            </w:r>
          </w:p>
          <w:p w14:paraId="124A40BC">
            <w:pPr>
              <w:spacing w:line="380" w:lineRule="exact"/>
              <w:ind w:firstLine="411" w:firstLineChars="196"/>
              <w:rPr>
                <w:rFonts w:hint="eastAsia" w:ascii="宋体" w:hAnsi="宋体" w:cs="宋体"/>
                <w:bCs/>
                <w:color w:val="auto"/>
                <w:kern w:val="0"/>
                <w:szCs w:val="21"/>
                <w:highlight w:val="none"/>
              </w:rPr>
            </w:pPr>
            <w:r>
              <w:rPr>
                <w:rFonts w:hint="eastAsia" w:ascii="宋体" w:hAnsi="宋体"/>
                <w:color w:val="auto"/>
                <w:szCs w:val="21"/>
                <w:highlight w:val="none"/>
              </w:rPr>
              <w:t>二档（12分）：</w:t>
            </w:r>
            <w:r>
              <w:rPr>
                <w:rFonts w:hint="eastAsia" w:ascii="宋体" w:hAnsi="宋体" w:cs="Calibri"/>
                <w:color w:val="auto"/>
                <w:szCs w:val="21"/>
                <w:highlight w:val="none"/>
              </w:rPr>
              <w:t>技术方案</w:t>
            </w:r>
            <w:r>
              <w:rPr>
                <w:rFonts w:hint="eastAsia" w:ascii="宋体" w:hAnsi="宋体" w:cs="宋体"/>
                <w:bCs/>
                <w:color w:val="auto"/>
                <w:kern w:val="0"/>
                <w:szCs w:val="21"/>
                <w:highlight w:val="none"/>
              </w:rPr>
              <w:t>简单、整体方案结构完整，</w:t>
            </w:r>
            <w:bookmarkStart w:id="278" w:name="OLE_LINK159"/>
            <w:bookmarkStart w:id="279" w:name="OLE_LINK143"/>
            <w:r>
              <w:rPr>
                <w:rFonts w:hint="eastAsia" w:ascii="宋体" w:hAnsi="宋体" w:cs="Calibri"/>
                <w:color w:val="auto"/>
                <w:szCs w:val="21"/>
                <w:highlight w:val="none"/>
              </w:rPr>
              <w:t>检测设备、</w:t>
            </w:r>
            <w:bookmarkEnd w:id="278"/>
            <w:bookmarkEnd w:id="279"/>
            <w:r>
              <w:rPr>
                <w:rFonts w:hint="eastAsia" w:ascii="宋体" w:hAnsi="宋体" w:cs="Calibri"/>
                <w:color w:val="auto"/>
                <w:szCs w:val="21"/>
                <w:highlight w:val="none"/>
              </w:rPr>
              <w:t>检测方式方法、措施等内容明确，基本符合采购项目的实际情况，</w:t>
            </w:r>
            <w:bookmarkStart w:id="280" w:name="OLE_LINK129"/>
            <w:bookmarkStart w:id="281" w:name="OLE_LINK130"/>
            <w:bookmarkStart w:id="282" w:name="OLE_LINK127"/>
            <w:bookmarkStart w:id="283" w:name="OLE_LINK128"/>
            <w:r>
              <w:rPr>
                <w:rFonts w:hint="eastAsia" w:ascii="宋体" w:hAnsi="宋体" w:cs="宋体"/>
                <w:bCs/>
                <w:color w:val="auto"/>
                <w:kern w:val="0"/>
                <w:szCs w:val="21"/>
                <w:highlight w:val="none"/>
              </w:rPr>
              <w:t>能达到采购项目的检测及技术要求</w:t>
            </w:r>
            <w:bookmarkEnd w:id="280"/>
            <w:bookmarkEnd w:id="281"/>
            <w:r>
              <w:rPr>
                <w:rFonts w:hint="eastAsia" w:ascii="宋体" w:hAnsi="宋体" w:cs="宋体"/>
                <w:bCs/>
                <w:color w:val="auto"/>
                <w:kern w:val="0"/>
                <w:szCs w:val="21"/>
                <w:highlight w:val="none"/>
              </w:rPr>
              <w:t>。</w:t>
            </w:r>
            <w:bookmarkEnd w:id="282"/>
            <w:bookmarkEnd w:id="283"/>
          </w:p>
          <w:p w14:paraId="3674619A">
            <w:pPr>
              <w:spacing w:line="400" w:lineRule="exact"/>
              <w:ind w:left="1" w:firstLine="422" w:firstLineChars="201"/>
              <w:rPr>
                <w:rFonts w:hint="eastAsia" w:ascii="宋体" w:hAnsi="宋体" w:cs="宋体"/>
                <w:bCs/>
                <w:color w:val="auto"/>
                <w:kern w:val="0"/>
                <w:szCs w:val="21"/>
                <w:highlight w:val="none"/>
              </w:rPr>
            </w:pPr>
            <w:r>
              <w:rPr>
                <w:rFonts w:hint="eastAsia" w:ascii="宋体" w:hAnsi="宋体"/>
                <w:color w:val="auto"/>
                <w:szCs w:val="21"/>
                <w:highlight w:val="none"/>
              </w:rPr>
              <w:t>三档（18分）：</w:t>
            </w:r>
            <w:r>
              <w:rPr>
                <w:rFonts w:hint="eastAsia" w:ascii="宋体" w:hAnsi="宋体" w:cs="Calibri"/>
                <w:color w:val="auto"/>
                <w:szCs w:val="21"/>
                <w:highlight w:val="none"/>
              </w:rPr>
              <w:t>技术方案</w:t>
            </w:r>
            <w:r>
              <w:rPr>
                <w:rFonts w:hint="eastAsia" w:ascii="宋体" w:hAnsi="宋体" w:cs="宋体"/>
                <w:bCs/>
                <w:color w:val="auto"/>
                <w:kern w:val="0"/>
                <w:szCs w:val="21"/>
                <w:highlight w:val="none"/>
              </w:rPr>
              <w:t>详细、整体方案结构完整；</w:t>
            </w:r>
            <w:r>
              <w:rPr>
                <w:rFonts w:hint="eastAsia" w:ascii="宋体" w:hAnsi="宋体" w:cs="Calibri"/>
                <w:color w:val="auto"/>
                <w:szCs w:val="21"/>
                <w:highlight w:val="none"/>
              </w:rPr>
              <w:t>检测设备完全满足采购项目要求，</w:t>
            </w:r>
            <w:r>
              <w:rPr>
                <w:rFonts w:hint="eastAsia" w:ascii="宋体" w:hAnsi="宋体" w:cs="宋体"/>
                <w:bCs/>
                <w:color w:val="auto"/>
                <w:kern w:val="0"/>
                <w:szCs w:val="21"/>
                <w:highlight w:val="none"/>
              </w:rPr>
              <w:t>具有明确的</w:t>
            </w:r>
            <w:bookmarkStart w:id="284" w:name="OLE_LINK2"/>
            <w:bookmarkStart w:id="285" w:name="OLE_LINK1"/>
            <w:r>
              <w:rPr>
                <w:rFonts w:hint="eastAsia" w:ascii="宋体" w:hAnsi="宋体" w:cs="Calibri"/>
                <w:color w:val="auto"/>
                <w:szCs w:val="21"/>
                <w:highlight w:val="none"/>
              </w:rPr>
              <w:t>检测方式、方法</w:t>
            </w:r>
            <w:bookmarkEnd w:id="284"/>
            <w:bookmarkEnd w:id="285"/>
            <w:r>
              <w:rPr>
                <w:rFonts w:hint="eastAsia" w:ascii="宋体" w:hAnsi="宋体" w:cs="Calibri"/>
                <w:color w:val="auto"/>
                <w:szCs w:val="21"/>
                <w:highlight w:val="none"/>
              </w:rPr>
              <w:t>以及</w:t>
            </w:r>
            <w:r>
              <w:rPr>
                <w:rFonts w:hint="eastAsia" w:ascii="宋体" w:hAnsi="宋体" w:cs="宋体"/>
                <w:bCs/>
                <w:color w:val="auto"/>
                <w:kern w:val="0"/>
                <w:szCs w:val="21"/>
                <w:highlight w:val="none"/>
              </w:rPr>
              <w:t>具体的计划及措施，</w:t>
            </w:r>
            <w:bookmarkStart w:id="286" w:name="OLE_LINK4"/>
            <w:bookmarkStart w:id="287" w:name="OLE_LINK3"/>
            <w:r>
              <w:rPr>
                <w:rFonts w:hint="eastAsia" w:ascii="宋体" w:hAnsi="宋体" w:cs="宋体"/>
                <w:bCs/>
                <w:color w:val="auto"/>
                <w:kern w:val="0"/>
                <w:szCs w:val="21"/>
                <w:highlight w:val="none"/>
              </w:rPr>
              <w:t>方式方法</w:t>
            </w:r>
            <w:bookmarkEnd w:id="286"/>
            <w:bookmarkEnd w:id="287"/>
            <w:r>
              <w:rPr>
                <w:rFonts w:hint="eastAsia" w:ascii="宋体" w:hAnsi="宋体" w:cs="宋体"/>
                <w:bCs/>
                <w:color w:val="auto"/>
                <w:kern w:val="0"/>
                <w:szCs w:val="21"/>
                <w:highlight w:val="none"/>
              </w:rPr>
              <w:t>及措施合理，</w:t>
            </w:r>
            <w:r>
              <w:rPr>
                <w:rFonts w:hint="eastAsia" w:ascii="宋体" w:hAnsi="宋体" w:cs="Calibri"/>
                <w:color w:val="auto"/>
                <w:szCs w:val="21"/>
                <w:highlight w:val="none"/>
              </w:rPr>
              <w:t>符合采购项目的实际情况</w:t>
            </w:r>
            <w:r>
              <w:rPr>
                <w:rFonts w:hint="eastAsia" w:ascii="宋体" w:hAnsi="宋体" w:cs="宋体"/>
                <w:bCs/>
                <w:color w:val="auto"/>
                <w:kern w:val="0"/>
                <w:szCs w:val="21"/>
                <w:highlight w:val="none"/>
              </w:rPr>
              <w:t>，且具有可行性，能有效的保障采购项目的检测结果及技术目标。</w:t>
            </w:r>
          </w:p>
          <w:p w14:paraId="559CB20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四档（24分）：</w:t>
            </w:r>
            <w:r>
              <w:rPr>
                <w:rFonts w:hint="eastAsia" w:ascii="宋体" w:hAnsi="宋体" w:cs="Calibri"/>
                <w:color w:val="auto"/>
                <w:szCs w:val="21"/>
                <w:highlight w:val="none"/>
              </w:rPr>
              <w:t>技术方案方案</w:t>
            </w:r>
            <w:r>
              <w:rPr>
                <w:rFonts w:hint="eastAsia" w:ascii="宋体" w:hAnsi="宋体" w:cs="宋体"/>
                <w:bCs/>
                <w:color w:val="auto"/>
                <w:kern w:val="0"/>
                <w:szCs w:val="21"/>
                <w:highlight w:val="none"/>
              </w:rPr>
              <w:t>详尽、整体方案结构完整、</w:t>
            </w:r>
            <w:r>
              <w:rPr>
                <w:rFonts w:ascii="宋体" w:hAnsi="宋体" w:cs="宋体"/>
                <w:bCs/>
                <w:color w:val="auto"/>
                <w:kern w:val="0"/>
                <w:szCs w:val="21"/>
                <w:highlight w:val="none"/>
              </w:rPr>
              <w:t>切合项目特点</w:t>
            </w:r>
            <w:r>
              <w:rPr>
                <w:rFonts w:hint="eastAsia" w:ascii="宋体" w:hAnsi="宋体" w:cs="宋体"/>
                <w:bCs/>
                <w:color w:val="auto"/>
                <w:kern w:val="0"/>
                <w:szCs w:val="21"/>
                <w:highlight w:val="none"/>
              </w:rPr>
              <w:t>，完全</w:t>
            </w:r>
            <w:r>
              <w:rPr>
                <w:rFonts w:hint="eastAsia" w:ascii="宋体" w:hAnsi="宋体" w:cs="Calibri"/>
                <w:color w:val="auto"/>
                <w:szCs w:val="21"/>
                <w:highlight w:val="none"/>
              </w:rPr>
              <w:t>符合采购项目的实际情况</w:t>
            </w:r>
            <w:r>
              <w:rPr>
                <w:rFonts w:hint="eastAsia" w:ascii="宋体" w:hAnsi="宋体" w:cs="宋体"/>
                <w:bCs/>
                <w:color w:val="auto"/>
                <w:kern w:val="0"/>
                <w:szCs w:val="21"/>
                <w:highlight w:val="none"/>
              </w:rPr>
              <w:t>；</w:t>
            </w:r>
            <w:bookmarkStart w:id="288" w:name="OLE_LINK139"/>
            <w:bookmarkStart w:id="289" w:name="OLE_LINK140"/>
            <w:r>
              <w:rPr>
                <w:rFonts w:hint="eastAsia" w:ascii="宋体" w:hAnsi="宋体" w:cs="Calibri"/>
                <w:color w:val="auto"/>
                <w:szCs w:val="21"/>
                <w:highlight w:val="none"/>
              </w:rPr>
              <w:t>检测设备及工具</w:t>
            </w:r>
            <w:bookmarkEnd w:id="288"/>
            <w:bookmarkEnd w:id="289"/>
            <w:r>
              <w:rPr>
                <w:rFonts w:hint="eastAsia" w:ascii="宋体" w:hAnsi="宋体" w:cs="Calibri"/>
                <w:color w:val="auto"/>
                <w:szCs w:val="21"/>
                <w:highlight w:val="none"/>
              </w:rPr>
              <w:t>技术性能先进、准确性高、稳定性好，检测方式、方法详细、分析论证充分、完善、科学合理，方式方法及措施明确，安排合理、先进高效，具有明确的监测、检测评价方案，切实可行、措施到位、效果良好，技术方案能有力的保障检测结果及整体技术目标的实现。</w:t>
            </w:r>
          </w:p>
        </w:tc>
        <w:tc>
          <w:tcPr>
            <w:tcW w:w="838" w:type="dxa"/>
            <w:tcBorders>
              <w:top w:val="single" w:color="auto" w:sz="4" w:space="0"/>
              <w:left w:val="nil"/>
              <w:bottom w:val="single" w:color="auto" w:sz="4" w:space="0"/>
              <w:right w:val="single" w:color="auto" w:sz="4" w:space="0"/>
            </w:tcBorders>
            <w:noWrap w:val="0"/>
            <w:vAlign w:val="center"/>
          </w:tcPr>
          <w:p w14:paraId="426754A2">
            <w:pPr>
              <w:spacing w:line="400" w:lineRule="exact"/>
              <w:jc w:val="center"/>
              <w:rPr>
                <w:rFonts w:ascii="宋体" w:hAnsi="宋体"/>
                <w:color w:val="auto"/>
                <w:kern w:val="0"/>
                <w:szCs w:val="21"/>
                <w:highlight w:val="none"/>
              </w:rPr>
            </w:pPr>
            <w:r>
              <w:rPr>
                <w:rFonts w:hint="eastAsia" w:ascii="宋体" w:hAnsi="宋体"/>
                <w:color w:val="auto"/>
                <w:szCs w:val="21"/>
                <w:highlight w:val="none"/>
              </w:rPr>
              <w:t>24分</w:t>
            </w:r>
          </w:p>
        </w:tc>
      </w:tr>
      <w:tr w14:paraId="744F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05A804E3">
            <w:pPr>
              <w:adjustRightInd w:val="0"/>
              <w:spacing w:line="400" w:lineRule="exact"/>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2.3</w:t>
            </w:r>
          </w:p>
        </w:tc>
        <w:tc>
          <w:tcPr>
            <w:tcW w:w="1480" w:type="dxa"/>
            <w:tcBorders>
              <w:top w:val="single" w:color="auto" w:sz="4" w:space="0"/>
              <w:left w:val="nil"/>
              <w:bottom w:val="single" w:color="auto" w:sz="4" w:space="0"/>
              <w:right w:val="single" w:color="auto" w:sz="4" w:space="0"/>
            </w:tcBorders>
            <w:noWrap w:val="0"/>
            <w:vAlign w:val="center"/>
          </w:tcPr>
          <w:p w14:paraId="31E0F64E">
            <w:pPr>
              <w:spacing w:line="400" w:lineRule="exact"/>
              <w:jc w:val="center"/>
              <w:rPr>
                <w:rFonts w:ascii="宋体" w:hAnsi="宋体"/>
                <w:color w:val="auto"/>
                <w:szCs w:val="21"/>
                <w:highlight w:val="none"/>
              </w:rPr>
            </w:pPr>
            <w:bookmarkStart w:id="290" w:name="OLE_LINK114"/>
            <w:bookmarkStart w:id="291" w:name="OLE_LINK115"/>
            <w:r>
              <w:rPr>
                <w:rFonts w:hint="eastAsia" w:ascii="宋体" w:hAnsi="宋体" w:cs="宋体"/>
                <w:color w:val="auto"/>
                <w:szCs w:val="21"/>
                <w:highlight w:val="none"/>
              </w:rPr>
              <w:t>服务承诺及应急保障方案</w:t>
            </w:r>
            <w:bookmarkEnd w:id="290"/>
            <w:bookmarkEnd w:id="291"/>
            <w:r>
              <w:rPr>
                <w:rFonts w:hint="eastAsia" w:ascii="宋体" w:hAnsi="宋体"/>
                <w:color w:val="auto"/>
                <w:szCs w:val="21"/>
                <w:highlight w:val="none"/>
              </w:rPr>
              <w:t>（满分15分）</w:t>
            </w:r>
          </w:p>
        </w:tc>
        <w:tc>
          <w:tcPr>
            <w:tcW w:w="6646" w:type="dxa"/>
            <w:tcBorders>
              <w:top w:val="single" w:color="auto" w:sz="4" w:space="0"/>
              <w:left w:val="nil"/>
              <w:bottom w:val="single" w:color="auto" w:sz="4" w:space="0"/>
              <w:right w:val="single" w:color="auto" w:sz="4" w:space="0"/>
            </w:tcBorders>
            <w:noWrap w:val="0"/>
            <w:vAlign w:val="center"/>
          </w:tcPr>
          <w:p w14:paraId="548A9EE4">
            <w:pPr>
              <w:spacing w:line="400" w:lineRule="exact"/>
              <w:ind w:left="1" w:firstLine="422" w:firstLineChars="201"/>
              <w:rPr>
                <w:rFonts w:ascii="宋体" w:hAnsi="宋体"/>
                <w:color w:val="auto"/>
                <w:szCs w:val="21"/>
                <w:highlight w:val="none"/>
              </w:rPr>
            </w:pPr>
            <w:r>
              <w:rPr>
                <w:rFonts w:hint="eastAsia" w:ascii="宋体" w:hAnsi="宋体" w:cs="Calibri"/>
                <w:color w:val="auto"/>
                <w:szCs w:val="21"/>
                <w:highlight w:val="none"/>
              </w:rPr>
              <w:t>由评委根据供应商提供的</w:t>
            </w:r>
            <w:r>
              <w:rPr>
                <w:rFonts w:hint="eastAsia" w:ascii="宋体" w:hAnsi="宋体" w:cs="宋体"/>
                <w:color w:val="auto"/>
                <w:szCs w:val="21"/>
                <w:highlight w:val="none"/>
              </w:rPr>
              <w:t>服务承诺及应急保障方案</w:t>
            </w:r>
            <w:r>
              <w:rPr>
                <w:rFonts w:hint="eastAsia" w:ascii="宋体" w:hAnsi="宋体" w:cs="Calibri"/>
                <w:color w:val="auto"/>
                <w:szCs w:val="21"/>
                <w:highlight w:val="none"/>
              </w:rPr>
              <w:t>，根据以下标准自行独立打分，达不到一档的不得分：</w:t>
            </w:r>
            <w:r>
              <w:rPr>
                <w:rFonts w:hint="eastAsia" w:ascii="宋体" w:hAnsi="宋体"/>
                <w:color w:val="auto"/>
                <w:szCs w:val="21"/>
                <w:highlight w:val="none"/>
              </w:rPr>
              <w:t xml:space="preserve"> </w:t>
            </w:r>
          </w:p>
          <w:p w14:paraId="0BAD3300">
            <w:pPr>
              <w:spacing w:line="380" w:lineRule="exact"/>
              <w:ind w:firstLine="411" w:firstLineChars="196"/>
              <w:rPr>
                <w:rFonts w:ascii="宋体" w:hAnsi="宋体"/>
                <w:color w:val="auto"/>
                <w:szCs w:val="21"/>
                <w:highlight w:val="none"/>
              </w:rPr>
            </w:pPr>
            <w:r>
              <w:rPr>
                <w:rFonts w:hint="eastAsia" w:ascii="宋体" w:hAnsi="宋体"/>
                <w:color w:val="auto"/>
                <w:szCs w:val="21"/>
                <w:highlight w:val="none"/>
              </w:rPr>
              <w:t>一档（5分）：</w:t>
            </w:r>
            <w:r>
              <w:rPr>
                <w:rFonts w:hint="eastAsia" w:ascii="宋体" w:hAnsi="宋体" w:cs="宋体"/>
                <w:bCs/>
                <w:color w:val="auto"/>
                <w:szCs w:val="21"/>
                <w:highlight w:val="none"/>
              </w:rPr>
              <w:t>服务承诺简单，基本满足采购项目要求；具有简单的应急保障方案及措施，能保证服务项目的正常已经以及服务承诺的实现。</w:t>
            </w:r>
            <w:r>
              <w:rPr>
                <w:rFonts w:hint="eastAsia" w:ascii="宋体" w:hAnsi="宋体"/>
                <w:color w:val="auto"/>
                <w:szCs w:val="21"/>
                <w:highlight w:val="none"/>
              </w:rPr>
              <w:t>后续的服务中承诺到达现场处理问题时间为</w:t>
            </w:r>
            <w:r>
              <w:rPr>
                <w:rFonts w:hint="eastAsia" w:ascii="宋体" w:hAnsi="宋体"/>
                <w:color w:val="auto"/>
                <w:szCs w:val="21"/>
                <w:highlight w:val="none"/>
                <w:lang w:val="en-US" w:eastAsia="zh-CN"/>
              </w:rPr>
              <w:t>10</w:t>
            </w:r>
            <w:r>
              <w:rPr>
                <w:rFonts w:hint="eastAsia" w:ascii="宋体" w:hAnsi="宋体"/>
                <w:color w:val="auto"/>
                <w:szCs w:val="21"/>
                <w:highlight w:val="none"/>
              </w:rPr>
              <w:t>个小时以内。</w:t>
            </w:r>
          </w:p>
          <w:p w14:paraId="3C8D6440">
            <w:pPr>
              <w:spacing w:line="400" w:lineRule="exact"/>
              <w:ind w:left="1" w:firstLine="422" w:firstLineChars="201"/>
              <w:rPr>
                <w:rFonts w:ascii="宋体" w:hAnsi="宋体"/>
                <w:color w:val="auto"/>
                <w:szCs w:val="21"/>
                <w:highlight w:val="none"/>
              </w:rPr>
            </w:pPr>
            <w:r>
              <w:rPr>
                <w:rFonts w:hint="eastAsia" w:ascii="宋体" w:hAnsi="宋体"/>
                <w:color w:val="auto"/>
                <w:szCs w:val="21"/>
                <w:highlight w:val="none"/>
              </w:rPr>
              <w:t>二档（10分）：</w:t>
            </w:r>
            <w:r>
              <w:rPr>
                <w:rFonts w:hint="eastAsia" w:ascii="宋体" w:hAnsi="宋体" w:cs="宋体"/>
                <w:bCs/>
                <w:color w:val="auto"/>
                <w:szCs w:val="21"/>
                <w:highlight w:val="none"/>
              </w:rPr>
              <w:t>服务承诺详细，具有针对性，完全满足采购项目要求；具有详细的应急保障方案及措施，能确保证服务项目的正常运行以及服务承诺的实现。</w:t>
            </w:r>
            <w:r>
              <w:rPr>
                <w:rFonts w:hint="eastAsia" w:ascii="宋体" w:hAnsi="宋体"/>
                <w:color w:val="auto"/>
                <w:szCs w:val="21"/>
                <w:highlight w:val="none"/>
              </w:rPr>
              <w:t>后续的服务中承诺到达现场处理问题时间为</w:t>
            </w:r>
            <w:r>
              <w:rPr>
                <w:rFonts w:hint="eastAsia" w:ascii="宋体" w:hAnsi="宋体"/>
                <w:color w:val="auto"/>
                <w:szCs w:val="21"/>
                <w:highlight w:val="none"/>
                <w:lang w:val="en-US" w:eastAsia="zh-CN"/>
              </w:rPr>
              <w:t>8</w:t>
            </w:r>
            <w:r>
              <w:rPr>
                <w:rFonts w:hint="eastAsia" w:ascii="宋体" w:hAnsi="宋体"/>
                <w:color w:val="auto"/>
                <w:szCs w:val="21"/>
                <w:highlight w:val="none"/>
              </w:rPr>
              <w:t>个小时以内。</w:t>
            </w:r>
          </w:p>
          <w:p w14:paraId="22160950">
            <w:pPr>
              <w:spacing w:line="400" w:lineRule="exact"/>
              <w:ind w:firstLine="457" w:firstLineChars="218"/>
              <w:rPr>
                <w:rFonts w:ascii="宋体" w:hAnsi="宋体"/>
                <w:color w:val="auto"/>
                <w:szCs w:val="21"/>
                <w:highlight w:val="none"/>
              </w:rPr>
            </w:pPr>
            <w:r>
              <w:rPr>
                <w:rFonts w:hint="eastAsia" w:ascii="宋体" w:hAnsi="宋体"/>
                <w:color w:val="auto"/>
                <w:szCs w:val="21"/>
                <w:highlight w:val="none"/>
              </w:rPr>
              <w:t>三档（15分）：</w:t>
            </w:r>
            <w:r>
              <w:rPr>
                <w:rFonts w:hint="eastAsia" w:ascii="宋体" w:hAnsi="宋体" w:cs="宋体"/>
                <w:bCs/>
                <w:color w:val="auto"/>
                <w:szCs w:val="21"/>
                <w:highlight w:val="none"/>
              </w:rPr>
              <w:t>服务承诺完整、明确，完全满足采</w:t>
            </w:r>
            <w:r>
              <w:rPr>
                <w:rFonts w:hint="eastAsia" w:ascii="宋体" w:hAnsi="宋体" w:cs="宋体"/>
                <w:color w:val="auto"/>
                <w:szCs w:val="21"/>
                <w:highlight w:val="none"/>
              </w:rPr>
              <w:t>购项目要求且</w:t>
            </w:r>
            <w:r>
              <w:rPr>
                <w:rFonts w:hint="eastAsia" w:ascii="宋体" w:hAnsi="宋体"/>
                <w:color w:val="auto"/>
                <w:szCs w:val="21"/>
                <w:highlight w:val="none"/>
              </w:rPr>
              <w:t>承诺的</w:t>
            </w:r>
            <w:r>
              <w:rPr>
                <w:rFonts w:hint="eastAsia" w:ascii="宋体" w:hAnsi="宋体" w:cs="宋体"/>
                <w:color w:val="auto"/>
                <w:szCs w:val="21"/>
                <w:highlight w:val="none"/>
              </w:rPr>
              <w:t>检测效果优于采购文件要求。具有详细的应急保障方案，保障措施到位，能很好应对各种不可预计的突发情况，能有力的保证服务项目的正常运行以及服务承诺的实现。</w:t>
            </w:r>
            <w:r>
              <w:rPr>
                <w:rFonts w:hint="eastAsia" w:ascii="宋体" w:hAnsi="宋体"/>
                <w:color w:val="auto"/>
                <w:szCs w:val="21"/>
                <w:highlight w:val="none"/>
              </w:rPr>
              <w:t>后续的服务中承诺到达现场处理问题时间为</w:t>
            </w:r>
            <w:r>
              <w:rPr>
                <w:rFonts w:hint="eastAsia" w:ascii="宋体" w:hAnsi="宋体"/>
                <w:color w:val="auto"/>
                <w:szCs w:val="21"/>
                <w:highlight w:val="none"/>
                <w:lang w:val="en-US" w:eastAsia="zh-CN"/>
              </w:rPr>
              <w:t>6</w:t>
            </w:r>
            <w:r>
              <w:rPr>
                <w:rFonts w:hint="eastAsia" w:ascii="宋体" w:hAnsi="宋体"/>
                <w:color w:val="auto"/>
                <w:szCs w:val="21"/>
                <w:highlight w:val="none"/>
              </w:rPr>
              <w:t>个小时以内，并承诺提供 7天×24小时服务热线。</w:t>
            </w:r>
          </w:p>
        </w:tc>
        <w:tc>
          <w:tcPr>
            <w:tcW w:w="838" w:type="dxa"/>
            <w:tcBorders>
              <w:top w:val="single" w:color="auto" w:sz="4" w:space="0"/>
              <w:left w:val="nil"/>
              <w:bottom w:val="single" w:color="auto" w:sz="4" w:space="0"/>
              <w:right w:val="single" w:color="auto" w:sz="4" w:space="0"/>
            </w:tcBorders>
            <w:noWrap w:val="0"/>
            <w:vAlign w:val="center"/>
          </w:tcPr>
          <w:p w14:paraId="3068D024">
            <w:pPr>
              <w:spacing w:line="400" w:lineRule="exact"/>
              <w:jc w:val="center"/>
              <w:rPr>
                <w:rFonts w:ascii="宋体" w:hAnsi="宋体"/>
                <w:color w:val="auto"/>
                <w:szCs w:val="21"/>
                <w:highlight w:val="none"/>
              </w:rPr>
            </w:pPr>
            <w:r>
              <w:rPr>
                <w:rFonts w:hint="eastAsia" w:ascii="宋体" w:hAnsi="宋体"/>
                <w:color w:val="auto"/>
                <w:szCs w:val="21"/>
                <w:highlight w:val="none"/>
              </w:rPr>
              <w:t>15分</w:t>
            </w:r>
          </w:p>
        </w:tc>
      </w:tr>
      <w:tr w14:paraId="19D1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70632C6C">
            <w:pPr>
              <w:adjustRightInd w:val="0"/>
              <w:spacing w:line="400" w:lineRule="exact"/>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2.4</w:t>
            </w:r>
          </w:p>
        </w:tc>
        <w:tc>
          <w:tcPr>
            <w:tcW w:w="1480" w:type="dxa"/>
            <w:tcBorders>
              <w:top w:val="single" w:color="auto" w:sz="4" w:space="0"/>
              <w:left w:val="nil"/>
              <w:bottom w:val="single" w:color="auto" w:sz="4" w:space="0"/>
              <w:right w:val="single" w:color="auto" w:sz="4" w:space="0"/>
            </w:tcBorders>
            <w:noWrap w:val="0"/>
            <w:vAlign w:val="center"/>
          </w:tcPr>
          <w:p w14:paraId="72A2599E">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拟投入软件分（满分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tc>
        <w:tc>
          <w:tcPr>
            <w:tcW w:w="6646" w:type="dxa"/>
            <w:tcBorders>
              <w:top w:val="single" w:color="auto" w:sz="4" w:space="0"/>
              <w:left w:val="nil"/>
              <w:bottom w:val="single" w:color="auto" w:sz="4" w:space="0"/>
              <w:right w:val="single" w:color="auto" w:sz="4" w:space="0"/>
            </w:tcBorders>
            <w:noWrap w:val="0"/>
            <w:vAlign w:val="center"/>
          </w:tcPr>
          <w:p w14:paraId="58FE6C52">
            <w:pPr>
              <w:spacing w:line="400" w:lineRule="exact"/>
              <w:ind w:firstLine="420" w:firstLineChars="200"/>
              <w:rPr>
                <w:rFonts w:ascii="宋体" w:hAnsi="宋体" w:cs="宋体"/>
                <w:color w:val="auto"/>
                <w:szCs w:val="21"/>
                <w:highlight w:val="none"/>
              </w:rPr>
            </w:pPr>
            <w:bookmarkStart w:id="292" w:name="OLE_LINK84"/>
            <w:bookmarkStart w:id="293" w:name="OLE_LINK83"/>
            <w:r>
              <w:rPr>
                <w:rFonts w:hint="eastAsia" w:ascii="宋体" w:hAnsi="宋体" w:cs="宋体"/>
                <w:color w:val="auto"/>
                <w:szCs w:val="21"/>
                <w:highlight w:val="none"/>
              </w:rPr>
              <w:t>投标人拟投入本项目包括但不限于数据采集管理、抽样、检测等与本项目相关的软件，每提供1项相关证明材料</w:t>
            </w:r>
            <w:r>
              <w:rPr>
                <w:rFonts w:hint="eastAsia" w:ascii="宋体" w:hAnsi="宋体"/>
                <w:color w:val="auto"/>
                <w:szCs w:val="21"/>
                <w:highlight w:val="none"/>
              </w:rPr>
              <w:t>（复印件或扫描件）</w:t>
            </w:r>
            <w:r>
              <w:rPr>
                <w:rFonts w:hint="eastAsia" w:ascii="宋体" w:hAnsi="宋体" w:cs="宋体"/>
                <w:color w:val="auto"/>
                <w:szCs w:val="21"/>
                <w:highlight w:val="none"/>
              </w:rPr>
              <w:t>得1分，满分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分。以上材料</w:t>
            </w:r>
            <w:bookmarkStart w:id="294" w:name="OLE_LINK40"/>
            <w:bookmarkStart w:id="295" w:name="OLE_LINK41"/>
            <w:r>
              <w:rPr>
                <w:rFonts w:hint="eastAsia" w:ascii="宋体" w:hAnsi="宋体" w:cs="宋体"/>
                <w:color w:val="auto"/>
                <w:szCs w:val="21"/>
                <w:highlight w:val="none"/>
              </w:rPr>
              <w:t>须同时</w:t>
            </w:r>
            <w:bookmarkEnd w:id="294"/>
            <w:bookmarkEnd w:id="295"/>
            <w:r>
              <w:rPr>
                <w:rFonts w:hint="eastAsia" w:ascii="宋体" w:hAnsi="宋体" w:cs="宋体"/>
                <w:color w:val="auto"/>
                <w:szCs w:val="21"/>
                <w:highlight w:val="none"/>
              </w:rPr>
              <w:t>提供清单汇总表（包括但不限于软件名称、主要功能等）</w:t>
            </w:r>
            <w:r>
              <w:rPr>
                <w:rFonts w:hint="eastAsia" w:ascii="宋体" w:hAnsi="宋体"/>
                <w:color w:val="auto"/>
                <w:szCs w:val="21"/>
                <w:highlight w:val="none"/>
              </w:rPr>
              <w:t>，不按要求提供的不得分</w:t>
            </w:r>
            <w:r>
              <w:rPr>
                <w:rFonts w:hint="eastAsia" w:ascii="宋体" w:hAnsi="宋体" w:cs="宋体"/>
                <w:color w:val="auto"/>
                <w:szCs w:val="21"/>
                <w:highlight w:val="none"/>
              </w:rPr>
              <w:t>。</w:t>
            </w:r>
            <w:bookmarkEnd w:id="292"/>
            <w:bookmarkEnd w:id="293"/>
          </w:p>
        </w:tc>
        <w:tc>
          <w:tcPr>
            <w:tcW w:w="838" w:type="dxa"/>
            <w:tcBorders>
              <w:top w:val="single" w:color="auto" w:sz="4" w:space="0"/>
              <w:left w:val="nil"/>
              <w:bottom w:val="single" w:color="auto" w:sz="4" w:space="0"/>
              <w:right w:val="single" w:color="auto" w:sz="4" w:space="0"/>
            </w:tcBorders>
            <w:noWrap w:val="0"/>
            <w:vAlign w:val="center"/>
          </w:tcPr>
          <w:p w14:paraId="34D5DEC3">
            <w:pPr>
              <w:spacing w:line="40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w:t>
            </w:r>
          </w:p>
        </w:tc>
      </w:tr>
      <w:tr w14:paraId="3827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156504AB">
            <w:pPr>
              <w:adjustRightInd w:val="0"/>
              <w:spacing w:line="400" w:lineRule="exact"/>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2.5</w:t>
            </w:r>
          </w:p>
        </w:tc>
        <w:tc>
          <w:tcPr>
            <w:tcW w:w="1480" w:type="dxa"/>
            <w:tcBorders>
              <w:top w:val="single" w:color="auto" w:sz="4" w:space="0"/>
              <w:left w:val="nil"/>
              <w:bottom w:val="single" w:color="auto" w:sz="4" w:space="0"/>
              <w:right w:val="single" w:color="auto" w:sz="4" w:space="0"/>
            </w:tcBorders>
            <w:noWrap w:val="0"/>
            <w:vAlign w:val="center"/>
          </w:tcPr>
          <w:p w14:paraId="3EAD5A09">
            <w:pPr>
              <w:spacing w:line="400" w:lineRule="exact"/>
              <w:jc w:val="center"/>
              <w:rPr>
                <w:rFonts w:ascii="宋体" w:hAnsi="宋体"/>
                <w:color w:val="auto"/>
                <w:szCs w:val="21"/>
                <w:highlight w:val="none"/>
              </w:rPr>
            </w:pPr>
            <w:r>
              <w:rPr>
                <w:rFonts w:hint="eastAsia" w:ascii="宋体" w:hAnsi="宋体"/>
                <w:color w:val="auto"/>
                <w:szCs w:val="21"/>
                <w:highlight w:val="none"/>
              </w:rPr>
              <w:t>拟投入技术人员配置分（满分1</w:t>
            </w:r>
            <w:r>
              <w:rPr>
                <w:rFonts w:hint="eastAsia" w:ascii="宋体" w:hAnsi="宋体"/>
                <w:color w:val="auto"/>
                <w:szCs w:val="21"/>
                <w:highlight w:val="none"/>
                <w:lang w:val="en-US" w:eastAsia="zh-CN"/>
              </w:rPr>
              <w:t>3</w:t>
            </w:r>
            <w:r>
              <w:rPr>
                <w:rFonts w:hint="eastAsia" w:ascii="宋体" w:hAnsi="宋体"/>
                <w:color w:val="auto"/>
                <w:szCs w:val="21"/>
                <w:highlight w:val="none"/>
              </w:rPr>
              <w:t>分）</w:t>
            </w:r>
          </w:p>
        </w:tc>
        <w:tc>
          <w:tcPr>
            <w:tcW w:w="6646" w:type="dxa"/>
            <w:tcBorders>
              <w:top w:val="single" w:color="auto" w:sz="4" w:space="0"/>
              <w:left w:val="nil"/>
              <w:bottom w:val="single" w:color="auto" w:sz="4" w:space="0"/>
              <w:right w:val="single" w:color="auto" w:sz="4" w:space="0"/>
            </w:tcBorders>
            <w:noWrap w:val="0"/>
            <w:vAlign w:val="center"/>
          </w:tcPr>
          <w:p w14:paraId="06AEFAB4">
            <w:pPr>
              <w:spacing w:line="400" w:lineRule="exact"/>
              <w:ind w:firstLine="315" w:firstLineChars="150"/>
              <w:rPr>
                <w:rFonts w:ascii="宋体" w:hAnsi="宋体"/>
                <w:color w:val="auto"/>
                <w:szCs w:val="21"/>
                <w:highlight w:val="none"/>
              </w:rPr>
            </w:pPr>
            <w:r>
              <w:rPr>
                <w:rFonts w:hint="eastAsia" w:ascii="宋体" w:hAnsi="宋体"/>
                <w:color w:val="auto"/>
                <w:szCs w:val="21"/>
                <w:highlight w:val="none"/>
              </w:rPr>
              <w:t>1、拟投入项目负责人具有相关专业</w:t>
            </w:r>
            <w:bookmarkStart w:id="296" w:name="OLE_LINK157"/>
            <w:bookmarkStart w:id="297" w:name="OLE_LINK158"/>
            <w:r>
              <w:rPr>
                <w:rFonts w:hint="eastAsia" w:ascii="宋体" w:hAnsi="宋体"/>
                <w:color w:val="auto"/>
                <w:szCs w:val="21"/>
                <w:highlight w:val="none"/>
              </w:rPr>
              <w:t>中级职称的得2分，高级或以上职称得4分</w:t>
            </w:r>
            <w:bookmarkEnd w:id="296"/>
            <w:bookmarkEnd w:id="297"/>
            <w:r>
              <w:rPr>
                <w:rFonts w:hint="eastAsia" w:ascii="宋体" w:hAnsi="宋体"/>
                <w:color w:val="auto"/>
                <w:szCs w:val="21"/>
                <w:highlight w:val="none"/>
              </w:rPr>
              <w:t>。</w:t>
            </w:r>
          </w:p>
          <w:p w14:paraId="53148A6A">
            <w:pPr>
              <w:spacing w:line="400" w:lineRule="exact"/>
              <w:ind w:firstLine="315" w:firstLineChars="150"/>
              <w:rPr>
                <w:rFonts w:hint="eastAsia" w:ascii="宋体" w:hAnsi="宋体"/>
                <w:color w:val="auto"/>
                <w:szCs w:val="21"/>
                <w:highlight w:val="none"/>
              </w:rPr>
            </w:pPr>
            <w:r>
              <w:rPr>
                <w:rFonts w:hint="eastAsia" w:ascii="宋体" w:hAnsi="宋体"/>
                <w:color w:val="auto"/>
                <w:szCs w:val="21"/>
                <w:highlight w:val="none"/>
              </w:rPr>
              <w:t>2、其他拟投入人员（不含项目负责人）数量满足以下阶梯要求的进行评分：拟投入人员5人以下的得</w:t>
            </w:r>
            <w:r>
              <w:rPr>
                <w:rFonts w:hint="eastAsia" w:ascii="宋体" w:hAnsi="宋体"/>
                <w:color w:val="auto"/>
                <w:szCs w:val="21"/>
                <w:highlight w:val="none"/>
                <w:lang w:eastAsia="zh-CN"/>
              </w:rPr>
              <w:t>3</w:t>
            </w:r>
            <w:r>
              <w:rPr>
                <w:rFonts w:hint="eastAsia" w:ascii="宋体" w:hAnsi="宋体"/>
                <w:color w:val="auto"/>
                <w:szCs w:val="21"/>
                <w:highlight w:val="none"/>
              </w:rPr>
              <w:t>分；5（含）至9（含）人的得</w:t>
            </w:r>
            <w:r>
              <w:rPr>
                <w:rFonts w:hint="eastAsia" w:ascii="宋体" w:hAnsi="宋体"/>
                <w:color w:val="auto"/>
                <w:szCs w:val="21"/>
                <w:highlight w:val="none"/>
                <w:lang w:eastAsia="zh-CN"/>
              </w:rPr>
              <w:t>6</w:t>
            </w:r>
            <w:r>
              <w:rPr>
                <w:rFonts w:hint="eastAsia" w:ascii="宋体" w:hAnsi="宋体"/>
                <w:color w:val="auto"/>
                <w:szCs w:val="21"/>
                <w:highlight w:val="none"/>
              </w:rPr>
              <w:t>分；10（含）人以上的得</w:t>
            </w:r>
            <w:r>
              <w:rPr>
                <w:rFonts w:hint="eastAsia" w:ascii="宋体" w:hAnsi="宋体"/>
                <w:color w:val="auto"/>
                <w:szCs w:val="21"/>
                <w:highlight w:val="none"/>
                <w:lang w:eastAsia="zh-CN"/>
              </w:rPr>
              <w:t>9</w:t>
            </w:r>
            <w:r>
              <w:rPr>
                <w:rFonts w:hint="eastAsia" w:ascii="宋体" w:hAnsi="宋体"/>
                <w:color w:val="auto"/>
                <w:szCs w:val="21"/>
                <w:highlight w:val="none"/>
              </w:rPr>
              <w:t>分。</w:t>
            </w:r>
          </w:p>
          <w:p w14:paraId="31D109B6">
            <w:pPr>
              <w:spacing w:line="400" w:lineRule="exact"/>
              <w:ind w:firstLine="315" w:firstLineChars="150"/>
              <w:rPr>
                <w:rFonts w:ascii="宋体" w:hAnsi="宋体"/>
                <w:color w:val="auto"/>
                <w:szCs w:val="21"/>
                <w:highlight w:val="none"/>
              </w:rPr>
            </w:pPr>
            <w:r>
              <w:rPr>
                <w:rFonts w:hint="eastAsia" w:ascii="宋体" w:hAnsi="宋体"/>
                <w:color w:val="auto"/>
                <w:szCs w:val="21"/>
                <w:highlight w:val="none"/>
              </w:rPr>
              <w:t>注：①拟投入人员须为投标人在职人员，同时提供以上人员聘用合同，以及</w:t>
            </w:r>
            <w:r>
              <w:rPr>
                <w:rFonts w:hint="eastAsia" w:ascii="宋体" w:hAnsi="宋体"/>
                <w:color w:val="auto"/>
                <w:szCs w:val="21"/>
                <w:highlight w:val="none"/>
                <w:lang w:val="en-US" w:eastAsia="zh-CN"/>
              </w:rPr>
              <w:t>2026年1月至7月任意</w:t>
            </w:r>
            <w:r>
              <w:rPr>
                <w:rFonts w:hint="eastAsia" w:ascii="宋体" w:hAnsi="宋体"/>
                <w:color w:val="auto"/>
                <w:szCs w:val="21"/>
                <w:highlight w:val="none"/>
              </w:rPr>
              <w:t>1个月社保缴纳证明或工资流水证明材料</w:t>
            </w:r>
            <w:bookmarkStart w:id="298" w:name="OLE_LINK21"/>
            <w:bookmarkStart w:id="299" w:name="OLE_LINK22"/>
            <w:r>
              <w:rPr>
                <w:rFonts w:hint="eastAsia" w:ascii="宋体" w:hAnsi="宋体"/>
                <w:color w:val="auto"/>
                <w:szCs w:val="21"/>
                <w:highlight w:val="none"/>
              </w:rPr>
              <w:t>（复印件或扫描件）</w:t>
            </w:r>
            <w:bookmarkEnd w:id="298"/>
            <w:bookmarkEnd w:id="299"/>
            <w:r>
              <w:rPr>
                <w:rFonts w:hint="eastAsia" w:ascii="宋体" w:hAnsi="宋体"/>
                <w:color w:val="auto"/>
                <w:szCs w:val="21"/>
                <w:highlight w:val="none"/>
              </w:rPr>
              <w:t>；②相关专业指生物类、食品类、化学类、检测化验类、信息系统相关专业（</w:t>
            </w:r>
            <w:r>
              <w:rPr>
                <w:rFonts w:hint="eastAsia"/>
                <w:color w:val="auto"/>
                <w:highlight w:val="none"/>
              </w:rPr>
              <w:t>以职称证为准</w:t>
            </w:r>
            <w:r>
              <w:rPr>
                <w:rFonts w:hint="eastAsia" w:ascii="宋体" w:hAnsi="宋体"/>
                <w:color w:val="auto"/>
                <w:szCs w:val="21"/>
                <w:highlight w:val="none"/>
              </w:rPr>
              <w:t>），同时必须提供职称证</w:t>
            </w:r>
            <w:bookmarkStart w:id="300" w:name="OLE_LINK20"/>
            <w:r>
              <w:rPr>
                <w:rFonts w:hint="eastAsia" w:ascii="宋体" w:hAnsi="宋体"/>
                <w:color w:val="auto"/>
                <w:szCs w:val="21"/>
                <w:highlight w:val="none"/>
              </w:rPr>
              <w:t>复印件或扫描件</w:t>
            </w:r>
            <w:bookmarkEnd w:id="300"/>
            <w:r>
              <w:rPr>
                <w:rFonts w:hint="eastAsia" w:ascii="宋体" w:hAnsi="宋体"/>
                <w:color w:val="auto"/>
                <w:szCs w:val="21"/>
                <w:highlight w:val="none"/>
              </w:rPr>
              <w:t>，</w:t>
            </w: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 3 \* GB3</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Fonts w:hint="eastAsia" w:ascii="宋体" w:hAnsi="宋体"/>
                <w:color w:val="auto"/>
                <w:szCs w:val="21"/>
                <w:highlight w:val="none"/>
              </w:rPr>
              <w:t>③</w:t>
            </w:r>
            <w:r>
              <w:rPr>
                <w:rFonts w:ascii="宋体" w:hAnsi="宋体"/>
                <w:color w:val="auto"/>
                <w:szCs w:val="21"/>
                <w:highlight w:val="none"/>
              </w:rPr>
              <w:fldChar w:fldCharType="end"/>
            </w:r>
            <w:bookmarkStart w:id="301" w:name="OLE_LINK24"/>
            <w:r>
              <w:rPr>
                <w:rFonts w:hint="eastAsia" w:ascii="宋体" w:hAnsi="宋体"/>
                <w:color w:val="auto"/>
                <w:szCs w:val="21"/>
                <w:highlight w:val="none"/>
              </w:rPr>
              <w:t>不按要求提供的不得分。</w:t>
            </w:r>
            <w:bookmarkEnd w:id="301"/>
          </w:p>
        </w:tc>
        <w:tc>
          <w:tcPr>
            <w:tcW w:w="838" w:type="dxa"/>
            <w:tcBorders>
              <w:top w:val="single" w:color="auto" w:sz="4" w:space="0"/>
              <w:left w:val="nil"/>
              <w:bottom w:val="single" w:color="auto" w:sz="4" w:space="0"/>
              <w:right w:val="single" w:color="auto" w:sz="4" w:space="0"/>
            </w:tcBorders>
            <w:noWrap w:val="0"/>
            <w:vAlign w:val="center"/>
          </w:tcPr>
          <w:p w14:paraId="1A8BE7B0">
            <w:pPr>
              <w:spacing w:line="400" w:lineRule="exact"/>
              <w:jc w:val="center"/>
              <w:rPr>
                <w:rFonts w:ascii="宋体" w:hAnsi="宋体"/>
                <w:color w:val="auto"/>
                <w:szCs w:val="21"/>
                <w:highlight w:val="none"/>
              </w:rPr>
            </w:pPr>
            <w:r>
              <w:rPr>
                <w:rFonts w:hint="eastAsia" w:ascii="宋体" w:hAnsi="宋体"/>
                <w:color w:val="auto"/>
                <w:szCs w:val="21"/>
                <w:highlight w:val="none"/>
              </w:rPr>
              <w:t>10分</w:t>
            </w:r>
          </w:p>
        </w:tc>
      </w:tr>
      <w:tr w14:paraId="48D2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1A5A08FD">
            <w:pPr>
              <w:widowControl/>
              <w:spacing w:line="400" w:lineRule="exact"/>
              <w:jc w:val="center"/>
              <w:rPr>
                <w:rFonts w:ascii="宋体" w:hAnsi="宋体"/>
                <w:b/>
                <w:bCs/>
                <w:color w:val="auto"/>
                <w:kern w:val="0"/>
                <w:szCs w:val="21"/>
                <w:highlight w:val="none"/>
              </w:rPr>
            </w:pPr>
            <w:r>
              <w:rPr>
                <w:rFonts w:hint="eastAsia" w:ascii="宋体" w:hAnsi="宋体"/>
                <w:b/>
                <w:bCs/>
                <w:color w:val="auto"/>
                <w:kern w:val="0"/>
                <w:szCs w:val="21"/>
                <w:highlight w:val="none"/>
              </w:rPr>
              <w:t>3</w:t>
            </w:r>
          </w:p>
        </w:tc>
        <w:tc>
          <w:tcPr>
            <w:tcW w:w="1480" w:type="dxa"/>
            <w:tcBorders>
              <w:top w:val="single" w:color="auto" w:sz="4" w:space="0"/>
              <w:left w:val="nil"/>
              <w:bottom w:val="single" w:color="auto" w:sz="4" w:space="0"/>
              <w:right w:val="single" w:color="auto" w:sz="4" w:space="0"/>
            </w:tcBorders>
            <w:noWrap w:val="0"/>
            <w:vAlign w:val="center"/>
          </w:tcPr>
          <w:p w14:paraId="5DF8DDD7">
            <w:pPr>
              <w:widowControl/>
              <w:spacing w:line="400" w:lineRule="exact"/>
              <w:jc w:val="center"/>
              <w:rPr>
                <w:rFonts w:ascii="宋体" w:hAnsi="宋体"/>
                <w:b/>
                <w:bCs/>
                <w:color w:val="auto"/>
                <w:szCs w:val="21"/>
                <w:highlight w:val="none"/>
              </w:rPr>
            </w:pPr>
            <w:r>
              <w:rPr>
                <w:rFonts w:hint="eastAsia" w:ascii="宋体" w:hAnsi="宋体"/>
                <w:b/>
                <w:bCs/>
                <w:color w:val="auto"/>
                <w:szCs w:val="21"/>
                <w:highlight w:val="none"/>
              </w:rPr>
              <w:t>商务分</w:t>
            </w:r>
          </w:p>
          <w:p w14:paraId="39E1BE45">
            <w:pPr>
              <w:widowControl/>
              <w:spacing w:line="400" w:lineRule="exact"/>
              <w:jc w:val="center"/>
              <w:rPr>
                <w:rFonts w:ascii="宋体" w:hAnsi="宋体"/>
                <w:b/>
                <w:bCs/>
                <w:color w:val="auto"/>
                <w:szCs w:val="21"/>
                <w:highlight w:val="none"/>
              </w:rPr>
            </w:pPr>
            <w:r>
              <w:rPr>
                <w:rFonts w:hint="eastAsia" w:ascii="宋体" w:hAnsi="宋体"/>
                <w:b/>
                <w:bCs/>
                <w:color w:val="auto"/>
                <w:szCs w:val="21"/>
                <w:highlight w:val="none"/>
              </w:rPr>
              <w:t>（满分8分）</w:t>
            </w:r>
          </w:p>
        </w:tc>
        <w:tc>
          <w:tcPr>
            <w:tcW w:w="7484" w:type="dxa"/>
            <w:gridSpan w:val="2"/>
            <w:tcBorders>
              <w:top w:val="single" w:color="auto" w:sz="4" w:space="0"/>
              <w:left w:val="nil"/>
              <w:bottom w:val="single" w:color="auto" w:sz="4" w:space="0"/>
              <w:right w:val="single" w:color="auto" w:sz="4" w:space="0"/>
            </w:tcBorders>
            <w:noWrap w:val="0"/>
            <w:vAlign w:val="center"/>
          </w:tcPr>
          <w:p w14:paraId="3EE87BAF">
            <w:pPr>
              <w:widowControl/>
              <w:spacing w:line="400" w:lineRule="exact"/>
              <w:jc w:val="center"/>
              <w:rPr>
                <w:rFonts w:ascii="宋体" w:hAnsi="宋体"/>
                <w:b/>
                <w:bCs/>
                <w:color w:val="auto"/>
                <w:kern w:val="0"/>
                <w:szCs w:val="21"/>
                <w:highlight w:val="none"/>
              </w:rPr>
            </w:pPr>
            <w:r>
              <w:rPr>
                <w:rFonts w:hint="eastAsia" w:ascii="宋体" w:hAnsi="宋体"/>
                <w:b/>
                <w:bCs/>
                <w:color w:val="auto"/>
                <w:kern w:val="0"/>
                <w:szCs w:val="21"/>
                <w:highlight w:val="none"/>
              </w:rPr>
              <w:t>评审因素</w:t>
            </w:r>
          </w:p>
        </w:tc>
      </w:tr>
      <w:tr w14:paraId="6EFF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46D35D21">
            <w:pPr>
              <w:widowControl/>
              <w:spacing w:line="400" w:lineRule="exact"/>
              <w:jc w:val="center"/>
              <w:rPr>
                <w:rFonts w:ascii="宋体" w:hAnsi="宋体"/>
                <w:color w:val="auto"/>
                <w:kern w:val="0"/>
                <w:szCs w:val="21"/>
                <w:highlight w:val="none"/>
              </w:rPr>
            </w:pPr>
            <w:r>
              <w:rPr>
                <w:rFonts w:hint="eastAsia" w:ascii="宋体" w:hAnsi="宋体"/>
                <w:color w:val="auto"/>
                <w:kern w:val="0"/>
                <w:szCs w:val="21"/>
                <w:highlight w:val="none"/>
              </w:rPr>
              <w:t>3.1</w:t>
            </w:r>
          </w:p>
        </w:tc>
        <w:tc>
          <w:tcPr>
            <w:tcW w:w="1480" w:type="dxa"/>
            <w:tcBorders>
              <w:top w:val="single" w:color="auto" w:sz="4" w:space="0"/>
              <w:left w:val="nil"/>
              <w:bottom w:val="single" w:color="auto" w:sz="4" w:space="0"/>
              <w:right w:val="single" w:color="auto" w:sz="4" w:space="0"/>
            </w:tcBorders>
            <w:noWrap w:val="0"/>
            <w:vAlign w:val="center"/>
          </w:tcPr>
          <w:p w14:paraId="3F384B12">
            <w:pPr>
              <w:widowControl/>
              <w:spacing w:line="400" w:lineRule="exact"/>
              <w:jc w:val="center"/>
              <w:rPr>
                <w:rFonts w:ascii="宋体" w:hAnsi="宋体"/>
                <w:color w:val="auto"/>
                <w:szCs w:val="21"/>
                <w:highlight w:val="none"/>
              </w:rPr>
            </w:pPr>
            <w:r>
              <w:rPr>
                <w:rFonts w:hint="eastAsia" w:ascii="宋体" w:hAnsi="宋体"/>
                <w:color w:val="auto"/>
                <w:szCs w:val="21"/>
                <w:highlight w:val="none"/>
              </w:rPr>
              <w:t>业绩分（满分5分）</w:t>
            </w:r>
          </w:p>
        </w:tc>
        <w:tc>
          <w:tcPr>
            <w:tcW w:w="6646" w:type="dxa"/>
            <w:tcBorders>
              <w:top w:val="single" w:color="auto" w:sz="4" w:space="0"/>
              <w:left w:val="nil"/>
              <w:bottom w:val="single" w:color="auto" w:sz="4" w:space="0"/>
              <w:right w:val="single" w:color="auto" w:sz="4" w:space="0"/>
            </w:tcBorders>
            <w:noWrap w:val="0"/>
            <w:vAlign w:val="center"/>
          </w:tcPr>
          <w:p w14:paraId="5A8D8946">
            <w:pPr>
              <w:spacing w:line="400" w:lineRule="exact"/>
              <w:ind w:firstLine="315" w:firstLineChars="150"/>
              <w:rPr>
                <w:rFonts w:ascii="宋体" w:hAnsi="宋体"/>
                <w:color w:val="auto"/>
                <w:szCs w:val="21"/>
                <w:highlight w:val="none"/>
              </w:rPr>
            </w:pPr>
            <w:r>
              <w:rPr>
                <w:rFonts w:hint="eastAsia" w:ascii="宋体" w:hAnsi="宋体"/>
                <w:color w:val="auto"/>
                <w:szCs w:val="21"/>
                <w:highlight w:val="none"/>
              </w:rPr>
              <w:t>投标人2023年以来类似采购项目的业绩，每项得1分；满分5分。</w:t>
            </w:r>
          </w:p>
          <w:p w14:paraId="4462B8C1">
            <w:pPr>
              <w:spacing w:line="400" w:lineRule="exact"/>
              <w:ind w:firstLine="315" w:firstLineChars="150"/>
              <w:rPr>
                <w:rFonts w:ascii="宋体" w:hAnsi="宋体"/>
                <w:color w:val="auto"/>
                <w:szCs w:val="21"/>
                <w:highlight w:val="none"/>
              </w:rPr>
            </w:pPr>
            <w:r>
              <w:rPr>
                <w:rFonts w:hint="eastAsia" w:ascii="宋体" w:hAnsi="宋体"/>
                <w:color w:val="auto"/>
                <w:szCs w:val="21"/>
                <w:highlight w:val="none"/>
              </w:rPr>
              <w:t>证明材料：提供能体现上述内容的项目清晰可辨的服务(合同)协议（含发票或银行转账证明文件）或中标(成交)通知书（复印件或扫描件）并加盖公章。以上材料须同时提供清单汇总表（包括但不限于采购单位、采购合同金额、采购样品或服务名称、采购时间等内容）</w:t>
            </w:r>
            <w:bookmarkStart w:id="302" w:name="OLE_LINK30"/>
            <w:bookmarkStart w:id="303" w:name="OLE_LINK31"/>
            <w:r>
              <w:rPr>
                <w:rFonts w:hint="eastAsia" w:ascii="宋体" w:hAnsi="宋体"/>
                <w:color w:val="auto"/>
                <w:szCs w:val="21"/>
                <w:highlight w:val="none"/>
              </w:rPr>
              <w:t>，不按要求提供的不得分。</w:t>
            </w:r>
            <w:bookmarkEnd w:id="302"/>
            <w:bookmarkEnd w:id="303"/>
          </w:p>
        </w:tc>
        <w:tc>
          <w:tcPr>
            <w:tcW w:w="838" w:type="dxa"/>
            <w:tcBorders>
              <w:top w:val="single" w:color="auto" w:sz="4" w:space="0"/>
              <w:left w:val="nil"/>
              <w:bottom w:val="single" w:color="auto" w:sz="4" w:space="0"/>
              <w:right w:val="single" w:color="auto" w:sz="4" w:space="0"/>
            </w:tcBorders>
            <w:noWrap w:val="0"/>
            <w:vAlign w:val="center"/>
          </w:tcPr>
          <w:p w14:paraId="33F58BC8">
            <w:pPr>
              <w:spacing w:line="400" w:lineRule="exact"/>
              <w:jc w:val="center"/>
              <w:rPr>
                <w:rFonts w:ascii="宋体" w:hAnsi="宋体"/>
                <w:color w:val="auto"/>
                <w:kern w:val="0"/>
                <w:szCs w:val="21"/>
                <w:highlight w:val="none"/>
              </w:rPr>
            </w:pPr>
            <w:r>
              <w:rPr>
                <w:rFonts w:hint="eastAsia" w:ascii="宋体" w:hAnsi="宋体"/>
                <w:color w:val="auto"/>
                <w:kern w:val="0"/>
                <w:szCs w:val="21"/>
                <w:highlight w:val="none"/>
              </w:rPr>
              <w:t>5分</w:t>
            </w:r>
          </w:p>
        </w:tc>
      </w:tr>
      <w:tr w14:paraId="4AC1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7CE41FD7">
            <w:pPr>
              <w:widowControl/>
              <w:spacing w:line="400" w:lineRule="exact"/>
              <w:jc w:val="center"/>
              <w:rPr>
                <w:rFonts w:ascii="宋体" w:hAnsi="宋体"/>
                <w:color w:val="auto"/>
                <w:kern w:val="0"/>
                <w:szCs w:val="21"/>
                <w:highlight w:val="none"/>
              </w:rPr>
            </w:pPr>
            <w:r>
              <w:rPr>
                <w:rFonts w:hint="eastAsia" w:ascii="宋体" w:hAnsi="宋体"/>
                <w:color w:val="auto"/>
                <w:kern w:val="0"/>
                <w:szCs w:val="21"/>
                <w:highlight w:val="none"/>
              </w:rPr>
              <w:t>3.2</w:t>
            </w:r>
          </w:p>
        </w:tc>
        <w:tc>
          <w:tcPr>
            <w:tcW w:w="1480" w:type="dxa"/>
            <w:tcBorders>
              <w:top w:val="single" w:color="auto" w:sz="4" w:space="0"/>
              <w:left w:val="nil"/>
              <w:bottom w:val="single" w:color="auto" w:sz="4" w:space="0"/>
              <w:right w:val="single" w:color="auto" w:sz="4" w:space="0"/>
            </w:tcBorders>
            <w:noWrap w:val="0"/>
            <w:vAlign w:val="center"/>
          </w:tcPr>
          <w:p w14:paraId="0B0B4F8E">
            <w:pPr>
              <w:widowControl/>
              <w:spacing w:line="400" w:lineRule="exact"/>
              <w:jc w:val="center"/>
              <w:rPr>
                <w:rFonts w:ascii="宋体" w:hAnsi="宋体"/>
                <w:color w:val="auto"/>
                <w:szCs w:val="21"/>
                <w:highlight w:val="none"/>
              </w:rPr>
            </w:pPr>
            <w:r>
              <w:rPr>
                <w:rFonts w:hint="eastAsia" w:ascii="宋体" w:hAnsi="宋体"/>
                <w:color w:val="auto"/>
                <w:szCs w:val="21"/>
                <w:highlight w:val="none"/>
              </w:rPr>
              <w:t>信誉分（满分3分）</w:t>
            </w:r>
          </w:p>
        </w:tc>
        <w:tc>
          <w:tcPr>
            <w:tcW w:w="6646" w:type="dxa"/>
            <w:tcBorders>
              <w:top w:val="single" w:color="auto" w:sz="4" w:space="0"/>
              <w:left w:val="nil"/>
              <w:bottom w:val="single" w:color="auto" w:sz="4" w:space="0"/>
              <w:right w:val="single" w:color="auto" w:sz="4" w:space="0"/>
            </w:tcBorders>
            <w:noWrap w:val="0"/>
            <w:vAlign w:val="center"/>
          </w:tcPr>
          <w:p w14:paraId="50B19A6D">
            <w:pPr>
              <w:spacing w:line="400" w:lineRule="exact"/>
              <w:ind w:firstLine="315" w:firstLineChars="150"/>
              <w:rPr>
                <w:rFonts w:ascii="宋体" w:hAnsi="宋体"/>
                <w:color w:val="auto"/>
                <w:szCs w:val="21"/>
                <w:highlight w:val="none"/>
              </w:rPr>
            </w:pPr>
            <w:r>
              <w:rPr>
                <w:rFonts w:hint="eastAsia" w:ascii="宋体" w:hAnsi="宋体"/>
                <w:color w:val="auto"/>
                <w:szCs w:val="21"/>
                <w:highlight w:val="none"/>
              </w:rPr>
              <w:t>投标人具有有效的质量管理体系认证证书、环境管理体系认证证书、职业健康安全管理体系认证证书（投标文件中须同时提供相应认证证书（复印件或扫描件）及国家认证认可监督管理委员会的“全国认证认可信息公共服务平台”（http://cx.cnca.cn） 查询结果截图，并加盖投标人公章，失效、撤销或暂停的对应证书项不得分），每提供1项得1分，总分3分。以上材料须同时提供清单汇总表（包括但不限于证书名称、证书编号、认证机构、认证时间、有效期等内容），不按要求提供的不得分</w:t>
            </w:r>
            <w:r>
              <w:rPr>
                <w:rFonts w:hint="eastAsia" w:ascii="宋体" w:hAnsi="宋体" w:cs="宋体"/>
                <w:color w:val="auto"/>
                <w:szCs w:val="21"/>
                <w:highlight w:val="none"/>
              </w:rPr>
              <w:t>。</w:t>
            </w:r>
          </w:p>
        </w:tc>
        <w:tc>
          <w:tcPr>
            <w:tcW w:w="838" w:type="dxa"/>
            <w:tcBorders>
              <w:top w:val="single" w:color="auto" w:sz="4" w:space="0"/>
              <w:left w:val="nil"/>
              <w:bottom w:val="single" w:color="auto" w:sz="4" w:space="0"/>
              <w:right w:val="single" w:color="auto" w:sz="4" w:space="0"/>
            </w:tcBorders>
            <w:noWrap w:val="0"/>
            <w:vAlign w:val="center"/>
          </w:tcPr>
          <w:p w14:paraId="3D19F28F">
            <w:pPr>
              <w:spacing w:line="40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3分</w:t>
            </w:r>
          </w:p>
        </w:tc>
      </w:tr>
      <w:tr w14:paraId="5270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779" w:type="dxa"/>
            <w:gridSpan w:val="3"/>
            <w:tcBorders>
              <w:top w:val="single" w:color="auto" w:sz="4" w:space="0"/>
              <w:left w:val="single" w:color="auto" w:sz="4" w:space="0"/>
              <w:bottom w:val="single" w:color="auto" w:sz="4" w:space="0"/>
              <w:right w:val="single" w:color="auto" w:sz="4" w:space="0"/>
            </w:tcBorders>
            <w:noWrap w:val="0"/>
            <w:vAlign w:val="center"/>
          </w:tcPr>
          <w:p w14:paraId="1045D6FA">
            <w:pPr>
              <w:widowControl/>
              <w:spacing w:line="400" w:lineRule="exact"/>
              <w:rPr>
                <w:rFonts w:ascii="宋体" w:hAnsi="宋体"/>
                <w:b/>
                <w:color w:val="auto"/>
                <w:kern w:val="0"/>
                <w:szCs w:val="21"/>
                <w:highlight w:val="none"/>
              </w:rPr>
            </w:pPr>
            <w:r>
              <w:rPr>
                <w:rFonts w:hint="eastAsia" w:ascii="宋体" w:hAnsi="宋体"/>
                <w:b/>
                <w:color w:val="auto"/>
                <w:kern w:val="0"/>
                <w:szCs w:val="21"/>
                <w:highlight w:val="none"/>
              </w:rPr>
              <w:t>总得分＝ 1+ 2+ 3</w:t>
            </w:r>
          </w:p>
        </w:tc>
        <w:tc>
          <w:tcPr>
            <w:tcW w:w="838" w:type="dxa"/>
            <w:tcBorders>
              <w:top w:val="single" w:color="auto" w:sz="4" w:space="0"/>
              <w:left w:val="nil"/>
              <w:bottom w:val="single" w:color="auto" w:sz="4" w:space="0"/>
              <w:right w:val="single" w:color="auto" w:sz="4" w:space="0"/>
            </w:tcBorders>
            <w:noWrap w:val="0"/>
            <w:vAlign w:val="center"/>
          </w:tcPr>
          <w:p w14:paraId="1176CDC7">
            <w:pPr>
              <w:widowControl/>
              <w:spacing w:line="400" w:lineRule="exact"/>
              <w:jc w:val="center"/>
              <w:rPr>
                <w:rFonts w:ascii="宋体" w:hAnsi="宋体"/>
                <w:b/>
                <w:color w:val="auto"/>
                <w:kern w:val="0"/>
                <w:szCs w:val="21"/>
                <w:highlight w:val="none"/>
              </w:rPr>
            </w:pPr>
            <w:r>
              <w:rPr>
                <w:rFonts w:hint="eastAsia" w:ascii="宋体" w:hAnsi="宋体"/>
                <w:b/>
                <w:color w:val="auto"/>
                <w:kern w:val="0"/>
                <w:szCs w:val="21"/>
                <w:highlight w:val="none"/>
              </w:rPr>
              <w:t>100</w:t>
            </w:r>
          </w:p>
        </w:tc>
      </w:tr>
    </w:tbl>
    <w:p w14:paraId="0D0D7C26">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p>
    <w:p w14:paraId="76971895">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3DEA029">
      <w:pPr>
        <w:pStyle w:val="3"/>
        <w:pageBreakBefore w:val="0"/>
        <w:kinsoku/>
        <w:wordWrap/>
        <w:overflowPunct/>
        <w:topLinePunct w:val="0"/>
        <w:autoSpaceDE/>
        <w:autoSpaceDN/>
        <w:bidi w:val="0"/>
        <w:spacing w:before="0" w:after="0" w:line="400" w:lineRule="exact"/>
        <w:jc w:val="center"/>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评分标准（综合评分法）</w:t>
      </w:r>
      <w:r>
        <w:rPr>
          <w:rFonts w:hint="eastAsia" w:ascii="宋体" w:hAnsi="宋体" w:eastAsia="宋体" w:cs="宋体"/>
          <w:color w:val="auto"/>
          <w:highlight w:val="none"/>
          <w:lang w:val="en-US" w:eastAsia="zh-CN"/>
        </w:rPr>
        <w:t>适用于分标6</w:t>
      </w:r>
    </w:p>
    <w:tbl>
      <w:tblPr>
        <w:tblStyle w:val="38"/>
        <w:tblW w:w="9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480"/>
        <w:gridCol w:w="6646"/>
        <w:gridCol w:w="838"/>
      </w:tblGrid>
      <w:tr w14:paraId="6FFF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7B64A064">
            <w:pPr>
              <w:keepNext w:val="0"/>
              <w:keepLines w:val="0"/>
              <w:pageBreakBefore w:val="0"/>
              <w:widowControl/>
              <w:kinsoku/>
              <w:wordWrap/>
              <w:overflowPunct/>
              <w:topLinePunct w:val="0"/>
              <w:autoSpaceDE/>
              <w:autoSpaceDN/>
              <w:bidi w:val="0"/>
              <w:snapToGrid/>
              <w:spacing w:line="440" w:lineRule="exact"/>
              <w:jc w:val="center"/>
              <w:rPr>
                <w:rFonts w:ascii="宋体" w:hAnsi="宋体"/>
                <w:b/>
                <w:bCs/>
                <w:color w:val="auto"/>
                <w:kern w:val="0"/>
                <w:szCs w:val="21"/>
                <w:highlight w:val="none"/>
              </w:rPr>
            </w:pPr>
            <w:r>
              <w:rPr>
                <w:rFonts w:hint="eastAsia" w:ascii="宋体" w:hAnsi="宋体"/>
                <w:b/>
                <w:bCs/>
                <w:color w:val="auto"/>
                <w:kern w:val="0"/>
                <w:szCs w:val="21"/>
                <w:highlight w:val="none"/>
              </w:rPr>
              <w:t>序号</w:t>
            </w:r>
          </w:p>
        </w:tc>
        <w:tc>
          <w:tcPr>
            <w:tcW w:w="1480" w:type="dxa"/>
            <w:tcBorders>
              <w:top w:val="single" w:color="auto" w:sz="4" w:space="0"/>
              <w:left w:val="nil"/>
              <w:bottom w:val="single" w:color="auto" w:sz="4" w:space="0"/>
              <w:right w:val="single" w:color="auto" w:sz="4" w:space="0"/>
            </w:tcBorders>
            <w:noWrap w:val="0"/>
            <w:vAlign w:val="center"/>
          </w:tcPr>
          <w:p w14:paraId="28274CDD">
            <w:pPr>
              <w:keepNext w:val="0"/>
              <w:keepLines w:val="0"/>
              <w:pageBreakBefore w:val="0"/>
              <w:widowControl/>
              <w:kinsoku/>
              <w:wordWrap/>
              <w:overflowPunct/>
              <w:topLinePunct w:val="0"/>
              <w:autoSpaceDE/>
              <w:autoSpaceDN/>
              <w:bidi w:val="0"/>
              <w:snapToGrid/>
              <w:spacing w:line="440" w:lineRule="exact"/>
              <w:jc w:val="center"/>
              <w:rPr>
                <w:rFonts w:ascii="宋体" w:hAnsi="宋体"/>
                <w:b/>
                <w:bCs/>
                <w:color w:val="auto"/>
                <w:kern w:val="0"/>
                <w:szCs w:val="21"/>
                <w:highlight w:val="none"/>
              </w:rPr>
            </w:pPr>
            <w:r>
              <w:rPr>
                <w:rFonts w:hint="eastAsia" w:ascii="宋体" w:hAnsi="宋体"/>
                <w:b/>
                <w:bCs/>
                <w:color w:val="auto"/>
                <w:kern w:val="0"/>
                <w:szCs w:val="21"/>
                <w:highlight w:val="none"/>
              </w:rPr>
              <w:t>评审因素</w:t>
            </w:r>
          </w:p>
        </w:tc>
        <w:tc>
          <w:tcPr>
            <w:tcW w:w="6646" w:type="dxa"/>
            <w:tcBorders>
              <w:top w:val="single" w:color="auto" w:sz="4" w:space="0"/>
              <w:left w:val="nil"/>
              <w:bottom w:val="single" w:color="auto" w:sz="4" w:space="0"/>
              <w:right w:val="single" w:color="auto" w:sz="4" w:space="0"/>
            </w:tcBorders>
            <w:noWrap w:val="0"/>
            <w:vAlign w:val="center"/>
          </w:tcPr>
          <w:p w14:paraId="578C8808">
            <w:pPr>
              <w:keepNext w:val="0"/>
              <w:keepLines w:val="0"/>
              <w:pageBreakBefore w:val="0"/>
              <w:widowControl/>
              <w:kinsoku/>
              <w:wordWrap/>
              <w:overflowPunct/>
              <w:topLinePunct w:val="0"/>
              <w:autoSpaceDE/>
              <w:autoSpaceDN/>
              <w:bidi w:val="0"/>
              <w:snapToGrid/>
              <w:spacing w:line="440" w:lineRule="exact"/>
              <w:jc w:val="center"/>
              <w:rPr>
                <w:rFonts w:ascii="宋体" w:hAnsi="宋体"/>
                <w:b/>
                <w:bCs/>
                <w:color w:val="auto"/>
                <w:kern w:val="0"/>
                <w:szCs w:val="21"/>
                <w:highlight w:val="none"/>
              </w:rPr>
            </w:pPr>
            <w:r>
              <w:rPr>
                <w:rFonts w:hint="eastAsia" w:ascii="宋体" w:hAnsi="宋体"/>
                <w:b/>
                <w:bCs/>
                <w:color w:val="auto"/>
                <w:kern w:val="0"/>
                <w:szCs w:val="21"/>
                <w:highlight w:val="none"/>
              </w:rPr>
              <w:t>评审因素具体内容</w:t>
            </w:r>
          </w:p>
        </w:tc>
        <w:tc>
          <w:tcPr>
            <w:tcW w:w="838" w:type="dxa"/>
            <w:tcBorders>
              <w:top w:val="single" w:color="auto" w:sz="4" w:space="0"/>
              <w:left w:val="nil"/>
              <w:bottom w:val="single" w:color="auto" w:sz="4" w:space="0"/>
              <w:right w:val="single" w:color="auto" w:sz="4" w:space="0"/>
            </w:tcBorders>
            <w:noWrap w:val="0"/>
            <w:vAlign w:val="center"/>
          </w:tcPr>
          <w:p w14:paraId="73022544">
            <w:pPr>
              <w:keepNext w:val="0"/>
              <w:keepLines w:val="0"/>
              <w:pageBreakBefore w:val="0"/>
              <w:widowControl/>
              <w:kinsoku/>
              <w:wordWrap/>
              <w:overflowPunct/>
              <w:topLinePunct w:val="0"/>
              <w:autoSpaceDE/>
              <w:autoSpaceDN/>
              <w:bidi w:val="0"/>
              <w:snapToGrid/>
              <w:spacing w:line="440" w:lineRule="exact"/>
              <w:jc w:val="center"/>
              <w:rPr>
                <w:rFonts w:ascii="宋体" w:hAnsi="宋体"/>
                <w:b/>
                <w:bCs/>
                <w:color w:val="auto"/>
                <w:kern w:val="0"/>
                <w:szCs w:val="21"/>
                <w:highlight w:val="none"/>
              </w:rPr>
            </w:pPr>
            <w:r>
              <w:rPr>
                <w:rFonts w:hint="eastAsia" w:ascii="宋体" w:hAnsi="宋体"/>
                <w:b/>
                <w:bCs/>
                <w:color w:val="auto"/>
                <w:kern w:val="0"/>
                <w:szCs w:val="21"/>
                <w:highlight w:val="none"/>
              </w:rPr>
              <w:t>分值</w:t>
            </w:r>
          </w:p>
        </w:tc>
      </w:tr>
      <w:tr w14:paraId="79FC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52CA74C1">
            <w:pPr>
              <w:keepNext w:val="0"/>
              <w:keepLines w:val="0"/>
              <w:pageBreakBefore w:val="0"/>
              <w:widowControl/>
              <w:kinsoku/>
              <w:wordWrap/>
              <w:overflowPunct/>
              <w:topLinePunct w:val="0"/>
              <w:autoSpaceDE/>
              <w:autoSpaceDN/>
              <w:bidi w:val="0"/>
              <w:snapToGrid/>
              <w:spacing w:line="440" w:lineRule="exact"/>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480" w:type="dxa"/>
            <w:tcBorders>
              <w:top w:val="single" w:color="auto" w:sz="4" w:space="0"/>
              <w:left w:val="nil"/>
              <w:bottom w:val="single" w:color="auto" w:sz="4" w:space="0"/>
              <w:right w:val="single" w:color="auto" w:sz="4" w:space="0"/>
            </w:tcBorders>
            <w:noWrap w:val="0"/>
            <w:vAlign w:val="center"/>
          </w:tcPr>
          <w:p w14:paraId="0F8830A4">
            <w:pPr>
              <w:keepNext w:val="0"/>
              <w:keepLines w:val="0"/>
              <w:pageBreakBefore w:val="0"/>
              <w:widowControl/>
              <w:kinsoku/>
              <w:wordWrap/>
              <w:overflowPunct/>
              <w:topLinePunct w:val="0"/>
              <w:autoSpaceDE/>
              <w:autoSpaceDN/>
              <w:bidi w:val="0"/>
              <w:snapToGrid/>
              <w:spacing w:line="440" w:lineRule="exact"/>
              <w:jc w:val="center"/>
              <w:rPr>
                <w:rFonts w:ascii="宋体" w:hAnsi="宋体"/>
                <w:b/>
                <w:color w:val="auto"/>
                <w:kern w:val="0"/>
                <w:szCs w:val="21"/>
                <w:highlight w:val="none"/>
              </w:rPr>
            </w:pPr>
            <w:r>
              <w:rPr>
                <w:rFonts w:hint="eastAsia" w:ascii="宋体" w:hAnsi="宋体"/>
                <w:b/>
                <w:color w:val="auto"/>
                <w:kern w:val="0"/>
                <w:szCs w:val="21"/>
                <w:highlight w:val="none"/>
              </w:rPr>
              <w:t>价格分</w:t>
            </w:r>
          </w:p>
          <w:p w14:paraId="79934740">
            <w:pPr>
              <w:keepNext w:val="0"/>
              <w:keepLines w:val="0"/>
              <w:pageBreakBefore w:val="0"/>
              <w:widowControl/>
              <w:kinsoku/>
              <w:wordWrap/>
              <w:overflowPunct/>
              <w:topLinePunct w:val="0"/>
              <w:autoSpaceDE/>
              <w:autoSpaceDN/>
              <w:bidi w:val="0"/>
              <w:snapToGrid/>
              <w:spacing w:line="440" w:lineRule="exact"/>
              <w:jc w:val="center"/>
              <w:rPr>
                <w:rFonts w:ascii="宋体" w:hAnsi="宋体"/>
                <w:b/>
                <w:color w:val="auto"/>
                <w:kern w:val="0"/>
                <w:szCs w:val="21"/>
                <w:highlight w:val="none"/>
              </w:rPr>
            </w:pPr>
            <w:r>
              <w:rPr>
                <w:rFonts w:hint="eastAsia" w:ascii="宋体" w:hAnsi="宋体"/>
                <w:b/>
                <w:color w:val="auto"/>
                <w:kern w:val="0"/>
                <w:szCs w:val="21"/>
                <w:highlight w:val="none"/>
              </w:rPr>
              <w:t>（满分1</w:t>
            </w:r>
            <w:r>
              <w:rPr>
                <w:rFonts w:hint="eastAsia" w:ascii="宋体" w:hAnsi="宋体"/>
                <w:b/>
                <w:color w:val="auto"/>
                <w:kern w:val="0"/>
                <w:szCs w:val="21"/>
                <w:highlight w:val="none"/>
                <w:lang w:val="en-US" w:eastAsia="zh-CN"/>
              </w:rPr>
              <w:t>5</w:t>
            </w:r>
            <w:r>
              <w:rPr>
                <w:rFonts w:hint="eastAsia" w:ascii="宋体" w:hAnsi="宋体"/>
                <w:b/>
                <w:color w:val="auto"/>
                <w:kern w:val="0"/>
                <w:szCs w:val="21"/>
                <w:highlight w:val="none"/>
              </w:rPr>
              <w:t>分）</w:t>
            </w:r>
          </w:p>
        </w:tc>
        <w:tc>
          <w:tcPr>
            <w:tcW w:w="6646" w:type="dxa"/>
            <w:tcBorders>
              <w:top w:val="single" w:color="auto" w:sz="4" w:space="0"/>
              <w:left w:val="nil"/>
              <w:bottom w:val="single" w:color="auto" w:sz="4" w:space="0"/>
              <w:right w:val="single" w:color="auto" w:sz="4" w:space="0"/>
            </w:tcBorders>
            <w:noWrap w:val="0"/>
            <w:vAlign w:val="top"/>
          </w:tcPr>
          <w:p w14:paraId="37846A7B">
            <w:pPr>
              <w:keepNext w:val="0"/>
              <w:keepLines w:val="0"/>
              <w:pageBreakBefore w:val="0"/>
              <w:kinsoku/>
              <w:wordWrap/>
              <w:overflowPunct/>
              <w:topLinePunct w:val="0"/>
              <w:autoSpaceDE/>
              <w:autoSpaceDN/>
              <w:bidi w:val="0"/>
              <w:snapToGrid/>
              <w:spacing w:line="440" w:lineRule="exact"/>
              <w:ind w:firstLine="315" w:firstLineChars="150"/>
              <w:rPr>
                <w:rFonts w:hint="eastAsia" w:ascii="宋体" w:hAnsi="宋体"/>
                <w:color w:val="auto"/>
                <w:szCs w:val="21"/>
                <w:highlight w:val="none"/>
              </w:rPr>
            </w:pPr>
            <w:r>
              <w:rPr>
                <w:rFonts w:hint="eastAsia" w:ascii="宋体" w:hAnsi="宋体"/>
                <w:color w:val="auto"/>
                <w:szCs w:val="21"/>
                <w:highlight w:val="none"/>
              </w:rPr>
              <w:t>（1）评标报价为投标人的投标报价进行政策性扣除后的价格，评标报价只是作为评标时使用。最终中标人的中标金额等于投标报价。</w:t>
            </w:r>
          </w:p>
          <w:p w14:paraId="0FB7DCBA">
            <w:pPr>
              <w:keepNext w:val="0"/>
              <w:keepLines w:val="0"/>
              <w:pageBreakBefore w:val="0"/>
              <w:kinsoku/>
              <w:wordWrap/>
              <w:overflowPunct/>
              <w:topLinePunct w:val="0"/>
              <w:autoSpaceDE/>
              <w:autoSpaceDN/>
              <w:bidi w:val="0"/>
              <w:snapToGrid/>
              <w:spacing w:line="440" w:lineRule="exact"/>
              <w:ind w:firstLine="315" w:firstLineChars="150"/>
              <w:rPr>
                <w:rFonts w:hint="eastAsia" w:ascii="宋体" w:hAnsi="宋体"/>
                <w:color w:val="auto"/>
                <w:szCs w:val="21"/>
                <w:highlight w:val="none"/>
              </w:rPr>
            </w:pPr>
            <w:r>
              <w:rPr>
                <w:rFonts w:hint="eastAsia" w:ascii="宋体" w:hAnsi="宋体"/>
                <w:color w:val="auto"/>
                <w:szCs w:val="21"/>
                <w:highlight w:val="none"/>
              </w:rPr>
              <w:t>（2）按照《政府采购促进中小企业发展管理办法》（财库〔2020〕46号）的规定，投标人在其投标文件中提供《中小企业声明函》，且其服务为小型和微型企业承接的，按《关于进一步加大政府采购支持中小企业力度的通知》（财库〔2022〕19号）、《广西壮族自治区财政厅关于持续优化政府采购营商环境推动高质量发展的通知》（桂财采〔2024〕55号）的规定，对其最后报价给予10%（范围为10-20%）的扣除。</w:t>
            </w:r>
          </w:p>
          <w:p w14:paraId="6535263C">
            <w:pPr>
              <w:keepNext w:val="0"/>
              <w:keepLines w:val="0"/>
              <w:pageBreakBefore w:val="0"/>
              <w:kinsoku/>
              <w:wordWrap/>
              <w:overflowPunct/>
              <w:topLinePunct w:val="0"/>
              <w:autoSpaceDE/>
              <w:autoSpaceDN/>
              <w:bidi w:val="0"/>
              <w:snapToGrid/>
              <w:spacing w:line="440" w:lineRule="exact"/>
              <w:ind w:firstLine="315" w:firstLineChars="150"/>
              <w:rPr>
                <w:rFonts w:hint="eastAsia" w:ascii="宋体" w:hAnsi="宋体"/>
                <w:color w:val="auto"/>
                <w:szCs w:val="21"/>
                <w:highlight w:val="none"/>
              </w:rPr>
            </w:pPr>
            <w:r>
              <w:rPr>
                <w:rFonts w:hint="eastAsia" w:ascii="宋体" w:hAnsi="宋体"/>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429DC8E">
            <w:pPr>
              <w:keepNext w:val="0"/>
              <w:keepLines w:val="0"/>
              <w:pageBreakBefore w:val="0"/>
              <w:kinsoku/>
              <w:wordWrap/>
              <w:overflowPunct/>
              <w:topLinePunct w:val="0"/>
              <w:autoSpaceDE/>
              <w:autoSpaceDN/>
              <w:bidi w:val="0"/>
              <w:snapToGrid/>
              <w:spacing w:line="440" w:lineRule="exact"/>
              <w:ind w:firstLine="315" w:firstLineChars="150"/>
              <w:rPr>
                <w:rFonts w:hint="eastAsia" w:ascii="宋体" w:hAnsi="宋体"/>
                <w:color w:val="auto"/>
                <w:szCs w:val="21"/>
                <w:highlight w:val="none"/>
              </w:rPr>
            </w:pPr>
            <w:r>
              <w:rPr>
                <w:rFonts w:hint="eastAsia" w:ascii="宋体" w:hAnsi="宋体"/>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324C5FC">
            <w:pPr>
              <w:keepNext w:val="0"/>
              <w:keepLines w:val="0"/>
              <w:pageBreakBefore w:val="0"/>
              <w:kinsoku/>
              <w:wordWrap/>
              <w:overflowPunct/>
              <w:topLinePunct w:val="0"/>
              <w:autoSpaceDE/>
              <w:autoSpaceDN/>
              <w:bidi w:val="0"/>
              <w:snapToGrid/>
              <w:spacing w:line="440" w:lineRule="exact"/>
              <w:ind w:firstLine="315" w:firstLineChars="150"/>
              <w:rPr>
                <w:rFonts w:hint="eastAsia" w:ascii="宋体" w:hAnsi="宋体"/>
                <w:color w:val="auto"/>
                <w:szCs w:val="21"/>
                <w:highlight w:val="none"/>
              </w:rPr>
            </w:pPr>
            <w:r>
              <w:rPr>
                <w:rFonts w:hint="eastAsia" w:ascii="宋体" w:hAnsi="宋体"/>
                <w:color w:val="auto"/>
                <w:szCs w:val="21"/>
                <w:highlight w:val="none"/>
              </w:rPr>
              <w:t>（5）政策性扣除计算方法。</w:t>
            </w:r>
          </w:p>
          <w:p w14:paraId="49F503AE">
            <w:pPr>
              <w:keepNext w:val="0"/>
              <w:keepLines w:val="0"/>
              <w:pageBreakBefore w:val="0"/>
              <w:kinsoku/>
              <w:wordWrap/>
              <w:overflowPunct/>
              <w:topLinePunct w:val="0"/>
              <w:autoSpaceDE/>
              <w:autoSpaceDN/>
              <w:bidi w:val="0"/>
              <w:snapToGrid/>
              <w:spacing w:line="440" w:lineRule="exact"/>
              <w:ind w:firstLine="315" w:firstLineChars="150"/>
              <w:rPr>
                <w:rFonts w:hint="eastAsia" w:ascii="宋体" w:hAnsi="宋体"/>
                <w:color w:val="auto"/>
                <w:szCs w:val="21"/>
                <w:highlight w:val="none"/>
              </w:rPr>
            </w:pPr>
            <w:r>
              <w:rPr>
                <w:rFonts w:hint="eastAsia" w:ascii="宋体" w:hAnsi="宋体"/>
                <w:color w:val="auto"/>
                <w:szCs w:val="21"/>
                <w:highlight w:val="none"/>
              </w:rPr>
              <w:t>在服务采购项目中，服务由小微企业承接；对符合上述要求的投标人的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范围为4%-6%）的扣除，用扣除后的价格参加评审，扣除后的价格为评标报价，即评标报价=投标报价×（1-4%）。除上述情况外，评标报价=投标报价。</w:t>
            </w:r>
          </w:p>
          <w:p w14:paraId="3B5F4455">
            <w:pPr>
              <w:keepNext w:val="0"/>
              <w:keepLines w:val="0"/>
              <w:pageBreakBefore w:val="0"/>
              <w:kinsoku/>
              <w:wordWrap/>
              <w:overflowPunct/>
              <w:topLinePunct w:val="0"/>
              <w:autoSpaceDE/>
              <w:autoSpaceDN/>
              <w:bidi w:val="0"/>
              <w:snapToGrid/>
              <w:spacing w:line="440" w:lineRule="exact"/>
              <w:ind w:firstLine="315" w:firstLineChars="150"/>
              <w:rPr>
                <w:rFonts w:hint="eastAsia" w:ascii="宋体" w:hAnsi="宋体"/>
                <w:color w:val="auto"/>
                <w:szCs w:val="21"/>
                <w:highlight w:val="none"/>
              </w:rPr>
            </w:pPr>
            <w:r>
              <w:rPr>
                <w:rFonts w:hint="eastAsia" w:ascii="宋体" w:hAnsi="宋体"/>
                <w:color w:val="auto"/>
                <w:szCs w:val="21"/>
                <w:highlight w:val="none"/>
              </w:rPr>
              <w:t>（6）满足招标文件要求且评标报价最低的评标报价为评标基准价，其价格分为满分。</w:t>
            </w:r>
          </w:p>
          <w:p w14:paraId="6A0FA22D">
            <w:pPr>
              <w:keepNext w:val="0"/>
              <w:keepLines w:val="0"/>
              <w:pageBreakBefore w:val="0"/>
              <w:kinsoku/>
              <w:wordWrap/>
              <w:overflowPunct/>
              <w:topLinePunct w:val="0"/>
              <w:autoSpaceDE/>
              <w:autoSpaceDN/>
              <w:bidi w:val="0"/>
              <w:snapToGrid/>
              <w:spacing w:line="440" w:lineRule="exact"/>
              <w:ind w:firstLine="315" w:firstLineChars="150"/>
              <w:rPr>
                <w:rFonts w:hint="eastAsia" w:ascii="宋体" w:hAnsi="宋体"/>
                <w:color w:val="auto"/>
                <w:szCs w:val="21"/>
                <w:highlight w:val="none"/>
              </w:rPr>
            </w:pPr>
            <w:r>
              <w:rPr>
                <w:rFonts w:hint="eastAsia" w:ascii="宋体" w:hAnsi="宋体"/>
                <w:color w:val="auto"/>
                <w:szCs w:val="21"/>
                <w:highlight w:val="none"/>
              </w:rPr>
              <w:t>（7）价格分计算公式：</w:t>
            </w:r>
          </w:p>
          <w:p w14:paraId="276CECD9">
            <w:pPr>
              <w:keepNext w:val="0"/>
              <w:keepLines w:val="0"/>
              <w:pageBreakBefore w:val="0"/>
              <w:kinsoku/>
              <w:wordWrap/>
              <w:overflowPunct/>
              <w:topLinePunct w:val="0"/>
              <w:autoSpaceDE/>
              <w:autoSpaceDN/>
              <w:bidi w:val="0"/>
              <w:snapToGrid/>
              <w:spacing w:line="440" w:lineRule="exact"/>
              <w:ind w:firstLine="316" w:firstLineChars="150"/>
              <w:rPr>
                <w:rFonts w:hint="eastAsia" w:ascii="宋体" w:hAnsi="宋体"/>
                <w:b/>
                <w:bCs/>
                <w:color w:val="auto"/>
                <w:szCs w:val="21"/>
                <w:highlight w:val="none"/>
              </w:rPr>
            </w:pPr>
            <w:r>
              <w:rPr>
                <w:rFonts w:hint="eastAsia" w:ascii="宋体" w:hAnsi="宋体"/>
                <w:b/>
                <w:bCs/>
                <w:color w:val="auto"/>
                <w:szCs w:val="21"/>
                <w:highlight w:val="none"/>
              </w:rPr>
              <w:t>价格分=(评标基准价／评标报价)×1</w:t>
            </w:r>
            <w:r>
              <w:rPr>
                <w:rFonts w:hint="eastAsia" w:ascii="宋体" w:hAnsi="宋体"/>
                <w:b/>
                <w:bCs/>
                <w:color w:val="auto"/>
                <w:szCs w:val="21"/>
                <w:highlight w:val="none"/>
                <w:lang w:val="en-US" w:eastAsia="zh-CN"/>
              </w:rPr>
              <w:t>5</w:t>
            </w:r>
            <w:r>
              <w:rPr>
                <w:rFonts w:hint="eastAsia" w:ascii="宋体" w:hAnsi="宋体"/>
                <w:b/>
                <w:bCs/>
                <w:color w:val="auto"/>
                <w:szCs w:val="21"/>
                <w:highlight w:val="none"/>
              </w:rPr>
              <w:t>分。</w:t>
            </w:r>
          </w:p>
          <w:p w14:paraId="7CE3D914">
            <w:pPr>
              <w:keepNext w:val="0"/>
              <w:keepLines w:val="0"/>
              <w:pageBreakBefore w:val="0"/>
              <w:kinsoku/>
              <w:wordWrap/>
              <w:overflowPunct/>
              <w:topLinePunct w:val="0"/>
              <w:autoSpaceDE/>
              <w:autoSpaceDN/>
              <w:bidi w:val="0"/>
              <w:snapToGrid/>
              <w:spacing w:line="440" w:lineRule="exact"/>
              <w:ind w:firstLine="315" w:firstLineChars="150"/>
              <w:rPr>
                <w:rFonts w:hint="eastAsia" w:ascii="宋体" w:hAnsi="宋体"/>
                <w:color w:val="auto"/>
                <w:szCs w:val="21"/>
                <w:highlight w:val="none"/>
              </w:rPr>
            </w:pPr>
            <w:r>
              <w:rPr>
                <w:rFonts w:hint="eastAsia" w:ascii="宋体" w:hAnsi="宋体"/>
                <w:color w:val="auto"/>
                <w:szCs w:val="21"/>
                <w:highlight w:val="none"/>
              </w:rPr>
              <w:t>（8）异常低价说明。</w:t>
            </w:r>
          </w:p>
          <w:p w14:paraId="56B91B8A">
            <w:pPr>
              <w:keepNext w:val="0"/>
              <w:keepLines w:val="0"/>
              <w:pageBreakBefore w:val="0"/>
              <w:kinsoku/>
              <w:wordWrap/>
              <w:overflowPunct/>
              <w:topLinePunct w:val="0"/>
              <w:autoSpaceDE/>
              <w:autoSpaceDN/>
              <w:bidi w:val="0"/>
              <w:snapToGrid/>
              <w:spacing w:line="440" w:lineRule="exact"/>
              <w:ind w:firstLine="315" w:firstLineChars="150"/>
              <w:rPr>
                <w:rFonts w:ascii="宋体" w:hAnsi="宋体"/>
                <w:bCs/>
                <w:color w:val="auto"/>
                <w:szCs w:val="21"/>
                <w:highlight w:val="none"/>
              </w:rPr>
            </w:pPr>
            <w:r>
              <w:rPr>
                <w:rFonts w:hint="eastAsia" w:ascii="宋体" w:hAnsi="宋体"/>
                <w:color w:val="auto"/>
                <w:szCs w:val="21"/>
                <w:highlight w:val="none"/>
              </w:rPr>
              <w:t>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p>
        </w:tc>
        <w:tc>
          <w:tcPr>
            <w:tcW w:w="838" w:type="dxa"/>
            <w:tcBorders>
              <w:top w:val="single" w:color="auto" w:sz="4" w:space="0"/>
              <w:left w:val="nil"/>
              <w:bottom w:val="single" w:color="auto" w:sz="4" w:space="0"/>
              <w:right w:val="single" w:color="auto" w:sz="4" w:space="0"/>
            </w:tcBorders>
            <w:noWrap w:val="0"/>
            <w:vAlign w:val="center"/>
          </w:tcPr>
          <w:p w14:paraId="3D6150BE">
            <w:pPr>
              <w:keepNext w:val="0"/>
              <w:keepLines w:val="0"/>
              <w:pageBreakBefore w:val="0"/>
              <w:widowControl/>
              <w:kinsoku/>
              <w:wordWrap/>
              <w:overflowPunct/>
              <w:topLinePunct w:val="0"/>
              <w:autoSpaceDE/>
              <w:autoSpaceDN/>
              <w:bidi w:val="0"/>
              <w:snapToGrid/>
              <w:spacing w:line="440" w:lineRule="exact"/>
              <w:jc w:val="center"/>
              <w:rPr>
                <w:rFonts w:ascii="宋体" w:hAnsi="宋体"/>
                <w:color w:val="auto"/>
                <w:kern w:val="0"/>
                <w:szCs w:val="21"/>
                <w:highlight w:val="none"/>
              </w:rPr>
            </w:pPr>
            <w:r>
              <w:rPr>
                <w:rFonts w:hint="eastAsia" w:ascii="宋体" w:hAnsi="宋体"/>
                <w:color w:val="auto"/>
                <w:kern w:val="0"/>
                <w:szCs w:val="21"/>
                <w:highlight w:val="none"/>
              </w:rPr>
              <w:t>1</w:t>
            </w:r>
            <w:r>
              <w:rPr>
                <w:rFonts w:hint="eastAsia" w:ascii="宋体" w:hAnsi="宋体"/>
                <w:color w:val="auto"/>
                <w:kern w:val="0"/>
                <w:szCs w:val="21"/>
                <w:highlight w:val="none"/>
                <w:lang w:val="en-US" w:eastAsia="zh-CN"/>
              </w:rPr>
              <w:t>5</w:t>
            </w:r>
            <w:r>
              <w:rPr>
                <w:rFonts w:hint="eastAsia" w:ascii="宋体" w:hAnsi="宋体"/>
                <w:color w:val="auto"/>
                <w:kern w:val="0"/>
                <w:szCs w:val="21"/>
                <w:highlight w:val="none"/>
              </w:rPr>
              <w:t>分</w:t>
            </w:r>
          </w:p>
        </w:tc>
      </w:tr>
      <w:tr w14:paraId="41AE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310A3081">
            <w:pPr>
              <w:keepNext w:val="0"/>
              <w:keepLines w:val="0"/>
              <w:pageBreakBefore w:val="0"/>
              <w:widowControl/>
              <w:kinsoku/>
              <w:wordWrap/>
              <w:overflowPunct/>
              <w:topLinePunct w:val="0"/>
              <w:autoSpaceDE/>
              <w:autoSpaceDN/>
              <w:bidi w:val="0"/>
              <w:snapToGrid/>
              <w:spacing w:line="440" w:lineRule="exact"/>
              <w:jc w:val="center"/>
              <w:rPr>
                <w:rFonts w:ascii="宋体" w:hAnsi="宋体"/>
                <w:b/>
                <w:color w:val="auto"/>
                <w:kern w:val="0"/>
                <w:szCs w:val="21"/>
                <w:highlight w:val="none"/>
              </w:rPr>
            </w:pPr>
            <w:r>
              <w:rPr>
                <w:rFonts w:hint="eastAsia" w:ascii="宋体" w:hAnsi="宋体"/>
                <w:b/>
                <w:color w:val="auto"/>
                <w:kern w:val="0"/>
                <w:szCs w:val="21"/>
                <w:highlight w:val="none"/>
              </w:rPr>
              <w:t>2</w:t>
            </w:r>
          </w:p>
        </w:tc>
        <w:tc>
          <w:tcPr>
            <w:tcW w:w="1480" w:type="dxa"/>
            <w:tcBorders>
              <w:top w:val="single" w:color="auto" w:sz="4" w:space="0"/>
              <w:left w:val="nil"/>
              <w:bottom w:val="single" w:color="auto" w:sz="4" w:space="0"/>
              <w:right w:val="single" w:color="auto" w:sz="4" w:space="0"/>
            </w:tcBorders>
            <w:noWrap w:val="0"/>
            <w:vAlign w:val="center"/>
          </w:tcPr>
          <w:p w14:paraId="245F549D">
            <w:pPr>
              <w:keepNext w:val="0"/>
              <w:keepLines w:val="0"/>
              <w:pageBreakBefore w:val="0"/>
              <w:widowControl/>
              <w:kinsoku/>
              <w:wordWrap/>
              <w:overflowPunct/>
              <w:topLinePunct w:val="0"/>
              <w:autoSpaceDE/>
              <w:autoSpaceDN/>
              <w:bidi w:val="0"/>
              <w:snapToGrid/>
              <w:spacing w:line="440" w:lineRule="exact"/>
              <w:jc w:val="center"/>
              <w:rPr>
                <w:rFonts w:ascii="宋体" w:hAnsi="宋体"/>
                <w:b/>
                <w:color w:val="auto"/>
                <w:kern w:val="0"/>
                <w:szCs w:val="21"/>
                <w:highlight w:val="none"/>
              </w:rPr>
            </w:pPr>
            <w:r>
              <w:rPr>
                <w:rFonts w:hint="eastAsia" w:ascii="宋体" w:hAnsi="宋体"/>
                <w:b/>
                <w:color w:val="auto"/>
                <w:kern w:val="0"/>
                <w:szCs w:val="21"/>
                <w:highlight w:val="none"/>
              </w:rPr>
              <w:t>技术分</w:t>
            </w:r>
          </w:p>
          <w:p w14:paraId="3DA9BD2D">
            <w:pPr>
              <w:keepNext w:val="0"/>
              <w:keepLines w:val="0"/>
              <w:pageBreakBefore w:val="0"/>
              <w:widowControl/>
              <w:kinsoku/>
              <w:wordWrap/>
              <w:overflowPunct/>
              <w:topLinePunct w:val="0"/>
              <w:autoSpaceDE/>
              <w:autoSpaceDN/>
              <w:bidi w:val="0"/>
              <w:snapToGrid/>
              <w:spacing w:line="440" w:lineRule="exact"/>
              <w:jc w:val="center"/>
              <w:rPr>
                <w:rFonts w:ascii="宋体" w:hAnsi="宋体"/>
                <w:b/>
                <w:color w:val="auto"/>
                <w:kern w:val="0"/>
                <w:szCs w:val="21"/>
                <w:highlight w:val="none"/>
              </w:rPr>
            </w:pPr>
            <w:r>
              <w:rPr>
                <w:rFonts w:hint="eastAsia" w:ascii="宋体" w:hAnsi="宋体"/>
                <w:b/>
                <w:color w:val="auto"/>
                <w:kern w:val="0"/>
                <w:szCs w:val="21"/>
                <w:highlight w:val="none"/>
              </w:rPr>
              <w:t>（满分</w:t>
            </w:r>
            <w:r>
              <w:rPr>
                <w:rFonts w:hint="eastAsia" w:ascii="宋体" w:hAnsi="宋体"/>
                <w:b/>
                <w:color w:val="auto"/>
                <w:kern w:val="0"/>
                <w:szCs w:val="21"/>
                <w:highlight w:val="none"/>
                <w:lang w:val="en-US" w:eastAsia="zh-CN"/>
              </w:rPr>
              <w:t>75</w:t>
            </w:r>
            <w:r>
              <w:rPr>
                <w:rFonts w:hint="eastAsia" w:ascii="宋体" w:hAnsi="宋体"/>
                <w:b/>
                <w:color w:val="auto"/>
                <w:kern w:val="0"/>
                <w:szCs w:val="21"/>
                <w:highlight w:val="none"/>
              </w:rPr>
              <w:t>分）</w:t>
            </w:r>
          </w:p>
        </w:tc>
        <w:tc>
          <w:tcPr>
            <w:tcW w:w="7484" w:type="dxa"/>
            <w:gridSpan w:val="2"/>
            <w:tcBorders>
              <w:top w:val="single" w:color="auto" w:sz="4" w:space="0"/>
              <w:left w:val="nil"/>
              <w:bottom w:val="single" w:color="auto" w:sz="4" w:space="0"/>
              <w:right w:val="single" w:color="auto" w:sz="4" w:space="0"/>
            </w:tcBorders>
            <w:noWrap w:val="0"/>
            <w:vAlign w:val="center"/>
          </w:tcPr>
          <w:p w14:paraId="61012ED2">
            <w:pPr>
              <w:keepNext w:val="0"/>
              <w:keepLines w:val="0"/>
              <w:pageBreakBefore w:val="0"/>
              <w:widowControl/>
              <w:kinsoku/>
              <w:wordWrap/>
              <w:overflowPunct/>
              <w:topLinePunct w:val="0"/>
              <w:autoSpaceDE/>
              <w:autoSpaceDN/>
              <w:bidi w:val="0"/>
              <w:snapToGrid/>
              <w:spacing w:line="440" w:lineRule="exact"/>
              <w:jc w:val="center"/>
              <w:rPr>
                <w:rFonts w:ascii="宋体" w:hAnsi="宋体"/>
                <w:b/>
                <w:color w:val="auto"/>
                <w:kern w:val="0"/>
                <w:szCs w:val="21"/>
                <w:highlight w:val="none"/>
              </w:rPr>
            </w:pPr>
            <w:r>
              <w:rPr>
                <w:rFonts w:hint="eastAsia" w:ascii="宋体" w:hAnsi="宋体"/>
                <w:b/>
                <w:color w:val="auto"/>
                <w:kern w:val="0"/>
                <w:szCs w:val="21"/>
                <w:highlight w:val="none"/>
              </w:rPr>
              <w:t>评审因素</w:t>
            </w:r>
          </w:p>
        </w:tc>
      </w:tr>
      <w:tr w14:paraId="2E7C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61D02316">
            <w:pPr>
              <w:keepNext w:val="0"/>
              <w:keepLines w:val="0"/>
              <w:pageBreakBefore w:val="0"/>
              <w:kinsoku/>
              <w:wordWrap/>
              <w:overflowPunct/>
              <w:topLinePunct w:val="0"/>
              <w:autoSpaceDE/>
              <w:autoSpaceDN/>
              <w:bidi w:val="0"/>
              <w:adjustRightInd w:val="0"/>
              <w:snapToGrid/>
              <w:spacing w:line="440" w:lineRule="exact"/>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2.1</w:t>
            </w:r>
          </w:p>
        </w:tc>
        <w:tc>
          <w:tcPr>
            <w:tcW w:w="1480" w:type="dxa"/>
            <w:tcBorders>
              <w:top w:val="single" w:color="auto" w:sz="4" w:space="0"/>
              <w:left w:val="nil"/>
              <w:bottom w:val="single" w:color="auto" w:sz="4" w:space="0"/>
              <w:right w:val="single" w:color="auto" w:sz="4" w:space="0"/>
            </w:tcBorders>
            <w:noWrap w:val="0"/>
            <w:vAlign w:val="center"/>
          </w:tcPr>
          <w:p w14:paraId="0C57198F">
            <w:pPr>
              <w:keepNext w:val="0"/>
              <w:keepLines w:val="0"/>
              <w:pageBreakBefore w:val="0"/>
              <w:kinsoku/>
              <w:wordWrap/>
              <w:overflowPunct/>
              <w:topLinePunct w:val="0"/>
              <w:autoSpaceDE/>
              <w:autoSpaceDN/>
              <w:bidi w:val="0"/>
              <w:snapToGrid/>
              <w:spacing w:line="440" w:lineRule="exact"/>
              <w:jc w:val="center"/>
              <w:rPr>
                <w:rFonts w:hint="eastAsia" w:ascii="宋体" w:hAnsi="宋体"/>
                <w:color w:val="auto"/>
                <w:szCs w:val="21"/>
                <w:highlight w:val="none"/>
              </w:rPr>
            </w:pPr>
            <w:r>
              <w:rPr>
                <w:rFonts w:hint="eastAsia" w:ascii="宋体" w:hAnsi="宋体"/>
                <w:color w:val="auto"/>
                <w:szCs w:val="21"/>
                <w:highlight w:val="none"/>
              </w:rPr>
              <w:t>服务及实施方案分</w:t>
            </w:r>
          </w:p>
          <w:p w14:paraId="54FCB870">
            <w:pPr>
              <w:keepNext w:val="0"/>
              <w:keepLines w:val="0"/>
              <w:pageBreakBefore w:val="0"/>
              <w:kinsoku/>
              <w:wordWrap/>
              <w:overflowPunct/>
              <w:topLinePunct w:val="0"/>
              <w:autoSpaceDE/>
              <w:autoSpaceDN/>
              <w:bidi w:val="0"/>
              <w:snapToGrid/>
              <w:spacing w:line="440" w:lineRule="exact"/>
              <w:jc w:val="center"/>
              <w:rPr>
                <w:rFonts w:ascii="宋体" w:hAnsi="宋体"/>
                <w:color w:val="auto"/>
                <w:szCs w:val="21"/>
                <w:highlight w:val="none"/>
              </w:rPr>
            </w:pPr>
            <w:r>
              <w:rPr>
                <w:rFonts w:hint="eastAsia" w:ascii="宋体" w:hAnsi="宋体"/>
                <w:color w:val="auto"/>
                <w:szCs w:val="21"/>
                <w:highlight w:val="none"/>
              </w:rPr>
              <w:t>（满分2</w:t>
            </w:r>
            <w:r>
              <w:rPr>
                <w:rFonts w:hint="eastAsia" w:ascii="宋体" w:hAnsi="宋体"/>
                <w:color w:val="auto"/>
                <w:szCs w:val="21"/>
                <w:highlight w:val="none"/>
                <w:lang w:val="en-US" w:eastAsia="zh-CN"/>
              </w:rPr>
              <w:t>0</w:t>
            </w:r>
            <w:r>
              <w:rPr>
                <w:rFonts w:hint="eastAsia" w:ascii="宋体" w:hAnsi="宋体"/>
                <w:color w:val="auto"/>
                <w:szCs w:val="21"/>
                <w:highlight w:val="none"/>
              </w:rPr>
              <w:t>分）</w:t>
            </w:r>
          </w:p>
        </w:tc>
        <w:tc>
          <w:tcPr>
            <w:tcW w:w="6646" w:type="dxa"/>
            <w:tcBorders>
              <w:top w:val="single" w:color="auto" w:sz="4" w:space="0"/>
              <w:left w:val="nil"/>
              <w:bottom w:val="single" w:color="auto" w:sz="4" w:space="0"/>
              <w:right w:val="single" w:color="auto" w:sz="4" w:space="0"/>
            </w:tcBorders>
            <w:noWrap w:val="0"/>
            <w:vAlign w:val="center"/>
          </w:tcPr>
          <w:p w14:paraId="50A4CDBE">
            <w:pPr>
              <w:keepNext w:val="0"/>
              <w:keepLines w:val="0"/>
              <w:pageBreakBefore w:val="0"/>
              <w:kinsoku/>
              <w:wordWrap/>
              <w:overflowPunct/>
              <w:topLinePunct w:val="0"/>
              <w:autoSpaceDE/>
              <w:autoSpaceDN/>
              <w:bidi w:val="0"/>
              <w:snapToGrid/>
              <w:spacing w:line="440" w:lineRule="exact"/>
              <w:ind w:left="1" w:firstLine="417" w:firstLineChars="199"/>
              <w:rPr>
                <w:rFonts w:ascii="宋体" w:hAnsi="宋体" w:cs="Calibri"/>
                <w:color w:val="auto"/>
                <w:szCs w:val="21"/>
                <w:highlight w:val="none"/>
              </w:rPr>
            </w:pPr>
            <w:r>
              <w:rPr>
                <w:rFonts w:hint="eastAsia" w:ascii="宋体" w:hAnsi="宋体" w:cs="Calibri"/>
                <w:color w:val="auto"/>
                <w:szCs w:val="21"/>
                <w:highlight w:val="none"/>
              </w:rPr>
              <w:t xml:space="preserve">由评委根据供应商提供的服务及实施方案，根据以下标准自行独立打分，达不到一档的不得分：  </w:t>
            </w:r>
          </w:p>
          <w:p w14:paraId="1CAB7CF8">
            <w:pPr>
              <w:keepNext w:val="0"/>
              <w:keepLines w:val="0"/>
              <w:pageBreakBefore w:val="0"/>
              <w:kinsoku/>
              <w:wordWrap/>
              <w:overflowPunct/>
              <w:topLinePunct w:val="0"/>
              <w:autoSpaceDE/>
              <w:autoSpaceDN/>
              <w:bidi w:val="0"/>
              <w:snapToGrid/>
              <w:spacing w:line="440" w:lineRule="exact"/>
              <w:ind w:firstLine="420" w:firstLineChars="200"/>
              <w:rPr>
                <w:rFonts w:ascii="宋体" w:hAnsi="宋体"/>
                <w:bCs/>
                <w:color w:val="auto"/>
                <w:szCs w:val="21"/>
                <w:highlight w:val="none"/>
              </w:rPr>
            </w:pPr>
            <w:r>
              <w:rPr>
                <w:rFonts w:ascii="宋体" w:hAnsi="宋体"/>
                <w:bCs/>
                <w:color w:val="auto"/>
                <w:szCs w:val="21"/>
                <w:highlight w:val="none"/>
              </w:rPr>
              <w:t>一档（</w:t>
            </w:r>
            <w:r>
              <w:rPr>
                <w:rFonts w:hint="eastAsia" w:ascii="宋体" w:hAnsi="宋体"/>
                <w:bCs/>
                <w:color w:val="auto"/>
                <w:szCs w:val="21"/>
                <w:highlight w:val="none"/>
                <w:lang w:val="en-US" w:eastAsia="zh-CN"/>
              </w:rPr>
              <w:t>10</w:t>
            </w:r>
            <w:r>
              <w:rPr>
                <w:rFonts w:ascii="宋体" w:hAnsi="宋体"/>
                <w:bCs/>
                <w:color w:val="auto"/>
                <w:szCs w:val="21"/>
                <w:highlight w:val="none"/>
              </w:rPr>
              <w:t>分）:提出的实施方案包含进度计划和实施保障措施（包括但不限于人员管理、内部质量控制等方面）。</w:t>
            </w:r>
          </w:p>
          <w:p w14:paraId="4F89BE41">
            <w:pPr>
              <w:keepNext w:val="0"/>
              <w:keepLines w:val="0"/>
              <w:pageBreakBefore w:val="0"/>
              <w:kinsoku/>
              <w:wordWrap/>
              <w:overflowPunct/>
              <w:topLinePunct w:val="0"/>
              <w:autoSpaceDE/>
              <w:autoSpaceDN/>
              <w:bidi w:val="0"/>
              <w:snapToGrid/>
              <w:spacing w:line="440" w:lineRule="exact"/>
              <w:ind w:firstLine="420" w:firstLineChars="200"/>
              <w:rPr>
                <w:rFonts w:ascii="宋体" w:hAnsi="宋体"/>
                <w:bCs/>
                <w:color w:val="auto"/>
                <w:szCs w:val="21"/>
                <w:highlight w:val="none"/>
              </w:rPr>
            </w:pPr>
            <w:r>
              <w:rPr>
                <w:rFonts w:ascii="宋体" w:hAnsi="宋体"/>
                <w:bCs/>
                <w:color w:val="auto"/>
                <w:szCs w:val="21"/>
                <w:highlight w:val="none"/>
              </w:rPr>
              <w:t>二档（</w:t>
            </w:r>
            <w:r>
              <w:rPr>
                <w:rFonts w:hint="eastAsia" w:ascii="宋体" w:hAnsi="宋体"/>
                <w:bCs/>
                <w:color w:val="auto"/>
                <w:szCs w:val="21"/>
                <w:highlight w:val="none"/>
                <w:lang w:val="en-US" w:eastAsia="zh-CN"/>
              </w:rPr>
              <w:t>15</w:t>
            </w:r>
            <w:r>
              <w:rPr>
                <w:rFonts w:ascii="宋体" w:hAnsi="宋体"/>
                <w:bCs/>
                <w:color w:val="auto"/>
                <w:szCs w:val="21"/>
                <w:highlight w:val="none"/>
              </w:rPr>
              <w:t>分）:对本项目有基本的理解，提出的实施方案有进度计划和不少于3条的实施保障措施（至少包括人员管理、内部质量控制、项目验收</w:t>
            </w:r>
            <w:r>
              <w:rPr>
                <w:rFonts w:hint="eastAsia" w:ascii="宋体" w:hAnsi="宋体"/>
                <w:bCs/>
                <w:color w:val="auto"/>
                <w:szCs w:val="21"/>
                <w:highlight w:val="none"/>
              </w:rPr>
              <w:t>3个</w:t>
            </w:r>
            <w:r>
              <w:rPr>
                <w:rFonts w:ascii="宋体" w:hAnsi="宋体"/>
                <w:bCs/>
                <w:color w:val="auto"/>
                <w:szCs w:val="21"/>
                <w:highlight w:val="none"/>
              </w:rPr>
              <w:t>方面内容），符合项目实际需求的。</w:t>
            </w:r>
          </w:p>
          <w:p w14:paraId="7EF5CC46">
            <w:pPr>
              <w:keepNext w:val="0"/>
              <w:keepLines w:val="0"/>
              <w:pageBreakBefore w:val="0"/>
              <w:kinsoku/>
              <w:wordWrap/>
              <w:overflowPunct/>
              <w:topLinePunct w:val="0"/>
              <w:autoSpaceDE/>
              <w:autoSpaceDN/>
              <w:bidi w:val="0"/>
              <w:snapToGrid/>
              <w:spacing w:line="440" w:lineRule="exact"/>
              <w:ind w:firstLine="420" w:firstLineChars="200"/>
              <w:rPr>
                <w:rFonts w:ascii="宋体" w:hAnsi="宋体"/>
                <w:bCs/>
                <w:color w:val="auto"/>
                <w:szCs w:val="21"/>
                <w:highlight w:val="none"/>
              </w:rPr>
            </w:pPr>
            <w:r>
              <w:rPr>
                <w:rFonts w:ascii="宋体" w:hAnsi="宋体"/>
                <w:bCs/>
                <w:color w:val="auto"/>
                <w:szCs w:val="21"/>
                <w:highlight w:val="none"/>
              </w:rPr>
              <w:t>三档（</w:t>
            </w:r>
            <w:r>
              <w:rPr>
                <w:rFonts w:hint="eastAsia" w:ascii="宋体" w:hAnsi="宋体"/>
                <w:bCs/>
                <w:color w:val="auto"/>
                <w:szCs w:val="21"/>
                <w:highlight w:val="none"/>
                <w:lang w:val="en-US" w:eastAsia="zh-CN"/>
              </w:rPr>
              <w:t>20</w:t>
            </w:r>
            <w:r>
              <w:rPr>
                <w:rFonts w:ascii="宋体" w:hAnsi="宋体"/>
                <w:bCs/>
                <w:color w:val="auto"/>
                <w:szCs w:val="21"/>
                <w:highlight w:val="none"/>
              </w:rPr>
              <w:t>分）:对本项目的理解较为深入透彻，提出的实施方案有进度计划和不少于5条的实施保障内容（至少包括人员管理、内部质量控制、技术重点和难点分析、项目风险防范、项目验收</w:t>
            </w:r>
            <w:r>
              <w:rPr>
                <w:rFonts w:hint="eastAsia" w:ascii="宋体" w:hAnsi="宋体"/>
                <w:bCs/>
                <w:color w:val="auto"/>
                <w:szCs w:val="21"/>
                <w:highlight w:val="none"/>
              </w:rPr>
              <w:t>5个</w:t>
            </w:r>
            <w:r>
              <w:rPr>
                <w:rFonts w:ascii="宋体" w:hAnsi="宋体"/>
                <w:bCs/>
                <w:color w:val="auto"/>
                <w:szCs w:val="21"/>
                <w:highlight w:val="none"/>
              </w:rPr>
              <w:t>方面内容），且能具体说明本项目服务的技术重点，完全满足项目实际需求的。</w:t>
            </w:r>
          </w:p>
        </w:tc>
        <w:tc>
          <w:tcPr>
            <w:tcW w:w="838" w:type="dxa"/>
            <w:tcBorders>
              <w:top w:val="single" w:color="auto" w:sz="4" w:space="0"/>
              <w:left w:val="nil"/>
              <w:bottom w:val="single" w:color="auto" w:sz="4" w:space="0"/>
              <w:right w:val="single" w:color="auto" w:sz="4" w:space="0"/>
            </w:tcBorders>
            <w:noWrap w:val="0"/>
            <w:vAlign w:val="center"/>
          </w:tcPr>
          <w:p w14:paraId="55AF5413">
            <w:pPr>
              <w:keepNext w:val="0"/>
              <w:keepLines w:val="0"/>
              <w:pageBreakBefore w:val="0"/>
              <w:kinsoku/>
              <w:wordWrap/>
              <w:overflowPunct/>
              <w:topLinePunct w:val="0"/>
              <w:autoSpaceDE/>
              <w:autoSpaceDN/>
              <w:bidi w:val="0"/>
              <w:snapToGrid/>
              <w:spacing w:line="440" w:lineRule="exact"/>
              <w:jc w:val="center"/>
              <w:rPr>
                <w:rFonts w:ascii="宋体" w:hAnsi="宋体"/>
                <w:color w:val="auto"/>
                <w:kern w:val="0"/>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分</w:t>
            </w:r>
          </w:p>
        </w:tc>
      </w:tr>
      <w:tr w14:paraId="1F81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4B92CF71">
            <w:pPr>
              <w:keepNext w:val="0"/>
              <w:keepLines w:val="0"/>
              <w:pageBreakBefore w:val="0"/>
              <w:kinsoku/>
              <w:wordWrap/>
              <w:overflowPunct/>
              <w:topLinePunct w:val="0"/>
              <w:autoSpaceDE/>
              <w:autoSpaceDN/>
              <w:bidi w:val="0"/>
              <w:adjustRightInd w:val="0"/>
              <w:snapToGrid/>
              <w:spacing w:line="440" w:lineRule="exact"/>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2.2</w:t>
            </w:r>
          </w:p>
        </w:tc>
        <w:tc>
          <w:tcPr>
            <w:tcW w:w="1480" w:type="dxa"/>
            <w:tcBorders>
              <w:top w:val="single" w:color="auto" w:sz="4" w:space="0"/>
              <w:left w:val="nil"/>
              <w:bottom w:val="single" w:color="auto" w:sz="4" w:space="0"/>
              <w:right w:val="single" w:color="auto" w:sz="4" w:space="0"/>
            </w:tcBorders>
            <w:noWrap w:val="0"/>
            <w:vAlign w:val="center"/>
          </w:tcPr>
          <w:p w14:paraId="5E259911">
            <w:pPr>
              <w:keepNext w:val="0"/>
              <w:keepLines w:val="0"/>
              <w:pageBreakBefore w:val="0"/>
              <w:kinsoku/>
              <w:wordWrap/>
              <w:overflowPunct/>
              <w:topLinePunct w:val="0"/>
              <w:autoSpaceDE/>
              <w:autoSpaceDN/>
              <w:bidi w:val="0"/>
              <w:snapToGrid/>
              <w:spacing w:line="440" w:lineRule="exact"/>
              <w:jc w:val="center"/>
              <w:rPr>
                <w:rFonts w:hint="eastAsia" w:ascii="宋体" w:hAnsi="宋体"/>
                <w:color w:val="auto"/>
                <w:szCs w:val="21"/>
                <w:highlight w:val="none"/>
              </w:rPr>
            </w:pPr>
            <w:r>
              <w:rPr>
                <w:rFonts w:hint="eastAsia" w:ascii="宋体" w:hAnsi="宋体"/>
                <w:color w:val="auto"/>
                <w:szCs w:val="21"/>
                <w:highlight w:val="none"/>
              </w:rPr>
              <w:t>拟投入的配套设备及技术力量</w:t>
            </w:r>
          </w:p>
          <w:p w14:paraId="3F92A7D8">
            <w:pPr>
              <w:keepNext w:val="0"/>
              <w:keepLines w:val="0"/>
              <w:pageBreakBefore w:val="0"/>
              <w:kinsoku/>
              <w:wordWrap/>
              <w:overflowPunct/>
              <w:topLinePunct w:val="0"/>
              <w:autoSpaceDE/>
              <w:autoSpaceDN/>
              <w:bidi w:val="0"/>
              <w:snapToGrid/>
              <w:spacing w:line="440" w:lineRule="exact"/>
              <w:jc w:val="center"/>
              <w:rPr>
                <w:rFonts w:ascii="宋体" w:hAnsi="宋体"/>
                <w:color w:val="auto"/>
                <w:szCs w:val="21"/>
                <w:highlight w:val="none"/>
              </w:rPr>
            </w:pPr>
            <w:r>
              <w:rPr>
                <w:rFonts w:hint="eastAsia" w:ascii="宋体" w:hAnsi="宋体"/>
                <w:color w:val="auto"/>
                <w:szCs w:val="21"/>
                <w:highlight w:val="none"/>
              </w:rPr>
              <w:t>（满分2</w:t>
            </w:r>
            <w:r>
              <w:rPr>
                <w:rFonts w:hint="eastAsia" w:ascii="宋体" w:hAnsi="宋体"/>
                <w:color w:val="auto"/>
                <w:szCs w:val="21"/>
                <w:highlight w:val="none"/>
                <w:lang w:val="en-US" w:eastAsia="zh-CN"/>
              </w:rPr>
              <w:t>0</w:t>
            </w:r>
            <w:r>
              <w:rPr>
                <w:rFonts w:hint="eastAsia" w:ascii="宋体" w:hAnsi="宋体"/>
                <w:color w:val="auto"/>
                <w:szCs w:val="21"/>
                <w:highlight w:val="none"/>
              </w:rPr>
              <w:t>分）</w:t>
            </w:r>
          </w:p>
        </w:tc>
        <w:tc>
          <w:tcPr>
            <w:tcW w:w="6646" w:type="dxa"/>
            <w:tcBorders>
              <w:top w:val="single" w:color="auto" w:sz="4" w:space="0"/>
              <w:left w:val="nil"/>
              <w:bottom w:val="single" w:color="auto" w:sz="4" w:space="0"/>
              <w:right w:val="single" w:color="auto" w:sz="4" w:space="0"/>
            </w:tcBorders>
            <w:noWrap w:val="0"/>
            <w:vAlign w:val="center"/>
          </w:tcPr>
          <w:p w14:paraId="42462C24">
            <w:pPr>
              <w:keepNext w:val="0"/>
              <w:keepLines w:val="0"/>
              <w:pageBreakBefore w:val="0"/>
              <w:kinsoku/>
              <w:wordWrap/>
              <w:overflowPunct/>
              <w:topLinePunct w:val="0"/>
              <w:autoSpaceDE/>
              <w:autoSpaceDN/>
              <w:bidi w:val="0"/>
              <w:snapToGrid/>
              <w:spacing w:line="440" w:lineRule="exact"/>
              <w:ind w:left="1" w:firstLine="417" w:firstLineChars="199"/>
              <w:rPr>
                <w:rFonts w:hint="eastAsia" w:ascii="宋体" w:hAnsi="宋体" w:cs="Calibri"/>
                <w:color w:val="auto"/>
                <w:szCs w:val="21"/>
                <w:highlight w:val="none"/>
              </w:rPr>
            </w:pPr>
            <w:r>
              <w:rPr>
                <w:rFonts w:hint="eastAsia" w:ascii="宋体" w:hAnsi="宋体" w:cs="Calibri"/>
                <w:color w:val="auto"/>
                <w:szCs w:val="21"/>
                <w:highlight w:val="none"/>
              </w:rPr>
              <w:t>由评委根据供应商提供的</w:t>
            </w:r>
            <w:r>
              <w:rPr>
                <w:rFonts w:hint="eastAsia" w:ascii="宋体" w:hAnsi="宋体" w:cs="Calibri"/>
                <w:color w:val="auto"/>
                <w:szCs w:val="21"/>
                <w:highlight w:val="none"/>
                <w:lang w:val="en-US" w:eastAsia="zh-CN"/>
              </w:rPr>
              <w:t>材料</w:t>
            </w:r>
            <w:r>
              <w:rPr>
                <w:rFonts w:hint="eastAsia" w:ascii="宋体" w:hAnsi="宋体" w:cs="Calibri"/>
                <w:color w:val="auto"/>
                <w:szCs w:val="21"/>
                <w:highlight w:val="none"/>
              </w:rPr>
              <w:t>，根据以下标准自行独立打分，达不到一档的不得分：</w:t>
            </w:r>
          </w:p>
          <w:p w14:paraId="411F7665">
            <w:pPr>
              <w:keepNext w:val="0"/>
              <w:keepLines w:val="0"/>
              <w:pageBreakBefore w:val="0"/>
              <w:kinsoku/>
              <w:wordWrap/>
              <w:overflowPunct/>
              <w:topLinePunct w:val="0"/>
              <w:autoSpaceDE/>
              <w:autoSpaceDN/>
              <w:bidi w:val="0"/>
              <w:snapToGrid/>
              <w:spacing w:line="440" w:lineRule="exact"/>
              <w:ind w:firstLine="420" w:firstLineChars="200"/>
              <w:rPr>
                <w:rFonts w:hint="eastAsia" w:ascii="宋体" w:hAnsi="宋体"/>
                <w:color w:val="auto"/>
                <w:szCs w:val="21"/>
                <w:highlight w:val="none"/>
              </w:rPr>
            </w:pPr>
            <w:r>
              <w:rPr>
                <w:rFonts w:ascii="宋体" w:hAnsi="宋体"/>
                <w:color w:val="auto"/>
                <w:szCs w:val="21"/>
                <w:highlight w:val="none"/>
              </w:rPr>
              <w:t>一档</w:t>
            </w:r>
            <w:r>
              <w:rPr>
                <w:rFonts w:hint="eastAsia" w:ascii="宋体" w:hAnsi="宋体"/>
                <w:color w:val="auto"/>
                <w:szCs w:val="21"/>
                <w:highlight w:val="none"/>
              </w:rPr>
              <w:t>（</w:t>
            </w:r>
            <w:r>
              <w:rPr>
                <w:rFonts w:hint="eastAsia" w:ascii="宋体" w:hAnsi="宋体"/>
                <w:color w:val="auto"/>
                <w:szCs w:val="21"/>
                <w:highlight w:val="none"/>
                <w:lang w:val="en-US" w:eastAsia="zh-CN"/>
              </w:rPr>
              <w:t>10</w:t>
            </w:r>
            <w:r>
              <w:rPr>
                <w:rFonts w:hint="eastAsia" w:ascii="宋体" w:hAnsi="宋体"/>
                <w:color w:val="auto"/>
                <w:szCs w:val="21"/>
                <w:highlight w:val="none"/>
              </w:rPr>
              <w:t>分）：</w:t>
            </w:r>
            <w:r>
              <w:rPr>
                <w:rFonts w:ascii="宋体" w:hAnsi="宋体"/>
                <w:color w:val="auto"/>
                <w:szCs w:val="21"/>
                <w:highlight w:val="none"/>
              </w:rPr>
              <w:t>各供应商拟</w:t>
            </w:r>
            <w:r>
              <w:rPr>
                <w:rFonts w:hint="eastAsia" w:ascii="宋体" w:hAnsi="宋体"/>
                <w:color w:val="auto"/>
                <w:szCs w:val="21"/>
                <w:highlight w:val="none"/>
              </w:rPr>
              <w:t>投入</w:t>
            </w:r>
            <w:r>
              <w:rPr>
                <w:rFonts w:ascii="宋体" w:hAnsi="宋体"/>
                <w:b/>
                <w:bCs/>
                <w:color w:val="auto"/>
                <w:szCs w:val="21"/>
                <w:highlight w:val="none"/>
              </w:rPr>
              <w:t>配备</w:t>
            </w:r>
            <w:r>
              <w:rPr>
                <w:rFonts w:hint="eastAsia" w:ascii="宋体" w:hAnsi="宋体"/>
                <w:b/>
                <w:bCs/>
                <w:color w:val="auto"/>
                <w:szCs w:val="21"/>
                <w:highlight w:val="none"/>
              </w:rPr>
              <w:t>设备</w:t>
            </w:r>
            <w:r>
              <w:rPr>
                <w:rFonts w:hint="eastAsia" w:ascii="宋体" w:hAnsi="宋体"/>
                <w:color w:val="auto"/>
                <w:szCs w:val="21"/>
                <w:highlight w:val="none"/>
              </w:rPr>
              <w:t>有：</w:t>
            </w:r>
            <w:r>
              <w:rPr>
                <w:rFonts w:hint="eastAsia" w:ascii="宋体" w:hAnsi="宋体"/>
                <w:color w:val="auto"/>
                <w:szCs w:val="21"/>
                <w:highlight w:val="none"/>
                <w:lang w:val="en-US" w:eastAsia="zh-CN"/>
              </w:rPr>
              <w:t>重金属快速检测、</w:t>
            </w:r>
            <w:r>
              <w:rPr>
                <w:rFonts w:hint="eastAsia" w:ascii="宋体" w:hAnsi="宋体"/>
                <w:color w:val="auto"/>
                <w:szCs w:val="21"/>
                <w:highlight w:val="none"/>
              </w:rPr>
              <w:t>ICP-MS</w:t>
            </w:r>
            <w:r>
              <w:rPr>
                <w:rFonts w:hint="eastAsia" w:ascii="宋体" w:hAnsi="宋体"/>
                <w:color w:val="auto"/>
                <w:szCs w:val="21"/>
                <w:highlight w:val="none"/>
                <w:lang w:val="en-US" w:eastAsia="zh-CN"/>
              </w:rPr>
              <w:t>等有关</w:t>
            </w:r>
            <w:r>
              <w:rPr>
                <w:rFonts w:ascii="宋体" w:hAnsi="宋体"/>
                <w:color w:val="auto"/>
                <w:szCs w:val="21"/>
                <w:highlight w:val="none"/>
              </w:rPr>
              <w:t>设备</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各1台</w:t>
            </w:r>
            <w:r>
              <w:rPr>
                <w:rFonts w:hint="eastAsia" w:ascii="宋体" w:hAnsi="宋体"/>
                <w:color w:val="auto"/>
                <w:szCs w:val="21"/>
                <w:highlight w:val="none"/>
                <w:lang w:eastAsia="zh-CN"/>
              </w:rPr>
              <w:t>）</w:t>
            </w:r>
            <w:r>
              <w:rPr>
                <w:rFonts w:ascii="宋体" w:hAnsi="宋体"/>
                <w:color w:val="auto"/>
                <w:szCs w:val="21"/>
                <w:highlight w:val="none"/>
              </w:rPr>
              <w:t>、冷藏、数据处理与分析、信息传输的设施和设备等。</w:t>
            </w:r>
            <w:r>
              <w:rPr>
                <w:rFonts w:hint="eastAsia" w:ascii="宋体" w:hAnsi="宋体"/>
                <w:color w:val="auto"/>
                <w:szCs w:val="21"/>
                <w:highlight w:val="none"/>
              </w:rPr>
              <w:t>拟安排的</w:t>
            </w:r>
            <w:r>
              <w:rPr>
                <w:rFonts w:ascii="宋体" w:hAnsi="宋体"/>
                <w:b/>
                <w:bCs/>
                <w:color w:val="auto"/>
                <w:szCs w:val="21"/>
                <w:highlight w:val="none"/>
              </w:rPr>
              <w:t>项目</w:t>
            </w:r>
            <w:r>
              <w:rPr>
                <w:rFonts w:hint="eastAsia" w:ascii="宋体" w:hAnsi="宋体"/>
                <w:b/>
                <w:bCs/>
                <w:color w:val="auto"/>
                <w:szCs w:val="21"/>
                <w:highlight w:val="none"/>
              </w:rPr>
              <w:t>工作</w:t>
            </w:r>
            <w:r>
              <w:rPr>
                <w:rFonts w:ascii="宋体" w:hAnsi="宋体"/>
                <w:b/>
                <w:bCs/>
                <w:color w:val="auto"/>
                <w:szCs w:val="21"/>
                <w:highlight w:val="none"/>
              </w:rPr>
              <w:t>组</w:t>
            </w:r>
            <w:r>
              <w:rPr>
                <w:rFonts w:ascii="宋体" w:hAnsi="宋体"/>
                <w:color w:val="auto"/>
                <w:szCs w:val="21"/>
                <w:highlight w:val="none"/>
              </w:rPr>
              <w:t>有管理人员、检测人员和质控人员，</w:t>
            </w:r>
            <w:r>
              <w:rPr>
                <w:rFonts w:hint="eastAsia" w:ascii="宋体" w:hAnsi="宋体"/>
                <w:color w:val="auto"/>
                <w:szCs w:val="21"/>
                <w:highlight w:val="none"/>
              </w:rPr>
              <w:t>技术负责人</w:t>
            </w:r>
            <w:r>
              <w:rPr>
                <w:rFonts w:ascii="宋体" w:hAnsi="宋体"/>
                <w:color w:val="auto"/>
                <w:szCs w:val="21"/>
                <w:highlight w:val="none"/>
              </w:rPr>
              <w:t>是相关专业</w:t>
            </w:r>
            <w:r>
              <w:rPr>
                <w:rFonts w:hint="eastAsia" w:ascii="宋体" w:hAnsi="宋体"/>
                <w:color w:val="auto"/>
                <w:szCs w:val="21"/>
                <w:highlight w:val="none"/>
              </w:rPr>
              <w:t>副</w:t>
            </w:r>
            <w:r>
              <w:rPr>
                <w:rFonts w:ascii="宋体" w:hAnsi="宋体"/>
                <w:color w:val="auto"/>
                <w:szCs w:val="21"/>
                <w:highlight w:val="none"/>
              </w:rPr>
              <w:t>高级</w:t>
            </w:r>
            <w:r>
              <w:rPr>
                <w:rFonts w:hint="eastAsia" w:ascii="宋体" w:hAnsi="宋体"/>
                <w:color w:val="auto"/>
                <w:szCs w:val="21"/>
                <w:highlight w:val="none"/>
              </w:rPr>
              <w:t>及以上</w:t>
            </w:r>
            <w:r>
              <w:rPr>
                <w:rFonts w:ascii="宋体" w:hAnsi="宋体"/>
                <w:color w:val="auto"/>
                <w:szCs w:val="21"/>
                <w:highlight w:val="none"/>
              </w:rPr>
              <w:t>职称</w:t>
            </w:r>
            <w:r>
              <w:rPr>
                <w:rFonts w:hint="eastAsia" w:ascii="宋体" w:hAnsi="宋体"/>
                <w:color w:val="auto"/>
                <w:szCs w:val="21"/>
                <w:highlight w:val="none"/>
              </w:rPr>
              <w:t>人员</w:t>
            </w:r>
            <w:r>
              <w:rPr>
                <w:rFonts w:ascii="宋体" w:hAnsi="宋体"/>
                <w:color w:val="auto"/>
                <w:szCs w:val="21"/>
                <w:highlight w:val="none"/>
              </w:rPr>
              <w:t>，</w:t>
            </w:r>
            <w:r>
              <w:rPr>
                <w:rFonts w:hint="eastAsia" w:ascii="宋体" w:hAnsi="宋体"/>
                <w:color w:val="auto"/>
                <w:szCs w:val="21"/>
                <w:highlight w:val="none"/>
              </w:rPr>
              <w:t>质控负责人</w:t>
            </w:r>
            <w:r>
              <w:rPr>
                <w:rFonts w:ascii="宋体" w:hAnsi="宋体"/>
                <w:color w:val="auto"/>
                <w:szCs w:val="21"/>
                <w:highlight w:val="none"/>
              </w:rPr>
              <w:t>是相关专业</w:t>
            </w:r>
            <w:r>
              <w:rPr>
                <w:rFonts w:hint="eastAsia" w:ascii="宋体" w:hAnsi="宋体"/>
                <w:color w:val="auto"/>
                <w:szCs w:val="21"/>
                <w:highlight w:val="none"/>
              </w:rPr>
              <w:t>中</w:t>
            </w:r>
            <w:r>
              <w:rPr>
                <w:rFonts w:ascii="宋体" w:hAnsi="宋体"/>
                <w:color w:val="auto"/>
                <w:szCs w:val="21"/>
                <w:highlight w:val="none"/>
              </w:rPr>
              <w:t>级</w:t>
            </w:r>
            <w:r>
              <w:rPr>
                <w:rFonts w:hint="eastAsia" w:ascii="宋体" w:hAnsi="宋体"/>
                <w:color w:val="auto"/>
                <w:szCs w:val="21"/>
                <w:highlight w:val="none"/>
              </w:rPr>
              <w:t>及以上</w:t>
            </w:r>
            <w:r>
              <w:rPr>
                <w:rFonts w:ascii="宋体" w:hAnsi="宋体"/>
                <w:color w:val="auto"/>
                <w:szCs w:val="21"/>
                <w:highlight w:val="none"/>
              </w:rPr>
              <w:t>职称</w:t>
            </w:r>
            <w:r>
              <w:rPr>
                <w:rFonts w:hint="eastAsia" w:ascii="宋体" w:hAnsi="宋体"/>
                <w:color w:val="auto"/>
                <w:szCs w:val="21"/>
                <w:highlight w:val="none"/>
              </w:rPr>
              <w:t>人员，</w:t>
            </w:r>
            <w:r>
              <w:rPr>
                <w:rFonts w:ascii="宋体" w:hAnsi="宋体"/>
                <w:color w:val="auto"/>
                <w:szCs w:val="21"/>
                <w:highlight w:val="none"/>
              </w:rPr>
              <w:t>检测和质控人员具备2年或以上检测经验</w:t>
            </w:r>
            <w:r>
              <w:rPr>
                <w:rFonts w:hint="eastAsia" w:ascii="宋体" w:hAnsi="宋体"/>
                <w:color w:val="auto"/>
                <w:szCs w:val="21"/>
                <w:highlight w:val="none"/>
              </w:rPr>
              <w:t>，至少有1位初级或</w:t>
            </w:r>
            <w:r>
              <w:rPr>
                <w:rFonts w:hint="eastAsia" w:ascii="宋体" w:hAnsi="宋体"/>
                <w:color w:val="auto"/>
                <w:szCs w:val="21"/>
                <w:highlight w:val="none"/>
                <w:lang w:val="en-US" w:eastAsia="zh-CN"/>
              </w:rPr>
              <w:t>初级</w:t>
            </w:r>
            <w:r>
              <w:rPr>
                <w:rFonts w:hint="eastAsia" w:ascii="宋体" w:hAnsi="宋体"/>
                <w:color w:val="auto"/>
                <w:szCs w:val="21"/>
                <w:highlight w:val="none"/>
              </w:rPr>
              <w:t>以上职称</w:t>
            </w:r>
            <w:r>
              <w:rPr>
                <w:rFonts w:hint="eastAsia" w:ascii="宋体" w:hAnsi="宋体"/>
                <w:color w:val="auto"/>
                <w:szCs w:val="21"/>
                <w:highlight w:val="none"/>
                <w:lang w:eastAsia="zh-CN"/>
              </w:rPr>
              <w:t>、</w:t>
            </w:r>
            <w:r>
              <w:rPr>
                <w:rFonts w:hint="eastAsia" w:ascii="宋体" w:hAnsi="宋体"/>
                <w:color w:val="auto"/>
                <w:szCs w:val="21"/>
                <w:highlight w:val="none"/>
              </w:rPr>
              <w:t>学士学位及以上学历的成员。</w:t>
            </w:r>
            <w:r>
              <w:rPr>
                <w:rFonts w:ascii="宋体" w:hAnsi="宋体"/>
                <w:color w:val="auto"/>
                <w:szCs w:val="21"/>
                <w:highlight w:val="none"/>
              </w:rPr>
              <w:t>投标人</w:t>
            </w:r>
            <w:r>
              <w:rPr>
                <w:rFonts w:hint="eastAsia" w:ascii="宋体" w:hAnsi="宋体"/>
                <w:color w:val="auto"/>
                <w:szCs w:val="21"/>
                <w:highlight w:val="none"/>
              </w:rPr>
              <w:t>承诺拟投入的采样交通工具不少于1辆。承诺拟投入的项目工作组采样人员至少有1位与本项目实施专业（如农业、环保、食品、化学、生物、测绘等专业领域）相关的初级或以上职称或学士学位及以上学历的成员且具备1年及以上的采样经验经历。</w:t>
            </w:r>
          </w:p>
          <w:p w14:paraId="14DFE13C">
            <w:pPr>
              <w:keepNext w:val="0"/>
              <w:keepLines w:val="0"/>
              <w:pageBreakBefore w:val="0"/>
              <w:kinsoku/>
              <w:wordWrap/>
              <w:overflowPunct/>
              <w:topLinePunct w:val="0"/>
              <w:autoSpaceDE/>
              <w:autoSpaceDN/>
              <w:bidi w:val="0"/>
              <w:snapToGrid/>
              <w:spacing w:line="440" w:lineRule="exact"/>
              <w:ind w:firstLine="420" w:firstLineChars="200"/>
              <w:rPr>
                <w:rFonts w:ascii="宋体" w:hAnsi="宋体"/>
                <w:color w:val="auto"/>
                <w:szCs w:val="21"/>
                <w:highlight w:val="none"/>
              </w:rPr>
            </w:pPr>
            <w:r>
              <w:rPr>
                <w:rFonts w:ascii="宋体" w:hAnsi="宋体"/>
                <w:color w:val="auto"/>
                <w:szCs w:val="21"/>
                <w:highlight w:val="none"/>
              </w:rPr>
              <w:t>二档</w:t>
            </w:r>
            <w:r>
              <w:rPr>
                <w:rFonts w:hint="eastAsia" w:ascii="宋体" w:hAnsi="宋体"/>
                <w:color w:val="auto"/>
                <w:szCs w:val="21"/>
                <w:highlight w:val="none"/>
              </w:rPr>
              <w:t>（1</w:t>
            </w:r>
            <w:r>
              <w:rPr>
                <w:rFonts w:hint="eastAsia" w:ascii="宋体" w:hAnsi="宋体"/>
                <w:color w:val="auto"/>
                <w:szCs w:val="21"/>
                <w:highlight w:val="none"/>
                <w:lang w:val="en-US" w:eastAsia="zh-CN"/>
              </w:rPr>
              <w:t>5</w:t>
            </w:r>
            <w:r>
              <w:rPr>
                <w:rFonts w:hint="eastAsia" w:ascii="宋体" w:hAnsi="宋体"/>
                <w:color w:val="auto"/>
                <w:szCs w:val="21"/>
                <w:highlight w:val="none"/>
              </w:rPr>
              <w:t>分）：</w:t>
            </w:r>
            <w:r>
              <w:rPr>
                <w:rFonts w:ascii="宋体" w:hAnsi="宋体"/>
                <w:color w:val="auto"/>
                <w:szCs w:val="21"/>
                <w:highlight w:val="none"/>
              </w:rPr>
              <w:t>各供应商拟配备的</w:t>
            </w:r>
            <w:r>
              <w:rPr>
                <w:rFonts w:hint="eastAsia" w:ascii="宋体" w:hAnsi="宋体"/>
                <w:color w:val="auto"/>
                <w:szCs w:val="21"/>
                <w:highlight w:val="none"/>
              </w:rPr>
              <w:t>设备有：</w:t>
            </w:r>
            <w:r>
              <w:rPr>
                <w:rFonts w:hint="eastAsia" w:ascii="宋体" w:hAnsi="宋体"/>
                <w:color w:val="auto"/>
                <w:szCs w:val="21"/>
                <w:highlight w:val="none"/>
                <w:lang w:val="en-US" w:eastAsia="zh-CN"/>
              </w:rPr>
              <w:t>重金属快速检测、</w:t>
            </w:r>
            <w:r>
              <w:rPr>
                <w:rFonts w:hint="eastAsia" w:ascii="宋体" w:hAnsi="宋体"/>
                <w:color w:val="auto"/>
                <w:szCs w:val="21"/>
                <w:highlight w:val="none"/>
              </w:rPr>
              <w:t>ICP-MS</w:t>
            </w:r>
            <w:r>
              <w:rPr>
                <w:rFonts w:hint="eastAsia" w:ascii="宋体" w:hAnsi="宋体"/>
                <w:color w:val="auto"/>
                <w:szCs w:val="21"/>
                <w:highlight w:val="none"/>
                <w:lang w:val="en-US" w:eastAsia="zh-CN"/>
              </w:rPr>
              <w:t>等有关</w:t>
            </w:r>
            <w:r>
              <w:rPr>
                <w:rFonts w:ascii="宋体" w:hAnsi="宋体"/>
                <w:color w:val="auto"/>
                <w:szCs w:val="21"/>
                <w:highlight w:val="none"/>
              </w:rPr>
              <w:t>设备</w:t>
            </w:r>
            <w:r>
              <w:rPr>
                <w:rFonts w:hint="eastAsia" w:ascii="宋体" w:hAnsi="宋体"/>
                <w:color w:val="auto"/>
                <w:szCs w:val="21"/>
                <w:highlight w:val="none"/>
              </w:rPr>
              <w:t>（</w:t>
            </w:r>
            <w:r>
              <w:rPr>
                <w:rFonts w:hint="eastAsia" w:ascii="宋体" w:hAnsi="宋体"/>
                <w:color w:val="auto"/>
                <w:szCs w:val="21"/>
                <w:highlight w:val="none"/>
                <w:lang w:val="en-US" w:eastAsia="zh-CN"/>
              </w:rPr>
              <w:t>各</w:t>
            </w:r>
            <w:r>
              <w:rPr>
                <w:rFonts w:hint="eastAsia" w:ascii="宋体" w:hAnsi="宋体"/>
                <w:color w:val="auto"/>
                <w:szCs w:val="21"/>
                <w:highlight w:val="none"/>
              </w:rPr>
              <w:t>2台）</w:t>
            </w:r>
            <w:r>
              <w:rPr>
                <w:rFonts w:ascii="宋体" w:hAnsi="宋体"/>
                <w:color w:val="auto"/>
                <w:szCs w:val="21"/>
                <w:highlight w:val="none"/>
              </w:rPr>
              <w:t>、冷藏、数据处理与分析、信息传输的设施和设备等。</w:t>
            </w:r>
            <w:r>
              <w:rPr>
                <w:rFonts w:hint="eastAsia" w:ascii="宋体" w:hAnsi="宋体"/>
                <w:color w:val="auto"/>
                <w:szCs w:val="21"/>
                <w:highlight w:val="none"/>
              </w:rPr>
              <w:t>拟安排的项目工作组有管理人员、检测人员和质控人员，技术负责人是相关专业副高级及以上职称人员，质控负责人是相关专业中级及以上职称人员，检测和质控人员具备3年或以上检测经验，至少有3位初级或</w:t>
            </w:r>
            <w:r>
              <w:rPr>
                <w:rFonts w:hint="eastAsia" w:ascii="宋体" w:hAnsi="宋体"/>
                <w:color w:val="auto"/>
                <w:szCs w:val="21"/>
                <w:highlight w:val="none"/>
                <w:lang w:val="en-US" w:eastAsia="zh-CN"/>
              </w:rPr>
              <w:t>初级</w:t>
            </w:r>
            <w:r>
              <w:rPr>
                <w:rFonts w:hint="eastAsia" w:ascii="宋体" w:hAnsi="宋体"/>
                <w:color w:val="auto"/>
                <w:szCs w:val="21"/>
                <w:highlight w:val="none"/>
              </w:rPr>
              <w:t>以上职称</w:t>
            </w:r>
            <w:r>
              <w:rPr>
                <w:rFonts w:hint="eastAsia" w:ascii="宋体" w:hAnsi="宋体"/>
                <w:color w:val="auto"/>
                <w:szCs w:val="21"/>
                <w:highlight w:val="none"/>
                <w:lang w:eastAsia="zh-CN"/>
              </w:rPr>
              <w:t>、</w:t>
            </w:r>
            <w:r>
              <w:rPr>
                <w:rFonts w:hint="eastAsia" w:ascii="宋体" w:hAnsi="宋体"/>
                <w:color w:val="auto"/>
                <w:szCs w:val="21"/>
                <w:highlight w:val="none"/>
              </w:rPr>
              <w:t>学士学位及以上学历的成员。</w:t>
            </w:r>
            <w:r>
              <w:rPr>
                <w:rFonts w:ascii="宋体" w:hAnsi="宋体"/>
                <w:color w:val="auto"/>
                <w:szCs w:val="21"/>
                <w:highlight w:val="none"/>
              </w:rPr>
              <w:t>投标人承诺拟</w:t>
            </w:r>
            <w:r>
              <w:rPr>
                <w:rFonts w:hint="eastAsia" w:ascii="宋体" w:hAnsi="宋体"/>
                <w:color w:val="auto"/>
                <w:szCs w:val="21"/>
                <w:highlight w:val="none"/>
              </w:rPr>
              <w:t>投入的样品存放及流转场所共计面积不小于</w:t>
            </w:r>
            <w:r>
              <w:rPr>
                <w:rFonts w:hint="eastAsia" w:ascii="宋体" w:hAnsi="宋体"/>
                <w:color w:val="auto"/>
                <w:szCs w:val="21"/>
                <w:highlight w:val="none"/>
                <w:lang w:val="en-US" w:eastAsia="zh-CN"/>
              </w:rPr>
              <w:t>3</w:t>
            </w:r>
            <w:r>
              <w:rPr>
                <w:rFonts w:hint="eastAsia" w:ascii="宋体" w:hAnsi="宋体"/>
                <w:color w:val="auto"/>
                <w:szCs w:val="21"/>
                <w:highlight w:val="none"/>
              </w:rPr>
              <w:t>0平方米，承诺拟投入的采样交通工具不少于2辆。承诺拟投入的项目工作组采样人员至少有2位与本项目实施专业（如农业、环保、食品、化学、生物、测绘等专业领域）相关的初级或以上职称或学士学位及以上学历的成员且具备1年及以上的采样经验经历。</w:t>
            </w:r>
          </w:p>
          <w:p w14:paraId="66BBF3FA">
            <w:pPr>
              <w:keepNext w:val="0"/>
              <w:keepLines w:val="0"/>
              <w:pageBreakBefore w:val="0"/>
              <w:kinsoku/>
              <w:wordWrap/>
              <w:overflowPunct/>
              <w:topLinePunct w:val="0"/>
              <w:autoSpaceDE/>
              <w:autoSpaceDN/>
              <w:bidi w:val="0"/>
              <w:snapToGrid/>
              <w:spacing w:line="440" w:lineRule="exact"/>
              <w:ind w:firstLine="420" w:firstLineChars="200"/>
              <w:rPr>
                <w:rFonts w:ascii="宋体" w:hAnsi="宋体"/>
                <w:color w:val="auto"/>
                <w:szCs w:val="21"/>
                <w:highlight w:val="none"/>
              </w:rPr>
            </w:pPr>
            <w:r>
              <w:rPr>
                <w:rFonts w:ascii="宋体" w:hAnsi="宋体"/>
                <w:color w:val="auto"/>
                <w:szCs w:val="21"/>
                <w:highlight w:val="none"/>
              </w:rPr>
              <w:t>三档</w:t>
            </w:r>
            <w:r>
              <w:rPr>
                <w:rFonts w:hint="eastAsia" w:ascii="宋体" w:hAnsi="宋体"/>
                <w:color w:val="auto"/>
                <w:szCs w:val="21"/>
                <w:highlight w:val="none"/>
              </w:rPr>
              <w:t>（</w:t>
            </w:r>
            <w:r>
              <w:rPr>
                <w:rFonts w:hint="eastAsia" w:ascii="宋体" w:hAnsi="宋体"/>
                <w:color w:val="auto"/>
                <w:szCs w:val="21"/>
                <w:highlight w:val="none"/>
                <w:lang w:val="en-US" w:eastAsia="zh-CN"/>
              </w:rPr>
              <w:t>20</w:t>
            </w:r>
            <w:r>
              <w:rPr>
                <w:rFonts w:hint="eastAsia" w:ascii="宋体" w:hAnsi="宋体"/>
                <w:color w:val="auto"/>
                <w:szCs w:val="21"/>
                <w:highlight w:val="none"/>
              </w:rPr>
              <w:t>分）：</w:t>
            </w:r>
            <w:r>
              <w:rPr>
                <w:rFonts w:ascii="宋体" w:hAnsi="宋体"/>
                <w:color w:val="auto"/>
                <w:szCs w:val="21"/>
                <w:highlight w:val="none"/>
              </w:rPr>
              <w:t>各供应商拟配备的</w:t>
            </w:r>
            <w:r>
              <w:rPr>
                <w:rFonts w:hint="eastAsia" w:ascii="宋体" w:hAnsi="宋体"/>
                <w:color w:val="auto"/>
                <w:szCs w:val="21"/>
                <w:highlight w:val="none"/>
              </w:rPr>
              <w:t>设备有：</w:t>
            </w:r>
            <w:r>
              <w:rPr>
                <w:rFonts w:hint="eastAsia" w:ascii="宋体" w:hAnsi="宋体"/>
                <w:color w:val="auto"/>
                <w:szCs w:val="21"/>
                <w:highlight w:val="none"/>
                <w:lang w:val="en-US" w:eastAsia="zh-CN"/>
              </w:rPr>
              <w:t>重金属快速检测、</w:t>
            </w:r>
            <w:r>
              <w:rPr>
                <w:rFonts w:hint="eastAsia" w:ascii="宋体" w:hAnsi="宋体"/>
                <w:color w:val="auto"/>
                <w:szCs w:val="21"/>
                <w:highlight w:val="none"/>
              </w:rPr>
              <w:t>ICP-MS</w:t>
            </w:r>
            <w:r>
              <w:rPr>
                <w:rFonts w:hint="eastAsia" w:ascii="宋体" w:hAnsi="宋体"/>
                <w:color w:val="auto"/>
                <w:szCs w:val="21"/>
                <w:highlight w:val="none"/>
                <w:lang w:val="en-US" w:eastAsia="zh-CN"/>
              </w:rPr>
              <w:t>等有关</w:t>
            </w:r>
            <w:r>
              <w:rPr>
                <w:rFonts w:ascii="宋体" w:hAnsi="宋体"/>
                <w:color w:val="auto"/>
                <w:szCs w:val="21"/>
                <w:highlight w:val="none"/>
              </w:rPr>
              <w:t>设备</w:t>
            </w:r>
            <w:r>
              <w:rPr>
                <w:rFonts w:hint="eastAsia" w:ascii="宋体" w:hAnsi="宋体"/>
                <w:color w:val="auto"/>
                <w:szCs w:val="21"/>
                <w:highlight w:val="none"/>
              </w:rPr>
              <w:t>（</w:t>
            </w:r>
            <w:r>
              <w:rPr>
                <w:rFonts w:hint="eastAsia" w:ascii="宋体" w:hAnsi="宋体"/>
                <w:color w:val="auto"/>
                <w:szCs w:val="21"/>
                <w:highlight w:val="none"/>
                <w:lang w:val="en-US" w:eastAsia="zh-CN"/>
              </w:rPr>
              <w:t>各3</w:t>
            </w:r>
            <w:r>
              <w:rPr>
                <w:rFonts w:hint="eastAsia" w:ascii="宋体" w:hAnsi="宋体"/>
                <w:color w:val="auto"/>
                <w:szCs w:val="21"/>
                <w:highlight w:val="none"/>
              </w:rPr>
              <w:t>台</w:t>
            </w:r>
            <w:r>
              <w:rPr>
                <w:rFonts w:hint="eastAsia" w:ascii="宋体" w:hAnsi="宋体"/>
                <w:color w:val="auto"/>
                <w:szCs w:val="21"/>
                <w:highlight w:val="none"/>
                <w:lang w:val="en-US" w:eastAsia="zh-CN"/>
              </w:rPr>
              <w:t>或以上</w:t>
            </w:r>
            <w:r>
              <w:rPr>
                <w:rFonts w:hint="eastAsia" w:ascii="宋体" w:hAnsi="宋体"/>
                <w:color w:val="auto"/>
                <w:szCs w:val="21"/>
                <w:highlight w:val="none"/>
              </w:rPr>
              <w:t>）</w:t>
            </w:r>
            <w:r>
              <w:rPr>
                <w:rFonts w:ascii="宋体" w:hAnsi="宋体"/>
                <w:color w:val="auto"/>
                <w:szCs w:val="21"/>
                <w:highlight w:val="none"/>
              </w:rPr>
              <w:t>、冷藏、数据处理与分析、信息传输的设施和设备等。</w:t>
            </w:r>
            <w:r>
              <w:rPr>
                <w:rFonts w:hint="eastAsia" w:ascii="宋体" w:hAnsi="宋体"/>
                <w:color w:val="auto"/>
                <w:szCs w:val="21"/>
                <w:highlight w:val="none"/>
              </w:rPr>
              <w:t>拟安排的项目工作组有管理人员、检测人员和质控人员，技术负责人是相关专业</w:t>
            </w:r>
            <w:r>
              <w:rPr>
                <w:rFonts w:hint="eastAsia" w:ascii="宋体" w:hAnsi="宋体"/>
                <w:color w:val="auto"/>
                <w:szCs w:val="21"/>
                <w:highlight w:val="none"/>
                <w:lang w:val="en-US" w:eastAsia="zh-CN"/>
              </w:rPr>
              <w:t>副</w:t>
            </w:r>
            <w:r>
              <w:rPr>
                <w:rFonts w:hint="eastAsia" w:ascii="宋体" w:hAnsi="宋体"/>
                <w:color w:val="auto"/>
                <w:szCs w:val="21"/>
                <w:highlight w:val="none"/>
              </w:rPr>
              <w:t>高级及以上职称人员，质控负责人是相关专业</w:t>
            </w:r>
            <w:r>
              <w:rPr>
                <w:rFonts w:hint="eastAsia" w:ascii="宋体" w:hAnsi="宋体"/>
                <w:color w:val="auto"/>
                <w:szCs w:val="21"/>
                <w:highlight w:val="none"/>
                <w:lang w:val="en-US" w:eastAsia="zh-CN"/>
              </w:rPr>
              <w:t>副</w:t>
            </w:r>
            <w:r>
              <w:rPr>
                <w:rFonts w:hint="eastAsia" w:ascii="宋体" w:hAnsi="宋体"/>
                <w:color w:val="auto"/>
                <w:szCs w:val="21"/>
                <w:highlight w:val="none"/>
              </w:rPr>
              <w:t>高级及以上职称人员，检测和质控人员具备3年或以上检测经验，至少有5位初级或</w:t>
            </w:r>
            <w:r>
              <w:rPr>
                <w:rFonts w:hint="eastAsia" w:ascii="宋体" w:hAnsi="宋体"/>
                <w:color w:val="auto"/>
                <w:szCs w:val="21"/>
                <w:highlight w:val="none"/>
                <w:lang w:val="en-US" w:eastAsia="zh-CN"/>
              </w:rPr>
              <w:t>初级</w:t>
            </w:r>
            <w:r>
              <w:rPr>
                <w:rFonts w:hint="eastAsia" w:ascii="宋体" w:hAnsi="宋体"/>
                <w:color w:val="auto"/>
                <w:szCs w:val="21"/>
                <w:highlight w:val="none"/>
              </w:rPr>
              <w:t>职称</w:t>
            </w:r>
            <w:r>
              <w:rPr>
                <w:rFonts w:hint="eastAsia" w:ascii="宋体" w:hAnsi="宋体"/>
                <w:color w:val="auto"/>
                <w:szCs w:val="21"/>
                <w:highlight w:val="none"/>
                <w:lang w:eastAsia="zh-CN"/>
              </w:rPr>
              <w:t>、</w:t>
            </w:r>
            <w:r>
              <w:rPr>
                <w:rFonts w:hint="eastAsia" w:ascii="宋体" w:hAnsi="宋体"/>
                <w:color w:val="auto"/>
                <w:szCs w:val="21"/>
                <w:highlight w:val="none"/>
              </w:rPr>
              <w:t>学士学位及以上学历的成员。</w:t>
            </w:r>
            <w:r>
              <w:rPr>
                <w:rFonts w:ascii="宋体" w:hAnsi="宋体"/>
                <w:color w:val="auto"/>
                <w:szCs w:val="21"/>
                <w:highlight w:val="none"/>
              </w:rPr>
              <w:t>投标人承诺拟</w:t>
            </w:r>
            <w:r>
              <w:rPr>
                <w:rFonts w:hint="eastAsia" w:ascii="宋体" w:hAnsi="宋体"/>
                <w:color w:val="auto"/>
                <w:szCs w:val="21"/>
                <w:highlight w:val="none"/>
              </w:rPr>
              <w:t>投入的样品存放及流转场所共计面积不小于</w:t>
            </w:r>
            <w:r>
              <w:rPr>
                <w:rFonts w:hint="eastAsia" w:ascii="宋体" w:hAnsi="宋体"/>
                <w:color w:val="auto"/>
                <w:szCs w:val="21"/>
                <w:highlight w:val="none"/>
                <w:lang w:val="en-US" w:eastAsia="zh-CN"/>
              </w:rPr>
              <w:t>5</w:t>
            </w:r>
            <w:r>
              <w:rPr>
                <w:rFonts w:hint="eastAsia" w:ascii="宋体" w:hAnsi="宋体"/>
                <w:color w:val="auto"/>
                <w:szCs w:val="21"/>
                <w:highlight w:val="none"/>
              </w:rPr>
              <w:t>0平方米，承诺拟投入的采样交通工具不少于3辆。承诺拟投入的项目工作组采样人员至少有3位与本项目实施相关专业（如农业、环保、食品、化学、生物、测绘等专业领域）的初级职称或学士学位及以上学历的成员且具备1年及以上的采样经验经历。</w:t>
            </w:r>
          </w:p>
          <w:p w14:paraId="6050C9A1">
            <w:pPr>
              <w:keepNext w:val="0"/>
              <w:keepLines w:val="0"/>
              <w:pageBreakBefore w:val="0"/>
              <w:kinsoku/>
              <w:wordWrap/>
              <w:overflowPunct/>
              <w:topLinePunct w:val="0"/>
              <w:autoSpaceDE/>
              <w:autoSpaceDN/>
              <w:bidi w:val="0"/>
              <w:snapToGrid/>
              <w:spacing w:line="440" w:lineRule="exact"/>
              <w:ind w:firstLine="420" w:firstLineChars="200"/>
              <w:rPr>
                <w:rFonts w:ascii="宋体" w:hAnsi="宋体"/>
                <w:color w:val="auto"/>
                <w:szCs w:val="21"/>
                <w:highlight w:val="none"/>
              </w:rPr>
            </w:pPr>
            <w:r>
              <w:rPr>
                <w:rFonts w:ascii="宋体" w:hAnsi="宋体"/>
                <w:color w:val="auto"/>
                <w:szCs w:val="21"/>
                <w:highlight w:val="none"/>
              </w:rPr>
              <w:t>注：</w:t>
            </w:r>
          </w:p>
          <w:p w14:paraId="7A818C65">
            <w:pPr>
              <w:keepNext w:val="0"/>
              <w:keepLines w:val="0"/>
              <w:pageBreakBefore w:val="0"/>
              <w:kinsoku/>
              <w:wordWrap/>
              <w:overflowPunct/>
              <w:topLinePunct w:val="0"/>
              <w:autoSpaceDE/>
              <w:autoSpaceDN/>
              <w:bidi w:val="0"/>
              <w:snapToGrid/>
              <w:spacing w:line="440" w:lineRule="exact"/>
              <w:ind w:firstLine="420" w:firstLineChars="200"/>
              <w:rPr>
                <w:rFonts w:ascii="宋体" w:hAnsi="宋体"/>
                <w:color w:val="auto"/>
                <w:szCs w:val="21"/>
                <w:highlight w:val="none"/>
              </w:rPr>
            </w:pPr>
            <w:r>
              <w:rPr>
                <w:rFonts w:ascii="宋体" w:hAnsi="宋体"/>
                <w:color w:val="auto"/>
                <w:szCs w:val="21"/>
                <w:highlight w:val="none"/>
              </w:rPr>
              <w:t>（1）投标文件中需提供检测设备、冷藏、数据处理与分析、信息传输的设施和设备一览表、仪器设备购置发票复印件</w:t>
            </w:r>
            <w:r>
              <w:rPr>
                <w:rFonts w:hint="eastAsia" w:ascii="宋体" w:hAnsi="宋体"/>
                <w:b/>
                <w:bCs/>
                <w:color w:val="auto"/>
                <w:szCs w:val="21"/>
                <w:highlight w:val="none"/>
                <w:lang w:val="en-US" w:eastAsia="zh-CN"/>
              </w:rPr>
              <w:t>或</w:t>
            </w:r>
            <w:r>
              <w:rPr>
                <w:rFonts w:ascii="宋体" w:hAnsi="宋体"/>
                <w:color w:val="auto"/>
                <w:szCs w:val="21"/>
                <w:highlight w:val="none"/>
              </w:rPr>
              <w:t>仪器设备</w:t>
            </w:r>
            <w:r>
              <w:rPr>
                <w:rFonts w:hint="eastAsia" w:ascii="宋体" w:hAnsi="宋体"/>
                <w:color w:val="auto"/>
                <w:szCs w:val="21"/>
                <w:highlight w:val="none"/>
              </w:rPr>
              <w:t>租赁协议</w:t>
            </w:r>
            <w:r>
              <w:rPr>
                <w:rFonts w:ascii="宋体" w:hAnsi="宋体"/>
                <w:b/>
                <w:bCs/>
                <w:color w:val="auto"/>
                <w:szCs w:val="21"/>
                <w:highlight w:val="none"/>
              </w:rPr>
              <w:t>或者</w:t>
            </w:r>
            <w:r>
              <w:rPr>
                <w:rFonts w:ascii="宋体" w:hAnsi="宋体"/>
                <w:color w:val="auto"/>
                <w:szCs w:val="21"/>
                <w:highlight w:val="none"/>
              </w:rPr>
              <w:t>有效的计量检定</w:t>
            </w:r>
            <w:r>
              <w:rPr>
                <w:rFonts w:ascii="宋体" w:hAnsi="宋体"/>
                <w:b/>
                <w:bCs/>
                <w:color w:val="auto"/>
                <w:szCs w:val="21"/>
                <w:highlight w:val="none"/>
              </w:rPr>
              <w:t>或</w:t>
            </w:r>
            <w:r>
              <w:rPr>
                <w:rFonts w:ascii="宋体" w:hAnsi="宋体"/>
                <w:color w:val="auto"/>
                <w:szCs w:val="21"/>
                <w:highlight w:val="none"/>
              </w:rPr>
              <w:t>校准证书复印件，并加盖投标人单位公章，不按照要求提供或未提供有效证明材料不得分，原件备查。</w:t>
            </w:r>
          </w:p>
          <w:p w14:paraId="5414BF61">
            <w:pPr>
              <w:keepNext w:val="0"/>
              <w:keepLines w:val="0"/>
              <w:pageBreakBefore w:val="0"/>
              <w:kinsoku/>
              <w:wordWrap/>
              <w:overflowPunct/>
              <w:topLinePunct w:val="0"/>
              <w:autoSpaceDE/>
              <w:autoSpaceDN/>
              <w:bidi w:val="0"/>
              <w:snapToGrid/>
              <w:spacing w:line="440" w:lineRule="exact"/>
              <w:ind w:firstLine="420" w:firstLineChars="200"/>
              <w:rPr>
                <w:rFonts w:ascii="宋体" w:hAnsi="宋体"/>
                <w:color w:val="auto"/>
                <w:szCs w:val="21"/>
                <w:highlight w:val="none"/>
              </w:rPr>
            </w:pPr>
            <w:r>
              <w:rPr>
                <w:rFonts w:ascii="宋体" w:hAnsi="宋体"/>
                <w:color w:val="auto"/>
                <w:szCs w:val="21"/>
                <w:highlight w:val="none"/>
              </w:rPr>
              <w:t>（2）投标文件中需提供</w:t>
            </w:r>
            <w:r>
              <w:rPr>
                <w:rFonts w:hint="eastAsia" w:ascii="宋体" w:hAnsi="宋体"/>
                <w:color w:val="auto"/>
                <w:szCs w:val="21"/>
                <w:highlight w:val="none"/>
              </w:rPr>
              <w:t>投标人拟</w:t>
            </w:r>
            <w:r>
              <w:rPr>
                <w:rFonts w:ascii="宋体" w:hAnsi="宋体"/>
                <w:color w:val="auto"/>
                <w:szCs w:val="21"/>
                <w:highlight w:val="none"/>
              </w:rPr>
              <w:t>投入本项目从事检验</w:t>
            </w:r>
            <w:r>
              <w:rPr>
                <w:rFonts w:hint="eastAsia" w:ascii="宋体" w:hAnsi="宋体"/>
                <w:color w:val="auto"/>
                <w:szCs w:val="21"/>
                <w:highlight w:val="none"/>
                <w:lang w:eastAsia="zh-CN"/>
              </w:rPr>
              <w:t>、采样</w:t>
            </w:r>
            <w:r>
              <w:rPr>
                <w:rFonts w:ascii="宋体" w:hAnsi="宋体"/>
                <w:color w:val="auto"/>
                <w:szCs w:val="21"/>
                <w:highlight w:val="none"/>
              </w:rPr>
              <w:t>的人员</w:t>
            </w:r>
            <w:r>
              <w:rPr>
                <w:rFonts w:hint="eastAsia" w:ascii="宋体" w:hAnsi="宋体"/>
                <w:color w:val="auto"/>
                <w:szCs w:val="21"/>
                <w:highlight w:val="none"/>
              </w:rPr>
              <w:t>与其签订的有效劳动合同</w:t>
            </w:r>
            <w:r>
              <w:rPr>
                <w:rFonts w:hint="eastAsia" w:ascii="宋体" w:hAnsi="宋体"/>
                <w:b/>
                <w:bCs/>
                <w:color w:val="auto"/>
                <w:szCs w:val="21"/>
                <w:highlight w:val="none"/>
              </w:rPr>
              <w:t>或</w:t>
            </w:r>
            <w:r>
              <w:rPr>
                <w:rFonts w:hint="eastAsia" w:ascii="宋体" w:hAnsi="宋体"/>
                <w:color w:val="auto"/>
                <w:szCs w:val="21"/>
                <w:highlight w:val="none"/>
              </w:rPr>
              <w:t>提供</w:t>
            </w:r>
            <w:r>
              <w:rPr>
                <w:rFonts w:hint="eastAsia" w:ascii="宋体" w:hAnsi="宋体"/>
                <w:color w:val="auto"/>
                <w:szCs w:val="21"/>
                <w:highlight w:val="none"/>
                <w:lang w:val="en-US" w:eastAsia="zh-CN"/>
              </w:rPr>
              <w:t>2026年1月至7月任意</w:t>
            </w:r>
            <w:r>
              <w:rPr>
                <w:rFonts w:hint="eastAsia" w:ascii="宋体" w:hAnsi="宋体"/>
                <w:color w:val="auto"/>
                <w:szCs w:val="21"/>
                <w:highlight w:val="none"/>
              </w:rPr>
              <w:t>1个月社保缴纳证明</w:t>
            </w:r>
            <w:r>
              <w:rPr>
                <w:rFonts w:ascii="宋体" w:hAnsi="宋体"/>
                <w:color w:val="auto"/>
                <w:szCs w:val="21"/>
                <w:highlight w:val="none"/>
              </w:rPr>
              <w:t>、学位证书复印件、职称证书复印件。</w:t>
            </w:r>
          </w:p>
          <w:p w14:paraId="479E640A">
            <w:pPr>
              <w:keepNext w:val="0"/>
              <w:keepLines w:val="0"/>
              <w:pageBreakBefore w:val="0"/>
              <w:kinsoku/>
              <w:wordWrap/>
              <w:overflowPunct/>
              <w:topLinePunct w:val="0"/>
              <w:autoSpaceDE/>
              <w:autoSpaceDN/>
              <w:bidi w:val="0"/>
              <w:snapToGrid/>
              <w:spacing w:line="440" w:lineRule="exact"/>
              <w:ind w:firstLine="420" w:firstLineChars="200"/>
              <w:rPr>
                <w:rFonts w:hint="eastAsia" w:ascii="宋体" w:hAnsi="宋体"/>
                <w:color w:val="auto"/>
                <w:szCs w:val="21"/>
                <w:highlight w:val="none"/>
              </w:rPr>
            </w:pPr>
            <w:r>
              <w:rPr>
                <w:rFonts w:ascii="宋体" w:hAnsi="宋体"/>
                <w:color w:val="auto"/>
                <w:szCs w:val="21"/>
                <w:highlight w:val="none"/>
              </w:rPr>
              <w:t>（3）投标人</w:t>
            </w:r>
            <w:r>
              <w:rPr>
                <w:rFonts w:hint="eastAsia" w:ascii="宋体" w:hAnsi="宋体"/>
                <w:color w:val="auto"/>
                <w:szCs w:val="21"/>
                <w:highlight w:val="none"/>
                <w:lang w:eastAsia="zh-CN"/>
              </w:rPr>
              <w:t>在投标文件中需提供</w:t>
            </w:r>
            <w:r>
              <w:rPr>
                <w:rFonts w:ascii="宋体" w:hAnsi="宋体"/>
                <w:color w:val="auto"/>
                <w:szCs w:val="21"/>
                <w:highlight w:val="none"/>
              </w:rPr>
              <w:t>拟投入人员工作年限证明承诺书复印件（格式自拟），用于证明工作年限。</w:t>
            </w:r>
          </w:p>
          <w:p w14:paraId="3AF2984C">
            <w:pPr>
              <w:keepNext w:val="0"/>
              <w:keepLines w:val="0"/>
              <w:pageBreakBefore w:val="0"/>
              <w:kinsoku/>
              <w:wordWrap/>
              <w:overflowPunct/>
              <w:topLinePunct w:val="0"/>
              <w:autoSpaceDE/>
              <w:autoSpaceDN/>
              <w:bidi w:val="0"/>
              <w:snapToGrid/>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投标文件中需提供</w:t>
            </w:r>
            <w:r>
              <w:rPr>
                <w:rFonts w:hint="eastAsia" w:ascii="宋体" w:hAnsi="宋体"/>
                <w:color w:val="auto"/>
                <w:szCs w:val="21"/>
                <w:highlight w:val="none"/>
              </w:rPr>
              <w:t>拟投入的样品存放场所和交通工具</w:t>
            </w:r>
            <w:r>
              <w:rPr>
                <w:rFonts w:ascii="宋体" w:hAnsi="宋体"/>
                <w:color w:val="auto"/>
                <w:szCs w:val="21"/>
                <w:highlight w:val="none"/>
              </w:rPr>
              <w:t>一览表</w:t>
            </w:r>
            <w:r>
              <w:rPr>
                <w:rFonts w:hint="eastAsia" w:ascii="宋体" w:hAnsi="宋体"/>
                <w:color w:val="auto"/>
                <w:szCs w:val="21"/>
                <w:highlight w:val="none"/>
              </w:rPr>
              <w:t>，样品存放场所提供场所照片和房产证或租赁合同、交通工具需提供</w:t>
            </w:r>
            <w:r>
              <w:rPr>
                <w:rFonts w:ascii="宋体" w:hAnsi="宋体"/>
                <w:color w:val="auto"/>
                <w:szCs w:val="21"/>
                <w:highlight w:val="none"/>
              </w:rPr>
              <w:t>有效行驶证复印件并加盖投标人公章，不按照要求提供或未提供有效证明材料不得分。</w:t>
            </w:r>
          </w:p>
          <w:p w14:paraId="092E7104">
            <w:pPr>
              <w:keepNext w:val="0"/>
              <w:keepLines w:val="0"/>
              <w:pageBreakBefore w:val="0"/>
              <w:kinsoku/>
              <w:wordWrap/>
              <w:overflowPunct/>
              <w:topLinePunct w:val="0"/>
              <w:autoSpaceDE/>
              <w:autoSpaceDN/>
              <w:bidi w:val="0"/>
              <w:snapToGrid/>
              <w:spacing w:line="440" w:lineRule="exact"/>
              <w:ind w:firstLine="420" w:firstLineChars="200"/>
              <w:rPr>
                <w:rFonts w:ascii="宋体" w:hAnsi="宋体"/>
                <w:color w:val="auto"/>
                <w:szCs w:val="21"/>
                <w:highlight w:val="none"/>
              </w:rPr>
            </w:pPr>
            <w:r>
              <w:rPr>
                <w:rFonts w:ascii="宋体" w:hAnsi="宋体"/>
                <w:color w:val="auto"/>
                <w:szCs w:val="21"/>
                <w:highlight w:val="none"/>
              </w:rPr>
              <w:t>以上材料加盖投标人单位公章，不按照要求提供或未提供有效证明材料不得分，原件备查。</w:t>
            </w:r>
          </w:p>
        </w:tc>
        <w:tc>
          <w:tcPr>
            <w:tcW w:w="838" w:type="dxa"/>
            <w:tcBorders>
              <w:top w:val="single" w:color="auto" w:sz="4" w:space="0"/>
              <w:left w:val="nil"/>
              <w:bottom w:val="single" w:color="auto" w:sz="4" w:space="0"/>
              <w:right w:val="single" w:color="auto" w:sz="4" w:space="0"/>
            </w:tcBorders>
            <w:noWrap w:val="0"/>
            <w:vAlign w:val="center"/>
          </w:tcPr>
          <w:p w14:paraId="3A465B9A">
            <w:pPr>
              <w:keepNext w:val="0"/>
              <w:keepLines w:val="0"/>
              <w:pageBreakBefore w:val="0"/>
              <w:kinsoku/>
              <w:wordWrap/>
              <w:overflowPunct/>
              <w:topLinePunct w:val="0"/>
              <w:autoSpaceDE/>
              <w:autoSpaceDN/>
              <w:bidi w:val="0"/>
              <w:snapToGrid/>
              <w:spacing w:line="440" w:lineRule="exact"/>
              <w:jc w:val="center"/>
              <w:rPr>
                <w:rFonts w:ascii="宋体" w:hAnsi="宋体"/>
                <w:color w:val="auto"/>
                <w:kern w:val="0"/>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分</w:t>
            </w:r>
          </w:p>
        </w:tc>
      </w:tr>
      <w:tr w14:paraId="7C04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5D98B099">
            <w:pPr>
              <w:keepNext w:val="0"/>
              <w:keepLines w:val="0"/>
              <w:pageBreakBefore w:val="0"/>
              <w:kinsoku/>
              <w:wordWrap/>
              <w:overflowPunct/>
              <w:topLinePunct w:val="0"/>
              <w:autoSpaceDE/>
              <w:autoSpaceDN/>
              <w:bidi w:val="0"/>
              <w:adjustRightInd w:val="0"/>
              <w:snapToGrid/>
              <w:spacing w:line="440" w:lineRule="exact"/>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2.3</w:t>
            </w:r>
          </w:p>
        </w:tc>
        <w:tc>
          <w:tcPr>
            <w:tcW w:w="1480" w:type="dxa"/>
            <w:tcBorders>
              <w:top w:val="single" w:color="auto" w:sz="4" w:space="0"/>
              <w:left w:val="nil"/>
              <w:bottom w:val="single" w:color="auto" w:sz="4" w:space="0"/>
              <w:right w:val="single" w:color="auto" w:sz="4" w:space="0"/>
            </w:tcBorders>
            <w:noWrap w:val="0"/>
            <w:vAlign w:val="center"/>
          </w:tcPr>
          <w:p w14:paraId="0DB03927">
            <w:pPr>
              <w:keepNext w:val="0"/>
              <w:keepLines w:val="0"/>
              <w:pageBreakBefore w:val="0"/>
              <w:kinsoku/>
              <w:wordWrap/>
              <w:overflowPunct/>
              <w:topLinePunct w:val="0"/>
              <w:autoSpaceDE/>
              <w:autoSpaceDN/>
              <w:bidi w:val="0"/>
              <w:snapToGrid/>
              <w:spacing w:line="440" w:lineRule="exact"/>
              <w:jc w:val="center"/>
              <w:rPr>
                <w:rFonts w:ascii="宋体" w:hAnsi="宋体"/>
                <w:color w:val="auto"/>
                <w:szCs w:val="21"/>
                <w:highlight w:val="none"/>
              </w:rPr>
            </w:pPr>
            <w:r>
              <w:rPr>
                <w:rFonts w:hint="eastAsia" w:ascii="宋体" w:hAnsi="宋体" w:cs="宋体"/>
                <w:color w:val="auto"/>
                <w:szCs w:val="21"/>
                <w:highlight w:val="none"/>
              </w:rPr>
              <w:t>服务承诺及应急保障方案</w:t>
            </w:r>
            <w:r>
              <w:rPr>
                <w:rFonts w:hint="eastAsia" w:ascii="宋体" w:hAnsi="宋体"/>
                <w:color w:val="auto"/>
                <w:szCs w:val="21"/>
                <w:highlight w:val="none"/>
              </w:rPr>
              <w:t>（满分1</w:t>
            </w:r>
            <w:r>
              <w:rPr>
                <w:rFonts w:hint="eastAsia" w:ascii="宋体" w:hAnsi="宋体"/>
                <w:color w:val="auto"/>
                <w:szCs w:val="21"/>
                <w:highlight w:val="none"/>
                <w:lang w:val="en-US" w:eastAsia="zh-CN"/>
              </w:rPr>
              <w:t>0</w:t>
            </w:r>
            <w:r>
              <w:rPr>
                <w:rFonts w:hint="eastAsia" w:ascii="宋体" w:hAnsi="宋体"/>
                <w:color w:val="auto"/>
                <w:szCs w:val="21"/>
                <w:highlight w:val="none"/>
              </w:rPr>
              <w:t>分）</w:t>
            </w:r>
          </w:p>
        </w:tc>
        <w:tc>
          <w:tcPr>
            <w:tcW w:w="6646" w:type="dxa"/>
            <w:tcBorders>
              <w:top w:val="single" w:color="auto" w:sz="4" w:space="0"/>
              <w:left w:val="nil"/>
              <w:bottom w:val="single" w:color="auto" w:sz="4" w:space="0"/>
              <w:right w:val="single" w:color="auto" w:sz="4" w:space="0"/>
            </w:tcBorders>
            <w:noWrap w:val="0"/>
            <w:vAlign w:val="center"/>
          </w:tcPr>
          <w:p w14:paraId="66502D50">
            <w:pPr>
              <w:keepNext w:val="0"/>
              <w:keepLines w:val="0"/>
              <w:pageBreakBefore w:val="0"/>
              <w:kinsoku/>
              <w:wordWrap/>
              <w:overflowPunct/>
              <w:topLinePunct w:val="0"/>
              <w:autoSpaceDE/>
              <w:autoSpaceDN/>
              <w:bidi w:val="0"/>
              <w:snapToGrid/>
              <w:spacing w:line="440" w:lineRule="exact"/>
              <w:ind w:left="1" w:firstLine="422" w:firstLineChars="201"/>
              <w:rPr>
                <w:rFonts w:ascii="宋体" w:hAnsi="宋体"/>
                <w:color w:val="auto"/>
                <w:szCs w:val="21"/>
                <w:highlight w:val="none"/>
              </w:rPr>
            </w:pPr>
            <w:r>
              <w:rPr>
                <w:rFonts w:hint="eastAsia" w:ascii="宋体" w:hAnsi="宋体" w:cs="Calibri"/>
                <w:color w:val="auto"/>
                <w:szCs w:val="21"/>
                <w:highlight w:val="none"/>
              </w:rPr>
              <w:t>由评委根据供应商提供的</w:t>
            </w:r>
            <w:r>
              <w:rPr>
                <w:rFonts w:hint="eastAsia" w:ascii="宋体" w:hAnsi="宋体" w:cs="宋体"/>
                <w:color w:val="auto"/>
                <w:szCs w:val="21"/>
                <w:highlight w:val="none"/>
              </w:rPr>
              <w:t>服务承诺及应急保障方案</w:t>
            </w:r>
            <w:r>
              <w:rPr>
                <w:rFonts w:hint="eastAsia" w:ascii="宋体" w:hAnsi="宋体" w:cs="Calibri"/>
                <w:color w:val="auto"/>
                <w:szCs w:val="21"/>
                <w:highlight w:val="none"/>
              </w:rPr>
              <w:t>，根据以下标准自行独立打分，达不到一档的不得分：</w:t>
            </w:r>
            <w:r>
              <w:rPr>
                <w:rFonts w:hint="eastAsia" w:ascii="宋体" w:hAnsi="宋体"/>
                <w:color w:val="auto"/>
                <w:szCs w:val="21"/>
                <w:highlight w:val="none"/>
              </w:rPr>
              <w:t xml:space="preserve"> </w:t>
            </w:r>
          </w:p>
          <w:p w14:paraId="5415A545">
            <w:pPr>
              <w:keepNext w:val="0"/>
              <w:keepLines w:val="0"/>
              <w:pageBreakBefore w:val="0"/>
              <w:kinsoku/>
              <w:wordWrap/>
              <w:overflowPunct/>
              <w:topLinePunct w:val="0"/>
              <w:autoSpaceDE/>
              <w:autoSpaceDN/>
              <w:bidi w:val="0"/>
              <w:snapToGrid/>
              <w:spacing w:line="440" w:lineRule="exact"/>
              <w:ind w:firstLine="411" w:firstLineChars="196"/>
              <w:rPr>
                <w:rFonts w:ascii="宋体" w:hAnsi="宋体"/>
                <w:color w:val="auto"/>
                <w:szCs w:val="21"/>
                <w:highlight w:val="none"/>
              </w:rPr>
            </w:pPr>
            <w:r>
              <w:rPr>
                <w:rFonts w:hint="eastAsia" w:ascii="宋体" w:hAnsi="宋体"/>
                <w:color w:val="auto"/>
                <w:szCs w:val="21"/>
                <w:highlight w:val="none"/>
              </w:rPr>
              <w:t>一档（</w:t>
            </w:r>
            <w:r>
              <w:rPr>
                <w:rFonts w:hint="eastAsia" w:ascii="宋体" w:hAnsi="宋体"/>
                <w:color w:val="auto"/>
                <w:szCs w:val="21"/>
                <w:highlight w:val="none"/>
                <w:lang w:val="en-US" w:eastAsia="zh-CN"/>
              </w:rPr>
              <w:t>3</w:t>
            </w:r>
            <w:r>
              <w:rPr>
                <w:rFonts w:hint="eastAsia" w:ascii="宋体" w:hAnsi="宋体"/>
                <w:color w:val="auto"/>
                <w:szCs w:val="21"/>
                <w:highlight w:val="none"/>
              </w:rPr>
              <w:t>分）：</w:t>
            </w:r>
            <w:r>
              <w:rPr>
                <w:rFonts w:hint="eastAsia" w:ascii="宋体" w:hAnsi="宋体" w:cs="宋体"/>
                <w:bCs/>
                <w:color w:val="auto"/>
                <w:szCs w:val="21"/>
                <w:highlight w:val="none"/>
              </w:rPr>
              <w:t>服务承诺简单，基本满足采购项目要求；具有简单的应急保障方案及措施，能保证服务项目的正常已经以及服务承诺的实现。</w:t>
            </w:r>
            <w:r>
              <w:rPr>
                <w:rFonts w:hint="eastAsia" w:ascii="宋体" w:hAnsi="宋体"/>
                <w:color w:val="auto"/>
                <w:szCs w:val="21"/>
                <w:highlight w:val="none"/>
              </w:rPr>
              <w:t>后续的服务中承诺到达现场处理问题时间为10个小时以内。</w:t>
            </w:r>
          </w:p>
          <w:p w14:paraId="35573F90">
            <w:pPr>
              <w:keepNext w:val="0"/>
              <w:keepLines w:val="0"/>
              <w:pageBreakBefore w:val="0"/>
              <w:kinsoku/>
              <w:wordWrap/>
              <w:overflowPunct/>
              <w:topLinePunct w:val="0"/>
              <w:autoSpaceDE/>
              <w:autoSpaceDN/>
              <w:bidi w:val="0"/>
              <w:snapToGrid/>
              <w:spacing w:line="440" w:lineRule="exact"/>
              <w:ind w:left="1" w:firstLine="422" w:firstLineChars="201"/>
              <w:rPr>
                <w:rFonts w:ascii="宋体" w:hAnsi="宋体"/>
                <w:color w:val="auto"/>
                <w:szCs w:val="21"/>
                <w:highlight w:val="none"/>
              </w:rPr>
            </w:pPr>
            <w:r>
              <w:rPr>
                <w:rFonts w:hint="eastAsia" w:ascii="宋体" w:hAnsi="宋体"/>
                <w:color w:val="auto"/>
                <w:szCs w:val="21"/>
                <w:highlight w:val="none"/>
              </w:rPr>
              <w:t>二档（</w:t>
            </w:r>
            <w:r>
              <w:rPr>
                <w:rFonts w:hint="eastAsia" w:ascii="宋体" w:hAnsi="宋体"/>
                <w:color w:val="auto"/>
                <w:szCs w:val="21"/>
                <w:highlight w:val="none"/>
                <w:lang w:val="en-US" w:eastAsia="zh-CN"/>
              </w:rPr>
              <w:t>7</w:t>
            </w:r>
            <w:r>
              <w:rPr>
                <w:rFonts w:hint="eastAsia" w:ascii="宋体" w:hAnsi="宋体"/>
                <w:color w:val="auto"/>
                <w:szCs w:val="21"/>
                <w:highlight w:val="none"/>
              </w:rPr>
              <w:t>分）：</w:t>
            </w:r>
            <w:r>
              <w:rPr>
                <w:rFonts w:hint="eastAsia" w:ascii="宋体" w:hAnsi="宋体" w:cs="宋体"/>
                <w:bCs/>
                <w:color w:val="auto"/>
                <w:szCs w:val="21"/>
                <w:highlight w:val="none"/>
              </w:rPr>
              <w:t>服务承诺详细，具有针对性，完全满足采购项目要求；具有详细的应急保障方案及措施，能确保证服务项目的正常运行以及服务承诺的实现。</w:t>
            </w:r>
            <w:r>
              <w:rPr>
                <w:rFonts w:hint="eastAsia" w:ascii="宋体" w:hAnsi="宋体"/>
                <w:color w:val="auto"/>
                <w:szCs w:val="21"/>
                <w:highlight w:val="none"/>
              </w:rPr>
              <w:t>后续的服务中承诺到达现场处理问题时间为8个小时以内。</w:t>
            </w:r>
          </w:p>
          <w:p w14:paraId="0A32CCBA">
            <w:pPr>
              <w:keepNext w:val="0"/>
              <w:keepLines w:val="0"/>
              <w:pageBreakBefore w:val="0"/>
              <w:kinsoku/>
              <w:wordWrap/>
              <w:overflowPunct/>
              <w:topLinePunct w:val="0"/>
              <w:autoSpaceDE/>
              <w:autoSpaceDN/>
              <w:bidi w:val="0"/>
              <w:snapToGrid/>
              <w:spacing w:line="440" w:lineRule="exact"/>
              <w:ind w:firstLine="457" w:firstLineChars="218"/>
              <w:rPr>
                <w:rFonts w:ascii="宋体" w:hAnsi="宋体"/>
                <w:color w:val="auto"/>
                <w:szCs w:val="21"/>
                <w:highlight w:val="none"/>
              </w:rPr>
            </w:pPr>
            <w:r>
              <w:rPr>
                <w:rFonts w:hint="eastAsia" w:ascii="宋体" w:hAnsi="宋体"/>
                <w:color w:val="auto"/>
                <w:szCs w:val="21"/>
                <w:highlight w:val="none"/>
              </w:rPr>
              <w:t>三档（1</w:t>
            </w:r>
            <w:r>
              <w:rPr>
                <w:rFonts w:hint="eastAsia" w:ascii="宋体" w:hAnsi="宋体"/>
                <w:color w:val="auto"/>
                <w:szCs w:val="21"/>
                <w:highlight w:val="none"/>
                <w:lang w:val="en-US" w:eastAsia="zh-CN"/>
              </w:rPr>
              <w:t>0</w:t>
            </w:r>
            <w:r>
              <w:rPr>
                <w:rFonts w:hint="eastAsia" w:ascii="宋体" w:hAnsi="宋体"/>
                <w:color w:val="auto"/>
                <w:szCs w:val="21"/>
                <w:highlight w:val="none"/>
              </w:rPr>
              <w:t>分）：</w:t>
            </w:r>
            <w:r>
              <w:rPr>
                <w:rFonts w:hint="eastAsia" w:ascii="宋体" w:hAnsi="宋体" w:cs="宋体"/>
                <w:bCs/>
                <w:color w:val="auto"/>
                <w:szCs w:val="21"/>
                <w:highlight w:val="none"/>
              </w:rPr>
              <w:t>服务承诺完整、明确，完全满足采</w:t>
            </w:r>
            <w:r>
              <w:rPr>
                <w:rFonts w:hint="eastAsia" w:ascii="宋体" w:hAnsi="宋体" w:cs="宋体"/>
                <w:color w:val="auto"/>
                <w:szCs w:val="21"/>
                <w:highlight w:val="none"/>
              </w:rPr>
              <w:t>购项目要求且</w:t>
            </w:r>
            <w:r>
              <w:rPr>
                <w:rFonts w:hint="eastAsia" w:ascii="宋体" w:hAnsi="宋体"/>
                <w:color w:val="auto"/>
                <w:szCs w:val="21"/>
                <w:highlight w:val="none"/>
              </w:rPr>
              <w:t>承诺的</w:t>
            </w:r>
            <w:r>
              <w:rPr>
                <w:rFonts w:hint="eastAsia" w:ascii="宋体" w:hAnsi="宋体" w:cs="宋体"/>
                <w:color w:val="auto"/>
                <w:szCs w:val="21"/>
                <w:highlight w:val="none"/>
              </w:rPr>
              <w:t>检测效果优于采购文件要求。具有详细的应急保障方案，保障措施到位，能很好应对各种不可预计的突发情况，能有力的保证服务项目的正常运行以及服务承诺的实现。</w:t>
            </w:r>
            <w:r>
              <w:rPr>
                <w:rFonts w:hint="eastAsia" w:ascii="宋体" w:hAnsi="宋体"/>
                <w:color w:val="auto"/>
                <w:szCs w:val="21"/>
                <w:highlight w:val="none"/>
              </w:rPr>
              <w:t>后续的服务中承诺到达现场处理问题时间为6个小时以内，并承诺提供 7天×24小时服务热线。</w:t>
            </w:r>
          </w:p>
        </w:tc>
        <w:tc>
          <w:tcPr>
            <w:tcW w:w="838" w:type="dxa"/>
            <w:tcBorders>
              <w:top w:val="single" w:color="auto" w:sz="4" w:space="0"/>
              <w:left w:val="nil"/>
              <w:bottom w:val="single" w:color="auto" w:sz="4" w:space="0"/>
              <w:right w:val="single" w:color="auto" w:sz="4" w:space="0"/>
            </w:tcBorders>
            <w:noWrap w:val="0"/>
            <w:vAlign w:val="center"/>
          </w:tcPr>
          <w:p w14:paraId="3EC0AB6F">
            <w:pPr>
              <w:keepNext w:val="0"/>
              <w:keepLines w:val="0"/>
              <w:pageBreakBefore w:val="0"/>
              <w:kinsoku/>
              <w:wordWrap/>
              <w:overflowPunct/>
              <w:topLinePunct w:val="0"/>
              <w:autoSpaceDE/>
              <w:autoSpaceDN/>
              <w:bidi w:val="0"/>
              <w:snapToGrid/>
              <w:spacing w:line="440" w:lineRule="exact"/>
              <w:jc w:val="center"/>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0</w:t>
            </w:r>
            <w:r>
              <w:rPr>
                <w:rFonts w:hint="eastAsia" w:ascii="宋体" w:hAnsi="宋体"/>
                <w:color w:val="auto"/>
                <w:szCs w:val="21"/>
                <w:highlight w:val="none"/>
              </w:rPr>
              <w:t>分</w:t>
            </w:r>
          </w:p>
        </w:tc>
      </w:tr>
      <w:tr w14:paraId="43C1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34B2DFBD">
            <w:pPr>
              <w:keepNext w:val="0"/>
              <w:keepLines w:val="0"/>
              <w:pageBreakBefore w:val="0"/>
              <w:kinsoku/>
              <w:wordWrap/>
              <w:overflowPunct/>
              <w:topLinePunct w:val="0"/>
              <w:autoSpaceDE/>
              <w:autoSpaceDN/>
              <w:bidi w:val="0"/>
              <w:adjustRightInd w:val="0"/>
              <w:snapToGrid/>
              <w:spacing w:line="440" w:lineRule="exact"/>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2.4</w:t>
            </w:r>
          </w:p>
        </w:tc>
        <w:tc>
          <w:tcPr>
            <w:tcW w:w="1480" w:type="dxa"/>
            <w:tcBorders>
              <w:top w:val="single" w:color="auto" w:sz="4" w:space="0"/>
              <w:left w:val="nil"/>
              <w:bottom w:val="single" w:color="auto" w:sz="4" w:space="0"/>
              <w:right w:val="single" w:color="auto" w:sz="4" w:space="0"/>
            </w:tcBorders>
            <w:noWrap w:val="0"/>
            <w:vAlign w:val="center"/>
          </w:tcPr>
          <w:p w14:paraId="3E0D9622">
            <w:pPr>
              <w:keepNext w:val="0"/>
              <w:keepLines w:val="0"/>
              <w:pageBreakBefore w:val="0"/>
              <w:kinsoku/>
              <w:wordWrap/>
              <w:overflowPunct/>
              <w:topLinePunct w:val="0"/>
              <w:autoSpaceDE/>
              <w:autoSpaceDN/>
              <w:bidi w:val="0"/>
              <w:snapToGrid/>
              <w:spacing w:line="44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保密措施</w:t>
            </w:r>
          </w:p>
          <w:p w14:paraId="00F6BCD4">
            <w:pPr>
              <w:keepNext w:val="0"/>
              <w:keepLines w:val="0"/>
              <w:pageBreakBefore w:val="0"/>
              <w:kinsoku/>
              <w:wordWrap/>
              <w:overflowPunct/>
              <w:topLinePunct w:val="0"/>
              <w:autoSpaceDE/>
              <w:autoSpaceDN/>
              <w:bidi w:val="0"/>
              <w:snapToGrid/>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6646" w:type="dxa"/>
            <w:tcBorders>
              <w:top w:val="single" w:color="auto" w:sz="4" w:space="0"/>
              <w:left w:val="nil"/>
              <w:bottom w:val="single" w:color="auto" w:sz="4" w:space="0"/>
              <w:right w:val="single" w:color="auto" w:sz="4" w:space="0"/>
            </w:tcBorders>
            <w:noWrap w:val="0"/>
            <w:vAlign w:val="center"/>
          </w:tcPr>
          <w:p w14:paraId="0D9545FD">
            <w:pPr>
              <w:keepNext w:val="0"/>
              <w:keepLines w:val="0"/>
              <w:pageBreakBefore w:val="0"/>
              <w:kinsoku/>
              <w:wordWrap/>
              <w:overflowPunct/>
              <w:topLinePunct w:val="0"/>
              <w:autoSpaceDE/>
              <w:autoSpaceDN/>
              <w:bidi w:val="0"/>
              <w:snapToGrid/>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针对外业样品采集环节、样品处理和检测环节，提供针对性的保密数据脱密和加工处理技术保密措施，并符合国家相关保密要求；</w:t>
            </w:r>
          </w:p>
          <w:p w14:paraId="48EAE903">
            <w:pPr>
              <w:keepNext w:val="0"/>
              <w:keepLines w:val="0"/>
              <w:pageBreakBefore w:val="0"/>
              <w:kinsoku/>
              <w:wordWrap/>
              <w:overflowPunct/>
              <w:topLinePunct w:val="0"/>
              <w:autoSpaceDE/>
              <w:autoSpaceDN/>
              <w:bidi w:val="0"/>
              <w:snapToGrid/>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①</w:t>
            </w:r>
            <w:r>
              <w:rPr>
                <w:rFonts w:ascii="宋体" w:hAnsi="宋体" w:cs="宋体"/>
                <w:color w:val="auto"/>
                <w:szCs w:val="21"/>
                <w:highlight w:val="none"/>
              </w:rPr>
              <w:t>提供</w:t>
            </w:r>
            <w:r>
              <w:rPr>
                <w:rFonts w:hint="eastAsia" w:ascii="宋体" w:hAnsi="宋体" w:cs="宋体"/>
                <w:color w:val="auto"/>
                <w:szCs w:val="21"/>
                <w:highlight w:val="none"/>
              </w:rPr>
              <w:t>4条及以上有效保密措施并满足保密规范要求的得</w:t>
            </w:r>
            <w:r>
              <w:rPr>
                <w:rFonts w:hint="eastAsia" w:ascii="宋体" w:hAnsi="宋体" w:cs="宋体"/>
                <w:color w:val="auto"/>
                <w:szCs w:val="21"/>
                <w:highlight w:val="none"/>
                <w:lang w:val="en-US" w:eastAsia="zh-CN"/>
              </w:rPr>
              <w:t>10</w:t>
            </w:r>
            <w:r>
              <w:rPr>
                <w:rFonts w:ascii="宋体" w:hAnsi="宋体" w:cs="宋体"/>
                <w:color w:val="auto"/>
                <w:szCs w:val="21"/>
                <w:highlight w:val="none"/>
              </w:rPr>
              <w:t>分；</w:t>
            </w:r>
          </w:p>
          <w:p w14:paraId="420AD263">
            <w:pPr>
              <w:keepNext w:val="0"/>
              <w:keepLines w:val="0"/>
              <w:pageBreakBefore w:val="0"/>
              <w:kinsoku/>
              <w:wordWrap/>
              <w:overflowPunct/>
              <w:topLinePunct w:val="0"/>
              <w:autoSpaceDE/>
              <w:autoSpaceDN/>
              <w:bidi w:val="0"/>
              <w:snapToGrid/>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②提供3条有效保密措施并基本满足保密规范要求的得</w:t>
            </w:r>
            <w:r>
              <w:rPr>
                <w:rFonts w:hint="eastAsia" w:ascii="宋体" w:hAnsi="宋体" w:cs="宋体"/>
                <w:color w:val="auto"/>
                <w:szCs w:val="21"/>
                <w:highlight w:val="none"/>
                <w:lang w:val="en-US" w:eastAsia="zh-CN"/>
              </w:rPr>
              <w:t>5</w:t>
            </w:r>
            <w:r>
              <w:rPr>
                <w:rFonts w:ascii="宋体" w:hAnsi="宋体" w:cs="宋体"/>
                <w:color w:val="auto"/>
                <w:szCs w:val="21"/>
                <w:highlight w:val="none"/>
              </w:rPr>
              <w:t>分；</w:t>
            </w:r>
          </w:p>
          <w:p w14:paraId="31A30FC2">
            <w:pPr>
              <w:keepNext w:val="0"/>
              <w:keepLines w:val="0"/>
              <w:pageBreakBefore w:val="0"/>
              <w:kinsoku/>
              <w:wordWrap/>
              <w:overflowPunct/>
              <w:topLinePunct w:val="0"/>
              <w:autoSpaceDE/>
              <w:autoSpaceDN/>
              <w:bidi w:val="0"/>
              <w:snapToGrid/>
              <w:spacing w:line="44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③提供1</w:t>
            </w:r>
            <w:r>
              <w:rPr>
                <w:rFonts w:hint="eastAsia" w:ascii="宋体" w:hAnsi="宋体" w:cs="宋体"/>
                <w:color w:val="auto"/>
                <w:szCs w:val="21"/>
                <w:highlight w:val="none"/>
                <w:lang w:eastAsia="zh-CN"/>
              </w:rPr>
              <w:t>—</w:t>
            </w:r>
            <w:r>
              <w:rPr>
                <w:rFonts w:hint="eastAsia" w:ascii="宋体" w:hAnsi="宋体" w:cs="宋体"/>
                <w:color w:val="auto"/>
                <w:szCs w:val="21"/>
                <w:highlight w:val="none"/>
              </w:rPr>
              <w:t>2条有效保密措施的得1</w:t>
            </w:r>
            <w:r>
              <w:rPr>
                <w:rFonts w:ascii="宋体" w:hAnsi="宋体" w:cs="宋体"/>
                <w:color w:val="auto"/>
                <w:szCs w:val="21"/>
                <w:highlight w:val="none"/>
              </w:rPr>
              <w:t>分</w:t>
            </w:r>
            <w:r>
              <w:rPr>
                <w:rFonts w:hint="eastAsia" w:ascii="宋体" w:hAnsi="宋体" w:cs="宋体"/>
                <w:color w:val="auto"/>
                <w:szCs w:val="21"/>
                <w:highlight w:val="none"/>
                <w:lang w:eastAsia="zh-CN"/>
              </w:rPr>
              <w:t>；</w:t>
            </w:r>
          </w:p>
          <w:p w14:paraId="781D0EB0">
            <w:pPr>
              <w:keepNext w:val="0"/>
              <w:keepLines w:val="0"/>
              <w:pageBreakBefore w:val="0"/>
              <w:kinsoku/>
              <w:wordWrap/>
              <w:overflowPunct/>
              <w:topLinePunct w:val="0"/>
              <w:autoSpaceDE/>
              <w:autoSpaceDN/>
              <w:bidi w:val="0"/>
              <w:snapToGrid/>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未提供的得0分</w:t>
            </w:r>
            <w:r>
              <w:rPr>
                <w:rFonts w:ascii="宋体" w:hAnsi="宋体" w:cs="宋体"/>
                <w:color w:val="auto"/>
                <w:szCs w:val="21"/>
                <w:highlight w:val="none"/>
              </w:rPr>
              <w:t>。</w:t>
            </w:r>
          </w:p>
        </w:tc>
        <w:tc>
          <w:tcPr>
            <w:tcW w:w="838" w:type="dxa"/>
            <w:tcBorders>
              <w:top w:val="single" w:color="auto" w:sz="4" w:space="0"/>
              <w:left w:val="nil"/>
              <w:bottom w:val="single" w:color="auto" w:sz="4" w:space="0"/>
              <w:right w:val="single" w:color="auto" w:sz="4" w:space="0"/>
            </w:tcBorders>
            <w:noWrap w:val="0"/>
            <w:vAlign w:val="center"/>
          </w:tcPr>
          <w:p w14:paraId="4DBD9684">
            <w:pPr>
              <w:keepNext w:val="0"/>
              <w:keepLines w:val="0"/>
              <w:pageBreakBefore w:val="0"/>
              <w:kinsoku/>
              <w:wordWrap/>
              <w:overflowPunct/>
              <w:topLinePunct w:val="0"/>
              <w:autoSpaceDE/>
              <w:autoSpaceDN/>
              <w:bidi w:val="0"/>
              <w:snapToGrid/>
              <w:spacing w:line="4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r>
      <w:tr w14:paraId="1370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3F1A69EC">
            <w:pPr>
              <w:keepNext w:val="0"/>
              <w:keepLines w:val="0"/>
              <w:pageBreakBefore w:val="0"/>
              <w:kinsoku/>
              <w:wordWrap/>
              <w:overflowPunct/>
              <w:topLinePunct w:val="0"/>
              <w:autoSpaceDE/>
              <w:autoSpaceDN/>
              <w:bidi w:val="0"/>
              <w:adjustRightInd w:val="0"/>
              <w:snapToGrid/>
              <w:spacing w:line="440" w:lineRule="exact"/>
              <w:jc w:val="center"/>
              <w:textAlignment w:val="baseline"/>
              <w:rPr>
                <w:rFonts w:ascii="宋体" w:hAnsi="宋体"/>
                <w:bCs/>
                <w:color w:val="auto"/>
                <w:kern w:val="0"/>
                <w:szCs w:val="21"/>
                <w:highlight w:val="none"/>
              </w:rPr>
            </w:pPr>
            <w:r>
              <w:rPr>
                <w:rFonts w:hint="eastAsia" w:ascii="宋体" w:hAnsi="宋体"/>
                <w:bCs/>
                <w:color w:val="auto"/>
                <w:kern w:val="0"/>
                <w:szCs w:val="21"/>
                <w:highlight w:val="none"/>
              </w:rPr>
              <w:t>2.5</w:t>
            </w:r>
          </w:p>
        </w:tc>
        <w:tc>
          <w:tcPr>
            <w:tcW w:w="1480" w:type="dxa"/>
            <w:tcBorders>
              <w:top w:val="single" w:color="auto" w:sz="4" w:space="0"/>
              <w:left w:val="nil"/>
              <w:bottom w:val="single" w:color="auto" w:sz="4" w:space="0"/>
              <w:right w:val="single" w:color="auto" w:sz="4" w:space="0"/>
            </w:tcBorders>
            <w:noWrap w:val="0"/>
            <w:vAlign w:val="center"/>
          </w:tcPr>
          <w:p w14:paraId="7A2ABB36">
            <w:pPr>
              <w:keepNext w:val="0"/>
              <w:keepLines w:val="0"/>
              <w:pageBreakBefore w:val="0"/>
              <w:kinsoku/>
              <w:wordWrap/>
              <w:overflowPunct/>
              <w:topLinePunct w:val="0"/>
              <w:autoSpaceDE/>
              <w:autoSpaceDN/>
              <w:bidi w:val="0"/>
              <w:snapToGrid/>
              <w:spacing w:line="440" w:lineRule="exact"/>
              <w:jc w:val="center"/>
              <w:rPr>
                <w:rFonts w:hint="eastAsia" w:ascii="宋体" w:hAnsi="宋体"/>
                <w:color w:val="auto"/>
                <w:szCs w:val="21"/>
                <w:highlight w:val="none"/>
              </w:rPr>
            </w:pPr>
            <w:r>
              <w:rPr>
                <w:rFonts w:hint="eastAsia" w:ascii="宋体" w:hAnsi="宋体"/>
                <w:color w:val="auto"/>
                <w:szCs w:val="21"/>
                <w:highlight w:val="none"/>
              </w:rPr>
              <w:t>报告编写能力分</w:t>
            </w:r>
          </w:p>
          <w:p w14:paraId="19B62BD2">
            <w:pPr>
              <w:keepNext w:val="0"/>
              <w:keepLines w:val="0"/>
              <w:pageBreakBefore w:val="0"/>
              <w:kinsoku/>
              <w:wordWrap/>
              <w:overflowPunct/>
              <w:topLinePunct w:val="0"/>
              <w:autoSpaceDE/>
              <w:autoSpaceDN/>
              <w:bidi w:val="0"/>
              <w:snapToGrid/>
              <w:spacing w:line="440" w:lineRule="exact"/>
              <w:jc w:val="center"/>
              <w:rPr>
                <w:rFonts w:ascii="宋体" w:hAnsi="宋体"/>
                <w:color w:val="auto"/>
                <w:szCs w:val="21"/>
                <w:highlight w:val="none"/>
              </w:rPr>
            </w:pPr>
            <w:r>
              <w:rPr>
                <w:rFonts w:hint="eastAsia" w:ascii="宋体" w:hAnsi="宋体"/>
                <w:color w:val="auto"/>
                <w:szCs w:val="21"/>
                <w:highlight w:val="none"/>
              </w:rPr>
              <w:t>（满分1</w:t>
            </w:r>
            <w:r>
              <w:rPr>
                <w:rFonts w:hint="eastAsia" w:ascii="宋体" w:hAnsi="宋体"/>
                <w:color w:val="auto"/>
                <w:szCs w:val="21"/>
                <w:highlight w:val="none"/>
                <w:lang w:val="en-US" w:eastAsia="zh-CN"/>
              </w:rPr>
              <w:t>5</w:t>
            </w:r>
            <w:r>
              <w:rPr>
                <w:rFonts w:hint="eastAsia" w:ascii="宋体" w:hAnsi="宋体"/>
                <w:color w:val="auto"/>
                <w:szCs w:val="21"/>
                <w:highlight w:val="none"/>
              </w:rPr>
              <w:t>分）</w:t>
            </w:r>
          </w:p>
        </w:tc>
        <w:tc>
          <w:tcPr>
            <w:tcW w:w="6646" w:type="dxa"/>
            <w:tcBorders>
              <w:top w:val="single" w:color="auto" w:sz="4" w:space="0"/>
              <w:left w:val="nil"/>
              <w:bottom w:val="single" w:color="auto" w:sz="4" w:space="0"/>
              <w:right w:val="single" w:color="auto" w:sz="4" w:space="0"/>
            </w:tcBorders>
            <w:noWrap w:val="0"/>
            <w:vAlign w:val="center"/>
          </w:tcPr>
          <w:p w14:paraId="4EC14681">
            <w:pPr>
              <w:pStyle w:val="12"/>
              <w:keepNext w:val="0"/>
              <w:keepLines w:val="0"/>
              <w:pageBreakBefore w:val="0"/>
              <w:kinsoku/>
              <w:wordWrap/>
              <w:overflowPunct/>
              <w:topLinePunct w:val="0"/>
              <w:autoSpaceDE/>
              <w:autoSpaceDN/>
              <w:bidi w:val="0"/>
              <w:snapToGrid/>
              <w:spacing w:line="440" w:lineRule="exact"/>
              <w:ind w:left="0" w:leftChars="0" w:firstLine="420" w:firstLineChars="200"/>
              <w:jc w:val="both"/>
              <w:rPr>
                <w:rFonts w:hint="eastAsia"/>
                <w:color w:val="auto"/>
                <w:highlight w:val="none"/>
                <w:lang w:val="en-US" w:eastAsia="zh-CN"/>
              </w:rPr>
            </w:pPr>
            <w:r>
              <w:rPr>
                <w:rFonts w:hint="eastAsia"/>
                <w:color w:val="auto"/>
                <w:highlight w:val="none"/>
                <w:lang w:val="en-US" w:eastAsia="zh-CN"/>
              </w:rPr>
              <w:t>根据投标人拟投入本项目团队的数据分析能力及报告编写水平进行综合评审，未提供不得分：</w:t>
            </w:r>
          </w:p>
          <w:p w14:paraId="1AB6D788">
            <w:pPr>
              <w:pStyle w:val="12"/>
              <w:keepNext w:val="0"/>
              <w:keepLines w:val="0"/>
              <w:pageBreakBefore w:val="0"/>
              <w:kinsoku/>
              <w:wordWrap/>
              <w:overflowPunct/>
              <w:topLinePunct w:val="0"/>
              <w:autoSpaceDE/>
              <w:autoSpaceDN/>
              <w:bidi w:val="0"/>
              <w:snapToGrid/>
              <w:spacing w:line="440" w:lineRule="exact"/>
              <w:ind w:left="0" w:firstLine="420" w:firstLineChars="200"/>
              <w:jc w:val="both"/>
              <w:rPr>
                <w:rFonts w:hint="eastAsia"/>
                <w:color w:val="auto"/>
                <w:highlight w:val="none"/>
                <w:lang w:val="en-US" w:eastAsia="zh-CN"/>
              </w:rPr>
            </w:pPr>
            <w:r>
              <w:rPr>
                <w:rFonts w:hint="eastAsia"/>
                <w:color w:val="auto"/>
                <w:highlight w:val="none"/>
                <w:lang w:val="en-US" w:eastAsia="zh-CN"/>
              </w:rPr>
              <w:t>一档（5分）：提供的报告内容简单、格式不规范，仅停留在数据罗列层面，缺乏深度的数据分析与溯源能力，监管建议缺乏针对性。</w:t>
            </w:r>
          </w:p>
          <w:p w14:paraId="098A6046">
            <w:pPr>
              <w:pStyle w:val="12"/>
              <w:keepNext w:val="0"/>
              <w:keepLines w:val="0"/>
              <w:pageBreakBefore w:val="0"/>
              <w:kinsoku/>
              <w:wordWrap/>
              <w:overflowPunct/>
              <w:topLinePunct w:val="0"/>
              <w:autoSpaceDE/>
              <w:autoSpaceDN/>
              <w:bidi w:val="0"/>
              <w:snapToGrid/>
              <w:spacing w:line="440" w:lineRule="exact"/>
              <w:ind w:left="0" w:leftChars="0" w:firstLine="420" w:firstLineChars="200"/>
              <w:jc w:val="both"/>
              <w:rPr>
                <w:rFonts w:hint="eastAsia"/>
                <w:color w:val="auto"/>
                <w:highlight w:val="none"/>
                <w:lang w:val="en-US" w:eastAsia="zh-CN"/>
              </w:rPr>
            </w:pPr>
            <w:r>
              <w:rPr>
                <w:rFonts w:hint="eastAsia"/>
                <w:color w:val="auto"/>
                <w:highlight w:val="none"/>
                <w:lang w:val="en-US" w:eastAsia="zh-CN"/>
              </w:rPr>
              <w:t>二档（10分）：提供的报告结构完整、数据准确，能够发现常规的数据异常，提出的建议基本符合农产品质量安全监管要求，具备一定的参考价值。</w:t>
            </w:r>
          </w:p>
          <w:p w14:paraId="17B65B93">
            <w:pPr>
              <w:pStyle w:val="12"/>
              <w:keepNext w:val="0"/>
              <w:keepLines w:val="0"/>
              <w:pageBreakBefore w:val="0"/>
              <w:kinsoku/>
              <w:wordWrap/>
              <w:overflowPunct/>
              <w:topLinePunct w:val="0"/>
              <w:autoSpaceDE/>
              <w:autoSpaceDN/>
              <w:bidi w:val="0"/>
              <w:snapToGrid/>
              <w:spacing w:line="440" w:lineRule="exact"/>
              <w:ind w:left="0" w:firstLine="420" w:firstLineChars="200"/>
              <w:jc w:val="both"/>
              <w:rPr>
                <w:rFonts w:hint="eastAsia"/>
                <w:color w:val="auto"/>
                <w:highlight w:val="none"/>
                <w:lang w:val="en-US" w:eastAsia="zh-CN"/>
              </w:rPr>
            </w:pPr>
            <w:r>
              <w:rPr>
                <w:rFonts w:hint="eastAsia"/>
                <w:color w:val="auto"/>
                <w:highlight w:val="none"/>
                <w:lang w:val="en-US" w:eastAsia="zh-CN"/>
              </w:rPr>
              <w:t>三档（15分）：提供的过往类似农产品质量安全检测分析报告（或重金属专项评估报告）内容详实、数据逻辑严密、图表规范；对重金属超标等异常数据有深度的溯源分析，且提出的风险预警及监管建议具有极高的实操性和针对性。</w:t>
            </w:r>
          </w:p>
          <w:p w14:paraId="2912B3C0">
            <w:pPr>
              <w:keepNext w:val="0"/>
              <w:keepLines w:val="0"/>
              <w:pageBreakBefore w:val="0"/>
              <w:kinsoku/>
              <w:wordWrap/>
              <w:overflowPunct/>
              <w:topLinePunct w:val="0"/>
              <w:autoSpaceDE/>
              <w:autoSpaceDN/>
              <w:bidi w:val="0"/>
              <w:snapToGrid/>
              <w:spacing w:line="440" w:lineRule="exact"/>
              <w:ind w:firstLine="315" w:firstLineChars="150"/>
              <w:rPr>
                <w:rFonts w:ascii="宋体" w:hAnsi="宋体"/>
                <w:color w:val="auto"/>
                <w:szCs w:val="21"/>
                <w:highlight w:val="none"/>
              </w:rPr>
            </w:pPr>
            <w:r>
              <w:rPr>
                <w:rFonts w:hint="eastAsia"/>
                <w:color w:val="auto"/>
                <w:highlight w:val="none"/>
                <w:lang w:val="en-US" w:eastAsia="zh-CN"/>
              </w:rPr>
              <w:t>注：投标人须提供过往类似项目的检测报告或评估分析报告复印件（可隐去敏感信息）作为证明材料。</w:t>
            </w:r>
          </w:p>
        </w:tc>
        <w:tc>
          <w:tcPr>
            <w:tcW w:w="838" w:type="dxa"/>
            <w:tcBorders>
              <w:top w:val="single" w:color="auto" w:sz="4" w:space="0"/>
              <w:left w:val="nil"/>
              <w:bottom w:val="single" w:color="auto" w:sz="4" w:space="0"/>
              <w:right w:val="single" w:color="auto" w:sz="4" w:space="0"/>
            </w:tcBorders>
            <w:noWrap w:val="0"/>
            <w:vAlign w:val="center"/>
          </w:tcPr>
          <w:p w14:paraId="40D51A2B">
            <w:pPr>
              <w:keepNext w:val="0"/>
              <w:keepLines w:val="0"/>
              <w:pageBreakBefore w:val="0"/>
              <w:kinsoku/>
              <w:wordWrap/>
              <w:overflowPunct/>
              <w:topLinePunct w:val="0"/>
              <w:autoSpaceDE/>
              <w:autoSpaceDN/>
              <w:bidi w:val="0"/>
              <w:snapToGrid/>
              <w:spacing w:line="440" w:lineRule="exact"/>
              <w:jc w:val="center"/>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5</w:t>
            </w:r>
            <w:r>
              <w:rPr>
                <w:rFonts w:hint="eastAsia" w:ascii="宋体" w:hAnsi="宋体"/>
                <w:color w:val="auto"/>
                <w:szCs w:val="21"/>
                <w:highlight w:val="none"/>
              </w:rPr>
              <w:t>分</w:t>
            </w:r>
          </w:p>
        </w:tc>
      </w:tr>
      <w:tr w14:paraId="1247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16D75193">
            <w:pPr>
              <w:keepNext w:val="0"/>
              <w:keepLines w:val="0"/>
              <w:pageBreakBefore w:val="0"/>
              <w:widowControl/>
              <w:kinsoku/>
              <w:wordWrap/>
              <w:overflowPunct/>
              <w:topLinePunct w:val="0"/>
              <w:autoSpaceDE/>
              <w:autoSpaceDN/>
              <w:bidi w:val="0"/>
              <w:snapToGrid/>
              <w:spacing w:line="440" w:lineRule="exact"/>
              <w:jc w:val="center"/>
              <w:rPr>
                <w:rFonts w:ascii="宋体" w:hAnsi="宋体"/>
                <w:b/>
                <w:bCs/>
                <w:color w:val="auto"/>
                <w:kern w:val="0"/>
                <w:szCs w:val="21"/>
                <w:highlight w:val="none"/>
              </w:rPr>
            </w:pPr>
            <w:r>
              <w:rPr>
                <w:rFonts w:hint="eastAsia" w:ascii="宋体" w:hAnsi="宋体"/>
                <w:b/>
                <w:bCs/>
                <w:color w:val="auto"/>
                <w:kern w:val="0"/>
                <w:szCs w:val="21"/>
                <w:highlight w:val="none"/>
              </w:rPr>
              <w:t>3</w:t>
            </w:r>
          </w:p>
        </w:tc>
        <w:tc>
          <w:tcPr>
            <w:tcW w:w="1480" w:type="dxa"/>
            <w:tcBorders>
              <w:top w:val="single" w:color="auto" w:sz="4" w:space="0"/>
              <w:left w:val="nil"/>
              <w:bottom w:val="single" w:color="auto" w:sz="4" w:space="0"/>
              <w:right w:val="single" w:color="auto" w:sz="4" w:space="0"/>
            </w:tcBorders>
            <w:noWrap w:val="0"/>
            <w:vAlign w:val="center"/>
          </w:tcPr>
          <w:p w14:paraId="70BFE708">
            <w:pPr>
              <w:keepNext w:val="0"/>
              <w:keepLines w:val="0"/>
              <w:pageBreakBefore w:val="0"/>
              <w:widowControl/>
              <w:kinsoku/>
              <w:wordWrap/>
              <w:overflowPunct/>
              <w:topLinePunct w:val="0"/>
              <w:autoSpaceDE/>
              <w:autoSpaceDN/>
              <w:bidi w:val="0"/>
              <w:snapToGrid/>
              <w:spacing w:line="440" w:lineRule="exact"/>
              <w:jc w:val="center"/>
              <w:rPr>
                <w:rFonts w:ascii="宋体" w:hAnsi="宋体"/>
                <w:b/>
                <w:bCs/>
                <w:color w:val="auto"/>
                <w:szCs w:val="21"/>
                <w:highlight w:val="none"/>
              </w:rPr>
            </w:pPr>
            <w:r>
              <w:rPr>
                <w:rFonts w:hint="eastAsia" w:ascii="宋体" w:hAnsi="宋体"/>
                <w:b/>
                <w:bCs/>
                <w:color w:val="auto"/>
                <w:szCs w:val="21"/>
                <w:highlight w:val="none"/>
              </w:rPr>
              <w:t>商务分</w:t>
            </w:r>
          </w:p>
          <w:p w14:paraId="1B992C48">
            <w:pPr>
              <w:keepNext w:val="0"/>
              <w:keepLines w:val="0"/>
              <w:pageBreakBefore w:val="0"/>
              <w:widowControl/>
              <w:kinsoku/>
              <w:wordWrap/>
              <w:overflowPunct/>
              <w:topLinePunct w:val="0"/>
              <w:autoSpaceDE/>
              <w:autoSpaceDN/>
              <w:bidi w:val="0"/>
              <w:snapToGrid/>
              <w:spacing w:line="440" w:lineRule="exact"/>
              <w:jc w:val="center"/>
              <w:rPr>
                <w:rFonts w:ascii="宋体" w:hAnsi="宋体"/>
                <w:b/>
                <w:bCs/>
                <w:color w:val="auto"/>
                <w:szCs w:val="21"/>
                <w:highlight w:val="none"/>
              </w:rPr>
            </w:pPr>
            <w:r>
              <w:rPr>
                <w:rFonts w:hint="eastAsia" w:ascii="宋体" w:hAnsi="宋体"/>
                <w:b/>
                <w:bCs/>
                <w:color w:val="auto"/>
                <w:szCs w:val="21"/>
                <w:highlight w:val="none"/>
              </w:rPr>
              <w:t>（满分</w:t>
            </w:r>
            <w:r>
              <w:rPr>
                <w:rFonts w:hint="eastAsia" w:ascii="宋体" w:hAnsi="宋体"/>
                <w:b/>
                <w:bCs/>
                <w:color w:val="auto"/>
                <w:szCs w:val="21"/>
                <w:highlight w:val="none"/>
                <w:lang w:val="en-US" w:eastAsia="zh-CN"/>
              </w:rPr>
              <w:t>10</w:t>
            </w:r>
            <w:r>
              <w:rPr>
                <w:rFonts w:hint="eastAsia" w:ascii="宋体" w:hAnsi="宋体"/>
                <w:b/>
                <w:bCs/>
                <w:color w:val="auto"/>
                <w:szCs w:val="21"/>
                <w:highlight w:val="none"/>
              </w:rPr>
              <w:t>分）</w:t>
            </w:r>
          </w:p>
        </w:tc>
        <w:tc>
          <w:tcPr>
            <w:tcW w:w="7484" w:type="dxa"/>
            <w:gridSpan w:val="2"/>
            <w:tcBorders>
              <w:top w:val="single" w:color="auto" w:sz="4" w:space="0"/>
              <w:left w:val="nil"/>
              <w:bottom w:val="single" w:color="auto" w:sz="4" w:space="0"/>
              <w:right w:val="single" w:color="auto" w:sz="4" w:space="0"/>
            </w:tcBorders>
            <w:noWrap w:val="0"/>
            <w:vAlign w:val="center"/>
          </w:tcPr>
          <w:p w14:paraId="13BEFD24">
            <w:pPr>
              <w:keepNext w:val="0"/>
              <w:keepLines w:val="0"/>
              <w:pageBreakBefore w:val="0"/>
              <w:widowControl/>
              <w:kinsoku/>
              <w:wordWrap/>
              <w:overflowPunct/>
              <w:topLinePunct w:val="0"/>
              <w:autoSpaceDE/>
              <w:autoSpaceDN/>
              <w:bidi w:val="0"/>
              <w:snapToGrid/>
              <w:spacing w:line="440" w:lineRule="exact"/>
              <w:jc w:val="center"/>
              <w:rPr>
                <w:rFonts w:ascii="宋体" w:hAnsi="宋体"/>
                <w:b/>
                <w:bCs/>
                <w:color w:val="auto"/>
                <w:kern w:val="0"/>
                <w:szCs w:val="21"/>
                <w:highlight w:val="none"/>
              </w:rPr>
            </w:pPr>
            <w:r>
              <w:rPr>
                <w:rFonts w:hint="eastAsia" w:ascii="宋体" w:hAnsi="宋体"/>
                <w:b/>
                <w:bCs/>
                <w:color w:val="auto"/>
                <w:kern w:val="0"/>
                <w:szCs w:val="21"/>
                <w:highlight w:val="none"/>
              </w:rPr>
              <w:t>评审因素</w:t>
            </w:r>
          </w:p>
        </w:tc>
      </w:tr>
      <w:tr w14:paraId="0D2A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noWrap w:val="0"/>
            <w:vAlign w:val="center"/>
          </w:tcPr>
          <w:p w14:paraId="0BE90DF7">
            <w:pPr>
              <w:keepNext w:val="0"/>
              <w:keepLines w:val="0"/>
              <w:pageBreakBefore w:val="0"/>
              <w:widowControl/>
              <w:kinsoku/>
              <w:wordWrap/>
              <w:overflowPunct/>
              <w:topLinePunct w:val="0"/>
              <w:autoSpaceDE/>
              <w:autoSpaceDN/>
              <w:bidi w:val="0"/>
              <w:snapToGrid/>
              <w:spacing w:line="440" w:lineRule="exact"/>
              <w:jc w:val="center"/>
              <w:rPr>
                <w:rFonts w:ascii="宋体" w:hAnsi="宋体"/>
                <w:color w:val="auto"/>
                <w:kern w:val="0"/>
                <w:szCs w:val="21"/>
                <w:highlight w:val="none"/>
              </w:rPr>
            </w:pPr>
            <w:r>
              <w:rPr>
                <w:rFonts w:hint="eastAsia" w:ascii="宋体" w:hAnsi="宋体"/>
                <w:color w:val="auto"/>
                <w:kern w:val="0"/>
                <w:szCs w:val="21"/>
                <w:highlight w:val="none"/>
              </w:rPr>
              <w:t>3.1</w:t>
            </w:r>
          </w:p>
        </w:tc>
        <w:tc>
          <w:tcPr>
            <w:tcW w:w="1480" w:type="dxa"/>
            <w:tcBorders>
              <w:top w:val="single" w:color="auto" w:sz="4" w:space="0"/>
              <w:left w:val="nil"/>
              <w:bottom w:val="single" w:color="auto" w:sz="4" w:space="0"/>
              <w:right w:val="single" w:color="auto" w:sz="4" w:space="0"/>
            </w:tcBorders>
            <w:noWrap w:val="0"/>
            <w:vAlign w:val="center"/>
          </w:tcPr>
          <w:p w14:paraId="0DD22FE2">
            <w:pPr>
              <w:keepNext w:val="0"/>
              <w:keepLines w:val="0"/>
              <w:pageBreakBefore w:val="0"/>
              <w:widowControl/>
              <w:kinsoku/>
              <w:wordWrap/>
              <w:overflowPunct/>
              <w:topLinePunct w:val="0"/>
              <w:autoSpaceDE/>
              <w:autoSpaceDN/>
              <w:bidi w:val="0"/>
              <w:snapToGrid/>
              <w:spacing w:line="440" w:lineRule="exact"/>
              <w:jc w:val="center"/>
              <w:rPr>
                <w:rFonts w:hint="eastAsia" w:ascii="宋体" w:hAnsi="宋体"/>
                <w:color w:val="auto"/>
                <w:szCs w:val="21"/>
                <w:highlight w:val="none"/>
              </w:rPr>
            </w:pPr>
            <w:r>
              <w:rPr>
                <w:rFonts w:hint="eastAsia" w:ascii="宋体" w:hAnsi="宋体"/>
                <w:color w:val="auto"/>
                <w:szCs w:val="21"/>
                <w:highlight w:val="none"/>
              </w:rPr>
              <w:t>业绩分</w:t>
            </w:r>
          </w:p>
          <w:p w14:paraId="5838BFF9">
            <w:pPr>
              <w:keepNext w:val="0"/>
              <w:keepLines w:val="0"/>
              <w:pageBreakBefore w:val="0"/>
              <w:widowControl/>
              <w:kinsoku/>
              <w:wordWrap/>
              <w:overflowPunct/>
              <w:topLinePunct w:val="0"/>
              <w:autoSpaceDE/>
              <w:autoSpaceDN/>
              <w:bidi w:val="0"/>
              <w:snapToGrid/>
              <w:spacing w:line="440" w:lineRule="exact"/>
              <w:jc w:val="center"/>
              <w:rPr>
                <w:rFonts w:ascii="宋体" w:hAnsi="宋体"/>
                <w:color w:val="auto"/>
                <w:szCs w:val="21"/>
                <w:highlight w:val="none"/>
              </w:rPr>
            </w:pPr>
            <w:r>
              <w:rPr>
                <w:rFonts w:hint="eastAsia" w:ascii="宋体" w:hAnsi="宋体"/>
                <w:color w:val="auto"/>
                <w:szCs w:val="21"/>
                <w:highlight w:val="none"/>
              </w:rPr>
              <w:t>（满分</w:t>
            </w:r>
            <w:r>
              <w:rPr>
                <w:rFonts w:hint="eastAsia" w:ascii="宋体" w:hAnsi="宋体"/>
                <w:color w:val="auto"/>
                <w:szCs w:val="21"/>
                <w:highlight w:val="none"/>
                <w:lang w:val="en-US" w:eastAsia="zh-CN"/>
              </w:rPr>
              <w:t>10</w:t>
            </w:r>
            <w:r>
              <w:rPr>
                <w:rFonts w:hint="eastAsia" w:ascii="宋体" w:hAnsi="宋体"/>
                <w:color w:val="auto"/>
                <w:szCs w:val="21"/>
                <w:highlight w:val="none"/>
              </w:rPr>
              <w:t>分）</w:t>
            </w:r>
          </w:p>
        </w:tc>
        <w:tc>
          <w:tcPr>
            <w:tcW w:w="6646" w:type="dxa"/>
            <w:tcBorders>
              <w:top w:val="single" w:color="auto" w:sz="4" w:space="0"/>
              <w:left w:val="nil"/>
              <w:bottom w:val="single" w:color="auto" w:sz="4" w:space="0"/>
              <w:right w:val="single" w:color="auto" w:sz="4" w:space="0"/>
            </w:tcBorders>
            <w:noWrap w:val="0"/>
            <w:vAlign w:val="center"/>
          </w:tcPr>
          <w:p w14:paraId="07FB1A51">
            <w:pPr>
              <w:keepNext w:val="0"/>
              <w:keepLines w:val="0"/>
              <w:pageBreakBefore w:val="0"/>
              <w:kinsoku/>
              <w:wordWrap/>
              <w:overflowPunct/>
              <w:topLinePunct w:val="0"/>
              <w:autoSpaceDE/>
              <w:autoSpaceDN/>
              <w:bidi w:val="0"/>
              <w:snapToGrid/>
              <w:spacing w:line="440" w:lineRule="exact"/>
              <w:ind w:firstLine="315" w:firstLineChars="150"/>
              <w:rPr>
                <w:rFonts w:ascii="宋体" w:hAnsi="宋体"/>
                <w:color w:val="auto"/>
                <w:szCs w:val="21"/>
                <w:highlight w:val="none"/>
              </w:rPr>
            </w:pPr>
            <w:r>
              <w:rPr>
                <w:rFonts w:hint="eastAsia" w:ascii="宋体" w:hAnsi="宋体"/>
                <w:color w:val="auto"/>
                <w:szCs w:val="21"/>
                <w:highlight w:val="none"/>
              </w:rPr>
              <w:t>投标人承接类似检测项目（类似检测项目是指土壤样品的检测、农产品样品的检测、农田灌溉水的检测，签订合同时间在2020年1月及之后的为准）检测</w:t>
            </w:r>
            <w:r>
              <w:rPr>
                <w:rFonts w:hint="eastAsia" w:ascii="宋体" w:hAnsi="宋体"/>
                <w:color w:val="auto"/>
                <w:szCs w:val="21"/>
                <w:highlight w:val="none"/>
                <w:lang w:eastAsia="zh-CN"/>
              </w:rPr>
              <w:t>，</w:t>
            </w:r>
            <w:r>
              <w:rPr>
                <w:rFonts w:hint="eastAsia" w:ascii="宋体" w:hAnsi="宋体"/>
                <w:color w:val="auto"/>
                <w:szCs w:val="21"/>
                <w:highlight w:val="none"/>
              </w:rPr>
              <w:t>类似采样项目（类似采样项目是指土壤或农产品样品的采集，签订合同时间在2020年1月及之后的为准）、样品处理、检测服务的成功案例和能力证明（必须提供合同复印件、合同对应的验收报告复印件或者用户出具成功履行合同的相关证明材料、样品检测质量控制合格率的相关证明材料复印件加盖投标人单位公章，否则不予计分，一个项目有两个或两个以上的分标成交的只算一次，不重复计分），每个得</w:t>
            </w:r>
            <w:r>
              <w:rPr>
                <w:rFonts w:hint="eastAsia" w:ascii="宋体" w:hAnsi="宋体"/>
                <w:color w:val="auto"/>
                <w:szCs w:val="21"/>
                <w:highlight w:val="none"/>
                <w:lang w:val="en-US" w:eastAsia="zh-CN"/>
              </w:rPr>
              <w:t>1</w:t>
            </w:r>
            <w:r>
              <w:rPr>
                <w:rFonts w:hint="eastAsia" w:ascii="宋体" w:hAnsi="宋体"/>
                <w:color w:val="auto"/>
                <w:szCs w:val="21"/>
                <w:highlight w:val="none"/>
              </w:rPr>
              <w:t>分，满分</w:t>
            </w:r>
            <w:r>
              <w:rPr>
                <w:rFonts w:hint="eastAsia" w:ascii="宋体" w:hAnsi="宋体"/>
                <w:color w:val="auto"/>
                <w:szCs w:val="21"/>
                <w:highlight w:val="none"/>
                <w:lang w:val="en-US" w:eastAsia="zh-CN"/>
              </w:rPr>
              <w:t>10</w:t>
            </w:r>
            <w:r>
              <w:rPr>
                <w:rFonts w:hint="eastAsia" w:ascii="宋体" w:hAnsi="宋体"/>
                <w:color w:val="auto"/>
                <w:szCs w:val="21"/>
                <w:highlight w:val="none"/>
              </w:rPr>
              <w:t>分。</w:t>
            </w:r>
          </w:p>
        </w:tc>
        <w:tc>
          <w:tcPr>
            <w:tcW w:w="838" w:type="dxa"/>
            <w:tcBorders>
              <w:top w:val="single" w:color="auto" w:sz="4" w:space="0"/>
              <w:left w:val="nil"/>
              <w:bottom w:val="single" w:color="auto" w:sz="4" w:space="0"/>
              <w:right w:val="single" w:color="auto" w:sz="4" w:space="0"/>
            </w:tcBorders>
            <w:noWrap w:val="0"/>
            <w:vAlign w:val="center"/>
          </w:tcPr>
          <w:p w14:paraId="3B4BEAA1">
            <w:pPr>
              <w:keepNext w:val="0"/>
              <w:keepLines w:val="0"/>
              <w:pageBreakBefore w:val="0"/>
              <w:kinsoku/>
              <w:wordWrap/>
              <w:overflowPunct/>
              <w:topLinePunct w:val="0"/>
              <w:autoSpaceDE/>
              <w:autoSpaceDN/>
              <w:bidi w:val="0"/>
              <w:snapToGrid/>
              <w:spacing w:line="440" w:lineRule="exact"/>
              <w:jc w:val="center"/>
              <w:rPr>
                <w:rFonts w:ascii="宋体" w:hAnsi="宋体"/>
                <w:color w:val="auto"/>
                <w:kern w:val="0"/>
                <w:szCs w:val="21"/>
                <w:highlight w:val="none"/>
              </w:rPr>
            </w:pP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分</w:t>
            </w:r>
          </w:p>
        </w:tc>
      </w:tr>
      <w:tr w14:paraId="1F13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779" w:type="dxa"/>
            <w:gridSpan w:val="3"/>
            <w:tcBorders>
              <w:top w:val="single" w:color="auto" w:sz="4" w:space="0"/>
              <w:left w:val="single" w:color="auto" w:sz="4" w:space="0"/>
              <w:bottom w:val="single" w:color="auto" w:sz="4" w:space="0"/>
              <w:right w:val="single" w:color="auto" w:sz="4" w:space="0"/>
            </w:tcBorders>
            <w:noWrap w:val="0"/>
            <w:vAlign w:val="center"/>
          </w:tcPr>
          <w:p w14:paraId="0DD26C45">
            <w:pPr>
              <w:keepNext w:val="0"/>
              <w:keepLines w:val="0"/>
              <w:pageBreakBefore w:val="0"/>
              <w:widowControl/>
              <w:kinsoku/>
              <w:wordWrap/>
              <w:overflowPunct/>
              <w:topLinePunct w:val="0"/>
              <w:autoSpaceDE/>
              <w:autoSpaceDN/>
              <w:bidi w:val="0"/>
              <w:snapToGrid/>
              <w:spacing w:line="440" w:lineRule="exact"/>
              <w:rPr>
                <w:rFonts w:ascii="宋体" w:hAnsi="宋体"/>
                <w:b/>
                <w:color w:val="auto"/>
                <w:kern w:val="0"/>
                <w:szCs w:val="21"/>
                <w:highlight w:val="none"/>
              </w:rPr>
            </w:pPr>
            <w:r>
              <w:rPr>
                <w:rFonts w:hint="eastAsia" w:ascii="宋体" w:hAnsi="宋体"/>
                <w:b/>
                <w:color w:val="auto"/>
                <w:kern w:val="0"/>
                <w:szCs w:val="21"/>
                <w:highlight w:val="none"/>
              </w:rPr>
              <w:t>总得分＝ 1+ 2+ 3</w:t>
            </w:r>
          </w:p>
        </w:tc>
        <w:tc>
          <w:tcPr>
            <w:tcW w:w="838" w:type="dxa"/>
            <w:tcBorders>
              <w:top w:val="single" w:color="auto" w:sz="4" w:space="0"/>
              <w:left w:val="nil"/>
              <w:bottom w:val="single" w:color="auto" w:sz="4" w:space="0"/>
              <w:right w:val="single" w:color="auto" w:sz="4" w:space="0"/>
            </w:tcBorders>
            <w:noWrap w:val="0"/>
            <w:vAlign w:val="center"/>
          </w:tcPr>
          <w:p w14:paraId="001DA66D">
            <w:pPr>
              <w:keepNext w:val="0"/>
              <w:keepLines w:val="0"/>
              <w:pageBreakBefore w:val="0"/>
              <w:widowControl/>
              <w:kinsoku/>
              <w:wordWrap/>
              <w:overflowPunct/>
              <w:topLinePunct w:val="0"/>
              <w:autoSpaceDE/>
              <w:autoSpaceDN/>
              <w:bidi w:val="0"/>
              <w:snapToGrid/>
              <w:spacing w:line="440" w:lineRule="exact"/>
              <w:jc w:val="center"/>
              <w:rPr>
                <w:rFonts w:ascii="宋体" w:hAnsi="宋体"/>
                <w:b/>
                <w:color w:val="auto"/>
                <w:kern w:val="0"/>
                <w:szCs w:val="21"/>
                <w:highlight w:val="none"/>
              </w:rPr>
            </w:pPr>
            <w:r>
              <w:rPr>
                <w:rFonts w:hint="eastAsia" w:ascii="宋体" w:hAnsi="宋体"/>
                <w:b/>
                <w:color w:val="auto"/>
                <w:kern w:val="0"/>
                <w:szCs w:val="21"/>
                <w:highlight w:val="none"/>
              </w:rPr>
              <w:t>100</w:t>
            </w:r>
          </w:p>
        </w:tc>
      </w:tr>
    </w:tbl>
    <w:p w14:paraId="34EBDD51">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p>
    <w:p w14:paraId="30E3CD6C">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四、中标候选人推荐原则</w:t>
      </w:r>
      <w:bookmarkEnd w:id="257"/>
      <w:bookmarkEnd w:id="258"/>
    </w:p>
    <w:p w14:paraId="0F3DA069">
      <w:pPr>
        <w:pStyle w:val="20"/>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color w:val="auto"/>
          <w:highlight w:val="none"/>
        </w:rPr>
      </w:pPr>
      <w:r>
        <w:rPr>
          <w:rFonts w:hint="eastAsia" w:hAnsi="宋体" w:cs="宋体"/>
          <w:color w:val="auto"/>
          <w:highlight w:val="none"/>
        </w:rPr>
        <w:t>1.评标委员会根据原始评标记录和评标结果编写评标报告，并通过电子交易平台向采购人、采购代理机构提交。</w:t>
      </w:r>
    </w:p>
    <w:p w14:paraId="46681AFA">
      <w:pPr>
        <w:pStyle w:val="20"/>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color w:val="auto"/>
          <w:highlight w:val="none"/>
        </w:rPr>
      </w:pPr>
      <w:r>
        <w:rPr>
          <w:rFonts w:hint="eastAsia" w:hAnsi="宋体" w:cs="宋体"/>
          <w:color w:val="auto"/>
          <w:highlight w:val="none"/>
        </w:rPr>
        <w:t>2.评标委员会将根据总得分由高到低排列次序并推荐中标候选人。得分相同的，以投标报价由低到高顺序排列。得分相同且投标报价相同的并列，投标文件满足招标文件全部实质性要求，且按照评审因素的量化指标评审【详见投标人须知前附表30.1条】得分最高的投标人为排名第一的中标候选人。</w:t>
      </w:r>
    </w:p>
    <w:p w14:paraId="2C13290B">
      <w:pPr>
        <w:pStyle w:val="20"/>
        <w:pageBreakBefore w:val="0"/>
        <w:kinsoku/>
        <w:wordWrap/>
        <w:overflowPunct/>
        <w:topLinePunct w:val="0"/>
        <w:autoSpaceDE/>
        <w:autoSpaceDN/>
        <w:bidi w:val="0"/>
        <w:spacing w:line="400" w:lineRule="exact"/>
        <w:ind w:firstLine="420" w:firstLineChars="200"/>
        <w:contextualSpacing/>
        <w:textAlignment w:val="auto"/>
        <w:rPr>
          <w:rFonts w:hint="default" w:eastAsia="宋体"/>
          <w:color w:val="auto"/>
          <w:highlight w:val="none"/>
          <w:lang w:val="en-US" w:eastAsia="zh-CN"/>
        </w:rPr>
      </w:pPr>
      <w:r>
        <w:rPr>
          <w:rFonts w:hint="eastAsia" w:hAnsi="宋体" w:cs="宋体"/>
          <w:color w:val="auto"/>
          <w:highlight w:val="none"/>
          <w:lang w:val="en-US" w:eastAsia="zh-CN"/>
        </w:rPr>
        <w:t>3.投标人可投多个分标，但最多中选一个。评标委员会按标段顺序1至6分标依次评审，一旦某投标人在当前标段被推荐为第一中标候选人，则自动退出后续标段的评审，不再参与后续标段的评审及推荐</w:t>
      </w:r>
      <w:r>
        <w:rPr>
          <w:rFonts w:hint="eastAsia" w:ascii="宋体" w:hAnsi="宋体" w:cs="宋体"/>
          <w:color w:val="auto"/>
          <w:szCs w:val="21"/>
          <w:highlight w:val="none"/>
          <w:lang w:val="en-US" w:eastAsia="zh-CN"/>
        </w:rPr>
        <w:t>。</w:t>
      </w:r>
    </w:p>
    <w:p w14:paraId="01B7CE30">
      <w:pPr>
        <w:pStyle w:val="20"/>
        <w:spacing w:line="440" w:lineRule="exact"/>
        <w:ind w:firstLine="420" w:firstLineChars="200"/>
        <w:contextualSpacing/>
        <w:rPr>
          <w:rFonts w:hint="eastAsia" w:hAnsi="宋体" w:cs="宋体"/>
          <w:b/>
          <w:color w:val="auto"/>
          <w:sz w:val="24"/>
          <w:highlight w:val="none"/>
        </w:rPr>
      </w:pPr>
      <w:r>
        <w:rPr>
          <w:rFonts w:hint="eastAsia" w:hAnsi="宋体" w:cs="宋体"/>
          <w:color w:val="auto"/>
          <w:highlight w:val="none"/>
        </w:rPr>
        <w:br w:type="page"/>
      </w:r>
    </w:p>
    <w:p w14:paraId="7FB99A6A">
      <w:pPr>
        <w:pStyle w:val="2"/>
        <w:jc w:val="center"/>
        <w:rPr>
          <w:rFonts w:hint="eastAsia" w:ascii="宋体" w:hAnsi="宋体" w:cs="宋体"/>
          <w:color w:val="auto"/>
          <w:highlight w:val="none"/>
        </w:rPr>
      </w:pPr>
      <w:bookmarkStart w:id="304" w:name="_Toc25693"/>
      <w:bookmarkStart w:id="305" w:name="_Toc22428"/>
      <w:bookmarkStart w:id="306" w:name="_Toc5182"/>
      <w:r>
        <w:rPr>
          <w:rFonts w:hint="eastAsia" w:ascii="宋体" w:hAnsi="宋体" w:cs="宋体"/>
          <w:color w:val="auto"/>
          <w:highlight w:val="none"/>
        </w:rPr>
        <w:t>第五章  拟签订的合同文本</w:t>
      </w:r>
      <w:bookmarkEnd w:id="304"/>
      <w:bookmarkEnd w:id="305"/>
      <w:bookmarkEnd w:id="306"/>
    </w:p>
    <w:p w14:paraId="0D077211">
      <w:pPr>
        <w:spacing w:line="400" w:lineRule="exact"/>
        <w:jc w:val="center"/>
        <w:rPr>
          <w:rFonts w:hint="eastAsia" w:ascii="宋体" w:hAnsi="宋体" w:eastAsia="宋体" w:cs="宋体"/>
          <w:b/>
          <w:bCs/>
          <w:color w:val="auto"/>
          <w:sz w:val="24"/>
          <w:szCs w:val="24"/>
          <w:highlight w:val="none"/>
        </w:rPr>
      </w:pPr>
    </w:p>
    <w:p w14:paraId="7F6E7154">
      <w:pPr>
        <w:spacing w:line="400" w:lineRule="exact"/>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广西壮族自治区政府采购项目合同</w:t>
      </w:r>
    </w:p>
    <w:p w14:paraId="2E4C27EF">
      <w:pPr>
        <w:spacing w:line="400" w:lineRule="exact"/>
        <w:jc w:val="center"/>
        <w:rPr>
          <w:rFonts w:hint="eastAsia" w:ascii="宋体" w:hAnsi="宋体" w:eastAsia="宋体" w:cs="宋体"/>
          <w:b/>
          <w:bCs/>
          <w:color w:val="auto"/>
          <w:sz w:val="24"/>
          <w:szCs w:val="24"/>
          <w:highlight w:val="none"/>
        </w:rPr>
      </w:pPr>
    </w:p>
    <w:p w14:paraId="1FC699D1">
      <w:pPr>
        <w:spacing w:line="400" w:lineRule="exact"/>
        <w:ind w:firstLine="1913" w:firstLineChars="794"/>
        <w:rPr>
          <w:rFonts w:hint="eastAsia" w:ascii="宋体" w:hAnsi="宋体" w:eastAsia="宋体" w:cs="宋体"/>
          <w:b/>
          <w:bCs/>
          <w:color w:val="auto"/>
          <w:sz w:val="24"/>
          <w:szCs w:val="24"/>
          <w:highlight w:val="none"/>
        </w:rPr>
      </w:pPr>
    </w:p>
    <w:p w14:paraId="1CC69B80">
      <w:pPr>
        <w:tabs>
          <w:tab w:val="left" w:pos="7200"/>
        </w:tabs>
        <w:spacing w:line="400" w:lineRule="exact"/>
        <w:ind w:left="1843" w:leftChars="304" w:hanging="1205" w:hangingChars="500"/>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 xml:space="preserve">     </w:t>
      </w:r>
      <w:r>
        <w:rPr>
          <w:rFonts w:hint="eastAsia" w:ascii="宋体" w:hAnsi="宋体" w:eastAsia="宋体" w:cs="宋体"/>
          <w:b/>
          <w:bCs w:val="0"/>
          <w:color w:val="auto"/>
          <w:sz w:val="24"/>
          <w:szCs w:val="24"/>
          <w:highlight w:val="none"/>
          <w:lang w:val="en-US" w:eastAsia="zh-CN"/>
        </w:rPr>
        <w:t xml:space="preserve">        </w:t>
      </w:r>
    </w:p>
    <w:p w14:paraId="59A3D36E">
      <w:pPr>
        <w:tabs>
          <w:tab w:val="left" w:pos="7200"/>
        </w:tabs>
        <w:spacing w:line="400" w:lineRule="exact"/>
        <w:ind w:left="1843" w:leftChars="304" w:hanging="1205" w:hangingChars="500"/>
        <w:rPr>
          <w:rFonts w:hint="eastAsia" w:ascii="宋体" w:hAnsi="宋体" w:eastAsia="宋体" w:cs="宋体"/>
          <w:b/>
          <w:bCs w:val="0"/>
          <w:color w:val="auto"/>
          <w:sz w:val="24"/>
          <w:szCs w:val="24"/>
          <w:highlight w:val="none"/>
          <w:lang w:val="en-US" w:eastAsia="zh-CN"/>
        </w:rPr>
      </w:pPr>
    </w:p>
    <w:p w14:paraId="50A6E1FD">
      <w:pPr>
        <w:tabs>
          <w:tab w:val="left" w:pos="7200"/>
        </w:tabs>
        <w:spacing w:line="400" w:lineRule="exact"/>
        <w:ind w:left="1896" w:leftChars="903" w:firstLine="0" w:firstLineChars="0"/>
        <w:rPr>
          <w:rFonts w:hint="default" w:ascii="宋体" w:hAnsi="宋体" w:eastAsia="宋体" w:cs="宋体"/>
          <w:b/>
          <w:bCs w:val="0"/>
          <w:color w:val="auto"/>
          <w:sz w:val="24"/>
          <w:szCs w:val="24"/>
          <w:highlight w:val="none"/>
          <w:u w:val="single"/>
          <w:lang w:val="en-US" w:eastAsia="zh-CN"/>
        </w:rPr>
      </w:pPr>
      <w:r>
        <w:rPr>
          <w:rFonts w:hint="eastAsia" w:ascii="宋体" w:hAnsi="宋体" w:eastAsia="宋体" w:cs="宋体"/>
          <w:b/>
          <w:bCs w:val="0"/>
          <w:color w:val="auto"/>
          <w:spacing w:val="7"/>
          <w:kern w:val="0"/>
          <w:sz w:val="24"/>
          <w:szCs w:val="24"/>
          <w:highlight w:val="none"/>
          <w:fitText w:val="1260" w:id="943402656"/>
        </w:rPr>
        <w:t>项目名称</w:t>
      </w:r>
      <w:r>
        <w:rPr>
          <w:rFonts w:hint="eastAsia" w:ascii="宋体" w:hAnsi="宋体" w:eastAsia="宋体" w:cs="宋体"/>
          <w:b/>
          <w:bCs w:val="0"/>
          <w:color w:val="auto"/>
          <w:spacing w:val="2"/>
          <w:kern w:val="0"/>
          <w:sz w:val="24"/>
          <w:szCs w:val="24"/>
          <w:highlight w:val="none"/>
          <w:u w:val="none"/>
          <w:fitText w:val="1260" w:id="943402656"/>
        </w:rPr>
        <w:t>：</w:t>
      </w:r>
      <w:r>
        <w:rPr>
          <w:rFonts w:hint="eastAsia" w:ascii="宋体" w:hAnsi="宋体" w:cs="宋体"/>
          <w:b/>
          <w:bCs w:val="0"/>
          <w:color w:val="auto"/>
          <w:sz w:val="24"/>
          <w:szCs w:val="24"/>
          <w:highlight w:val="none"/>
          <w:u w:val="single"/>
          <w:lang w:val="en-US" w:eastAsia="zh-CN"/>
        </w:rPr>
        <w:t xml:space="preserve">                      </w:t>
      </w:r>
    </w:p>
    <w:p w14:paraId="03E5B9E5">
      <w:pPr>
        <w:spacing w:line="400" w:lineRule="exact"/>
        <w:ind w:left="1896" w:leftChars="903" w:firstLine="0" w:firstLineChars="0"/>
        <w:rPr>
          <w:rFonts w:hint="eastAsia" w:ascii="宋体" w:hAnsi="宋体" w:eastAsia="宋体" w:cs="宋体"/>
          <w:b/>
          <w:bCs w:val="0"/>
          <w:color w:val="auto"/>
          <w:sz w:val="24"/>
          <w:szCs w:val="24"/>
          <w:highlight w:val="none"/>
        </w:rPr>
      </w:pPr>
    </w:p>
    <w:p w14:paraId="1751879C">
      <w:pPr>
        <w:pStyle w:val="25"/>
        <w:rPr>
          <w:rFonts w:hint="eastAsia"/>
          <w:color w:val="auto"/>
          <w:sz w:val="24"/>
          <w:szCs w:val="24"/>
          <w:highlight w:val="none"/>
        </w:rPr>
      </w:pPr>
    </w:p>
    <w:p w14:paraId="39ED6A36">
      <w:pPr>
        <w:spacing w:line="400" w:lineRule="exact"/>
        <w:ind w:left="1896" w:leftChars="903" w:firstLine="0" w:firstLineChars="0"/>
        <w:rPr>
          <w:rFonts w:hint="eastAsia" w:ascii="宋体" w:hAnsi="宋体" w:cs="宋体"/>
          <w:b/>
          <w:bCs w:val="0"/>
          <w:color w:val="auto"/>
          <w:sz w:val="24"/>
          <w:szCs w:val="24"/>
          <w:highlight w:val="none"/>
          <w:u w:val="single"/>
          <w:lang w:val="en-US" w:eastAsia="zh-CN"/>
        </w:rPr>
      </w:pPr>
      <w:r>
        <w:rPr>
          <w:rFonts w:hint="eastAsia" w:ascii="宋体" w:hAnsi="宋体" w:eastAsia="宋体" w:cs="宋体"/>
          <w:b/>
          <w:bCs w:val="0"/>
          <w:color w:val="auto"/>
          <w:spacing w:val="7"/>
          <w:kern w:val="0"/>
          <w:sz w:val="24"/>
          <w:szCs w:val="24"/>
          <w:highlight w:val="none"/>
          <w:fitText w:val="1260" w:id="2109236552"/>
        </w:rPr>
        <w:t>计划编号</w:t>
      </w:r>
      <w:r>
        <w:rPr>
          <w:rFonts w:hint="eastAsia" w:ascii="宋体" w:hAnsi="宋体" w:eastAsia="宋体" w:cs="宋体"/>
          <w:b/>
          <w:bCs w:val="0"/>
          <w:color w:val="auto"/>
          <w:spacing w:val="2"/>
          <w:kern w:val="0"/>
          <w:sz w:val="24"/>
          <w:szCs w:val="24"/>
          <w:highlight w:val="none"/>
          <w:fitText w:val="1260" w:id="2109236552"/>
        </w:rPr>
        <w:t>：</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cs="宋体"/>
          <w:b/>
          <w:bCs w:val="0"/>
          <w:color w:val="auto"/>
          <w:sz w:val="24"/>
          <w:szCs w:val="24"/>
          <w:highlight w:val="none"/>
          <w:u w:val="single"/>
          <w:lang w:val="en-US" w:eastAsia="zh-CN"/>
        </w:rPr>
        <w:t xml:space="preserve">                     </w:t>
      </w:r>
    </w:p>
    <w:p w14:paraId="73C58450">
      <w:pPr>
        <w:pStyle w:val="25"/>
        <w:rPr>
          <w:rFonts w:hint="default"/>
          <w:color w:val="auto"/>
          <w:highlight w:val="none"/>
          <w:lang w:val="en-US" w:eastAsia="zh-CN"/>
        </w:rPr>
      </w:pPr>
    </w:p>
    <w:p w14:paraId="607BB449">
      <w:pPr>
        <w:pStyle w:val="25"/>
        <w:ind w:leftChars="900"/>
        <w:rPr>
          <w:rFonts w:hint="eastAsia"/>
          <w:color w:val="auto"/>
          <w:sz w:val="24"/>
          <w:szCs w:val="24"/>
          <w:highlight w:val="none"/>
          <w:lang w:val="en-US" w:eastAsia="zh-CN"/>
        </w:rPr>
      </w:pPr>
    </w:p>
    <w:p w14:paraId="4C957814">
      <w:pPr>
        <w:pStyle w:val="25"/>
        <w:ind w:leftChars="900"/>
        <w:rPr>
          <w:rFonts w:hint="default"/>
          <w:color w:val="auto"/>
          <w:sz w:val="24"/>
          <w:szCs w:val="24"/>
          <w:highlight w:val="none"/>
          <w:lang w:val="en-US" w:eastAsia="zh-CN"/>
        </w:rPr>
      </w:pPr>
      <w:r>
        <w:rPr>
          <w:rFonts w:hint="eastAsia"/>
          <w:color w:val="auto"/>
          <w:sz w:val="24"/>
          <w:szCs w:val="24"/>
          <w:highlight w:val="none"/>
          <w:lang w:val="en-US" w:eastAsia="zh-CN"/>
        </w:rPr>
        <w:t>分     标：</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cs="宋体"/>
          <w:b/>
          <w:bCs w:val="0"/>
          <w:color w:val="auto"/>
          <w:sz w:val="24"/>
          <w:szCs w:val="24"/>
          <w:highlight w:val="none"/>
          <w:u w:val="single"/>
          <w:lang w:val="en-US" w:eastAsia="zh-CN"/>
        </w:rPr>
        <w:t xml:space="preserve">                     </w:t>
      </w:r>
    </w:p>
    <w:p w14:paraId="241D740C">
      <w:pPr>
        <w:tabs>
          <w:tab w:val="left" w:pos="7200"/>
        </w:tabs>
        <w:spacing w:line="400" w:lineRule="exact"/>
        <w:ind w:left="1896" w:leftChars="903" w:firstLine="0" w:firstLineChars="0"/>
        <w:rPr>
          <w:rFonts w:hint="eastAsia" w:ascii="宋体" w:hAnsi="宋体" w:eastAsia="宋体" w:cs="宋体"/>
          <w:b/>
          <w:bCs w:val="0"/>
          <w:color w:val="auto"/>
          <w:spacing w:val="34"/>
          <w:kern w:val="0"/>
          <w:sz w:val="24"/>
          <w:szCs w:val="24"/>
          <w:highlight w:val="none"/>
          <w:fitText w:val="1260" w:id="1723538960"/>
        </w:rPr>
      </w:pPr>
    </w:p>
    <w:p w14:paraId="6987A606">
      <w:pPr>
        <w:tabs>
          <w:tab w:val="left" w:pos="7200"/>
        </w:tabs>
        <w:spacing w:line="400" w:lineRule="exact"/>
        <w:ind w:left="1896" w:leftChars="903" w:firstLine="0" w:firstLineChars="0"/>
        <w:rPr>
          <w:rFonts w:hint="eastAsia" w:ascii="宋体" w:hAnsi="宋体" w:eastAsia="宋体" w:cs="宋体"/>
          <w:b/>
          <w:bCs w:val="0"/>
          <w:color w:val="auto"/>
          <w:sz w:val="24"/>
          <w:szCs w:val="24"/>
          <w:highlight w:val="none"/>
          <w:u w:val="single"/>
          <w:lang w:val="en-US" w:eastAsia="zh-CN"/>
        </w:rPr>
      </w:pPr>
      <w:r>
        <w:rPr>
          <w:rFonts w:hint="eastAsia" w:ascii="宋体" w:hAnsi="宋体" w:eastAsia="宋体" w:cs="宋体"/>
          <w:b/>
          <w:bCs w:val="0"/>
          <w:color w:val="auto"/>
          <w:spacing w:val="50"/>
          <w:kern w:val="0"/>
          <w:sz w:val="24"/>
          <w:szCs w:val="24"/>
          <w:highlight w:val="none"/>
          <w:fitText w:val="1260" w:id="1723538960"/>
        </w:rPr>
        <w:t>采购人</w:t>
      </w:r>
      <w:r>
        <w:rPr>
          <w:rFonts w:hint="eastAsia" w:ascii="宋体" w:hAnsi="宋体" w:eastAsia="宋体" w:cs="宋体"/>
          <w:b/>
          <w:bCs w:val="0"/>
          <w:color w:val="auto"/>
          <w:spacing w:val="0"/>
          <w:kern w:val="0"/>
          <w:sz w:val="24"/>
          <w:szCs w:val="24"/>
          <w:highlight w:val="none"/>
          <w:fitText w:val="1260" w:id="1723538960"/>
        </w:rPr>
        <w:t>：</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cs="宋体"/>
          <w:b/>
          <w:bCs w:val="0"/>
          <w:color w:val="auto"/>
          <w:sz w:val="24"/>
          <w:szCs w:val="24"/>
          <w:highlight w:val="none"/>
          <w:u w:val="single"/>
          <w:lang w:val="en-US" w:eastAsia="zh-CN"/>
        </w:rPr>
        <w:t>广西壮族自治区农业农村厅</w:t>
      </w:r>
    </w:p>
    <w:p w14:paraId="5540EFDC">
      <w:pPr>
        <w:tabs>
          <w:tab w:val="left" w:pos="7200"/>
        </w:tabs>
        <w:spacing w:line="400" w:lineRule="exact"/>
        <w:ind w:left="1896" w:leftChars="903" w:firstLine="0" w:firstLineChars="0"/>
        <w:rPr>
          <w:rFonts w:hint="eastAsia" w:ascii="宋体" w:hAnsi="宋体" w:eastAsia="宋体" w:cs="宋体"/>
          <w:b/>
          <w:bCs w:val="0"/>
          <w:color w:val="auto"/>
          <w:sz w:val="24"/>
          <w:szCs w:val="24"/>
          <w:highlight w:val="none"/>
          <w:u w:val="single"/>
          <w:lang w:val="en-US" w:eastAsia="zh-CN"/>
        </w:rPr>
      </w:pPr>
    </w:p>
    <w:p w14:paraId="40EC9C53">
      <w:pPr>
        <w:pStyle w:val="25"/>
        <w:rPr>
          <w:rFonts w:hint="eastAsia"/>
          <w:color w:val="auto"/>
          <w:sz w:val="24"/>
          <w:szCs w:val="24"/>
          <w:highlight w:val="none"/>
          <w:lang w:val="en-US" w:eastAsia="zh-CN"/>
        </w:rPr>
      </w:pPr>
    </w:p>
    <w:p w14:paraId="626A85AD">
      <w:pPr>
        <w:tabs>
          <w:tab w:val="left" w:pos="7200"/>
        </w:tabs>
        <w:spacing w:line="400" w:lineRule="exact"/>
        <w:ind w:left="1896" w:leftChars="903" w:firstLine="0" w:firstLineChars="0"/>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pacing w:val="0"/>
          <w:w w:val="87"/>
          <w:kern w:val="0"/>
          <w:sz w:val="24"/>
          <w:szCs w:val="24"/>
          <w:highlight w:val="none"/>
          <w:fitText w:val="1260" w:id="1823153045"/>
        </w:rPr>
        <w:t>中标供应商</w:t>
      </w:r>
      <w:r>
        <w:rPr>
          <w:rFonts w:hint="eastAsia" w:ascii="宋体" w:hAnsi="宋体" w:eastAsia="宋体" w:cs="宋体"/>
          <w:b/>
          <w:bCs w:val="0"/>
          <w:color w:val="auto"/>
          <w:spacing w:val="-1"/>
          <w:w w:val="87"/>
          <w:kern w:val="0"/>
          <w:sz w:val="24"/>
          <w:szCs w:val="24"/>
          <w:highlight w:val="none"/>
          <w:fitText w:val="1260" w:id="1823153045"/>
        </w:rPr>
        <w:t>：</w:t>
      </w:r>
      <w:r>
        <w:rPr>
          <w:rFonts w:hint="eastAsia" w:ascii="宋体" w:hAnsi="宋体" w:cs="宋体"/>
          <w:b/>
          <w:bCs w:val="0"/>
          <w:color w:val="auto"/>
          <w:sz w:val="24"/>
          <w:szCs w:val="24"/>
          <w:highlight w:val="none"/>
          <w:u w:val="single"/>
          <w:lang w:val="en-US" w:eastAsia="zh-CN"/>
        </w:rPr>
        <w:t xml:space="preserve">   </w:t>
      </w:r>
      <w:r>
        <w:rPr>
          <w:rFonts w:hint="eastAsia" w:ascii="宋体" w:hAnsi="宋体" w:eastAsia="宋体" w:cs="宋体"/>
          <w:b/>
          <w:bCs w:val="0"/>
          <w:color w:val="auto"/>
          <w:sz w:val="24"/>
          <w:szCs w:val="24"/>
          <w:highlight w:val="none"/>
          <w:u w:val="single"/>
        </w:rPr>
        <w:t xml:space="preserve"> </w:t>
      </w:r>
      <w:r>
        <w:rPr>
          <w:rFonts w:hint="eastAsia" w:ascii="宋体" w:hAnsi="宋体" w:cs="宋体"/>
          <w:b/>
          <w:bCs w:val="0"/>
          <w:color w:val="auto"/>
          <w:sz w:val="24"/>
          <w:szCs w:val="24"/>
          <w:highlight w:val="none"/>
          <w:u w:val="single"/>
          <w:lang w:val="en-US" w:eastAsia="zh-CN"/>
        </w:rPr>
        <w:t xml:space="preserve">                    </w:t>
      </w:r>
    </w:p>
    <w:p w14:paraId="0FAC43F5">
      <w:pPr>
        <w:tabs>
          <w:tab w:val="left" w:pos="7380"/>
        </w:tabs>
        <w:spacing w:line="400" w:lineRule="exact"/>
        <w:rPr>
          <w:rFonts w:hint="eastAsia" w:ascii="宋体" w:hAnsi="宋体" w:eastAsia="宋体" w:cs="宋体"/>
          <w:b/>
          <w:bCs/>
          <w:color w:val="auto"/>
          <w:sz w:val="24"/>
          <w:szCs w:val="24"/>
          <w:highlight w:val="none"/>
        </w:rPr>
      </w:pPr>
    </w:p>
    <w:p w14:paraId="459E7D1F">
      <w:pPr>
        <w:spacing w:line="400" w:lineRule="exact"/>
        <w:ind w:firstLine="960" w:firstLineChars="400"/>
        <w:rPr>
          <w:rFonts w:hint="eastAsia" w:ascii="宋体" w:hAnsi="宋体" w:eastAsia="宋体" w:cs="宋体"/>
          <w:color w:val="auto"/>
          <w:sz w:val="24"/>
          <w:szCs w:val="24"/>
          <w:highlight w:val="none"/>
        </w:rPr>
      </w:pPr>
    </w:p>
    <w:p w14:paraId="53A606A9">
      <w:pPr>
        <w:spacing w:line="400" w:lineRule="exact"/>
        <w:ind w:firstLine="2160" w:firstLineChars="900"/>
        <w:rPr>
          <w:rFonts w:hint="eastAsia" w:ascii="宋体" w:hAnsi="宋体" w:eastAsia="宋体" w:cs="宋体"/>
          <w:color w:val="auto"/>
          <w:sz w:val="24"/>
          <w:szCs w:val="24"/>
          <w:highlight w:val="none"/>
        </w:rPr>
      </w:pPr>
    </w:p>
    <w:p w14:paraId="4D40A77F">
      <w:pPr>
        <w:spacing w:line="400" w:lineRule="exact"/>
        <w:ind w:firstLine="2160" w:firstLineChars="900"/>
        <w:rPr>
          <w:rFonts w:hint="eastAsia" w:ascii="宋体" w:hAnsi="宋体" w:eastAsia="宋体" w:cs="宋体"/>
          <w:color w:val="auto"/>
          <w:sz w:val="24"/>
          <w:szCs w:val="24"/>
          <w:highlight w:val="none"/>
        </w:rPr>
      </w:pPr>
    </w:p>
    <w:p w14:paraId="0D39B81B">
      <w:pPr>
        <w:spacing w:line="400" w:lineRule="exact"/>
        <w:ind w:firstLine="2160" w:firstLineChars="900"/>
        <w:rPr>
          <w:rFonts w:hint="eastAsia" w:ascii="宋体" w:hAnsi="宋体" w:eastAsia="宋体" w:cs="宋体"/>
          <w:color w:val="auto"/>
          <w:sz w:val="24"/>
          <w:szCs w:val="24"/>
          <w:highlight w:val="none"/>
        </w:rPr>
      </w:pPr>
    </w:p>
    <w:p w14:paraId="2D2A65F1">
      <w:pPr>
        <w:spacing w:line="400" w:lineRule="exact"/>
        <w:ind w:firstLine="2160" w:firstLineChars="900"/>
        <w:rPr>
          <w:rFonts w:hint="eastAsia" w:ascii="宋体" w:hAnsi="宋体" w:eastAsia="宋体" w:cs="宋体"/>
          <w:color w:val="auto"/>
          <w:sz w:val="24"/>
          <w:szCs w:val="24"/>
          <w:highlight w:val="none"/>
        </w:rPr>
      </w:pPr>
    </w:p>
    <w:p w14:paraId="4A0EE5BC">
      <w:pPr>
        <w:spacing w:line="400" w:lineRule="exact"/>
        <w:ind w:firstLine="2160" w:firstLineChars="900"/>
        <w:rPr>
          <w:rFonts w:hint="eastAsia" w:ascii="宋体" w:hAnsi="宋体" w:eastAsia="宋体" w:cs="宋体"/>
          <w:color w:val="auto"/>
          <w:sz w:val="24"/>
          <w:szCs w:val="24"/>
          <w:highlight w:val="none"/>
        </w:rPr>
      </w:pPr>
    </w:p>
    <w:p w14:paraId="264E260A">
      <w:pPr>
        <w:spacing w:line="400" w:lineRule="exact"/>
        <w:ind w:firstLine="2160" w:firstLineChars="900"/>
        <w:rPr>
          <w:rFonts w:hint="eastAsia" w:ascii="宋体" w:hAnsi="宋体" w:eastAsia="宋体" w:cs="宋体"/>
          <w:color w:val="auto"/>
          <w:sz w:val="24"/>
          <w:szCs w:val="24"/>
          <w:highlight w:val="none"/>
        </w:rPr>
      </w:pPr>
    </w:p>
    <w:p w14:paraId="382A53C3">
      <w:pPr>
        <w:spacing w:line="400" w:lineRule="exact"/>
        <w:ind w:firstLine="2160" w:firstLineChars="9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66AAC5F">
      <w:pPr>
        <w:spacing w:line="400" w:lineRule="exact"/>
        <w:ind w:firstLine="2160" w:firstLineChars="900"/>
        <w:rPr>
          <w:rFonts w:hint="eastAsia" w:ascii="宋体" w:hAnsi="宋体" w:eastAsia="宋体" w:cs="宋体"/>
          <w:bCs/>
          <w:color w:val="auto"/>
          <w:sz w:val="24"/>
          <w:szCs w:val="24"/>
          <w:highlight w:val="none"/>
        </w:rPr>
      </w:pPr>
    </w:p>
    <w:p w14:paraId="44ECF073">
      <w:pPr>
        <w:spacing w:line="400" w:lineRule="exact"/>
        <w:ind w:firstLine="2160" w:firstLineChars="9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合同编号：</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cs="宋体"/>
          <w:bCs/>
          <w:color w:val="auto"/>
          <w:sz w:val="24"/>
          <w:szCs w:val="24"/>
          <w:highlight w:val="none"/>
          <w:u w:val="single"/>
          <w:lang w:val="en-US" w:eastAsia="zh-CN"/>
        </w:rPr>
        <w:t xml:space="preserve">                </w:t>
      </w:r>
    </w:p>
    <w:p w14:paraId="48A14CCD">
      <w:pPr>
        <w:spacing w:line="400" w:lineRule="exact"/>
        <w:jc w:val="center"/>
        <w:rPr>
          <w:rFonts w:hint="eastAsia" w:ascii="宋体" w:hAnsi="宋体" w:eastAsia="宋体" w:cs="宋体"/>
          <w:color w:val="auto"/>
          <w:kern w:val="0"/>
          <w:sz w:val="24"/>
          <w:szCs w:val="24"/>
          <w:highlight w:val="none"/>
        </w:rPr>
      </w:pPr>
    </w:p>
    <w:p w14:paraId="2495CCDF">
      <w:pPr>
        <w:rPr>
          <w:rFonts w:hint="eastAsia" w:ascii="宋体" w:hAnsi="宋体" w:eastAsia="宋体" w:cs="宋体"/>
          <w:color w:val="auto"/>
          <w:kern w:val="0"/>
          <w:sz w:val="24"/>
          <w:szCs w:val="24"/>
          <w:highlight w:val="none"/>
        </w:rPr>
        <w:sectPr>
          <w:footerReference r:id="rId8" w:type="default"/>
          <w:pgSz w:w="11906" w:h="16838"/>
          <w:pgMar w:top="1440" w:right="1800" w:bottom="1440" w:left="1800" w:header="851" w:footer="992" w:gutter="0"/>
          <w:pgNumType w:fmt="decimal" w:start="1"/>
          <w:cols w:space="720" w:num="1"/>
          <w:docGrid w:type="lines" w:linePitch="312" w:charSpace="0"/>
        </w:sectPr>
      </w:pPr>
    </w:p>
    <w:p w14:paraId="1E024763">
      <w:pPr>
        <w:pStyle w:val="25"/>
        <w:rPr>
          <w:rFonts w:hint="eastAsia"/>
          <w:color w:val="auto"/>
          <w:highlight w:val="none"/>
        </w:rPr>
      </w:pPr>
    </w:p>
    <w:p w14:paraId="43023E4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color w:val="auto"/>
          <w:kern w:val="0"/>
          <w:sz w:val="28"/>
          <w:szCs w:val="28"/>
          <w:highlight w:val="none"/>
        </w:rPr>
      </w:pPr>
      <w:r>
        <w:rPr>
          <w:rFonts w:hint="eastAsia" w:ascii="方正小标宋_GBK" w:hAnsi="方正小标宋_GBK" w:eastAsia="方正小标宋_GBK" w:cs="方正小标宋_GBK"/>
          <w:color w:val="auto"/>
          <w:kern w:val="0"/>
          <w:sz w:val="28"/>
          <w:szCs w:val="28"/>
          <w:highlight w:val="none"/>
        </w:rPr>
        <w:t>政府采购技术服务合同</w:t>
      </w:r>
    </w:p>
    <w:p w14:paraId="2432756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kern w:val="0"/>
          <w:sz w:val="24"/>
          <w:szCs w:val="24"/>
          <w:highlight w:val="none"/>
        </w:rPr>
      </w:pPr>
    </w:p>
    <w:p w14:paraId="2ED052B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color w:val="auto"/>
          <w:kern w:val="0"/>
          <w:sz w:val="24"/>
          <w:szCs w:val="24"/>
          <w:highlight w:val="none"/>
        </w:rPr>
        <w:t>采购计划号：</w:t>
      </w:r>
      <w:r>
        <w:rPr>
          <w:rFonts w:hint="eastAsia" w:ascii="宋体" w:hAnsi="宋体" w:cs="宋体"/>
          <w:b w:val="0"/>
          <w:bCs/>
          <w:color w:val="auto"/>
          <w:sz w:val="24"/>
          <w:szCs w:val="24"/>
          <w:highlight w:val="none"/>
          <w:u w:val="single"/>
          <w:lang w:val="en-US" w:eastAsia="zh-CN"/>
        </w:rPr>
        <w:t xml:space="preserve">                      </w:t>
      </w:r>
    </w:p>
    <w:p w14:paraId="16F8A2E6">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kern w:val="0"/>
          <w:sz w:val="24"/>
          <w:szCs w:val="24"/>
          <w:highlight w:val="none"/>
          <w:u w:val="single"/>
          <w:lang w:val="en-US" w:eastAsia="zh-CN"/>
        </w:rPr>
      </w:pPr>
      <w:r>
        <w:rPr>
          <w:rFonts w:hint="eastAsia" w:ascii="宋体" w:hAnsi="宋体" w:eastAsia="宋体" w:cs="宋体"/>
          <w:b w:val="0"/>
          <w:bCs/>
          <w:color w:val="auto"/>
          <w:kern w:val="0"/>
          <w:sz w:val="24"/>
          <w:szCs w:val="24"/>
          <w:highlight w:val="none"/>
        </w:rPr>
        <w:t>项目名称：</w:t>
      </w:r>
      <w:r>
        <w:rPr>
          <w:rFonts w:hint="eastAsia" w:ascii="宋体" w:hAnsi="宋体" w:cs="宋体"/>
          <w:b w:val="0"/>
          <w:bCs/>
          <w:color w:val="auto"/>
          <w:sz w:val="24"/>
          <w:szCs w:val="24"/>
          <w:highlight w:val="none"/>
          <w:u w:val="single"/>
          <w:lang w:val="en-US" w:eastAsia="zh-CN"/>
        </w:rPr>
        <w:t xml:space="preserve">          </w:t>
      </w:r>
      <w:r>
        <w:rPr>
          <w:rFonts w:hint="eastAsia" w:ascii="宋体" w:hAnsi="宋体" w:cs="宋体"/>
          <w:b/>
          <w:bCs w:val="0"/>
          <w:color w:val="auto"/>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p>
    <w:p w14:paraId="1369FB55">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color w:val="auto"/>
          <w:kern w:val="0"/>
          <w:sz w:val="24"/>
          <w:szCs w:val="24"/>
          <w:highlight w:val="none"/>
        </w:rPr>
        <w:t>项目编号：</w:t>
      </w:r>
      <w:r>
        <w:rPr>
          <w:rFonts w:hint="eastAsia" w:ascii="宋体" w:hAnsi="宋体" w:cs="宋体"/>
          <w:b w:val="0"/>
          <w:bCs/>
          <w:color w:val="auto"/>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p>
    <w:p w14:paraId="65F271B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分    标：</w:t>
      </w:r>
      <w:r>
        <w:rPr>
          <w:rFonts w:hint="eastAsia" w:ascii="宋体" w:hAnsi="宋体" w:cs="宋体"/>
          <w:b w:val="0"/>
          <w:bCs/>
          <w:color w:val="auto"/>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p>
    <w:p w14:paraId="06DDF61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签订地点：</w:t>
      </w:r>
      <w:r>
        <w:rPr>
          <w:rFonts w:hint="eastAsia" w:ascii="宋体" w:hAnsi="宋体" w:cs="宋体"/>
          <w:color w:val="auto"/>
          <w:kern w:val="0"/>
          <w:sz w:val="24"/>
          <w:szCs w:val="24"/>
          <w:highlight w:val="none"/>
          <w:u w:val="single"/>
          <w:lang w:eastAsia="zh-CN"/>
        </w:rPr>
        <w:t>广西壮族自治区农业农村厅</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4A01FA3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签订时间：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A4494E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甲方（采购人）：</w:t>
      </w:r>
      <w:r>
        <w:rPr>
          <w:rFonts w:hint="eastAsia" w:ascii="宋体" w:hAnsi="宋体" w:cs="宋体"/>
          <w:color w:val="auto"/>
          <w:kern w:val="0"/>
          <w:sz w:val="24"/>
          <w:szCs w:val="24"/>
          <w:highlight w:val="none"/>
          <w:u w:val="single"/>
          <w:lang w:eastAsia="zh-CN"/>
        </w:rPr>
        <w:t>广西壮族自治区农业农村厅</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 xml:space="preserve"> </w:t>
      </w:r>
    </w:p>
    <w:p w14:paraId="5AB8D03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住所地：</w:t>
      </w:r>
      <w:r>
        <w:rPr>
          <w:rFonts w:hint="eastAsia" w:ascii="宋体" w:hAnsi="宋体" w:cs="宋体"/>
          <w:color w:val="auto"/>
          <w:kern w:val="0"/>
          <w:sz w:val="24"/>
          <w:szCs w:val="24"/>
          <w:highlight w:val="none"/>
          <w:u w:val="single"/>
          <w:lang w:eastAsia="zh-CN"/>
        </w:rPr>
        <w:t>广西壮族自治区南宁市青秀区青山路8号</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12CAB1E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法定代表人：</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 xml:space="preserve">     </w:t>
      </w:r>
    </w:p>
    <w:p w14:paraId="01620FB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通讯地址：</w:t>
      </w:r>
      <w:r>
        <w:rPr>
          <w:rFonts w:hint="eastAsia" w:ascii="宋体" w:hAnsi="宋体" w:cs="宋体"/>
          <w:color w:val="auto"/>
          <w:kern w:val="0"/>
          <w:sz w:val="24"/>
          <w:szCs w:val="24"/>
          <w:highlight w:val="none"/>
          <w:u w:val="single"/>
          <w:lang w:eastAsia="zh-CN"/>
        </w:rPr>
        <w:t>广西壮族自治区南宁市青秀区青山路8号</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rPr>
        <w:t xml:space="preserve"> </w:t>
      </w:r>
    </w:p>
    <w:p w14:paraId="1CC2B10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电子邮箱：</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41D9CD2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Cs/>
          <w:color w:val="auto"/>
          <w:kern w:val="0"/>
          <w:sz w:val="24"/>
          <w:szCs w:val="24"/>
          <w:highlight w:val="none"/>
          <w:u w:val="single"/>
        </w:rPr>
      </w:pPr>
      <w:r>
        <w:rPr>
          <w:rFonts w:hint="eastAsia" w:ascii="宋体" w:hAnsi="宋体" w:eastAsia="宋体" w:cs="宋体"/>
          <w:color w:val="auto"/>
          <w:kern w:val="0"/>
          <w:sz w:val="24"/>
          <w:szCs w:val="24"/>
          <w:highlight w:val="none"/>
        </w:rPr>
        <w:t>乙方</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中标人）</w:t>
      </w:r>
      <w:r>
        <w:rPr>
          <w:rFonts w:hint="eastAsia" w:ascii="宋体" w:hAnsi="宋体" w:eastAsia="宋体" w:cs="宋体"/>
          <w:color w:val="auto"/>
          <w:kern w:val="0"/>
          <w:sz w:val="24"/>
          <w:szCs w:val="24"/>
          <w:highlight w:val="none"/>
        </w:rPr>
        <w:t>：</w:t>
      </w:r>
      <w:r>
        <w:rPr>
          <w:rFonts w:hint="eastAsia" w:ascii="宋体" w:hAnsi="宋体" w:cs="宋体"/>
          <w:b w:val="0"/>
          <w:b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p>
    <w:p w14:paraId="706418E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Cs/>
          <w:color w:val="auto"/>
          <w:kern w:val="0"/>
          <w:sz w:val="24"/>
          <w:szCs w:val="24"/>
          <w:highlight w:val="none"/>
          <w:u w:val="single"/>
        </w:rPr>
      </w:pPr>
      <w:r>
        <w:rPr>
          <w:rFonts w:hint="eastAsia" w:ascii="宋体" w:hAnsi="宋体" w:eastAsia="宋体" w:cs="宋体"/>
          <w:bCs/>
          <w:color w:val="auto"/>
          <w:kern w:val="0"/>
          <w:sz w:val="24"/>
          <w:szCs w:val="24"/>
          <w:highlight w:val="none"/>
        </w:rPr>
        <w:t>住所地：</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4C53383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Cs/>
          <w:color w:val="auto"/>
          <w:kern w:val="0"/>
          <w:sz w:val="24"/>
          <w:szCs w:val="24"/>
          <w:highlight w:val="none"/>
          <w:u w:val="single"/>
        </w:rPr>
      </w:pPr>
      <w:r>
        <w:rPr>
          <w:rFonts w:hint="eastAsia" w:ascii="宋体" w:hAnsi="宋体" w:eastAsia="宋体" w:cs="宋体"/>
          <w:bCs/>
          <w:color w:val="auto"/>
          <w:kern w:val="0"/>
          <w:sz w:val="24"/>
          <w:szCs w:val="24"/>
          <w:highlight w:val="none"/>
        </w:rPr>
        <w:t>法定代表人：</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bCs/>
          <w:color w:val="auto"/>
          <w:kern w:val="0"/>
          <w:sz w:val="24"/>
          <w:szCs w:val="24"/>
          <w:highlight w:val="none"/>
          <w:u w:val="single"/>
        </w:rPr>
        <w:t xml:space="preserve"> </w:t>
      </w:r>
    </w:p>
    <w:p w14:paraId="17B3567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通讯地址：</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bCs/>
          <w:color w:val="auto"/>
          <w:kern w:val="0"/>
          <w:sz w:val="24"/>
          <w:szCs w:val="24"/>
          <w:highlight w:val="none"/>
          <w:u w:val="single"/>
        </w:rPr>
        <w:t xml:space="preserve">  </w:t>
      </w:r>
    </w:p>
    <w:p w14:paraId="593472B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联系电话：</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bCs/>
          <w:color w:val="auto"/>
          <w:kern w:val="0"/>
          <w:sz w:val="24"/>
          <w:szCs w:val="24"/>
          <w:highlight w:val="none"/>
          <w:u w:val="single"/>
        </w:rPr>
        <w:t xml:space="preserve">     </w:t>
      </w:r>
    </w:p>
    <w:p w14:paraId="287FEE4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rPr>
        <w:t>电子邮箱：</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bCs/>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rPr>
        <w:t xml:space="preserve">    </w:t>
      </w:r>
    </w:p>
    <w:p w14:paraId="7BB108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_GB2312" w:hAnsi="楷体" w:eastAsia="仿宋_GB2312"/>
          <w:color w:val="auto"/>
          <w:sz w:val="24"/>
          <w:szCs w:val="24"/>
          <w:highlight w:val="none"/>
        </w:rPr>
      </w:pPr>
    </w:p>
    <w:p w14:paraId="37D9953F">
      <w:pPr>
        <w:pStyle w:val="4"/>
        <w:bidi w:val="0"/>
        <w:jc w:val="center"/>
        <w:rPr>
          <w:rFonts w:hint="eastAsia"/>
          <w:color w:val="auto"/>
          <w:highlight w:val="none"/>
          <w:lang w:val="en-US" w:eastAsia="zh-CN"/>
        </w:rPr>
        <w:sectPr>
          <w:footerReference r:id="rId10" w:type="first"/>
          <w:footerReference r:id="rId9" w:type="default"/>
          <w:pgSz w:w="11906" w:h="16838"/>
          <w:pgMar w:top="1440" w:right="1757" w:bottom="1440" w:left="1803" w:header="850" w:footer="850" w:gutter="0"/>
          <w:pgNumType w:fmt="decimal"/>
          <w:cols w:space="720" w:num="1"/>
          <w:docGrid w:linePitch="312" w:charSpace="0"/>
        </w:sectPr>
      </w:pPr>
    </w:p>
    <w:p w14:paraId="2E86B335">
      <w:pPr>
        <w:pStyle w:val="4"/>
        <w:bidi w:val="0"/>
        <w:jc w:val="center"/>
        <w:rPr>
          <w:rFonts w:hint="eastAsia"/>
          <w:color w:val="auto"/>
          <w:highlight w:val="none"/>
          <w:lang w:val="en-US" w:eastAsia="zh-CN"/>
        </w:rPr>
      </w:pPr>
      <w:r>
        <w:rPr>
          <w:rFonts w:hint="eastAsia"/>
          <w:color w:val="auto"/>
          <w:highlight w:val="none"/>
          <w:lang w:val="en-US" w:eastAsia="zh-CN"/>
        </w:rPr>
        <w:t>合同正文</w:t>
      </w:r>
    </w:p>
    <w:p w14:paraId="3050346D">
      <w:pPr>
        <w:rPr>
          <w:rFonts w:hint="eastAsia"/>
          <w:color w:val="auto"/>
          <w:highlight w:val="none"/>
          <w:lang w:val="en-US" w:eastAsia="zh-CN"/>
        </w:rPr>
      </w:pPr>
    </w:p>
    <w:p w14:paraId="54FC646A">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根据《中华人民共和国政府采购法》《中华人民共和国民法典》等法律、法规规定，按照招标文件（采购文件）规定条款和投标文件及承诺，采购人（甲方）与中标人（乙方）双方签订本合同。</w:t>
      </w:r>
    </w:p>
    <w:p w14:paraId="6E068AB1">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第一条　合同标的</w:t>
      </w:r>
    </w:p>
    <w:p w14:paraId="38FEAD24">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default"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1.服务一览表</w:t>
      </w:r>
      <w:r>
        <w:rPr>
          <w:rFonts w:hint="eastAsia" w:ascii="宋体" w:hAnsi="宋体" w:cs="宋体"/>
          <w:b w:val="0"/>
          <w:bCs w:val="0"/>
          <w:color w:val="auto"/>
          <w:sz w:val="21"/>
          <w:szCs w:val="21"/>
          <w:highlight w:val="none"/>
          <w:u w:val="none"/>
          <w:lang w:val="en-US" w:eastAsia="zh-CN"/>
        </w:rPr>
        <w:t>（分标：</w:t>
      </w:r>
      <w:r>
        <w:rPr>
          <w:rFonts w:hint="eastAsia" w:ascii="宋体" w:hAnsi="宋体" w:cs="宋体"/>
          <w:b w:val="0"/>
          <w:bCs/>
          <w:color w:val="auto"/>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 xml:space="preserve"> ）</w:t>
      </w:r>
    </w:p>
    <w:tbl>
      <w:tblPr>
        <w:tblStyle w:val="3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1569"/>
        <w:gridCol w:w="2027"/>
        <w:gridCol w:w="911"/>
        <w:gridCol w:w="737"/>
        <w:gridCol w:w="1353"/>
        <w:gridCol w:w="1361"/>
      </w:tblGrid>
      <w:tr w14:paraId="656D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325" w:type="pct"/>
            <w:tcBorders>
              <w:top w:val="single" w:color="auto" w:sz="4" w:space="0"/>
              <w:left w:val="single" w:color="auto" w:sz="4" w:space="0"/>
              <w:bottom w:val="single" w:color="auto" w:sz="4" w:space="0"/>
              <w:right w:val="single" w:color="auto" w:sz="4" w:space="0"/>
            </w:tcBorders>
            <w:noWrap w:val="0"/>
            <w:vAlign w:val="center"/>
          </w:tcPr>
          <w:p w14:paraId="56A2C8DB">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序号</w:t>
            </w:r>
          </w:p>
        </w:tc>
        <w:tc>
          <w:tcPr>
            <w:tcW w:w="922" w:type="pct"/>
            <w:tcBorders>
              <w:top w:val="single" w:color="auto" w:sz="4" w:space="0"/>
              <w:left w:val="single" w:color="auto" w:sz="4" w:space="0"/>
              <w:bottom w:val="single" w:color="auto" w:sz="4" w:space="0"/>
              <w:right w:val="single" w:color="auto" w:sz="4" w:space="0"/>
            </w:tcBorders>
            <w:noWrap w:val="0"/>
            <w:vAlign w:val="center"/>
          </w:tcPr>
          <w:p w14:paraId="2E46D7D4">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标的</w:t>
            </w:r>
            <w:r>
              <w:rPr>
                <w:rFonts w:hint="eastAsia" w:ascii="宋体" w:hAnsi="宋体" w:eastAsia="宋体" w:cs="宋体"/>
                <w:b/>
                <w:bCs/>
                <w:color w:val="auto"/>
                <w:sz w:val="21"/>
                <w:szCs w:val="21"/>
                <w:highlight w:val="none"/>
                <w:u w:val="none"/>
                <w:lang w:val="en-US" w:eastAsia="zh-CN"/>
              </w:rPr>
              <w:t>名称</w:t>
            </w:r>
          </w:p>
        </w:tc>
        <w:tc>
          <w:tcPr>
            <w:tcW w:w="1191" w:type="pct"/>
            <w:tcBorders>
              <w:top w:val="single" w:color="auto" w:sz="4" w:space="0"/>
              <w:left w:val="single" w:color="auto" w:sz="4" w:space="0"/>
              <w:bottom w:val="single" w:color="auto" w:sz="4" w:space="0"/>
              <w:right w:val="single" w:color="auto" w:sz="4" w:space="0"/>
            </w:tcBorders>
            <w:noWrap w:val="0"/>
            <w:vAlign w:val="center"/>
          </w:tcPr>
          <w:p w14:paraId="29F6ED4B">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服务内容</w:t>
            </w:r>
          </w:p>
        </w:tc>
        <w:tc>
          <w:tcPr>
            <w:tcW w:w="535" w:type="pct"/>
            <w:tcBorders>
              <w:top w:val="single" w:color="auto" w:sz="4" w:space="0"/>
              <w:left w:val="single" w:color="auto" w:sz="4" w:space="0"/>
              <w:bottom w:val="single" w:color="auto" w:sz="4" w:space="0"/>
              <w:right w:val="single" w:color="auto" w:sz="4" w:space="0"/>
            </w:tcBorders>
            <w:noWrap w:val="0"/>
            <w:vAlign w:val="center"/>
          </w:tcPr>
          <w:p w14:paraId="31263116">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数量</w:t>
            </w:r>
          </w:p>
        </w:tc>
        <w:tc>
          <w:tcPr>
            <w:tcW w:w="433" w:type="pct"/>
            <w:tcBorders>
              <w:top w:val="single" w:color="auto" w:sz="4" w:space="0"/>
              <w:left w:val="single" w:color="auto" w:sz="4" w:space="0"/>
              <w:bottom w:val="single" w:color="auto" w:sz="4" w:space="0"/>
              <w:right w:val="single" w:color="auto" w:sz="4" w:space="0"/>
            </w:tcBorders>
            <w:noWrap w:val="0"/>
            <w:vAlign w:val="center"/>
          </w:tcPr>
          <w:p w14:paraId="79A7028F">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单位</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7C146282">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单  价</w:t>
            </w:r>
          </w:p>
          <w:p w14:paraId="5D10345C">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（元）</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7F3AEFA1">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总  价</w:t>
            </w:r>
          </w:p>
          <w:p w14:paraId="55F2D24F">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（元）</w:t>
            </w:r>
          </w:p>
        </w:tc>
      </w:tr>
      <w:tr w14:paraId="61F1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325" w:type="pct"/>
            <w:tcBorders>
              <w:top w:val="single" w:color="auto" w:sz="4" w:space="0"/>
              <w:left w:val="single" w:color="auto" w:sz="4" w:space="0"/>
              <w:bottom w:val="single" w:color="auto" w:sz="4" w:space="0"/>
              <w:right w:val="single" w:color="auto" w:sz="4" w:space="0"/>
            </w:tcBorders>
            <w:noWrap w:val="0"/>
            <w:vAlign w:val="center"/>
          </w:tcPr>
          <w:p w14:paraId="38E61A75">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w:t>
            </w:r>
          </w:p>
        </w:tc>
        <w:tc>
          <w:tcPr>
            <w:tcW w:w="922" w:type="pct"/>
            <w:tcBorders>
              <w:top w:val="single" w:color="auto" w:sz="4" w:space="0"/>
              <w:left w:val="single" w:color="auto" w:sz="4" w:space="0"/>
              <w:bottom w:val="single" w:color="auto" w:sz="4" w:space="0"/>
              <w:right w:val="single" w:color="auto" w:sz="4" w:space="0"/>
            </w:tcBorders>
            <w:noWrap w:val="0"/>
            <w:vAlign w:val="center"/>
          </w:tcPr>
          <w:p w14:paraId="425E1C50">
            <w:pPr>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color w:val="auto"/>
                <w:sz w:val="21"/>
                <w:szCs w:val="21"/>
                <w:highlight w:val="none"/>
                <w:u w:val="none"/>
                <w:lang w:val="en-US" w:eastAsia="zh-CN"/>
              </w:rPr>
            </w:pPr>
          </w:p>
        </w:tc>
        <w:tc>
          <w:tcPr>
            <w:tcW w:w="1191" w:type="pct"/>
            <w:tcBorders>
              <w:top w:val="single" w:color="auto" w:sz="4" w:space="0"/>
              <w:left w:val="single" w:color="auto" w:sz="4" w:space="0"/>
              <w:bottom w:val="single" w:color="auto" w:sz="4" w:space="0"/>
              <w:right w:val="single" w:color="auto" w:sz="4" w:space="0"/>
            </w:tcBorders>
            <w:noWrap w:val="0"/>
            <w:vAlign w:val="center"/>
          </w:tcPr>
          <w:p w14:paraId="6FFADE8C">
            <w:pPr>
              <w:keepNext w:val="0"/>
              <w:keepLines w:val="0"/>
              <w:pageBreakBefore w:val="0"/>
              <w:widowControl w:val="0"/>
              <w:kinsoku/>
              <w:wordWrap/>
              <w:overflowPunct/>
              <w:topLinePunct w:val="0"/>
              <w:autoSpaceDE/>
              <w:autoSpaceDN/>
              <w:bidi w:val="0"/>
              <w:adjustRightInd/>
              <w:snapToGrid/>
              <w:spacing w:beforeLines="0" w:afterLines="0" w:line="400" w:lineRule="exact"/>
              <w:ind w:left="0" w:leftChars="0" w:firstLine="0" w:firstLineChars="0"/>
              <w:jc w:val="both"/>
              <w:textAlignment w:val="auto"/>
              <w:rPr>
                <w:rFonts w:hint="eastAsia" w:ascii="宋体" w:hAnsi="宋体" w:eastAsia="宋体" w:cs="宋体"/>
                <w:color w:val="auto"/>
                <w:sz w:val="21"/>
                <w:szCs w:val="21"/>
                <w:highlight w:val="none"/>
                <w:u w:val="none"/>
                <w:lang w:val="en-US" w:eastAsia="zh-CN"/>
              </w:rPr>
            </w:pPr>
          </w:p>
        </w:tc>
        <w:tc>
          <w:tcPr>
            <w:tcW w:w="535" w:type="pct"/>
            <w:tcBorders>
              <w:top w:val="single" w:color="auto" w:sz="4" w:space="0"/>
              <w:left w:val="single" w:color="auto" w:sz="4" w:space="0"/>
              <w:bottom w:val="single" w:color="auto" w:sz="4" w:space="0"/>
              <w:right w:val="single" w:color="auto" w:sz="4" w:space="0"/>
            </w:tcBorders>
            <w:noWrap w:val="0"/>
            <w:vAlign w:val="center"/>
          </w:tcPr>
          <w:p w14:paraId="223081D4">
            <w:pPr>
              <w:keepNext w:val="0"/>
              <w:keepLines w:val="0"/>
              <w:pageBreakBefore w:val="0"/>
              <w:widowControl w:val="0"/>
              <w:kinsoku/>
              <w:wordWrap/>
              <w:overflowPunct/>
              <w:topLinePunct w:val="0"/>
              <w:autoSpaceDE/>
              <w:autoSpaceDN/>
              <w:bidi w:val="0"/>
              <w:adjustRightInd/>
              <w:snapToGrid/>
              <w:spacing w:beforeLines="0" w:afterLines="0" w:line="400" w:lineRule="exact"/>
              <w:ind w:left="0" w:leftChars="0" w:firstLine="0" w:firstLineChars="0"/>
              <w:jc w:val="both"/>
              <w:textAlignment w:val="auto"/>
              <w:rPr>
                <w:rFonts w:hint="eastAsia" w:ascii="宋体" w:hAnsi="宋体" w:eastAsia="宋体" w:cs="宋体"/>
                <w:color w:val="auto"/>
                <w:sz w:val="21"/>
                <w:szCs w:val="21"/>
                <w:highlight w:val="none"/>
                <w:u w:val="none"/>
                <w:lang w:val="en-US" w:eastAsia="zh-CN"/>
              </w:rPr>
            </w:pPr>
          </w:p>
        </w:tc>
        <w:tc>
          <w:tcPr>
            <w:tcW w:w="433" w:type="pct"/>
            <w:tcBorders>
              <w:top w:val="single" w:color="auto" w:sz="4" w:space="0"/>
              <w:left w:val="single" w:color="auto" w:sz="4" w:space="0"/>
              <w:bottom w:val="single" w:color="auto" w:sz="4" w:space="0"/>
              <w:right w:val="single" w:color="auto" w:sz="4" w:space="0"/>
            </w:tcBorders>
            <w:noWrap w:val="0"/>
            <w:vAlign w:val="center"/>
          </w:tcPr>
          <w:p w14:paraId="26CAD6D2">
            <w:pPr>
              <w:keepNext w:val="0"/>
              <w:keepLines w:val="0"/>
              <w:pageBreakBefore w:val="0"/>
              <w:widowControl w:val="0"/>
              <w:kinsoku/>
              <w:wordWrap/>
              <w:overflowPunct/>
              <w:topLinePunct w:val="0"/>
              <w:autoSpaceDE/>
              <w:autoSpaceDN/>
              <w:bidi w:val="0"/>
              <w:adjustRightInd/>
              <w:snapToGrid/>
              <w:spacing w:beforeLines="0" w:afterLines="0" w:line="400" w:lineRule="exact"/>
              <w:ind w:left="0" w:leftChars="0" w:firstLine="0" w:firstLineChars="0"/>
              <w:jc w:val="both"/>
              <w:textAlignment w:val="auto"/>
              <w:rPr>
                <w:rFonts w:hint="eastAsia" w:ascii="宋体" w:hAnsi="宋体" w:eastAsia="宋体" w:cs="宋体"/>
                <w:color w:val="auto"/>
                <w:sz w:val="21"/>
                <w:szCs w:val="21"/>
                <w:highlight w:val="none"/>
                <w:u w:val="none"/>
                <w:lang w:val="en-US" w:eastAsia="zh-CN"/>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1FD9C945">
            <w:pPr>
              <w:keepNext w:val="0"/>
              <w:keepLines w:val="0"/>
              <w:pageBreakBefore w:val="0"/>
              <w:widowControl w:val="0"/>
              <w:kinsoku/>
              <w:wordWrap/>
              <w:overflowPunct/>
              <w:topLinePunct w:val="0"/>
              <w:autoSpaceDE/>
              <w:autoSpaceDN/>
              <w:bidi w:val="0"/>
              <w:adjustRightInd/>
              <w:snapToGrid/>
              <w:spacing w:beforeLines="0" w:afterLines="0" w:line="400" w:lineRule="exact"/>
              <w:ind w:left="0" w:leftChars="0" w:firstLine="0" w:firstLineChars="0"/>
              <w:jc w:val="both"/>
              <w:textAlignment w:val="auto"/>
              <w:rPr>
                <w:rFonts w:hint="eastAsia" w:ascii="宋体" w:hAnsi="宋体" w:eastAsia="宋体" w:cs="宋体"/>
                <w:color w:val="auto"/>
                <w:sz w:val="21"/>
                <w:szCs w:val="21"/>
                <w:highlight w:val="none"/>
                <w:u w:val="none"/>
                <w:lang w:val="en-US" w:eastAsia="zh-CN"/>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1BF86CB3">
            <w:pPr>
              <w:keepNext w:val="0"/>
              <w:keepLines w:val="0"/>
              <w:pageBreakBefore w:val="0"/>
              <w:widowControl w:val="0"/>
              <w:kinsoku/>
              <w:wordWrap/>
              <w:overflowPunct/>
              <w:topLinePunct w:val="0"/>
              <w:autoSpaceDE/>
              <w:autoSpaceDN/>
              <w:bidi w:val="0"/>
              <w:adjustRightInd/>
              <w:snapToGrid/>
              <w:spacing w:beforeLines="0" w:afterLines="0" w:line="400" w:lineRule="exact"/>
              <w:ind w:left="0" w:leftChars="0" w:firstLine="0" w:firstLineChars="0"/>
              <w:jc w:val="both"/>
              <w:textAlignment w:val="auto"/>
              <w:rPr>
                <w:rFonts w:hint="eastAsia" w:ascii="宋体" w:hAnsi="宋体" w:eastAsia="宋体" w:cs="宋体"/>
                <w:color w:val="auto"/>
                <w:sz w:val="21"/>
                <w:szCs w:val="21"/>
                <w:highlight w:val="none"/>
                <w:u w:val="none"/>
                <w:lang w:val="en-US" w:eastAsia="zh-CN"/>
              </w:rPr>
            </w:pPr>
          </w:p>
        </w:tc>
      </w:tr>
      <w:tr w14:paraId="3E73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0F64BC04">
            <w:pPr>
              <w:keepNext w:val="0"/>
              <w:keepLines w:val="0"/>
              <w:pageBreakBefore w:val="0"/>
              <w:widowControl w:val="0"/>
              <w:kinsoku/>
              <w:wordWrap/>
              <w:overflowPunct/>
              <w:topLinePunct w:val="0"/>
              <w:autoSpaceDE/>
              <w:autoSpaceDN/>
              <w:bidi w:val="0"/>
              <w:adjustRightInd/>
              <w:snapToGrid/>
              <w:spacing w:beforeLines="0" w:afterLines="0" w:line="400" w:lineRule="exact"/>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本项目实行固定单价、据实结算，最终支付金额以实际发生量乘以中标单价为准。本合同总价最高限额为本分标预算上控价，若实际发生额超出该上控价，则按上控价进行封顶结算，超出部分甲方不予支付。</w:t>
            </w:r>
          </w:p>
        </w:tc>
      </w:tr>
    </w:tbl>
    <w:p w14:paraId="590D4ACC">
      <w:pPr>
        <w:keepNext w:val="0"/>
        <w:keepLines w:val="0"/>
        <w:pageBreakBefore w:val="0"/>
        <w:widowControl w:val="0"/>
        <w:kinsoku/>
        <w:wordWrap/>
        <w:overflowPunct/>
        <w:topLinePunct w:val="0"/>
        <w:autoSpaceDE/>
        <w:autoSpaceDN/>
        <w:bidi w:val="0"/>
        <w:adjustRightInd/>
        <w:snapToGrid/>
        <w:spacing w:before="0"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val="en-US" w:eastAsia="zh-CN"/>
        </w:rPr>
        <w:t>2.合同合计金额包括但不限于满足本次招标全部采购需求所应提供的服务，以及伴随的货物和工程（如有）的价格，包括但不限于服务、货物、工程的成本、运输（含保险）、安装（如有）、调试、检验、技术服务、培训、税费、版权使用费（如有）等所有费用。</w:t>
      </w:r>
    </w:p>
    <w:p w14:paraId="0B00D8FB">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第二条　质量保证</w:t>
      </w:r>
    </w:p>
    <w:p w14:paraId="4F6F8480">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 乙方应建立和完善履行合同的内部质量保证体系，并提供相关内部规章制度给甲方，以便甲方进行监督检查；</w:t>
      </w:r>
    </w:p>
    <w:p w14:paraId="25C8A15B">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 乙方应保证履行合同的人员数量和素质、软件和硬件设备的配置、场地、环境和设施等满足全面履行合同的要求，并应接受甲方的监督检查。</w:t>
      </w:r>
    </w:p>
    <w:p w14:paraId="3B7B76FE">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乙方所提供的服务、服务质量及服务内容必须与合同、招标文件、投标文件及承诺相一致。有国家强制性标准的，还必须符合国家强制性标准的规定；没有国家强制性标准但有其他标准的，必须符合其他标准的规定。</w:t>
      </w:r>
    </w:p>
    <w:p w14:paraId="4C69034B">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第三条　权利保证</w:t>
      </w:r>
    </w:p>
    <w:p w14:paraId="0BA5E420">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1.甲方有权随时向乙方了解服务进度和对服务资金使用情况进行监督、检查，并要求乙方提供相关资料。</w:t>
      </w:r>
    </w:p>
    <w:p w14:paraId="31CA7E9C">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甲方有权按照合同约定或有关法律法规、政府管理的相关职能规定，对乙方服务进行监督和检查，有权要求乙方按照监督检查情况制定相应措施并加以整改。甲方不因行使该监督和检查权而承担任何责任，也不因此而减轻或免除乙方根据合同约定或相关法律法规规定应承担的任何义务或责任。</w:t>
      </w:r>
    </w:p>
    <w:p w14:paraId="0F60CFFF">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3.乙方应保证所提供服务在使用时不会侵犯任何第三方的专利权、商标权、工业设计权等知识产权及其他合法权利，且所有权、处分权等没有受到任何限制。</w:t>
      </w:r>
    </w:p>
    <w:p w14:paraId="71AF74C5">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没有甲方事先书面同意，乙方不得将由甲方提供的有关合同或者任何合同条文、规格、计划、图纸、样品或者资料提供给与履行本合同无关的任何其他人。即使向履行合同有关的人员提供，也应注意保密并限于履行合同的必需范围。乙方的保密义务持续有效，不因为本合同履行终止、解除或者无效而解除。</w:t>
      </w:r>
    </w:p>
    <w:p w14:paraId="0EB6AB41">
      <w:pPr>
        <w:keepNext w:val="0"/>
        <w:keepLines w:val="0"/>
        <w:pageBreakBefore w:val="0"/>
        <w:widowControl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乙方保证所交付的服务成果的所有权完全属于乙方且无任何抵押、质押、查封等产权瑕疵。如乙方所交付服务成果有产权瑕疵的，视为乙方违约。但在已经全部支付完合同款后才发现有产权瑕疵的，乙方除了支付违约金，还应负担甲方由此产生的一切损失。</w:t>
      </w:r>
    </w:p>
    <w:p w14:paraId="622DA9D7">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第四条　交付和验收</w:t>
      </w:r>
    </w:p>
    <w:p w14:paraId="201B0C3F">
      <w:pPr>
        <w:keepNext w:val="0"/>
        <w:keepLines w:val="0"/>
        <w:pageBreakBefore w:val="0"/>
        <w:widowControl w:val="0"/>
        <w:tabs>
          <w:tab w:val="left" w:pos="5450"/>
        </w:tabs>
        <w:kinsoku/>
        <w:wordWrap/>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1.服务时间</w:t>
      </w:r>
      <w:r>
        <w:rPr>
          <w:rFonts w:hint="eastAsia" w:ascii="宋体" w:hAnsi="宋体" w:eastAsia="宋体" w:cs="宋体"/>
          <w:color w:val="auto"/>
          <w:sz w:val="21"/>
          <w:szCs w:val="21"/>
          <w:highlight w:val="none"/>
          <w:u w:val="none"/>
        </w:rPr>
        <w:t>：</w:t>
      </w:r>
      <w:r>
        <w:rPr>
          <w:rFonts w:hint="eastAsia" w:ascii="宋体" w:hAnsi="宋体" w:cs="宋体"/>
          <w:bCs/>
          <w:color w:val="auto"/>
          <w:szCs w:val="21"/>
          <w:highlight w:val="none"/>
        </w:rPr>
        <w:t>自合同签订之日起至2026年12月31日止</w:t>
      </w:r>
      <w:r>
        <w:rPr>
          <w:rFonts w:hint="eastAsia" w:ascii="宋体" w:hAnsi="宋体" w:eastAsia="宋体" w:cs="宋体"/>
          <w:bCs/>
          <w:color w:val="auto"/>
          <w:sz w:val="21"/>
          <w:szCs w:val="21"/>
          <w:highlight w:val="none"/>
        </w:rPr>
        <w:t>。自签订合同之日起开始提供相应服务，具体服务时间根据农产品上市季节等实际情况进行安排，由</w:t>
      </w:r>
      <w:r>
        <w:rPr>
          <w:rFonts w:hint="eastAsia" w:ascii="宋体" w:hAnsi="宋体" w:cs="宋体"/>
          <w:bCs/>
          <w:color w:val="auto"/>
          <w:sz w:val="21"/>
          <w:szCs w:val="21"/>
          <w:highlight w:val="none"/>
          <w:lang w:val="en-US" w:eastAsia="zh-CN"/>
        </w:rPr>
        <w:t>甲方</w:t>
      </w:r>
      <w:r>
        <w:rPr>
          <w:rFonts w:hint="eastAsia" w:ascii="宋体" w:hAnsi="宋体" w:eastAsia="宋体" w:cs="宋体"/>
          <w:bCs/>
          <w:color w:val="auto"/>
          <w:sz w:val="21"/>
          <w:szCs w:val="21"/>
          <w:highlight w:val="none"/>
        </w:rPr>
        <w:t>另行通知。</w:t>
      </w:r>
    </w:p>
    <w:p w14:paraId="54650A9D">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2.服务地点：</w:t>
      </w:r>
      <w:r>
        <w:rPr>
          <w:rFonts w:hint="eastAsia" w:ascii="宋体" w:hAnsi="宋体" w:eastAsia="宋体" w:cs="宋体"/>
          <w:color w:val="auto"/>
          <w:sz w:val="21"/>
          <w:szCs w:val="21"/>
          <w:highlight w:val="none"/>
          <w:u w:val="single"/>
          <w:lang w:eastAsia="zh-CN"/>
        </w:rPr>
        <w:t>甲方</w:t>
      </w:r>
      <w:r>
        <w:rPr>
          <w:rFonts w:hint="eastAsia" w:ascii="宋体" w:hAnsi="宋体" w:eastAsia="宋体" w:cs="宋体"/>
          <w:color w:val="auto"/>
          <w:sz w:val="21"/>
          <w:szCs w:val="21"/>
          <w:highlight w:val="none"/>
          <w:u w:val="single"/>
        </w:rPr>
        <w:t>指定地点</w:t>
      </w:r>
      <w:r>
        <w:rPr>
          <w:rFonts w:hint="eastAsia" w:ascii="宋体" w:hAnsi="宋体" w:eastAsia="宋体" w:cs="宋体"/>
          <w:color w:val="auto"/>
          <w:sz w:val="21"/>
          <w:szCs w:val="21"/>
          <w:highlight w:val="none"/>
        </w:rPr>
        <w:t>。</w:t>
      </w:r>
    </w:p>
    <w:p w14:paraId="36C66927">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3.乙方应按合同、招标文件、投标文件及承诺向甲方提供相应的服务，并提供服务质量和服务内容的相关技术资料。</w:t>
      </w:r>
    </w:p>
    <w:p w14:paraId="2B771BF9">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4.乙方提供不符合合同、招标文件、投标文件规定的服务成果，甲方有权拒绝接受。</w:t>
      </w:r>
    </w:p>
    <w:p w14:paraId="1BD01F77">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5.乙方在完成服务前应对服务作出全面检查和对验收文件进行整理，并列出清单，作为甲方服务验收的技术依据，清单应随提交的服务成果交给甲方。</w:t>
      </w:r>
    </w:p>
    <w:p w14:paraId="4BCF1B98">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6.乙方完成服务后应及时书面通知甲方进行验收，甲方应在收到通知后七个工作日内进行验收，逾期不开始验收的，乙方可视同验收合格。</w:t>
      </w:r>
    </w:p>
    <w:p w14:paraId="07347D29">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甲乙双方应按照《广西壮族自治区政府采购项目履约验收管理办法》、合同、招标文件、投标文件验收，验收时乙方必须在现场，验收费用由乙方负责。服务质量和服务内容符合合同、招标文件、投标文件规定的要求的，由甲乙双方签署验收合格单并加盖甲方公章，甲乙双方各执一份。</w:t>
      </w:r>
    </w:p>
    <w:p w14:paraId="3EBB41FA">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甲方在初步验收或者最终验收过程中发现乙方提供的服务、服务质量或服务内容不满足合同、招标文件、投标文件规定的，可暂缓向乙方付款，直到乙方及时完善并提交相应的服务成果且经甲方验收合格后，方可办理付款。</w:t>
      </w:r>
    </w:p>
    <w:p w14:paraId="7A5D9D18">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甲方验收时发现乙方提供的服务、服务质量或服务内容不满足合同、招标文件、投标文件规定并以书面形式提出异议的，乙方应自收到甲方书面异议后五个工作日内予以解决，否则甲方有权不出具验收合格单。乙方因解决异议问题而造成逾期的，按乙方逾期交付处理。</w:t>
      </w:r>
    </w:p>
    <w:p w14:paraId="05B31036">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第五条　售后服务、服务质量保证期及培训</w:t>
      </w:r>
    </w:p>
    <w:p w14:paraId="2B8DFAF4">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1.乙方应按照国家有关法律法规、合同、招标文件、投标文件所附的《服务承诺》要求为甲方提供相应的服务。</w:t>
      </w:r>
    </w:p>
    <w:p w14:paraId="05B8D79E">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2.乙方提供服务的质量保证期按交付服务成果验收合格并签署验收合格单之日起计算，为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2年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，在质量保证期内因服务成果本身的技术问题，乙方应对服务出现的问题负责处理解决，并承担一切费用。</w:t>
      </w:r>
    </w:p>
    <w:p w14:paraId="0300DFD8">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3.在质量保证期内发生技术服务问题，乙方应在接到甲方通知后24小时内到达甲方现场，在甲方指定的期限内解决问题。</w:t>
      </w:r>
    </w:p>
    <w:p w14:paraId="5DA22715">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4.乙方负责甲方有关人员的培训。</w:t>
      </w:r>
    </w:p>
    <w:p w14:paraId="5D96A078">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培训时间：</w:t>
      </w:r>
      <w:r>
        <w:rPr>
          <w:rFonts w:hint="eastAsia" w:ascii="宋体" w:hAnsi="宋体" w:eastAsia="宋体" w:cs="宋体"/>
          <w:color w:val="auto"/>
          <w:sz w:val="21"/>
          <w:szCs w:val="21"/>
          <w:highlight w:val="none"/>
          <w:u w:val="single"/>
        </w:rPr>
        <w:t>甲方另行指定时间。</w:t>
      </w:r>
    </w:p>
    <w:p w14:paraId="7F27B55A">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培训地点：</w:t>
      </w:r>
      <w:r>
        <w:rPr>
          <w:rFonts w:hint="eastAsia" w:ascii="宋体" w:hAnsi="宋体" w:eastAsia="宋体" w:cs="宋体"/>
          <w:color w:val="auto"/>
          <w:sz w:val="21"/>
          <w:szCs w:val="21"/>
          <w:highlight w:val="none"/>
          <w:u w:val="single"/>
        </w:rPr>
        <w:t>广西区内（甲方指定地点）。</w:t>
      </w:r>
    </w:p>
    <w:p w14:paraId="03A7586C">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第六条　付款方式</w:t>
      </w:r>
    </w:p>
    <w:p w14:paraId="3CE06601">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1.资金性质：</w:t>
      </w:r>
      <w:r>
        <w:rPr>
          <w:rFonts w:hint="eastAsia" w:ascii="宋体" w:hAnsi="宋体" w:eastAsia="宋体" w:cs="宋体"/>
          <w:color w:val="auto"/>
          <w:sz w:val="21"/>
          <w:szCs w:val="21"/>
          <w:highlight w:val="none"/>
          <w:u w:val="single"/>
        </w:rPr>
        <w:t>财政资金</w:t>
      </w:r>
      <w:r>
        <w:rPr>
          <w:rFonts w:hint="eastAsia" w:ascii="宋体" w:hAnsi="宋体" w:eastAsia="宋体" w:cs="宋体"/>
          <w:color w:val="auto"/>
          <w:sz w:val="21"/>
          <w:szCs w:val="21"/>
          <w:highlight w:val="none"/>
        </w:rPr>
        <w:t>。</w:t>
      </w:r>
    </w:p>
    <w:p w14:paraId="2AFD07E1">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2.付款方式</w:t>
      </w:r>
    </w:p>
    <w:p w14:paraId="146D49FA">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bCs/>
          <w:color w:val="auto"/>
          <w:sz w:val="21"/>
          <w:szCs w:val="21"/>
          <w:highlight w:val="none"/>
        </w:rPr>
        <w:t>签订合同后 20 个工作日内</w:t>
      </w:r>
      <w:r>
        <w:rPr>
          <w:rFonts w:hint="eastAsia" w:ascii="宋体" w:hAnsi="宋体" w:cs="宋体"/>
          <w:bCs/>
          <w:color w:val="auto"/>
          <w:sz w:val="21"/>
          <w:szCs w:val="21"/>
          <w:highlight w:val="none"/>
          <w:lang w:val="en-US" w:eastAsia="zh-CN"/>
        </w:rPr>
        <w:t>乙方</w:t>
      </w:r>
      <w:r>
        <w:rPr>
          <w:rFonts w:hint="eastAsia" w:ascii="宋体" w:hAnsi="宋体" w:eastAsia="宋体" w:cs="宋体"/>
          <w:bCs/>
          <w:color w:val="auto"/>
          <w:sz w:val="21"/>
          <w:szCs w:val="21"/>
          <w:highlight w:val="none"/>
        </w:rPr>
        <w:t>承接检测服务，</w:t>
      </w:r>
      <w:r>
        <w:rPr>
          <w:rFonts w:hint="eastAsia" w:ascii="宋体" w:hAnsi="宋体" w:cs="宋体"/>
          <w:bCs/>
          <w:color w:val="auto"/>
          <w:sz w:val="21"/>
          <w:szCs w:val="21"/>
          <w:highlight w:val="none"/>
          <w:lang w:val="en-US" w:eastAsia="zh-CN"/>
        </w:rPr>
        <w:t>甲方</w:t>
      </w:r>
      <w:r>
        <w:rPr>
          <w:rFonts w:hint="eastAsia" w:ascii="宋体" w:hAnsi="宋体" w:eastAsia="宋体" w:cs="宋体"/>
          <w:bCs/>
          <w:color w:val="auto"/>
          <w:sz w:val="21"/>
          <w:szCs w:val="21"/>
          <w:highlight w:val="none"/>
        </w:rPr>
        <w:t>按合同总金额的30%（</w:t>
      </w:r>
      <w:r>
        <w:rPr>
          <w:rFonts w:hint="eastAsia" w:ascii="宋体" w:hAnsi="宋体" w:cs="宋体"/>
          <w:bCs/>
          <w:color w:val="auto"/>
          <w:sz w:val="21"/>
          <w:szCs w:val="21"/>
          <w:highlight w:val="none"/>
          <w:lang w:val="en-US" w:eastAsia="zh-CN"/>
        </w:rPr>
        <w:t>乙方</w:t>
      </w:r>
      <w:r>
        <w:rPr>
          <w:rFonts w:hint="eastAsia" w:ascii="宋体" w:hAnsi="宋体" w:eastAsia="宋体" w:cs="宋体"/>
          <w:bCs/>
          <w:color w:val="auto"/>
          <w:sz w:val="21"/>
          <w:szCs w:val="21"/>
          <w:highlight w:val="none"/>
        </w:rPr>
        <w:t>属于中小企业的按照50%）预付服务费用；</w:t>
      </w:r>
      <w:r>
        <w:rPr>
          <w:rFonts w:hint="eastAsia" w:ascii="宋体" w:hAnsi="宋体" w:cs="宋体"/>
          <w:color w:val="auto"/>
          <w:sz w:val="21"/>
          <w:szCs w:val="21"/>
          <w:highlight w:val="none"/>
          <w:lang w:eastAsia="zh-CN"/>
        </w:rPr>
        <w:t>完成本项目</w:t>
      </w:r>
      <w:r>
        <w:rPr>
          <w:rFonts w:hint="eastAsia" w:ascii="宋体" w:hAnsi="宋体" w:cs="宋体"/>
          <w:color w:val="auto"/>
          <w:sz w:val="21"/>
          <w:szCs w:val="21"/>
          <w:highlight w:val="none"/>
          <w:lang w:val="en-US" w:eastAsia="zh-CN"/>
        </w:rPr>
        <w:t>50%的</w:t>
      </w:r>
      <w:r>
        <w:rPr>
          <w:rFonts w:hint="eastAsia" w:ascii="宋体" w:hAnsi="宋体" w:eastAsia="宋体" w:cs="宋体"/>
          <w:color w:val="auto"/>
          <w:sz w:val="21"/>
          <w:szCs w:val="21"/>
          <w:highlight w:val="none"/>
        </w:rPr>
        <w:t>检测批次</w:t>
      </w:r>
      <w:r>
        <w:rPr>
          <w:rFonts w:hint="eastAsia" w:ascii="宋体" w:hAnsi="宋体" w:cs="宋体"/>
          <w:color w:val="auto"/>
          <w:sz w:val="21"/>
          <w:szCs w:val="21"/>
          <w:highlight w:val="none"/>
          <w:lang w:eastAsia="zh-CN"/>
        </w:rPr>
        <w:t>任务后</w:t>
      </w:r>
      <w:r>
        <w:rPr>
          <w:rFonts w:hint="eastAsia" w:ascii="宋体" w:hAnsi="宋体" w:eastAsia="宋体" w:cs="宋体"/>
          <w:bCs/>
          <w:color w:val="auto"/>
          <w:sz w:val="21"/>
          <w:szCs w:val="21"/>
          <w:highlight w:val="none"/>
        </w:rPr>
        <w:t>支付合同金额的65%（供应商属于中小企业的按照45%）的检测服务费；项目整体验收通过后，支付剩下的5%的服务费用。</w:t>
      </w:r>
    </w:p>
    <w:p w14:paraId="67EC887F">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本项目各阶段款项实行见票支付原则，</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在收到</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开具的合法有效的增值税发票后，按上述付款节点完成支付。</w:t>
      </w:r>
    </w:p>
    <w:p w14:paraId="0341949A">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3.乙方指定以下账户为接受本合同价款的账户，并对其指定的下列账户信息真实性、安全性、准确性负责。</w:t>
      </w:r>
    </w:p>
    <w:p w14:paraId="7D79FB1B">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账户名称：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w:t>
      </w:r>
    </w:p>
    <w:p w14:paraId="7E265A4A">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w:t>
      </w:r>
      <w:r>
        <w:rPr>
          <w:rFonts w:hint="eastAsia" w:ascii="宋体" w:hAnsi="宋体" w:eastAsia="宋体" w:cs="宋体"/>
          <w:color w:val="auto"/>
          <w:sz w:val="21"/>
          <w:szCs w:val="21"/>
          <w:highlight w:val="none"/>
          <w:u w:val="single"/>
          <w:lang w:val="en-US" w:eastAsia="zh-CN"/>
        </w:rPr>
        <w:t>　         　　</w:t>
      </w:r>
      <w:r>
        <w:rPr>
          <w:rFonts w:hint="eastAsia" w:ascii="宋体" w:hAnsi="宋体" w:eastAsia="宋体" w:cs="宋体"/>
          <w:color w:val="auto"/>
          <w:sz w:val="21"/>
          <w:szCs w:val="21"/>
          <w:highlight w:val="none"/>
          <w:lang w:val="en-US" w:eastAsia="zh-CN"/>
        </w:rPr>
        <w:t>；</w:t>
      </w:r>
      <w:bookmarkStart w:id="389" w:name="_GoBack"/>
      <w:bookmarkEnd w:id="389"/>
    </w:p>
    <w:p w14:paraId="5C6137E8">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银行账号：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w:t>
      </w:r>
    </w:p>
    <w:p w14:paraId="6E0EA9D5">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w:t>
      </w:r>
    </w:p>
    <w:p w14:paraId="68641CFD">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w:t>
      </w:r>
      <w:r>
        <w:rPr>
          <w:rFonts w:hint="eastAsia" w:ascii="宋体" w:hAnsi="宋体" w:eastAsia="宋体" w:cs="宋体"/>
          <w:color w:val="auto"/>
          <w:sz w:val="21"/>
          <w:szCs w:val="21"/>
          <w:highlight w:val="none"/>
          <w:u w:val="single"/>
          <w:lang w:val="en-US" w:eastAsia="zh-CN"/>
        </w:rPr>
        <w:t>　       　　　</w:t>
      </w:r>
      <w:r>
        <w:rPr>
          <w:rFonts w:hint="eastAsia" w:ascii="宋体" w:hAnsi="宋体" w:eastAsia="宋体" w:cs="宋体"/>
          <w:color w:val="auto"/>
          <w:sz w:val="21"/>
          <w:szCs w:val="21"/>
          <w:highlight w:val="none"/>
          <w:lang w:val="en-US" w:eastAsia="zh-CN"/>
        </w:rPr>
        <w:t>。</w:t>
      </w:r>
    </w:p>
    <w:p w14:paraId="26BE27B3">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如乙方上述账户信息发生变更，乙方应提前向甲方发送书面通知，未能提前书面通知而产生的不利后果由乙方自行承担。</w:t>
      </w:r>
    </w:p>
    <w:p w14:paraId="786F8E89">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在支付每笔款项前，乙方应当提供可供政府审计并且符合税务规定的正式发票，否则甲方有权拒付相应款项直至乙方能提供符合规定的发票为止，因乙方提供不符合甲方要求的发票导致付款逾期，甲方不构成违约，相应的付款期限自甲方收到乙方符合要求发票重新计算。</w:t>
      </w:r>
    </w:p>
    <w:p w14:paraId="3BD83D51">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第七条　履约保证金</w:t>
      </w:r>
    </w:p>
    <w:p w14:paraId="6ABBD6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color w:val="auto"/>
          <w:sz w:val="21"/>
          <w:szCs w:val="21"/>
          <w:highlight w:val="none"/>
          <w:lang w:val="en-US" w:eastAsia="zh-CN"/>
        </w:rPr>
      </w:pPr>
      <w:r>
        <w:rPr>
          <w:rFonts w:hint="default"/>
          <w:color w:val="auto"/>
          <w:sz w:val="21"/>
          <w:szCs w:val="21"/>
          <w:highlight w:val="none"/>
          <w:lang w:val="en-US" w:eastAsia="zh-CN"/>
        </w:rPr>
        <w:t>1.履约保证金金额：按</w:t>
      </w:r>
      <w:r>
        <w:rPr>
          <w:rFonts w:hint="eastAsia"/>
          <w:color w:val="auto"/>
          <w:sz w:val="21"/>
          <w:szCs w:val="21"/>
          <w:highlight w:val="none"/>
          <w:lang w:val="en-US" w:eastAsia="zh-CN"/>
        </w:rPr>
        <w:t>中标</w:t>
      </w:r>
      <w:r>
        <w:rPr>
          <w:rFonts w:hint="default"/>
          <w:color w:val="auto"/>
          <w:sz w:val="21"/>
          <w:szCs w:val="21"/>
          <w:highlight w:val="none"/>
          <w:lang w:val="en-US" w:eastAsia="zh-CN"/>
        </w:rPr>
        <w:t>金额的2%。</w:t>
      </w:r>
      <w:r>
        <w:rPr>
          <w:rFonts w:hint="eastAsia"/>
          <w:color w:val="auto"/>
          <w:sz w:val="21"/>
          <w:szCs w:val="21"/>
          <w:highlight w:val="none"/>
          <w:lang w:val="en-US" w:eastAsia="zh-CN"/>
        </w:rPr>
        <w:t xml:space="preserve"> 即  元×2%=   元。</w:t>
      </w:r>
    </w:p>
    <w:p w14:paraId="5F33D3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color w:val="auto"/>
          <w:sz w:val="21"/>
          <w:szCs w:val="21"/>
          <w:highlight w:val="none"/>
          <w:lang w:val="en-US" w:eastAsia="zh-CN"/>
        </w:rPr>
      </w:pPr>
      <w:r>
        <w:rPr>
          <w:rFonts w:hint="default"/>
          <w:color w:val="auto"/>
          <w:sz w:val="21"/>
          <w:szCs w:val="21"/>
          <w:highlight w:val="none"/>
          <w:lang w:val="en-US" w:eastAsia="zh-CN"/>
        </w:rPr>
        <w:t>2.履约保证金缴纳方式：</w:t>
      </w:r>
      <w:r>
        <w:rPr>
          <w:rFonts w:hint="eastAsia"/>
          <w:color w:val="auto"/>
          <w:sz w:val="21"/>
          <w:szCs w:val="21"/>
          <w:highlight w:val="none"/>
          <w:lang w:val="en-US" w:eastAsia="zh-CN"/>
        </w:rPr>
        <w:t>乙方</w:t>
      </w:r>
      <w:r>
        <w:rPr>
          <w:rFonts w:hint="default"/>
          <w:color w:val="auto"/>
          <w:sz w:val="21"/>
          <w:szCs w:val="21"/>
          <w:highlight w:val="none"/>
        </w:rPr>
        <w:t>须于签订合同后</w:t>
      </w:r>
      <w:r>
        <w:rPr>
          <w:rFonts w:hint="eastAsia"/>
          <w:color w:val="auto"/>
          <w:sz w:val="21"/>
          <w:szCs w:val="21"/>
          <w:highlight w:val="none"/>
          <w:lang w:eastAsia="zh-CN"/>
        </w:rPr>
        <w:t>1</w:t>
      </w:r>
      <w:r>
        <w:rPr>
          <w:rFonts w:hint="eastAsia"/>
          <w:color w:val="auto"/>
          <w:sz w:val="21"/>
          <w:szCs w:val="21"/>
          <w:highlight w:val="none"/>
          <w:lang w:val="en-US" w:eastAsia="zh-CN"/>
        </w:rPr>
        <w:t>0</w:t>
      </w:r>
      <w:r>
        <w:rPr>
          <w:rFonts w:hint="default"/>
          <w:color w:val="auto"/>
          <w:sz w:val="21"/>
          <w:szCs w:val="21"/>
          <w:highlight w:val="none"/>
        </w:rPr>
        <w:t>个工作日内将履约保证金递交到</w:t>
      </w:r>
      <w:r>
        <w:rPr>
          <w:rFonts w:hint="eastAsia"/>
          <w:color w:val="auto"/>
          <w:sz w:val="21"/>
          <w:szCs w:val="21"/>
          <w:highlight w:val="none"/>
          <w:lang w:val="en-US" w:eastAsia="zh-CN"/>
        </w:rPr>
        <w:t>甲方</w:t>
      </w:r>
      <w:r>
        <w:rPr>
          <w:rFonts w:hint="default"/>
          <w:color w:val="auto"/>
          <w:sz w:val="21"/>
          <w:szCs w:val="21"/>
          <w:highlight w:val="none"/>
        </w:rPr>
        <w:t>指定账户。递交方式：银行转账、支票、汇票、本票或者金融机构出具的保函等非现金方式</w:t>
      </w:r>
      <w:r>
        <w:rPr>
          <w:rFonts w:hint="default"/>
          <w:color w:val="auto"/>
          <w:sz w:val="21"/>
          <w:szCs w:val="21"/>
          <w:highlight w:val="none"/>
          <w:lang w:eastAsia="zh-CN"/>
        </w:rPr>
        <w:t>，</w:t>
      </w:r>
      <w:r>
        <w:rPr>
          <w:rFonts w:hint="default"/>
          <w:color w:val="auto"/>
          <w:sz w:val="21"/>
          <w:szCs w:val="21"/>
          <w:highlight w:val="none"/>
          <w:lang w:val="en-US" w:eastAsia="zh-CN"/>
        </w:rPr>
        <w:t>转账时请备注“项目名称（可简写）+履约保证金”。</w:t>
      </w:r>
    </w:p>
    <w:p w14:paraId="5CF94555">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default"/>
          <w:color w:val="auto"/>
          <w:sz w:val="21"/>
          <w:szCs w:val="21"/>
          <w:highlight w:val="none"/>
          <w:lang w:val="en-US" w:eastAsia="zh-CN"/>
        </w:rPr>
      </w:pPr>
      <w:r>
        <w:rPr>
          <w:rFonts w:hint="default"/>
          <w:color w:val="auto"/>
          <w:sz w:val="21"/>
          <w:szCs w:val="21"/>
          <w:highlight w:val="none"/>
          <w:lang w:val="en-US" w:eastAsia="zh-CN"/>
        </w:rPr>
        <w:t>3.履约保证金退付：在本项目服务期限内完成约定工作任务后，由</w:t>
      </w:r>
      <w:r>
        <w:rPr>
          <w:rFonts w:hint="eastAsia"/>
          <w:color w:val="auto"/>
          <w:sz w:val="21"/>
          <w:szCs w:val="21"/>
          <w:highlight w:val="none"/>
          <w:lang w:val="en-US" w:eastAsia="zh-CN"/>
        </w:rPr>
        <w:t>乙方</w:t>
      </w:r>
      <w:r>
        <w:rPr>
          <w:rFonts w:hint="default"/>
          <w:color w:val="auto"/>
          <w:sz w:val="21"/>
          <w:szCs w:val="21"/>
          <w:highlight w:val="none"/>
          <w:lang w:val="en-US" w:eastAsia="zh-CN"/>
        </w:rPr>
        <w:t>向</w:t>
      </w:r>
      <w:r>
        <w:rPr>
          <w:rFonts w:hint="eastAsia"/>
          <w:color w:val="auto"/>
          <w:sz w:val="21"/>
          <w:szCs w:val="21"/>
          <w:highlight w:val="none"/>
          <w:lang w:val="en-US" w:eastAsia="zh-CN"/>
        </w:rPr>
        <w:t>甲方</w:t>
      </w:r>
      <w:r>
        <w:rPr>
          <w:rFonts w:hint="default"/>
          <w:color w:val="auto"/>
          <w:sz w:val="21"/>
          <w:szCs w:val="21"/>
          <w:highlight w:val="none"/>
          <w:lang w:val="en-US" w:eastAsia="zh-CN"/>
        </w:rPr>
        <w:t>提供《广西壮族自治区政府采购项目合同验收书》</w:t>
      </w:r>
      <w:r>
        <w:rPr>
          <w:rFonts w:hint="eastAsia" w:ascii="宋体" w:hAnsi="宋体" w:cs="宋体"/>
          <w:color w:val="auto"/>
          <w:sz w:val="21"/>
          <w:szCs w:val="21"/>
          <w:highlight w:val="none"/>
          <w:lang w:eastAsia="zh-CN"/>
        </w:rPr>
        <w:t>、履约保证金退付函和乙方履约保证金支付凭证</w:t>
      </w:r>
      <w:r>
        <w:rPr>
          <w:rFonts w:hint="default"/>
          <w:color w:val="auto"/>
          <w:sz w:val="21"/>
          <w:szCs w:val="21"/>
          <w:highlight w:val="none"/>
          <w:lang w:val="en-US" w:eastAsia="zh-CN"/>
        </w:rPr>
        <w:t>，</w:t>
      </w:r>
      <w:r>
        <w:rPr>
          <w:rFonts w:hint="eastAsia"/>
          <w:color w:val="auto"/>
          <w:sz w:val="21"/>
          <w:szCs w:val="21"/>
          <w:highlight w:val="none"/>
          <w:lang w:val="en-US" w:eastAsia="zh-CN"/>
        </w:rPr>
        <w:t>甲方</w:t>
      </w:r>
      <w:r>
        <w:rPr>
          <w:rFonts w:hint="default"/>
          <w:color w:val="auto"/>
          <w:sz w:val="21"/>
          <w:szCs w:val="21"/>
          <w:highlight w:val="none"/>
          <w:lang w:val="en-US" w:eastAsia="zh-CN"/>
        </w:rPr>
        <w:t>在验收合格并出具验收书后</w:t>
      </w:r>
      <w:r>
        <w:rPr>
          <w:rFonts w:hint="eastAsia"/>
          <w:color w:val="auto"/>
          <w:sz w:val="21"/>
          <w:szCs w:val="21"/>
          <w:highlight w:val="none"/>
          <w:lang w:val="en-US" w:eastAsia="zh-CN"/>
        </w:rPr>
        <w:t>5</w:t>
      </w:r>
      <w:r>
        <w:rPr>
          <w:rFonts w:hint="default"/>
          <w:color w:val="auto"/>
          <w:sz w:val="21"/>
          <w:szCs w:val="21"/>
          <w:highlight w:val="none"/>
        </w:rPr>
        <w:t>个工作日内</w:t>
      </w:r>
      <w:r>
        <w:rPr>
          <w:rFonts w:hint="default"/>
          <w:color w:val="auto"/>
          <w:sz w:val="21"/>
          <w:szCs w:val="21"/>
          <w:highlight w:val="none"/>
          <w:lang w:val="en-US" w:eastAsia="zh-CN"/>
        </w:rPr>
        <w:t>办理退还手续（不计利息）。</w:t>
      </w:r>
    </w:p>
    <w:p w14:paraId="5B6B8A9C">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第八条　税费</w:t>
      </w:r>
    </w:p>
    <w:p w14:paraId="3B3E8722">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合同执行中相关的一切税费均由乙方负担。</w:t>
      </w:r>
    </w:p>
    <w:p w14:paraId="413C11D0">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第九条　违约责任</w:t>
      </w:r>
    </w:p>
    <w:p w14:paraId="63E2FDB1">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没有按照合同、招标文件、投标文件规定的时间或期限提供服务的，每逾期一日，应按合同合计金额的3‰向甲方支付逾期提供服务的违约金；逾期超过十日的，甲方有权单方解除合同，并要求乙方退还已收取的款项，同时乙方应按照合同合计金额的10%向甲方支付违约金并承担因此给甲方造成的经济损失。</w:t>
      </w:r>
    </w:p>
    <w:p w14:paraId="08B7B20D">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所提供的服务、服务质量、服务内容等不符合合同、招标文件、投标文件规定的要求的，应按甲方的要求，在甲方指定的期限内予以更换或改进，未在甲方指定的期限内更换或改进的，按乙方逾期提供服务承担违约责任。</w:t>
      </w:r>
    </w:p>
    <w:p w14:paraId="137118AE">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提供的服务如侵犯了第三方合法权益而引发的任何纠纷或者诉讼，均由乙方负责交涉并承担全部责任。如甲方为解决纠纷矛盾先期支付了费用的，乙方应当自收到甲方要求偿还费用的函之日起五日内向甲方偿还完毕，逾期未偿还，乙方承担应向甲方支付合同合计金额20％的违约金并赔偿甲方经济损失。</w:t>
      </w:r>
    </w:p>
    <w:p w14:paraId="61BCCF5F">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4.乙方因履行合同所发生的其他违约行为，每违约一次，应按合同合计金额的5%向甲方支付违约金，并赔偿甲方因此所造成全部损失。</w:t>
      </w:r>
    </w:p>
    <w:p w14:paraId="4EC2FDC3">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5.乙方支付的违约金不足以弥补甲方损失的，应承担赔偿责任，甲方有权继续向乙方追偿。乙方应支付给甲方的任何款项，甲方有权从任何应支付未支付给乙方的款项中直接抵扣。</w:t>
      </w:r>
    </w:p>
    <w:p w14:paraId="5992C989">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6.本合同所称的甲方经济损失或者甲方损失，包括甲方遭受的全部直接经济损失及为此支出的合理费用（包括但不限于为此支出的调查费、诉讼费、保全费、保全保险费、垫付资金占用费、律师费、差旅费等）。</w:t>
      </w:r>
    </w:p>
    <w:p w14:paraId="385DF15E">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第十条　知识产权归属</w:t>
      </w:r>
    </w:p>
    <w:p w14:paraId="206ADA66">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乙方保证，甲乙双方在本合同执行中形成的任何成果或知识产权的所有权，归甲方所有，而且乙方应当完成甲方知识产权所有权确认所必需的全部行为、证书和文件等，并提供相应的支持和协助。</w:t>
      </w:r>
    </w:p>
    <w:p w14:paraId="06C9561B">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第十一条　保密条款</w:t>
      </w:r>
    </w:p>
    <w:p w14:paraId="01708C37">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1.甲乙双方都负有保守对方的单位机密或商业秘密的义务，保密范围包括但不限于技术情报、数据资料及其他公开后对对方造成影响或损失的秘密。</w:t>
      </w:r>
    </w:p>
    <w:p w14:paraId="1AD78A9F">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2.任何一方违反保密条款，给对方造成损失，应按对方的实际损失承担赔偿责任。</w:t>
      </w:r>
    </w:p>
    <w:p w14:paraId="5269E0B6">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3.本条款不因合同的变更、解除和终止而失效。</w:t>
      </w:r>
    </w:p>
    <w:p w14:paraId="3CDB1B87">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第十二条　不可抗力事件处理</w:t>
      </w:r>
    </w:p>
    <w:p w14:paraId="3BE9717D">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1.在合同有效期内，任何一方因不可抗力事件导致不能履行合同，则合同履行期可延长，其延长期与不可抗力影响期相同。</w:t>
      </w:r>
    </w:p>
    <w:p w14:paraId="67F83BA6">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2.不可抗力事件发生后，应立即通知对方，并寄送有关权威机构出具的证明。</w:t>
      </w:r>
    </w:p>
    <w:p w14:paraId="263F7FBE">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3.不可抗力事件延续一百二十天以上，双方应通过友好协商，确定是否继续履行合同。</w:t>
      </w:r>
    </w:p>
    <w:p w14:paraId="6C023AB1">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4.合同履行过程中，因接受政府行政指令而无法履行的，接受政府行政指令的一方可以免除责任。</w:t>
      </w:r>
    </w:p>
    <w:p w14:paraId="41B5CCB6">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第十三条　合同争议解决</w:t>
      </w:r>
    </w:p>
    <w:p w14:paraId="3494BC10">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1.因服务质量问题发生争议的，甲方应提交具有相应资质的机构进行鉴定。服务符合标准的，鉴定费由甲方承担；服务不符合标准的，鉴定费由乙方承担。</w:t>
      </w:r>
    </w:p>
    <w:p w14:paraId="4D02A1F8">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2.因履行本合同引起的或者与本合同有关的争议，甲乙双方应首先通过友好协商解决，如果协商不能解决，可向甲方所在地有管辖权人民法院提起诉讼。</w:t>
      </w:r>
    </w:p>
    <w:p w14:paraId="6C5EDBF9">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第十四条　合同生效及其他</w:t>
      </w:r>
    </w:p>
    <w:p w14:paraId="2445D56A">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1.合同经甲乙双方法定代表人或者授权代表签字并加盖单位公章后生效。</w:t>
      </w:r>
    </w:p>
    <w:p w14:paraId="44CECB0F">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2.合同执行中涉及采购资金和采购内容修改或者补充的，须经政府采购监管部门审批，并签书面补充协议报政府采购监管部门备案，方可作为主合同不可分割的一部分。</w:t>
      </w:r>
    </w:p>
    <w:p w14:paraId="234B85EB">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3.合同未尽事宜，遵照《中华人民共和国民法典》等相关法律、法规规定有关条文执行。</w:t>
      </w:r>
    </w:p>
    <w:p w14:paraId="31F799E0">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第十五条　合同的变更、终止与转让</w:t>
      </w:r>
    </w:p>
    <w:p w14:paraId="67703344">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1.除《中华人民共和国政府采购法》第五十条规定的情形外，本合同一经签订，甲乙双方不得擅自变更、中止或者终止。</w:t>
      </w:r>
    </w:p>
    <w:p w14:paraId="1A546BA8">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2.未经甲方书面同意，乙方不得擅自转让其应履行的合同义务。</w:t>
      </w:r>
    </w:p>
    <w:p w14:paraId="06228D2B">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第十六条　本合同与下列文件一起构成合同文件</w:t>
      </w:r>
    </w:p>
    <w:p w14:paraId="2A352551">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1.保密协议；</w:t>
      </w:r>
    </w:p>
    <w:p w14:paraId="4383730F">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2.中标通知书；</w:t>
      </w:r>
    </w:p>
    <w:p w14:paraId="27587C1A">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竞标报价</w:t>
      </w:r>
      <w:r>
        <w:rPr>
          <w:rFonts w:hint="eastAsia" w:ascii="宋体" w:hAnsi="宋体" w:eastAsia="宋体" w:cs="宋体"/>
          <w:color w:val="auto"/>
          <w:sz w:val="21"/>
          <w:szCs w:val="21"/>
          <w:highlight w:val="none"/>
        </w:rPr>
        <w:t>表；</w:t>
      </w:r>
    </w:p>
    <w:p w14:paraId="51FC7437">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4.采购需求；</w:t>
      </w:r>
    </w:p>
    <w:p w14:paraId="50CD7AD1">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.商务条款偏离表和服务需求偏离表；</w:t>
      </w:r>
    </w:p>
    <w:p w14:paraId="37062448">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.投标文件中的其他相关文件。</w:t>
      </w:r>
    </w:p>
    <w:p w14:paraId="6B891636">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上述合同文件互相补充和解释。如果合同文件之间存在矛盾或者不一致之处，以本合同、上述文件的排列顺序在先者为准。</w:t>
      </w:r>
    </w:p>
    <w:p w14:paraId="2C5C0F0D">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第十七条　其他约定事项</w:t>
      </w:r>
    </w:p>
    <w:p w14:paraId="5133EA14">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1.本合同所有附件及相关文件均为本合同的有效组成部分，与本合同具有同等法律效力。若合同附件与本合同存在不一致的，则以本合同为准。</w:t>
      </w:r>
    </w:p>
    <w:p w14:paraId="51478F27">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2.在履行本合同过程中，所有经甲乙双方签署确认的文件（包括会议纪要、补充协议、往来信函、电子邮件等）即成为本合同的有效组成部分。</w:t>
      </w:r>
    </w:p>
    <w:p w14:paraId="7F32A802">
      <w:pPr>
        <w:pStyle w:val="96"/>
        <w:keepNext w:val="0"/>
        <w:keepLines w:val="0"/>
        <w:pageBreakBefore w:val="0"/>
        <w:kinsoku/>
        <w:wordWrap/>
        <w:overflowPunct/>
        <w:topLinePunct w:val="0"/>
        <w:autoSpaceDE/>
        <w:autoSpaceDN/>
        <w:bidi w:val="0"/>
        <w:adjustRightInd/>
        <w:snapToGrid/>
        <w:spacing w:beforeLines="0" w:afterLines="0" w:line="400" w:lineRule="exact"/>
        <w:ind w:left="0" w:leftChars="0" w:firstLine="404"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3.合同履行期间所有产生费用，包括评审费，劳务费等，由乙方负责，甲方不承担任何费用。</w:t>
      </w:r>
    </w:p>
    <w:p w14:paraId="50D9A619">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4.甲乙双方确认，以下为各方真实有效通讯地址：</w:t>
      </w:r>
    </w:p>
    <w:p w14:paraId="37D40E93">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甲方：</w:t>
      </w:r>
      <w:r>
        <w:rPr>
          <w:rFonts w:hint="eastAsia" w:ascii="宋体" w:hAnsi="宋体" w:eastAsia="宋体" w:cs="宋体"/>
          <w:color w:val="auto"/>
          <w:sz w:val="21"/>
          <w:szCs w:val="21"/>
          <w:highlight w:val="none"/>
          <w:u w:val="single"/>
          <w:lang w:val="en-US" w:eastAsia="zh-CN"/>
        </w:rPr>
        <w:t>　</w:t>
      </w:r>
      <w:r>
        <w:rPr>
          <w:rFonts w:hint="eastAsia" w:ascii="宋体" w:hAnsi="宋体" w:cs="宋体"/>
          <w:b w:val="0"/>
          <w:bCs/>
          <w:color w:val="auto"/>
          <w:sz w:val="21"/>
          <w:szCs w:val="21"/>
          <w:highlight w:val="none"/>
          <w:u w:val="single"/>
          <w:lang w:eastAsia="zh-CN"/>
        </w:rPr>
        <w:t>广西壮族自治区农业农村厅</w:t>
      </w:r>
      <w:r>
        <w:rPr>
          <w:rFonts w:hint="eastAsia" w:ascii="宋体" w:hAnsi="宋体" w:eastAsia="宋体" w:cs="宋体"/>
          <w:color w:val="auto"/>
          <w:sz w:val="21"/>
          <w:szCs w:val="21"/>
          <w:highlight w:val="none"/>
          <w:u w:val="single"/>
          <w:lang w:val="en-US" w:eastAsia="zh-CN"/>
        </w:rPr>
        <w:t>　　　　</w:t>
      </w:r>
      <w:r>
        <w:rPr>
          <w:rFonts w:hint="eastAsia" w:ascii="宋体" w:hAnsi="宋体" w:eastAsia="宋体" w:cs="宋体"/>
          <w:color w:val="auto"/>
          <w:sz w:val="21"/>
          <w:szCs w:val="21"/>
          <w:highlight w:val="none"/>
          <w:u w:val="none"/>
          <w:lang w:val="en-US" w:eastAsia="zh-CN"/>
        </w:rPr>
        <w:t>，</w:t>
      </w:r>
    </w:p>
    <w:p w14:paraId="588132AD">
      <w:pPr>
        <w:keepNext w:val="0"/>
        <w:keepLines w:val="0"/>
        <w:pageBreakBefore w:val="0"/>
        <w:widowControl/>
        <w:suppressLineNumbers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地址：</w:t>
      </w:r>
      <w:r>
        <w:rPr>
          <w:rFonts w:hint="eastAsia" w:ascii="宋体" w:hAnsi="宋体" w:eastAsia="宋体" w:cs="宋体"/>
          <w:color w:val="auto"/>
          <w:sz w:val="21"/>
          <w:szCs w:val="21"/>
          <w:highlight w:val="none"/>
          <w:u w:val="single"/>
          <w:lang w:val="en-US" w:eastAsia="zh-CN"/>
        </w:rPr>
        <w:t>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w:t>
      </w:r>
      <w:r>
        <w:rPr>
          <w:rFonts w:hint="eastAsia" w:ascii="宋体" w:hAnsi="宋体" w:eastAsia="宋体" w:cs="宋体"/>
          <w:color w:val="auto"/>
          <w:sz w:val="21"/>
          <w:szCs w:val="21"/>
          <w:highlight w:val="none"/>
          <w:u w:val="none"/>
          <w:lang w:val="en-US" w:eastAsia="zh-CN"/>
        </w:rPr>
        <w:t xml:space="preserve">， </w:t>
      </w:r>
    </w:p>
    <w:p w14:paraId="4B7F50C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firstLine="420" w:firstLineChars="200"/>
        <w:jc w:val="both"/>
        <w:textAlignment w:val="auto"/>
        <w:rPr>
          <w:rFonts w:hint="eastAsia" w:ascii="宋体" w:hAnsi="宋体" w:eastAsia="宋体" w:cs="宋体"/>
          <w:color w:val="auto"/>
          <w:sz w:val="21"/>
          <w:szCs w:val="21"/>
          <w:highlight w:val="none"/>
          <w:u w:val="none"/>
          <w:lang w:val="en-US"/>
        </w:rPr>
      </w:pPr>
      <w:r>
        <w:rPr>
          <w:rFonts w:hint="eastAsia" w:ascii="宋体" w:hAnsi="宋体" w:eastAsia="宋体" w:cs="宋体"/>
          <w:color w:val="auto"/>
          <w:sz w:val="21"/>
          <w:szCs w:val="21"/>
          <w:highlight w:val="none"/>
          <w:u w:val="none"/>
          <w:lang w:val="en-US" w:eastAsia="zh-CN"/>
        </w:rPr>
        <w:t>收件人：</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p>
    <w:p w14:paraId="0E75CAB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firstLine="420" w:firstLineChars="200"/>
        <w:jc w:val="both"/>
        <w:textAlignment w:val="auto"/>
        <w:rPr>
          <w:rFonts w:hint="eastAsia" w:ascii="宋体" w:hAnsi="宋体" w:eastAsia="宋体" w:cs="宋体"/>
          <w:color w:val="auto"/>
          <w:sz w:val="21"/>
          <w:szCs w:val="21"/>
          <w:highlight w:val="none"/>
          <w:u w:val="none"/>
          <w:lang w:val="en-US"/>
        </w:rPr>
      </w:pPr>
      <w:r>
        <w:rPr>
          <w:rFonts w:hint="eastAsia" w:ascii="宋体" w:hAnsi="宋体" w:eastAsia="宋体" w:cs="宋体"/>
          <w:color w:val="auto"/>
          <w:sz w:val="21"/>
          <w:szCs w:val="21"/>
          <w:highlight w:val="none"/>
          <w:u w:val="none"/>
          <w:lang w:val="en-US" w:eastAsia="zh-CN"/>
        </w:rPr>
        <w:t>联系电话：</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p>
    <w:p w14:paraId="3C76D80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400" w:lineRule="exact"/>
        <w:ind w:left="0"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none"/>
          <w:lang w:val="en-US" w:eastAsia="zh-CN"/>
        </w:rPr>
        <w:t>电子邮箱：</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kern w:val="2"/>
          <w:sz w:val="21"/>
          <w:szCs w:val="21"/>
          <w:highlight w:val="none"/>
          <w:lang w:val="en-US" w:eastAsia="zh-CN" w:bidi="ar"/>
        </w:rPr>
        <w:t>。</w:t>
      </w:r>
    </w:p>
    <w:p w14:paraId="61ECB7FA">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乙方：</w:t>
      </w:r>
      <w:r>
        <w:rPr>
          <w:rFonts w:hint="eastAsia" w:ascii="宋体" w:hAnsi="宋体" w:eastAsia="宋体" w:cs="宋体"/>
          <w:color w:val="auto"/>
          <w:sz w:val="21"/>
          <w:szCs w:val="21"/>
          <w:highlight w:val="none"/>
          <w:u w:val="single"/>
          <w:lang w:val="en-US" w:eastAsia="zh-CN"/>
        </w:rPr>
        <w:t>　                 　</w:t>
      </w:r>
      <w:r>
        <w:rPr>
          <w:rFonts w:hint="eastAsia" w:ascii="宋体" w:hAnsi="宋体" w:eastAsia="宋体" w:cs="宋体"/>
          <w:color w:val="auto"/>
          <w:sz w:val="21"/>
          <w:szCs w:val="21"/>
          <w:highlight w:val="none"/>
          <w:u w:val="none"/>
          <w:lang w:val="en-US" w:eastAsia="zh-CN"/>
        </w:rPr>
        <w:t>，</w:t>
      </w:r>
    </w:p>
    <w:p w14:paraId="18AEFCD5">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地址：</w:t>
      </w:r>
      <w:r>
        <w:rPr>
          <w:rFonts w:hint="eastAsia" w:ascii="宋体" w:hAnsi="宋体" w:eastAsia="宋体" w:cs="宋体"/>
          <w:color w:val="auto"/>
          <w:sz w:val="21"/>
          <w:szCs w:val="21"/>
          <w:highlight w:val="none"/>
          <w:u w:val="single"/>
          <w:lang w:val="en-US" w:eastAsia="zh-CN"/>
        </w:rPr>
        <w:t>　                 　</w:t>
      </w:r>
      <w:r>
        <w:rPr>
          <w:rFonts w:hint="eastAsia" w:ascii="宋体" w:hAnsi="宋体" w:eastAsia="宋体" w:cs="宋体"/>
          <w:color w:val="auto"/>
          <w:sz w:val="21"/>
          <w:szCs w:val="21"/>
          <w:highlight w:val="none"/>
          <w:u w:val="none"/>
          <w:lang w:val="en-US" w:eastAsia="zh-CN"/>
        </w:rPr>
        <w:t>，</w:t>
      </w:r>
    </w:p>
    <w:p w14:paraId="6E60027E">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收件人：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p>
    <w:p w14:paraId="2A7793CA">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联系电话：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p>
    <w:p w14:paraId="45CE6610">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jc w:val="both"/>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电子邮箱：</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p>
    <w:p w14:paraId="6A1360AA">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方向对方发出的任何通知、信函和文件，以挂号信函或快递信函方式向对方地址邮寄有关通知、信函和文件的，自发出之日起第三日视为送达对方，挂号信函或快递信函的邮寄凭证即视为成功送达的有效凭证。一方地址变更的，应及时书面通知对方，否则上述地址仍为真实有效通讯地址。</w:t>
      </w:r>
    </w:p>
    <w:p w14:paraId="30AEE76E">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5.本合同一式</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份，具有同等法律效力，政府采购监管部门、采购代理机构各</w:t>
      </w:r>
      <w:r>
        <w:rPr>
          <w:rFonts w:hint="eastAsia" w:ascii="宋体" w:hAnsi="宋体" w:eastAsia="宋体" w:cs="宋体"/>
          <w:color w:val="auto"/>
          <w:sz w:val="21"/>
          <w:szCs w:val="21"/>
          <w:highlight w:val="none"/>
          <w:u w:val="single"/>
        </w:rPr>
        <w:t>壹</w:t>
      </w:r>
      <w:r>
        <w:rPr>
          <w:rFonts w:hint="eastAsia" w:ascii="宋体" w:hAnsi="宋体" w:eastAsia="宋体" w:cs="宋体"/>
          <w:color w:val="auto"/>
          <w:sz w:val="21"/>
          <w:szCs w:val="21"/>
          <w:highlight w:val="none"/>
        </w:rPr>
        <w:t>份，甲方</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u w:val="single"/>
          <w:lang w:val="en-US" w:eastAsia="zh-CN"/>
        </w:rPr>
        <w:t>叁</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份，乙方</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份。</w:t>
      </w:r>
    </w:p>
    <w:p w14:paraId="60C1FC05">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本条款不因合同的变更、解除和终止而失效。</w:t>
      </w:r>
    </w:p>
    <w:p w14:paraId="39F15BA5">
      <w:pPr>
        <w:keepNext w:val="0"/>
        <w:keepLines w:val="0"/>
        <w:pageBreakBefore w:val="0"/>
        <w:widowControl w:val="0"/>
        <w:kinsoku/>
        <w:wordWrap/>
        <w:overflowPunct/>
        <w:topLinePunct w:val="0"/>
        <w:autoSpaceDE/>
        <w:autoSpaceDN/>
        <w:bidi w:val="0"/>
        <w:adjustRightInd/>
        <w:snapToGrid/>
        <w:spacing w:beforeLines="0" w:afterLines="0" w:line="400" w:lineRule="exact"/>
        <w:ind w:firstLine="422" w:firstLineChars="200"/>
        <w:jc w:val="both"/>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第十八条　合同附件</w:t>
      </w:r>
    </w:p>
    <w:p w14:paraId="778FE7E9">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附件一：保密协议</w:t>
      </w:r>
    </w:p>
    <w:p w14:paraId="357A5BF0">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附件二：采购需求</w:t>
      </w:r>
    </w:p>
    <w:p w14:paraId="6582F0D6">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附件三：开标一览表</w:t>
      </w:r>
    </w:p>
    <w:p w14:paraId="3AEFD7A6">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w:t>
      </w: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：中标通知书</w:t>
      </w:r>
    </w:p>
    <w:p w14:paraId="324EE2F5">
      <w:pPr>
        <w:keepNext w:val="0"/>
        <w:keepLines w:val="0"/>
        <w:pageBreakBefore w:val="0"/>
        <w:kinsoku/>
        <w:wordWrap/>
        <w:overflowPunct/>
        <w:topLinePunct w:val="0"/>
        <w:autoSpaceDE/>
        <w:autoSpaceDN/>
        <w:bidi w:val="0"/>
        <w:adjustRightInd/>
        <w:snapToGrid/>
        <w:spacing w:beforeLines="0" w:afterLines="0"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附件</w:t>
      </w:r>
      <w:r>
        <w:rPr>
          <w:rFonts w:hint="eastAsia" w:ascii="宋体" w:hAnsi="宋体" w:cs="宋体"/>
          <w:color w:val="auto"/>
          <w:sz w:val="21"/>
          <w:szCs w:val="21"/>
          <w:highlight w:val="none"/>
          <w:lang w:val="en-US" w:eastAsia="zh-CN"/>
        </w:rPr>
        <w:t>五</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中小企业声明函（如有）   </w:t>
      </w:r>
    </w:p>
    <w:p w14:paraId="34FC31B7">
      <w:pPr>
        <w:keepNext w:val="0"/>
        <w:keepLines w:val="0"/>
        <w:pageBreakBefore w:val="0"/>
        <w:kinsoku/>
        <w:wordWrap/>
        <w:overflowPunct/>
        <w:topLinePunct w:val="0"/>
        <w:autoSpaceDE/>
        <w:autoSpaceDN/>
        <w:bidi w:val="0"/>
        <w:adjustRightInd/>
        <w:snapToGrid/>
        <w:spacing w:beforeLines="0" w:afterLines="0" w:line="400" w:lineRule="exact"/>
        <w:textAlignment w:val="auto"/>
        <w:rPr>
          <w:rFonts w:hint="eastAsia" w:ascii="宋体" w:hAnsi="宋体" w:eastAsia="宋体" w:cs="宋体"/>
          <w:color w:val="auto"/>
          <w:sz w:val="21"/>
          <w:szCs w:val="21"/>
          <w:highlight w:val="none"/>
        </w:rPr>
      </w:pPr>
    </w:p>
    <w:tbl>
      <w:tblPr>
        <w:tblStyle w:val="38"/>
        <w:tblW w:w="0" w:type="auto"/>
        <w:tblInd w:w="122" w:type="dxa"/>
        <w:tblLayout w:type="fixed"/>
        <w:tblCellMar>
          <w:top w:w="0" w:type="dxa"/>
          <w:left w:w="108" w:type="dxa"/>
          <w:bottom w:w="0" w:type="dxa"/>
          <w:right w:w="108" w:type="dxa"/>
        </w:tblCellMar>
      </w:tblPr>
      <w:tblGrid>
        <w:gridCol w:w="4165"/>
        <w:gridCol w:w="4105"/>
      </w:tblGrid>
      <w:tr w14:paraId="79EFEF61">
        <w:tblPrEx>
          <w:tblCellMar>
            <w:top w:w="0" w:type="dxa"/>
            <w:left w:w="108" w:type="dxa"/>
            <w:bottom w:w="0" w:type="dxa"/>
            <w:right w:w="108" w:type="dxa"/>
          </w:tblCellMar>
        </w:tblPrEx>
        <w:trPr>
          <w:trHeight w:val="981" w:hRule="atLeast"/>
        </w:trPr>
        <w:tc>
          <w:tcPr>
            <w:tcW w:w="4165" w:type="dxa"/>
            <w:noWrap w:val="0"/>
            <w:vAlign w:val="top"/>
          </w:tcPr>
          <w:p w14:paraId="3D6DAE96">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甲方：</w:t>
            </w:r>
            <w:r>
              <w:rPr>
                <w:rFonts w:hint="eastAsia" w:ascii="宋体" w:hAnsi="宋体" w:cs="宋体"/>
                <w:b/>
                <w:bCs/>
                <w:color w:val="auto"/>
                <w:sz w:val="21"/>
                <w:szCs w:val="21"/>
                <w:highlight w:val="none"/>
                <w:lang w:eastAsia="zh-CN"/>
              </w:rPr>
              <w:t>广西壮族自治区农业农村厅</w:t>
            </w:r>
          </w:p>
        </w:tc>
        <w:tc>
          <w:tcPr>
            <w:tcW w:w="4105" w:type="dxa"/>
            <w:noWrap w:val="0"/>
            <w:vAlign w:val="top"/>
          </w:tcPr>
          <w:p w14:paraId="0F066EAE">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乙方：</w:t>
            </w:r>
            <w:r>
              <w:rPr>
                <w:rFonts w:hint="eastAsia" w:ascii="宋体" w:hAnsi="宋体" w:eastAsia="宋体" w:cs="宋体"/>
                <w:b/>
                <w:bCs/>
                <w:color w:val="auto"/>
                <w:sz w:val="21"/>
                <w:szCs w:val="21"/>
                <w:highlight w:val="none"/>
                <w:lang w:val="en-US" w:eastAsia="zh-CN"/>
              </w:rPr>
              <w:t xml:space="preserve"> </w:t>
            </w:r>
          </w:p>
        </w:tc>
      </w:tr>
      <w:tr w14:paraId="716E64D8">
        <w:tblPrEx>
          <w:tblCellMar>
            <w:top w:w="0" w:type="dxa"/>
            <w:left w:w="108" w:type="dxa"/>
            <w:bottom w:w="0" w:type="dxa"/>
            <w:right w:w="108" w:type="dxa"/>
          </w:tblCellMar>
        </w:tblPrEx>
        <w:trPr>
          <w:trHeight w:val="1050" w:hRule="atLeast"/>
        </w:trPr>
        <w:tc>
          <w:tcPr>
            <w:tcW w:w="4165" w:type="dxa"/>
            <w:noWrap w:val="0"/>
            <w:vAlign w:val="top"/>
          </w:tcPr>
          <w:p w14:paraId="76574E37">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法定代表人（负责人）</w:t>
            </w:r>
            <w:r>
              <w:rPr>
                <w:rFonts w:hint="eastAsia" w:ascii="宋体" w:hAnsi="宋体" w:eastAsia="宋体" w:cs="宋体"/>
                <w:b/>
                <w:bCs/>
                <w:color w:val="auto"/>
                <w:sz w:val="21"/>
                <w:szCs w:val="21"/>
                <w:highlight w:val="none"/>
                <w:lang w:eastAsia="zh-CN"/>
              </w:rPr>
              <w:t>或授权代表</w:t>
            </w:r>
            <w:r>
              <w:rPr>
                <w:rFonts w:hint="eastAsia" w:ascii="宋体" w:hAnsi="宋体" w:eastAsia="宋体" w:cs="宋体"/>
                <w:b/>
                <w:bCs/>
                <w:color w:val="auto"/>
                <w:sz w:val="21"/>
                <w:szCs w:val="21"/>
                <w:highlight w:val="none"/>
              </w:rPr>
              <w:t>：</w:t>
            </w:r>
          </w:p>
          <w:p w14:paraId="33159218">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rPr>
            </w:pPr>
          </w:p>
          <w:p w14:paraId="3CAA8EED">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rPr>
            </w:pPr>
          </w:p>
        </w:tc>
        <w:tc>
          <w:tcPr>
            <w:tcW w:w="4105" w:type="dxa"/>
            <w:noWrap w:val="0"/>
            <w:vAlign w:val="top"/>
          </w:tcPr>
          <w:p w14:paraId="1212BAE3">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法定代表人（负责人）</w:t>
            </w:r>
            <w:r>
              <w:rPr>
                <w:rFonts w:hint="eastAsia" w:ascii="宋体" w:hAnsi="宋体" w:eastAsia="宋体" w:cs="宋体"/>
                <w:b/>
                <w:bCs/>
                <w:color w:val="auto"/>
                <w:sz w:val="21"/>
                <w:szCs w:val="21"/>
                <w:highlight w:val="none"/>
                <w:lang w:eastAsia="zh-CN"/>
              </w:rPr>
              <w:t>或授权代表</w:t>
            </w:r>
            <w:r>
              <w:rPr>
                <w:rFonts w:hint="eastAsia" w:ascii="宋体" w:hAnsi="宋体" w:eastAsia="宋体" w:cs="宋体"/>
                <w:b/>
                <w:bCs/>
                <w:color w:val="auto"/>
                <w:sz w:val="21"/>
                <w:szCs w:val="21"/>
                <w:highlight w:val="none"/>
              </w:rPr>
              <w:t>：</w:t>
            </w:r>
          </w:p>
          <w:p w14:paraId="34947840">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lang w:val="en-US" w:eastAsia="zh-CN"/>
              </w:rPr>
            </w:pPr>
          </w:p>
          <w:p w14:paraId="4E953F26">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lang w:val="en-US" w:eastAsia="zh-CN"/>
              </w:rPr>
            </w:pPr>
          </w:p>
        </w:tc>
      </w:tr>
      <w:tr w14:paraId="08E251BD">
        <w:tblPrEx>
          <w:tblCellMar>
            <w:top w:w="0" w:type="dxa"/>
            <w:left w:w="108" w:type="dxa"/>
            <w:bottom w:w="0" w:type="dxa"/>
            <w:right w:w="108" w:type="dxa"/>
          </w:tblCellMar>
        </w:tblPrEx>
        <w:trPr>
          <w:trHeight w:val="921" w:hRule="atLeast"/>
        </w:trPr>
        <w:tc>
          <w:tcPr>
            <w:tcW w:w="4165" w:type="dxa"/>
            <w:noWrap w:val="0"/>
            <w:vAlign w:val="top"/>
          </w:tcPr>
          <w:p w14:paraId="6BC91AF2">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年 </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 xml:space="preserve"> 月 </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 xml:space="preserve"> 日</w:t>
            </w:r>
          </w:p>
        </w:tc>
        <w:tc>
          <w:tcPr>
            <w:tcW w:w="4105" w:type="dxa"/>
            <w:noWrap w:val="0"/>
            <w:vAlign w:val="top"/>
          </w:tcPr>
          <w:p w14:paraId="5962BFB7">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年 </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 xml:space="preserve"> 月</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 xml:space="preserve"> 日</w:t>
            </w:r>
          </w:p>
        </w:tc>
      </w:tr>
    </w:tbl>
    <w:p w14:paraId="636352F9">
      <w:pPr>
        <w:pageBreakBefore w:val="0"/>
        <w:kinsoku/>
        <w:wordWrap/>
        <w:overflowPunct/>
        <w:topLinePunct w:val="0"/>
        <w:autoSpaceDE/>
        <w:autoSpaceDN/>
        <w:bidi w:val="0"/>
        <w:spacing w:beforeLines="0" w:afterLines="0" w:line="400" w:lineRule="exact"/>
        <w:textAlignment w:val="auto"/>
        <w:rPr>
          <w:rFonts w:hint="eastAsia" w:ascii="宋体" w:hAnsi="宋体" w:eastAsia="宋体" w:cs="宋体"/>
          <w:b/>
          <w:bCs/>
          <w:color w:val="auto"/>
          <w:sz w:val="21"/>
          <w:szCs w:val="21"/>
          <w:highlight w:val="none"/>
        </w:rPr>
      </w:pPr>
      <w:bookmarkStart w:id="307" w:name="_Toc13132"/>
      <w:bookmarkStart w:id="308" w:name="_Toc1070"/>
      <w:r>
        <w:rPr>
          <w:rFonts w:hint="eastAsia" w:ascii="宋体" w:hAnsi="宋体" w:eastAsia="宋体" w:cs="宋体"/>
          <w:b/>
          <w:bCs/>
          <w:color w:val="auto"/>
          <w:sz w:val="21"/>
          <w:szCs w:val="21"/>
          <w:highlight w:val="none"/>
        </w:rPr>
        <w:br w:type="page"/>
      </w:r>
      <w:r>
        <w:rPr>
          <w:rFonts w:hint="eastAsia" w:ascii="宋体" w:hAnsi="宋体" w:eastAsia="宋体" w:cs="宋体"/>
          <w:b/>
          <w:bCs/>
          <w:color w:val="auto"/>
          <w:sz w:val="21"/>
          <w:szCs w:val="21"/>
          <w:highlight w:val="none"/>
        </w:rPr>
        <w:t>附件一：保密协议</w:t>
      </w:r>
      <w:bookmarkEnd w:id="307"/>
      <w:bookmarkEnd w:id="308"/>
    </w:p>
    <w:p w14:paraId="0AFA61B8">
      <w:pPr>
        <w:pStyle w:val="3"/>
        <w:pageBreakBefore w:val="0"/>
        <w:kinsoku/>
        <w:wordWrap/>
        <w:overflowPunct/>
        <w:topLinePunct w:val="0"/>
        <w:autoSpaceDE/>
        <w:autoSpaceDN/>
        <w:bidi w:val="0"/>
        <w:spacing w:line="400" w:lineRule="exact"/>
        <w:jc w:val="center"/>
        <w:textAlignment w:val="auto"/>
        <w:rPr>
          <w:rFonts w:hint="eastAsia"/>
          <w:color w:val="auto"/>
          <w:highlight w:val="none"/>
        </w:rPr>
      </w:pPr>
      <w:bookmarkStart w:id="309" w:name="_Toc132707357"/>
      <w:bookmarkStart w:id="310" w:name="_Toc19167"/>
      <w:r>
        <w:rPr>
          <w:rFonts w:hint="eastAsia"/>
          <w:color w:val="auto"/>
          <w:highlight w:val="none"/>
        </w:rPr>
        <w:t>保密协议</w:t>
      </w:r>
      <w:bookmarkEnd w:id="309"/>
      <w:bookmarkEnd w:id="310"/>
    </w:p>
    <w:p w14:paraId="60042DED">
      <w:pPr>
        <w:pageBreakBefore w:val="0"/>
        <w:kinsoku/>
        <w:wordWrap/>
        <w:overflowPunct/>
        <w:topLinePunct w:val="0"/>
        <w:autoSpaceDE/>
        <w:autoSpaceDN/>
        <w:bidi w:val="0"/>
        <w:adjustRightInd w:val="0"/>
        <w:snapToGrid w:val="0"/>
        <w:spacing w:beforeLines="0" w:afterLines="0" w:line="40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p>
    <w:p w14:paraId="603CB732">
      <w:pPr>
        <w:pageBreakBefore w:val="0"/>
        <w:kinsoku/>
        <w:wordWrap/>
        <w:overflowPunct/>
        <w:topLinePunct w:val="0"/>
        <w:autoSpaceDE/>
        <w:autoSpaceDN/>
        <w:bidi w:val="0"/>
        <w:adjustRightInd w:val="0"/>
        <w:snapToGrid w:val="0"/>
        <w:spacing w:beforeLines="0" w:afterLines="0" w:line="400" w:lineRule="exac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 xml:space="preserve">    甲方：</w:t>
      </w:r>
      <w:r>
        <w:rPr>
          <w:rFonts w:hint="eastAsia" w:ascii="宋体" w:hAnsi="宋体" w:cs="宋体"/>
          <w:b/>
          <w:color w:val="auto"/>
          <w:sz w:val="21"/>
          <w:szCs w:val="21"/>
          <w:highlight w:val="none"/>
          <w:lang w:eastAsia="zh-CN"/>
        </w:rPr>
        <w:t>广西壮族自治区农业农村厅</w:t>
      </w:r>
    </w:p>
    <w:p w14:paraId="73653281">
      <w:pPr>
        <w:pageBreakBefore w:val="0"/>
        <w:kinsoku/>
        <w:wordWrap/>
        <w:overflowPunct/>
        <w:topLinePunct w:val="0"/>
        <w:autoSpaceDE/>
        <w:autoSpaceDN/>
        <w:bidi w:val="0"/>
        <w:adjustRightInd w:val="0"/>
        <w:snapToGrid w:val="0"/>
        <w:spacing w:beforeLines="0" w:afterLines="0"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负责人：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地址：</w:t>
      </w:r>
      <w:r>
        <w:rPr>
          <w:rFonts w:hint="eastAsia" w:ascii="宋体" w:hAnsi="宋体" w:cs="宋体"/>
          <w:color w:val="auto"/>
          <w:sz w:val="21"/>
          <w:szCs w:val="21"/>
          <w:highlight w:val="none"/>
          <w:lang w:eastAsia="zh-CN"/>
        </w:rPr>
        <w:t>广西壮族自治区南宁市青秀区青山路8号</w:t>
      </w:r>
    </w:p>
    <w:p w14:paraId="7799532C">
      <w:pPr>
        <w:pageBreakBefore w:val="0"/>
        <w:kinsoku/>
        <w:wordWrap/>
        <w:overflowPunct/>
        <w:topLinePunct w:val="0"/>
        <w:autoSpaceDE/>
        <w:autoSpaceDN/>
        <w:bidi w:val="0"/>
        <w:adjustRightInd w:val="0"/>
        <w:snapToGrid w:val="0"/>
        <w:spacing w:beforeLines="0" w:afterLines="0"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乙方：</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p>
    <w:p w14:paraId="473B2253">
      <w:pPr>
        <w:pageBreakBefore w:val="0"/>
        <w:kinsoku/>
        <w:wordWrap/>
        <w:overflowPunct/>
        <w:topLinePunct w:val="0"/>
        <w:autoSpaceDE/>
        <w:autoSpaceDN/>
        <w:bidi w:val="0"/>
        <w:adjustRightInd w:val="0"/>
        <w:snapToGrid w:val="0"/>
        <w:spacing w:beforeLines="0" w:afterLines="0"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法定代表人： </w:t>
      </w:r>
      <w:r>
        <w:rPr>
          <w:rFonts w:hint="eastAsia" w:ascii="宋体" w:hAnsi="宋体" w:eastAsia="宋体" w:cs="宋体"/>
          <w:color w:val="auto"/>
          <w:sz w:val="21"/>
          <w:szCs w:val="21"/>
          <w:highlight w:val="none"/>
          <w:lang w:val="en-US" w:eastAsia="zh-CN"/>
        </w:rPr>
        <w:t xml:space="preserve"> </w:t>
      </w:r>
    </w:p>
    <w:p w14:paraId="742A88FB">
      <w:pPr>
        <w:pageBreakBefore w:val="0"/>
        <w:kinsoku/>
        <w:wordWrap/>
        <w:overflowPunct/>
        <w:topLinePunct w:val="0"/>
        <w:autoSpaceDE/>
        <w:autoSpaceDN/>
        <w:bidi w:val="0"/>
        <w:spacing w:beforeLines="0" w:afterLines="0"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val="en-US" w:eastAsia="zh-CN"/>
        </w:rPr>
        <w:t xml:space="preserve">  </w:t>
      </w:r>
    </w:p>
    <w:p w14:paraId="6A506C2C">
      <w:pPr>
        <w:pageBreakBefore w:val="0"/>
        <w:kinsoku/>
        <w:wordWrap/>
        <w:overflowPunct/>
        <w:topLinePunct w:val="0"/>
        <w:autoSpaceDE/>
        <w:autoSpaceDN/>
        <w:bidi w:val="0"/>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鉴于本协议甲乙双方就双方签订的编号为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rPr>
        <w:t>等开展业务/合作；在开展业务/合作的过程中，预计甲方将为上述之目的向乙方披露甲方的专有信息且此等信息均被视为保密信息；因此，双方在此达成如下保密协议：</w:t>
      </w:r>
    </w:p>
    <w:p w14:paraId="7223BDD0">
      <w:pPr>
        <w:pStyle w:val="128"/>
        <w:pageBreakBefore w:val="0"/>
        <w:widowControl w:val="0"/>
        <w:tabs>
          <w:tab w:val="left" w:pos="709"/>
        </w:tabs>
        <w:kinsoku/>
        <w:wordWrap/>
        <w:overflowPunct/>
        <w:topLinePunct w:val="0"/>
        <w:autoSpaceDE/>
        <w:autoSpaceDN/>
        <w:bidi w:val="0"/>
        <w:adjustRightInd w:val="0"/>
        <w:snapToGrid w:val="0"/>
        <w:spacing w:beforeLines="0" w:after="0" w:afterLines="0" w:line="400" w:lineRule="exact"/>
        <w:ind w:firstLine="422" w:firstLineChars="200"/>
        <w:jc w:val="both"/>
        <w:textAlignment w:val="auto"/>
        <w:outlineLvl w:val="9"/>
        <w:rPr>
          <w:rFonts w:hint="eastAsia" w:ascii="宋体" w:hAnsi="宋体" w:eastAsia="宋体" w:cs="宋体"/>
          <w:b/>
          <w:color w:val="auto"/>
          <w:sz w:val="21"/>
          <w:szCs w:val="21"/>
          <w:highlight w:val="none"/>
          <w:lang w:eastAsia="zh-CN"/>
        </w:rPr>
      </w:pPr>
      <w:bookmarkStart w:id="311" w:name="_Toc1584680693"/>
      <w:bookmarkStart w:id="312" w:name="_Toc22190"/>
      <w:bookmarkStart w:id="313" w:name="_Toc132707358"/>
      <w:r>
        <w:rPr>
          <w:rFonts w:hint="eastAsia" w:ascii="宋体" w:hAnsi="宋体" w:eastAsia="宋体" w:cs="宋体"/>
          <w:b/>
          <w:color w:val="auto"/>
          <w:sz w:val="21"/>
          <w:szCs w:val="21"/>
          <w:highlight w:val="none"/>
          <w:lang w:eastAsia="zh-CN"/>
        </w:rPr>
        <w:t>一、本协议保密信息的界定</w:t>
      </w:r>
      <w:bookmarkEnd w:id="311"/>
      <w:bookmarkEnd w:id="312"/>
      <w:bookmarkEnd w:id="313"/>
    </w:p>
    <w:p w14:paraId="3F2A4787">
      <w:pPr>
        <w:pStyle w:val="128"/>
        <w:pageBreakBefore w:val="0"/>
        <w:widowControl w:val="0"/>
        <w:tabs>
          <w:tab w:val="left" w:pos="709"/>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kern w:val="2"/>
          <w:sz w:val="21"/>
          <w:szCs w:val="21"/>
          <w:highlight w:val="none"/>
          <w:lang w:eastAsia="zh-CN"/>
        </w:rPr>
      </w:pPr>
      <w:bookmarkStart w:id="314" w:name="_Toc8357"/>
      <w:bookmarkStart w:id="315" w:name="_Toc1710318546"/>
      <w:bookmarkStart w:id="316" w:name="_Toc132707359"/>
      <w:r>
        <w:rPr>
          <w:rFonts w:hint="eastAsia" w:ascii="宋体" w:hAnsi="宋体" w:eastAsia="宋体" w:cs="宋体"/>
          <w:color w:val="auto"/>
          <w:sz w:val="21"/>
          <w:szCs w:val="21"/>
          <w:highlight w:val="none"/>
          <w:lang w:eastAsia="zh-CN"/>
        </w:rPr>
        <w:t>（一）为本协议之目的，“保密信息”是指为实现前述业务/合作目的,甲方向乙方提供或披露的任何甲方不欲公开的机密信息，或者任何其它非公开或专有的信息、数据、设想或概念、标准，和/或其中的任何知识产权，无论该等信息或数据的载体形式、也不论披露是在本协议生效之前或之后。</w:t>
      </w:r>
      <w:r>
        <w:rPr>
          <w:rFonts w:hint="eastAsia" w:ascii="宋体" w:hAnsi="宋体" w:eastAsia="宋体" w:cs="宋体"/>
          <w:color w:val="auto"/>
          <w:kern w:val="2"/>
          <w:sz w:val="21"/>
          <w:szCs w:val="21"/>
          <w:highlight w:val="none"/>
          <w:lang w:eastAsia="zh-CN"/>
        </w:rPr>
        <w:t>本协议所指保密信息包括但不限于以下内容：</w:t>
      </w:r>
      <w:bookmarkEnd w:id="314"/>
      <w:bookmarkEnd w:id="315"/>
      <w:bookmarkEnd w:id="316"/>
    </w:p>
    <w:p w14:paraId="7B5B4AF4">
      <w:pPr>
        <w:pStyle w:val="128"/>
        <w:pageBreakBefore w:val="0"/>
        <w:widowControl w:val="0"/>
        <w:tabs>
          <w:tab w:val="left" w:pos="709"/>
        </w:tabs>
        <w:kinsoku/>
        <w:wordWrap/>
        <w:overflowPunct/>
        <w:topLinePunct w:val="0"/>
        <w:autoSpaceDE/>
        <w:autoSpaceDN/>
        <w:bidi w:val="0"/>
        <w:adjustRightInd w:val="0"/>
        <w:snapToGrid w:val="0"/>
        <w:spacing w:beforeLines="0" w:after="0" w:afterLines="0" w:line="400" w:lineRule="exact"/>
        <w:ind w:firstLine="422" w:firstLineChars="200"/>
        <w:jc w:val="both"/>
        <w:textAlignment w:val="auto"/>
        <w:outlineLvl w:val="9"/>
        <w:rPr>
          <w:rFonts w:hint="eastAsia" w:ascii="宋体" w:hAnsi="宋体" w:eastAsia="宋体" w:cs="宋体"/>
          <w:color w:val="auto"/>
          <w:kern w:val="2"/>
          <w:sz w:val="21"/>
          <w:szCs w:val="21"/>
          <w:highlight w:val="none"/>
          <w:lang w:eastAsia="zh-CN"/>
        </w:rPr>
      </w:pPr>
      <w:bookmarkStart w:id="317" w:name="_Toc13086"/>
      <w:bookmarkStart w:id="318" w:name="_Toc1676583173"/>
      <w:bookmarkStart w:id="319" w:name="_Toc132707360"/>
      <w:r>
        <w:rPr>
          <w:rFonts w:hint="eastAsia" w:ascii="宋体" w:hAnsi="宋体" w:eastAsia="宋体" w:cs="宋体"/>
          <w:b/>
          <w:bCs/>
          <w:color w:val="auto"/>
          <w:kern w:val="2"/>
          <w:sz w:val="21"/>
          <w:szCs w:val="21"/>
          <w:highlight w:val="none"/>
          <w:lang w:eastAsia="zh-CN"/>
        </w:rPr>
        <w:t>技术信息</w:t>
      </w:r>
      <w:r>
        <w:rPr>
          <w:rFonts w:hint="eastAsia" w:ascii="宋体" w:hAnsi="宋体" w:eastAsia="宋体" w:cs="宋体"/>
          <w:color w:val="auto"/>
          <w:kern w:val="2"/>
          <w:sz w:val="21"/>
          <w:szCs w:val="21"/>
          <w:highlight w:val="none"/>
          <w:lang w:eastAsia="zh-CN"/>
        </w:rPr>
        <w:t>：包括甲方专有的技术方案、网络组织、系统及应用软件、数据库、未公开的具有国内先进水平以上的科技成果、技术文档、商务合同、招标方案、评标结果、涉及商业秘密的业务函电等。</w:t>
      </w:r>
      <w:bookmarkEnd w:id="317"/>
      <w:bookmarkEnd w:id="318"/>
      <w:bookmarkEnd w:id="319"/>
    </w:p>
    <w:p w14:paraId="65EB979D">
      <w:pPr>
        <w:pStyle w:val="128"/>
        <w:pageBreakBefore w:val="0"/>
        <w:widowControl w:val="0"/>
        <w:tabs>
          <w:tab w:val="left" w:pos="709"/>
        </w:tabs>
        <w:kinsoku/>
        <w:wordWrap/>
        <w:overflowPunct/>
        <w:topLinePunct w:val="0"/>
        <w:autoSpaceDE/>
        <w:autoSpaceDN/>
        <w:bidi w:val="0"/>
        <w:adjustRightInd w:val="0"/>
        <w:snapToGrid w:val="0"/>
        <w:spacing w:beforeLines="0" w:after="0" w:afterLines="0" w:line="400" w:lineRule="exact"/>
        <w:ind w:firstLine="422" w:firstLineChars="200"/>
        <w:jc w:val="both"/>
        <w:textAlignment w:val="auto"/>
        <w:outlineLvl w:val="9"/>
        <w:rPr>
          <w:rFonts w:hint="eastAsia" w:ascii="宋体" w:hAnsi="宋体" w:eastAsia="宋体" w:cs="宋体"/>
          <w:color w:val="auto"/>
          <w:kern w:val="2"/>
          <w:sz w:val="21"/>
          <w:szCs w:val="21"/>
          <w:highlight w:val="none"/>
          <w:lang w:eastAsia="zh-CN"/>
        </w:rPr>
      </w:pPr>
      <w:bookmarkStart w:id="320" w:name="_Toc1177140318"/>
      <w:bookmarkStart w:id="321" w:name="_Toc17544"/>
      <w:bookmarkStart w:id="322" w:name="_Toc132707361"/>
      <w:r>
        <w:rPr>
          <w:rFonts w:hint="eastAsia" w:ascii="宋体" w:hAnsi="宋体" w:eastAsia="宋体" w:cs="宋体"/>
          <w:b/>
          <w:bCs/>
          <w:color w:val="auto"/>
          <w:kern w:val="2"/>
          <w:sz w:val="21"/>
          <w:szCs w:val="21"/>
          <w:highlight w:val="none"/>
          <w:lang w:eastAsia="zh-CN"/>
        </w:rPr>
        <w:t>经营信息：</w:t>
      </w:r>
      <w:r>
        <w:rPr>
          <w:rFonts w:hint="eastAsia" w:ascii="宋体" w:hAnsi="宋体" w:eastAsia="宋体" w:cs="宋体"/>
          <w:color w:val="auto"/>
          <w:kern w:val="2"/>
          <w:sz w:val="21"/>
          <w:szCs w:val="21"/>
          <w:highlight w:val="none"/>
          <w:lang w:eastAsia="zh-CN"/>
        </w:rPr>
        <w:t>包括甲方发展战略规划、投资计划及年度计划；甲方策略、资料、重大活动计划及安排、暂不公开或不公开的对接单位、合作伙伴相关信息；甲方重要会议内容及记录、以及管理相关文件。</w:t>
      </w:r>
      <w:bookmarkEnd w:id="320"/>
      <w:bookmarkEnd w:id="321"/>
      <w:bookmarkEnd w:id="322"/>
    </w:p>
    <w:p w14:paraId="4E711ABC">
      <w:pPr>
        <w:pStyle w:val="128"/>
        <w:pageBreakBefore w:val="0"/>
        <w:widowControl w:val="0"/>
        <w:tabs>
          <w:tab w:val="left" w:pos="709"/>
        </w:tabs>
        <w:kinsoku/>
        <w:wordWrap/>
        <w:overflowPunct/>
        <w:topLinePunct w:val="0"/>
        <w:autoSpaceDE/>
        <w:autoSpaceDN/>
        <w:bidi w:val="0"/>
        <w:adjustRightInd w:val="0"/>
        <w:snapToGrid w:val="0"/>
        <w:spacing w:beforeLines="0" w:after="0" w:afterLines="0" w:line="400" w:lineRule="exact"/>
        <w:ind w:firstLine="422" w:firstLineChars="200"/>
        <w:jc w:val="both"/>
        <w:textAlignment w:val="auto"/>
        <w:outlineLvl w:val="9"/>
        <w:rPr>
          <w:rFonts w:hint="eastAsia" w:ascii="宋体" w:hAnsi="宋体" w:eastAsia="宋体" w:cs="宋体"/>
          <w:color w:val="auto"/>
          <w:kern w:val="2"/>
          <w:sz w:val="21"/>
          <w:szCs w:val="21"/>
          <w:highlight w:val="none"/>
          <w:lang w:eastAsia="zh-CN"/>
        </w:rPr>
      </w:pPr>
      <w:bookmarkStart w:id="323" w:name="_Toc132707362"/>
      <w:bookmarkStart w:id="324" w:name="_Toc10231"/>
      <w:bookmarkStart w:id="325" w:name="_Toc2119817172"/>
      <w:r>
        <w:rPr>
          <w:rFonts w:hint="eastAsia" w:ascii="宋体" w:hAnsi="宋体" w:eastAsia="宋体" w:cs="宋体"/>
          <w:b/>
          <w:bCs/>
          <w:color w:val="auto"/>
          <w:kern w:val="2"/>
          <w:sz w:val="21"/>
          <w:szCs w:val="21"/>
          <w:highlight w:val="none"/>
          <w:lang w:eastAsia="zh-CN"/>
        </w:rPr>
        <w:t>其他：</w:t>
      </w:r>
      <w:r>
        <w:rPr>
          <w:rFonts w:hint="eastAsia" w:ascii="宋体" w:hAnsi="宋体" w:eastAsia="宋体" w:cs="宋体"/>
          <w:color w:val="auto"/>
          <w:kern w:val="2"/>
          <w:sz w:val="21"/>
          <w:szCs w:val="21"/>
          <w:highlight w:val="none"/>
          <w:lang w:eastAsia="zh-CN"/>
        </w:rPr>
        <w:t>针对</w:t>
      </w:r>
      <w:r>
        <w:rPr>
          <w:rFonts w:hint="eastAsia" w:ascii="宋体" w:hAnsi="宋体" w:eastAsia="宋体" w:cs="宋体"/>
          <w:color w:val="auto"/>
          <w:sz w:val="21"/>
          <w:szCs w:val="21"/>
          <w:highlight w:val="none"/>
          <w:lang w:eastAsia="zh-CN"/>
        </w:rPr>
        <w:t>业务/合作</w:t>
      </w:r>
      <w:r>
        <w:rPr>
          <w:rFonts w:hint="eastAsia" w:ascii="宋体" w:hAnsi="宋体" w:eastAsia="宋体" w:cs="宋体"/>
          <w:color w:val="auto"/>
          <w:kern w:val="2"/>
          <w:sz w:val="21"/>
          <w:szCs w:val="21"/>
          <w:highlight w:val="none"/>
          <w:lang w:eastAsia="zh-CN"/>
        </w:rPr>
        <w:t>需要，甲方向乙方提供的所有相关资料和数据。</w:t>
      </w:r>
      <w:bookmarkEnd w:id="323"/>
      <w:bookmarkEnd w:id="324"/>
      <w:bookmarkEnd w:id="325"/>
    </w:p>
    <w:p w14:paraId="40EF9996">
      <w:pPr>
        <w:pageBreakBefore w:val="0"/>
        <w:kinsoku/>
        <w:wordWrap/>
        <w:overflowPunct/>
        <w:topLinePunct w:val="0"/>
        <w:autoSpaceDE/>
        <w:autoSpaceDN/>
        <w:bidi w:val="0"/>
        <w:adjustRightInd w:val="0"/>
        <w:snapToGrid w:val="0"/>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（二）上述保密信息的披露，包括但不限于以数据、文字、录音及记载上述内容的文档、光盘、软件、图书等有形介质体现，也可通过口头等视听方式传递。</w:t>
      </w:r>
    </w:p>
    <w:p w14:paraId="51C92F02">
      <w:pPr>
        <w:pStyle w:val="128"/>
        <w:pageBreakBefore w:val="0"/>
        <w:widowControl w:val="0"/>
        <w:tabs>
          <w:tab w:val="left" w:pos="709"/>
        </w:tabs>
        <w:kinsoku/>
        <w:wordWrap/>
        <w:overflowPunct/>
        <w:topLinePunct w:val="0"/>
        <w:autoSpaceDE/>
        <w:autoSpaceDN/>
        <w:bidi w:val="0"/>
        <w:adjustRightInd w:val="0"/>
        <w:snapToGrid w:val="0"/>
        <w:spacing w:beforeLines="0" w:after="0" w:afterLines="0" w:line="400" w:lineRule="exact"/>
        <w:ind w:firstLine="422" w:firstLineChars="200"/>
        <w:jc w:val="both"/>
        <w:textAlignment w:val="auto"/>
        <w:outlineLvl w:val="9"/>
        <w:rPr>
          <w:rFonts w:hint="eastAsia" w:ascii="宋体" w:hAnsi="宋体" w:eastAsia="宋体" w:cs="宋体"/>
          <w:b/>
          <w:color w:val="auto"/>
          <w:kern w:val="2"/>
          <w:sz w:val="21"/>
          <w:szCs w:val="21"/>
          <w:highlight w:val="none"/>
          <w:lang w:eastAsia="zh-CN"/>
        </w:rPr>
      </w:pPr>
      <w:bookmarkStart w:id="326" w:name="_Toc8214"/>
      <w:bookmarkStart w:id="327" w:name="_Toc1121355855"/>
      <w:bookmarkStart w:id="328" w:name="_Toc132707363"/>
      <w:r>
        <w:rPr>
          <w:rFonts w:hint="eastAsia" w:ascii="宋体" w:hAnsi="宋体" w:eastAsia="宋体" w:cs="宋体"/>
          <w:b/>
          <w:color w:val="auto"/>
          <w:kern w:val="2"/>
          <w:sz w:val="21"/>
          <w:szCs w:val="21"/>
          <w:highlight w:val="none"/>
          <w:lang w:eastAsia="zh-CN"/>
        </w:rPr>
        <w:t>二、以下信息不属于本协议所定义的保密信息，不受本协议的约束：</w:t>
      </w:r>
      <w:bookmarkEnd w:id="326"/>
      <w:bookmarkEnd w:id="327"/>
      <w:bookmarkEnd w:id="328"/>
    </w:p>
    <w:p w14:paraId="7C0A7FA2">
      <w:pPr>
        <w:pStyle w:val="128"/>
        <w:pageBreakBefore w:val="0"/>
        <w:tabs>
          <w:tab w:val="left" w:pos="709"/>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kern w:val="2"/>
          <w:sz w:val="21"/>
          <w:szCs w:val="21"/>
          <w:highlight w:val="none"/>
          <w:lang w:eastAsia="zh-CN"/>
        </w:rPr>
      </w:pPr>
      <w:bookmarkStart w:id="329" w:name="_Toc132707364"/>
      <w:bookmarkStart w:id="330" w:name="_Toc21538"/>
      <w:bookmarkStart w:id="331" w:name="_Toc1638646153"/>
      <w:r>
        <w:rPr>
          <w:rFonts w:hint="eastAsia" w:ascii="宋体" w:hAnsi="宋体" w:eastAsia="宋体" w:cs="宋体"/>
          <w:color w:val="auto"/>
          <w:kern w:val="2"/>
          <w:sz w:val="21"/>
          <w:szCs w:val="21"/>
          <w:highlight w:val="none"/>
          <w:lang w:eastAsia="zh-CN"/>
        </w:rPr>
        <w:t>（一）乙方能够证明已处于公开状态或并不违反本协议即可获得的任何信息；</w:t>
      </w:r>
      <w:bookmarkEnd w:id="329"/>
      <w:bookmarkEnd w:id="330"/>
      <w:bookmarkEnd w:id="331"/>
    </w:p>
    <w:p w14:paraId="626944D8">
      <w:pPr>
        <w:pStyle w:val="128"/>
        <w:pageBreakBefore w:val="0"/>
        <w:tabs>
          <w:tab w:val="left" w:pos="709"/>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sz w:val="21"/>
          <w:szCs w:val="21"/>
          <w:highlight w:val="none"/>
          <w:lang w:eastAsia="zh-CN"/>
        </w:rPr>
      </w:pPr>
      <w:bookmarkStart w:id="332" w:name="_Toc1676986016"/>
      <w:bookmarkStart w:id="333" w:name="_Toc6067"/>
      <w:bookmarkStart w:id="334" w:name="_Toc132707365"/>
      <w:r>
        <w:rPr>
          <w:rFonts w:hint="eastAsia" w:ascii="宋体" w:hAnsi="宋体" w:eastAsia="宋体" w:cs="宋体"/>
          <w:color w:val="auto"/>
          <w:sz w:val="21"/>
          <w:szCs w:val="21"/>
          <w:highlight w:val="none"/>
          <w:lang w:eastAsia="zh-CN"/>
        </w:rPr>
        <w:t>（二）书面记录能够证明从甲方收到前乙方已经掌握的信息；</w:t>
      </w:r>
      <w:bookmarkEnd w:id="332"/>
      <w:bookmarkEnd w:id="333"/>
      <w:bookmarkEnd w:id="334"/>
    </w:p>
    <w:p w14:paraId="413BA875">
      <w:pPr>
        <w:pStyle w:val="128"/>
        <w:pageBreakBefore w:val="0"/>
        <w:tabs>
          <w:tab w:val="left" w:pos="709"/>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kern w:val="2"/>
          <w:sz w:val="21"/>
          <w:szCs w:val="21"/>
          <w:highlight w:val="none"/>
          <w:lang w:eastAsia="zh-CN"/>
        </w:rPr>
      </w:pPr>
      <w:bookmarkStart w:id="335" w:name="_Toc1259475693"/>
      <w:bookmarkStart w:id="336" w:name="_Toc20237"/>
      <w:bookmarkStart w:id="337" w:name="_Toc132707366"/>
      <w:r>
        <w:rPr>
          <w:rFonts w:hint="eastAsia" w:ascii="宋体" w:hAnsi="宋体" w:eastAsia="宋体" w:cs="宋体"/>
          <w:color w:val="auto"/>
          <w:kern w:val="2"/>
          <w:sz w:val="21"/>
          <w:szCs w:val="21"/>
          <w:highlight w:val="none"/>
          <w:lang w:eastAsia="zh-CN"/>
        </w:rPr>
        <w:t>（三）经甲方书面同意披露或许可使用的信息。</w:t>
      </w:r>
      <w:bookmarkEnd w:id="335"/>
      <w:bookmarkEnd w:id="336"/>
      <w:bookmarkEnd w:id="337"/>
    </w:p>
    <w:p w14:paraId="7D8F5C65">
      <w:pPr>
        <w:pStyle w:val="128"/>
        <w:pageBreakBefore w:val="0"/>
        <w:widowControl w:val="0"/>
        <w:tabs>
          <w:tab w:val="left" w:pos="709"/>
        </w:tabs>
        <w:kinsoku/>
        <w:wordWrap/>
        <w:overflowPunct/>
        <w:topLinePunct w:val="0"/>
        <w:autoSpaceDE/>
        <w:autoSpaceDN/>
        <w:bidi w:val="0"/>
        <w:adjustRightInd w:val="0"/>
        <w:snapToGrid w:val="0"/>
        <w:spacing w:beforeLines="0" w:after="0" w:afterLines="0" w:line="400" w:lineRule="exact"/>
        <w:ind w:firstLine="422" w:firstLineChars="200"/>
        <w:jc w:val="both"/>
        <w:textAlignment w:val="auto"/>
        <w:outlineLvl w:val="9"/>
        <w:rPr>
          <w:rFonts w:hint="eastAsia" w:ascii="宋体" w:hAnsi="宋体" w:eastAsia="宋体" w:cs="宋体"/>
          <w:b/>
          <w:color w:val="auto"/>
          <w:kern w:val="2"/>
          <w:sz w:val="21"/>
          <w:szCs w:val="21"/>
          <w:highlight w:val="none"/>
          <w:lang w:eastAsia="zh-CN"/>
        </w:rPr>
      </w:pPr>
      <w:bookmarkStart w:id="338" w:name="_Toc32588"/>
      <w:bookmarkStart w:id="339" w:name="_Toc1364483399"/>
      <w:bookmarkStart w:id="340" w:name="_Toc132707367"/>
      <w:r>
        <w:rPr>
          <w:rFonts w:hint="eastAsia" w:ascii="宋体" w:hAnsi="宋体" w:eastAsia="宋体" w:cs="宋体"/>
          <w:b/>
          <w:color w:val="auto"/>
          <w:kern w:val="2"/>
          <w:sz w:val="21"/>
          <w:szCs w:val="21"/>
          <w:highlight w:val="none"/>
          <w:lang w:eastAsia="zh-CN"/>
        </w:rPr>
        <w:t>三、保密义务及具体要求</w:t>
      </w:r>
      <w:bookmarkEnd w:id="338"/>
      <w:bookmarkEnd w:id="339"/>
      <w:bookmarkEnd w:id="340"/>
    </w:p>
    <w:p w14:paraId="68BF4BA3">
      <w:pPr>
        <w:pStyle w:val="128"/>
        <w:pageBreakBefore w:val="0"/>
        <w:tabs>
          <w:tab w:val="left" w:pos="709"/>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kern w:val="2"/>
          <w:sz w:val="21"/>
          <w:szCs w:val="21"/>
          <w:highlight w:val="none"/>
          <w:lang w:eastAsia="zh-CN"/>
        </w:rPr>
      </w:pPr>
      <w:bookmarkStart w:id="341" w:name="_Toc1861507462"/>
      <w:bookmarkStart w:id="342" w:name="_Toc5726"/>
      <w:bookmarkStart w:id="343" w:name="_Toc132707368"/>
      <w:r>
        <w:rPr>
          <w:rFonts w:hint="eastAsia" w:ascii="宋体" w:hAnsi="宋体" w:eastAsia="宋体" w:cs="宋体"/>
          <w:color w:val="auto"/>
          <w:kern w:val="2"/>
          <w:sz w:val="21"/>
          <w:szCs w:val="21"/>
          <w:highlight w:val="none"/>
          <w:lang w:eastAsia="zh-CN"/>
        </w:rPr>
        <w:t>（一）乙方应以对待自己同等重要的保密文件一样的谨慎态度对待甲方提供的保密信息，乙方应要求其获悉保密信息的所有人员采取必要的措施对收到的保密信息进行存档和保密，避免任何其他第三方及乙方的无关人员以任何方式获得此保密信息；</w:t>
      </w:r>
      <w:bookmarkEnd w:id="341"/>
      <w:bookmarkEnd w:id="342"/>
      <w:bookmarkEnd w:id="343"/>
    </w:p>
    <w:p w14:paraId="541CF010">
      <w:pPr>
        <w:pStyle w:val="128"/>
        <w:pageBreakBefore w:val="0"/>
        <w:tabs>
          <w:tab w:val="left" w:pos="709"/>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kern w:val="2"/>
          <w:sz w:val="21"/>
          <w:szCs w:val="21"/>
          <w:highlight w:val="none"/>
          <w:lang w:eastAsia="zh-CN"/>
        </w:rPr>
      </w:pPr>
      <w:bookmarkStart w:id="344" w:name="_Toc6568"/>
      <w:bookmarkStart w:id="345" w:name="_Toc132707369"/>
      <w:bookmarkStart w:id="346" w:name="_Toc32822840"/>
      <w:r>
        <w:rPr>
          <w:rFonts w:hint="eastAsia" w:ascii="宋体" w:hAnsi="宋体" w:eastAsia="宋体" w:cs="宋体"/>
          <w:color w:val="auto"/>
          <w:kern w:val="2"/>
          <w:sz w:val="21"/>
          <w:szCs w:val="21"/>
          <w:highlight w:val="none"/>
          <w:lang w:eastAsia="zh-CN"/>
        </w:rPr>
        <w:t>（二）乙方保证该保密信息仅用于与业务/合作有关的用途。未经甲方书面同意，乙方不得将保密信息用于业务/合作以外的任何用途、不得对保密信息进行复制、或利用保密信息进行新的研究或开发；</w:t>
      </w:r>
      <w:bookmarkEnd w:id="344"/>
      <w:bookmarkEnd w:id="345"/>
      <w:bookmarkEnd w:id="346"/>
    </w:p>
    <w:p w14:paraId="6AA46ED4">
      <w:pPr>
        <w:pStyle w:val="128"/>
        <w:pageBreakBefore w:val="0"/>
        <w:tabs>
          <w:tab w:val="left" w:pos="709"/>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kern w:val="2"/>
          <w:sz w:val="21"/>
          <w:szCs w:val="21"/>
          <w:highlight w:val="none"/>
          <w:lang w:eastAsia="zh-CN"/>
        </w:rPr>
      </w:pPr>
      <w:bookmarkStart w:id="347" w:name="_Toc132707370"/>
      <w:bookmarkStart w:id="348" w:name="_Toc1692559735"/>
      <w:bookmarkStart w:id="349" w:name="_Toc13939"/>
      <w:r>
        <w:rPr>
          <w:rFonts w:hint="eastAsia" w:ascii="宋体" w:hAnsi="宋体" w:eastAsia="宋体" w:cs="宋体"/>
          <w:color w:val="auto"/>
          <w:kern w:val="2"/>
          <w:sz w:val="21"/>
          <w:szCs w:val="21"/>
          <w:highlight w:val="none"/>
          <w:lang w:eastAsia="zh-CN"/>
        </w:rPr>
        <w:t>（三）乙方保证仅为与甲方业务/合作的目的向乙方确有知悉必要的雇员、董事、顾问和/或咨询人员披露保密信息，且对保密信息的披露及利用符合甲方的利益。在乙方上述人员知悉该保密信息前，应向其说明保密信息的保密性及其应承担的义务，保证上述人员同意接收本协议条款的约束，并对上述人员的保密行为进行有效的监督管理。因前述人员违背上述承诺，向第三方披露保密信息，或依据该等保密信息向第三方做出任何建议，都被视为乙方违反本协议，乙方应承担全部责任，且乙方应采取有效措施防止泄密进一步扩大，并及时告知甲方；</w:t>
      </w:r>
      <w:bookmarkEnd w:id="347"/>
      <w:bookmarkEnd w:id="348"/>
      <w:bookmarkEnd w:id="349"/>
    </w:p>
    <w:p w14:paraId="2E4ACC08">
      <w:pPr>
        <w:pStyle w:val="128"/>
        <w:pageBreakBefore w:val="0"/>
        <w:tabs>
          <w:tab w:val="left" w:pos="709"/>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kern w:val="2"/>
          <w:sz w:val="21"/>
          <w:szCs w:val="21"/>
          <w:highlight w:val="none"/>
          <w:lang w:eastAsia="zh-CN"/>
        </w:rPr>
      </w:pPr>
      <w:bookmarkStart w:id="350" w:name="_Toc132707371"/>
      <w:bookmarkStart w:id="351" w:name="_Toc915692807"/>
      <w:bookmarkStart w:id="352" w:name="_Toc11143"/>
      <w:r>
        <w:rPr>
          <w:rFonts w:hint="eastAsia" w:ascii="宋体" w:hAnsi="宋体" w:eastAsia="宋体" w:cs="宋体"/>
          <w:color w:val="auto"/>
          <w:kern w:val="2"/>
          <w:sz w:val="21"/>
          <w:szCs w:val="21"/>
          <w:highlight w:val="none"/>
          <w:lang w:eastAsia="zh-CN"/>
        </w:rPr>
        <w:t>（四）甲方的保密信息的部分或个别要素虽被披露成为公知信息，但该信息的其它部分或整体尚未成为公知信息的，乙方仍应按本协议约定对未公开部分的信息履行保密义务；</w:t>
      </w:r>
      <w:bookmarkEnd w:id="350"/>
      <w:bookmarkEnd w:id="351"/>
      <w:bookmarkEnd w:id="352"/>
    </w:p>
    <w:p w14:paraId="170BE6B0">
      <w:pPr>
        <w:pStyle w:val="128"/>
        <w:pageBreakBefore w:val="0"/>
        <w:tabs>
          <w:tab w:val="left" w:pos="709"/>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kern w:val="2"/>
          <w:sz w:val="21"/>
          <w:szCs w:val="21"/>
          <w:highlight w:val="none"/>
          <w:lang w:eastAsia="zh-CN"/>
        </w:rPr>
      </w:pPr>
      <w:bookmarkStart w:id="353" w:name="_Toc132707372"/>
      <w:bookmarkStart w:id="354" w:name="_Toc27551"/>
      <w:bookmarkStart w:id="355" w:name="_Toc1707662881"/>
      <w:r>
        <w:rPr>
          <w:rFonts w:hint="eastAsia" w:ascii="宋体" w:hAnsi="宋体" w:eastAsia="宋体" w:cs="宋体"/>
          <w:color w:val="auto"/>
          <w:kern w:val="2"/>
          <w:sz w:val="21"/>
          <w:szCs w:val="21"/>
          <w:highlight w:val="none"/>
          <w:lang w:eastAsia="zh-CN"/>
        </w:rPr>
        <w:t>（五）对于本协议签署前、签署过程及履行等过程中，乙方所接触到的甲方及甲方关联单位的保密信息，乙方应依据本协议约定履行保密义务。</w:t>
      </w:r>
      <w:bookmarkEnd w:id="353"/>
      <w:bookmarkEnd w:id="354"/>
      <w:bookmarkEnd w:id="355"/>
    </w:p>
    <w:p w14:paraId="091E2C23">
      <w:pPr>
        <w:pStyle w:val="128"/>
        <w:pageBreakBefore w:val="0"/>
        <w:tabs>
          <w:tab w:val="left" w:pos="709"/>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kern w:val="2"/>
          <w:sz w:val="21"/>
          <w:szCs w:val="21"/>
          <w:highlight w:val="none"/>
          <w:lang w:eastAsia="zh-CN"/>
        </w:rPr>
      </w:pPr>
      <w:bookmarkStart w:id="356" w:name="_Toc132707373"/>
      <w:bookmarkStart w:id="357" w:name="_Toc2129"/>
      <w:bookmarkStart w:id="358" w:name="_Toc1925938929"/>
      <w:r>
        <w:rPr>
          <w:rFonts w:hint="eastAsia" w:ascii="宋体" w:hAnsi="宋体" w:eastAsia="宋体" w:cs="宋体"/>
          <w:bCs/>
          <w:color w:val="auto"/>
          <w:kern w:val="2"/>
          <w:sz w:val="21"/>
          <w:szCs w:val="21"/>
          <w:highlight w:val="none"/>
          <w:lang w:eastAsia="zh-CN"/>
        </w:rPr>
        <w:t>（六）</w:t>
      </w:r>
      <w:r>
        <w:rPr>
          <w:rFonts w:hint="eastAsia" w:ascii="宋体" w:hAnsi="宋体" w:eastAsia="宋体" w:cs="宋体"/>
          <w:color w:val="auto"/>
          <w:kern w:val="2"/>
          <w:sz w:val="21"/>
          <w:szCs w:val="21"/>
          <w:highlight w:val="none"/>
          <w:lang w:eastAsia="zh-CN"/>
        </w:rPr>
        <w:t>甲方如发现乙方存在涉及保密信息保护措施缺失、数据滥用、严重泄露等问题，甲方有权按照本协议相关条款进行处理，并且对于已产生的实际损失和不良影响，由乙方全责承担。</w:t>
      </w:r>
      <w:bookmarkEnd w:id="356"/>
      <w:bookmarkEnd w:id="357"/>
      <w:bookmarkEnd w:id="358"/>
    </w:p>
    <w:p w14:paraId="05D6308F">
      <w:pPr>
        <w:pStyle w:val="128"/>
        <w:pageBreakBefore w:val="0"/>
        <w:widowControl w:val="0"/>
        <w:tabs>
          <w:tab w:val="left" w:pos="709"/>
        </w:tabs>
        <w:kinsoku/>
        <w:wordWrap/>
        <w:overflowPunct/>
        <w:topLinePunct w:val="0"/>
        <w:autoSpaceDE/>
        <w:autoSpaceDN/>
        <w:bidi w:val="0"/>
        <w:adjustRightInd w:val="0"/>
        <w:snapToGrid w:val="0"/>
        <w:spacing w:beforeLines="0" w:after="0" w:afterLines="0" w:line="400" w:lineRule="exact"/>
        <w:ind w:firstLine="426" w:firstLineChars="202"/>
        <w:jc w:val="both"/>
        <w:textAlignment w:val="auto"/>
        <w:outlineLvl w:val="9"/>
        <w:rPr>
          <w:rFonts w:hint="eastAsia" w:ascii="宋体" w:hAnsi="宋体" w:eastAsia="宋体" w:cs="宋体"/>
          <w:b/>
          <w:color w:val="auto"/>
          <w:kern w:val="2"/>
          <w:sz w:val="21"/>
          <w:szCs w:val="21"/>
          <w:highlight w:val="none"/>
          <w:lang w:eastAsia="zh-CN"/>
        </w:rPr>
      </w:pPr>
      <w:bookmarkStart w:id="359" w:name="_Toc10877"/>
      <w:bookmarkStart w:id="360" w:name="_Toc132707374"/>
      <w:bookmarkStart w:id="361" w:name="_Toc1127185982"/>
      <w:r>
        <w:rPr>
          <w:rFonts w:hint="eastAsia" w:ascii="宋体" w:hAnsi="宋体" w:eastAsia="宋体" w:cs="宋体"/>
          <w:b/>
          <w:color w:val="auto"/>
          <w:kern w:val="2"/>
          <w:sz w:val="21"/>
          <w:szCs w:val="21"/>
          <w:highlight w:val="none"/>
          <w:lang w:eastAsia="zh-CN"/>
        </w:rPr>
        <w:t>四、保密期限</w:t>
      </w:r>
      <w:bookmarkEnd w:id="359"/>
      <w:bookmarkEnd w:id="360"/>
      <w:bookmarkEnd w:id="361"/>
    </w:p>
    <w:p w14:paraId="74DD268F">
      <w:pPr>
        <w:pStyle w:val="128"/>
        <w:pageBreakBefore w:val="0"/>
        <w:tabs>
          <w:tab w:val="left" w:pos="0"/>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kern w:val="2"/>
          <w:sz w:val="21"/>
          <w:szCs w:val="21"/>
          <w:highlight w:val="none"/>
          <w:lang w:eastAsia="zh-CN"/>
        </w:rPr>
      </w:pPr>
      <w:bookmarkStart w:id="362" w:name="_Toc1266928463"/>
      <w:bookmarkStart w:id="363" w:name="_Toc132707375"/>
      <w:bookmarkStart w:id="364" w:name="_Toc28068"/>
      <w:r>
        <w:rPr>
          <w:rFonts w:hint="eastAsia" w:ascii="宋体" w:hAnsi="宋体" w:eastAsia="宋体" w:cs="宋体"/>
          <w:color w:val="auto"/>
          <w:kern w:val="2"/>
          <w:sz w:val="21"/>
          <w:szCs w:val="21"/>
          <w:highlight w:val="none"/>
          <w:lang w:eastAsia="zh-CN"/>
        </w:rPr>
        <w:t>（一）乙方保密的义务长期有效。无论双方业务/合作协议是否成立、届满、终止或被取代，乙方的保密义务应持续有效，直到甲方以书面形式明确说明解除乙方此项义务，或事实上不会因违反保密义务而给甲方造成任何形式的损害时为止；</w:t>
      </w:r>
      <w:bookmarkEnd w:id="362"/>
      <w:bookmarkEnd w:id="363"/>
      <w:bookmarkEnd w:id="364"/>
    </w:p>
    <w:p w14:paraId="2D05E9CD">
      <w:pPr>
        <w:pStyle w:val="128"/>
        <w:pageBreakBefore w:val="0"/>
        <w:tabs>
          <w:tab w:val="left" w:pos="709"/>
        </w:tabs>
        <w:kinsoku/>
        <w:wordWrap/>
        <w:overflowPunct/>
        <w:topLinePunct w:val="0"/>
        <w:autoSpaceDE/>
        <w:autoSpaceDN/>
        <w:bidi w:val="0"/>
        <w:adjustRightInd w:val="0"/>
        <w:snapToGrid w:val="0"/>
        <w:spacing w:beforeLines="0" w:after="0" w:afterLines="0" w:line="400" w:lineRule="exact"/>
        <w:ind w:firstLine="420" w:firstLineChars="200"/>
        <w:jc w:val="both"/>
        <w:textAlignment w:val="auto"/>
        <w:outlineLvl w:val="9"/>
        <w:rPr>
          <w:rFonts w:hint="eastAsia" w:ascii="宋体" w:hAnsi="宋体" w:eastAsia="宋体" w:cs="宋体"/>
          <w:color w:val="auto"/>
          <w:kern w:val="2"/>
          <w:sz w:val="21"/>
          <w:szCs w:val="21"/>
          <w:highlight w:val="none"/>
          <w:lang w:eastAsia="zh-CN"/>
        </w:rPr>
      </w:pPr>
      <w:bookmarkStart w:id="365" w:name="_Toc12255"/>
      <w:bookmarkStart w:id="366" w:name="_Toc914130467"/>
      <w:bookmarkStart w:id="367" w:name="_Toc132707376"/>
      <w:r>
        <w:rPr>
          <w:rFonts w:hint="eastAsia" w:ascii="宋体" w:hAnsi="宋体" w:eastAsia="宋体" w:cs="宋体"/>
          <w:color w:val="auto"/>
          <w:kern w:val="2"/>
          <w:sz w:val="21"/>
          <w:szCs w:val="21"/>
          <w:highlight w:val="none"/>
          <w:lang w:eastAsia="zh-CN"/>
        </w:rPr>
        <w:t>（二）双方业务/合作终止后，乙方应及时将承载保密信息的介质原件及复制件全部返还甲方，或对复制件进行彻底销毁，或按甲方要求的其他形式处理。最迟不得超过甲方发出交还或处理通知之日起三十日。</w:t>
      </w:r>
      <w:bookmarkEnd w:id="365"/>
      <w:bookmarkEnd w:id="366"/>
      <w:bookmarkEnd w:id="367"/>
    </w:p>
    <w:p w14:paraId="7B271AF9">
      <w:pPr>
        <w:pStyle w:val="128"/>
        <w:pageBreakBefore w:val="0"/>
        <w:widowControl w:val="0"/>
        <w:tabs>
          <w:tab w:val="left" w:pos="709"/>
        </w:tabs>
        <w:kinsoku/>
        <w:wordWrap/>
        <w:overflowPunct/>
        <w:topLinePunct w:val="0"/>
        <w:autoSpaceDE/>
        <w:autoSpaceDN/>
        <w:bidi w:val="0"/>
        <w:adjustRightInd w:val="0"/>
        <w:snapToGrid w:val="0"/>
        <w:spacing w:beforeLines="0" w:after="0" w:afterLines="0" w:line="400" w:lineRule="exact"/>
        <w:ind w:firstLine="422" w:firstLineChars="200"/>
        <w:jc w:val="both"/>
        <w:textAlignment w:val="auto"/>
        <w:outlineLvl w:val="9"/>
        <w:rPr>
          <w:rFonts w:hint="eastAsia" w:ascii="宋体" w:hAnsi="宋体" w:eastAsia="宋体" w:cs="宋体"/>
          <w:b/>
          <w:color w:val="auto"/>
          <w:kern w:val="2"/>
          <w:sz w:val="21"/>
          <w:szCs w:val="21"/>
          <w:highlight w:val="none"/>
          <w:lang w:eastAsia="zh-CN"/>
        </w:rPr>
      </w:pPr>
      <w:bookmarkStart w:id="368" w:name="_Toc132707377"/>
      <w:bookmarkStart w:id="369" w:name="_Toc27660"/>
      <w:bookmarkStart w:id="370" w:name="_Toc512442950"/>
      <w:r>
        <w:rPr>
          <w:rFonts w:hint="eastAsia" w:ascii="宋体" w:hAnsi="宋体" w:eastAsia="宋体" w:cs="宋体"/>
          <w:b/>
          <w:color w:val="auto"/>
          <w:kern w:val="2"/>
          <w:sz w:val="21"/>
          <w:szCs w:val="21"/>
          <w:highlight w:val="none"/>
          <w:lang w:eastAsia="zh-CN"/>
        </w:rPr>
        <w:t>五、违约责任</w:t>
      </w:r>
      <w:bookmarkEnd w:id="368"/>
      <w:bookmarkEnd w:id="369"/>
      <w:bookmarkEnd w:id="370"/>
    </w:p>
    <w:p w14:paraId="43978225">
      <w:pPr>
        <w:pageBreakBefore w:val="0"/>
        <w:widowControl/>
        <w:kinsoku/>
        <w:wordWrap/>
        <w:overflowPunct/>
        <w:topLinePunct w:val="0"/>
        <w:autoSpaceDE/>
        <w:autoSpaceDN/>
        <w:bidi w:val="0"/>
        <w:adjustRightInd w:val="0"/>
        <w:snapToGrid w:val="0"/>
        <w:spacing w:beforeLines="0" w:afterLines="0" w:line="40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（一）如乙方有违反本协议的情形，无论故意与过失，应当立即停止侵害，并在第一时间采取一切必要措施防止保密信息的扩散，尽最大可能消除影响；</w:t>
      </w:r>
    </w:p>
    <w:p w14:paraId="52A27FFF">
      <w:pPr>
        <w:pageBreakBefore w:val="0"/>
        <w:widowControl/>
        <w:kinsoku/>
        <w:wordWrap/>
        <w:overflowPunct/>
        <w:topLinePunct w:val="0"/>
        <w:autoSpaceDE/>
        <w:autoSpaceDN/>
        <w:bidi w:val="0"/>
        <w:adjustRightInd w:val="0"/>
        <w:snapToGrid w:val="0"/>
        <w:spacing w:beforeLines="0" w:afterLines="0" w:line="400" w:lineRule="exact"/>
        <w:ind w:firstLine="424" w:firstLineChars="20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（二）乙方未履行或未完全履行本协议项下的条款均构成违约，乙方应赔偿因此而给甲方造成的一切损失，包括但不限于甲方因调查违约行为、仲裁、诉讼、聘请律师、保全等而支付的合理费用和开支。</w:t>
      </w:r>
    </w:p>
    <w:p w14:paraId="30354B81">
      <w:pPr>
        <w:pageBreakBefore w:val="0"/>
        <w:kinsoku/>
        <w:wordWrap/>
        <w:overflowPunct/>
        <w:topLinePunct w:val="0"/>
        <w:autoSpaceDE/>
        <w:autoSpaceDN/>
        <w:bidi w:val="0"/>
        <w:adjustRightInd w:val="0"/>
        <w:snapToGrid w:val="0"/>
        <w:spacing w:beforeLines="0" w:afterLines="0"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六、其他</w:t>
      </w:r>
    </w:p>
    <w:p w14:paraId="28580582">
      <w:pPr>
        <w:pageBreakBefore w:val="0"/>
        <w:kinsoku/>
        <w:wordWrap/>
        <w:overflowPunct/>
        <w:topLinePunct w:val="0"/>
        <w:autoSpaceDE/>
        <w:autoSpaceDN/>
        <w:bidi w:val="0"/>
        <w:adjustRightInd w:val="0"/>
        <w:snapToGrid w:val="0"/>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（一）本协议适用中华人民共和国法律法规的规定，凡因本协议引起的或与本协议有关的任何争议，双方可通过协商解决。协商不成则将争议提交甲方所在地有管辖权的人民法院通过诉讼方式解决。</w:t>
      </w:r>
    </w:p>
    <w:p w14:paraId="2F346DD4">
      <w:pPr>
        <w:pageBreakBefore w:val="0"/>
        <w:kinsoku/>
        <w:wordWrap/>
        <w:overflowPunct/>
        <w:topLinePunct w:val="0"/>
        <w:autoSpaceDE/>
        <w:autoSpaceDN/>
        <w:bidi w:val="0"/>
        <w:adjustRightInd w:val="0"/>
        <w:snapToGrid w:val="0"/>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合作过程中，甲方披露的保密信息的权属可能归属于甲方的关联公司，乙方同意该等信息的保密按本协议约定履行。本协议所指甲方关联公司为：甲方在签订本协议时或将来直接或间接控制该方、或由该方控制、或与该方共同受他方控制的任何实体。</w:t>
      </w:r>
    </w:p>
    <w:p w14:paraId="1058DAA2">
      <w:pPr>
        <w:pageBreakBefore w:val="0"/>
        <w:kinsoku/>
        <w:wordWrap/>
        <w:overflowPunct/>
        <w:topLinePunct w:val="0"/>
        <w:autoSpaceDE/>
        <w:autoSpaceDN/>
        <w:bidi w:val="0"/>
        <w:adjustRightInd w:val="0"/>
        <w:snapToGrid w:val="0"/>
        <w:spacing w:beforeLines="0" w:afterLines="0"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（三）本协议之条款非经双方签署书面文件不得加以修改、放弃。</w:t>
      </w:r>
    </w:p>
    <w:p w14:paraId="7D75FA84">
      <w:pPr>
        <w:rPr>
          <w:rFonts w:hint="eastAsia" w:ascii="宋体" w:hAnsi="宋体" w:eastAsia="宋体" w:cs="宋体"/>
          <w:color w:val="auto"/>
          <w:sz w:val="21"/>
          <w:szCs w:val="21"/>
          <w:highlight w:val="none"/>
        </w:rPr>
      </w:pPr>
    </w:p>
    <w:p w14:paraId="08BC0FCF">
      <w:pPr>
        <w:pStyle w:val="47"/>
        <w:rPr>
          <w:rFonts w:hint="eastAsia"/>
          <w:color w:val="auto"/>
          <w:highlight w:val="none"/>
        </w:rPr>
      </w:pPr>
    </w:p>
    <w:tbl>
      <w:tblPr>
        <w:tblStyle w:val="38"/>
        <w:tblW w:w="0" w:type="auto"/>
        <w:tblInd w:w="122" w:type="dxa"/>
        <w:tblLayout w:type="fixed"/>
        <w:tblCellMar>
          <w:top w:w="0" w:type="dxa"/>
          <w:left w:w="108" w:type="dxa"/>
          <w:bottom w:w="0" w:type="dxa"/>
          <w:right w:w="108" w:type="dxa"/>
        </w:tblCellMar>
      </w:tblPr>
      <w:tblGrid>
        <w:gridCol w:w="4070"/>
        <w:gridCol w:w="4213"/>
      </w:tblGrid>
      <w:tr w14:paraId="20E248A9">
        <w:tblPrEx>
          <w:tblCellMar>
            <w:top w:w="0" w:type="dxa"/>
            <w:left w:w="108" w:type="dxa"/>
            <w:bottom w:w="0" w:type="dxa"/>
            <w:right w:w="108" w:type="dxa"/>
          </w:tblCellMar>
        </w:tblPrEx>
        <w:trPr>
          <w:trHeight w:val="981" w:hRule="atLeast"/>
        </w:trPr>
        <w:tc>
          <w:tcPr>
            <w:tcW w:w="4070" w:type="dxa"/>
            <w:noWrap w:val="0"/>
            <w:vAlign w:val="top"/>
          </w:tcPr>
          <w:p w14:paraId="0E14D98F">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甲方：</w:t>
            </w:r>
            <w:r>
              <w:rPr>
                <w:rFonts w:hint="eastAsia" w:ascii="宋体" w:hAnsi="宋体" w:cs="宋体"/>
                <w:b/>
                <w:bCs/>
                <w:color w:val="auto"/>
                <w:sz w:val="21"/>
                <w:szCs w:val="21"/>
                <w:highlight w:val="none"/>
                <w:lang w:eastAsia="zh-CN"/>
              </w:rPr>
              <w:t>广西壮族自治区农业农村厅</w:t>
            </w:r>
          </w:p>
        </w:tc>
        <w:tc>
          <w:tcPr>
            <w:tcW w:w="4213" w:type="dxa"/>
            <w:noWrap w:val="0"/>
            <w:vAlign w:val="top"/>
          </w:tcPr>
          <w:p w14:paraId="24790CA9">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乙方：</w:t>
            </w:r>
            <w:r>
              <w:rPr>
                <w:rFonts w:hint="eastAsia" w:ascii="宋体" w:hAnsi="宋体" w:eastAsia="宋体" w:cs="宋体"/>
                <w:b/>
                <w:bCs/>
                <w:color w:val="auto"/>
                <w:sz w:val="21"/>
                <w:szCs w:val="21"/>
                <w:highlight w:val="none"/>
                <w:lang w:val="en-US" w:eastAsia="zh-CN"/>
              </w:rPr>
              <w:t xml:space="preserve"> </w:t>
            </w:r>
          </w:p>
        </w:tc>
      </w:tr>
      <w:tr w14:paraId="685D832B">
        <w:tblPrEx>
          <w:tblCellMar>
            <w:top w:w="0" w:type="dxa"/>
            <w:left w:w="108" w:type="dxa"/>
            <w:bottom w:w="0" w:type="dxa"/>
            <w:right w:w="108" w:type="dxa"/>
          </w:tblCellMar>
        </w:tblPrEx>
        <w:trPr>
          <w:trHeight w:val="1050" w:hRule="atLeast"/>
        </w:trPr>
        <w:tc>
          <w:tcPr>
            <w:tcW w:w="4070" w:type="dxa"/>
            <w:noWrap w:val="0"/>
            <w:vAlign w:val="top"/>
          </w:tcPr>
          <w:p w14:paraId="69CC783F">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法定代表人（负责人）</w:t>
            </w:r>
            <w:r>
              <w:rPr>
                <w:rFonts w:hint="eastAsia" w:ascii="宋体" w:hAnsi="宋体" w:eastAsia="宋体" w:cs="宋体"/>
                <w:b/>
                <w:bCs/>
                <w:color w:val="auto"/>
                <w:sz w:val="21"/>
                <w:szCs w:val="21"/>
                <w:highlight w:val="none"/>
                <w:lang w:eastAsia="zh-CN"/>
              </w:rPr>
              <w:t>或授权代表</w:t>
            </w:r>
            <w:r>
              <w:rPr>
                <w:rFonts w:hint="eastAsia" w:ascii="宋体" w:hAnsi="宋体" w:eastAsia="宋体" w:cs="宋体"/>
                <w:b/>
                <w:bCs/>
                <w:color w:val="auto"/>
                <w:sz w:val="21"/>
                <w:szCs w:val="21"/>
                <w:highlight w:val="none"/>
              </w:rPr>
              <w:t>：</w:t>
            </w:r>
          </w:p>
          <w:p w14:paraId="18E2ABF7">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rPr>
            </w:pPr>
          </w:p>
          <w:p w14:paraId="73CCEC87">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rPr>
            </w:pPr>
          </w:p>
        </w:tc>
        <w:tc>
          <w:tcPr>
            <w:tcW w:w="4213" w:type="dxa"/>
            <w:noWrap w:val="0"/>
            <w:vAlign w:val="top"/>
          </w:tcPr>
          <w:p w14:paraId="50066DEA">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法定代表人（负责人）</w:t>
            </w:r>
            <w:r>
              <w:rPr>
                <w:rFonts w:hint="eastAsia" w:ascii="宋体" w:hAnsi="宋体" w:eastAsia="宋体" w:cs="宋体"/>
                <w:b/>
                <w:bCs/>
                <w:color w:val="auto"/>
                <w:sz w:val="21"/>
                <w:szCs w:val="21"/>
                <w:highlight w:val="none"/>
                <w:lang w:eastAsia="zh-CN"/>
              </w:rPr>
              <w:t>或授权代表</w:t>
            </w:r>
            <w:r>
              <w:rPr>
                <w:rFonts w:hint="eastAsia" w:ascii="宋体" w:hAnsi="宋体" w:eastAsia="宋体" w:cs="宋体"/>
                <w:b/>
                <w:bCs/>
                <w:color w:val="auto"/>
                <w:sz w:val="21"/>
                <w:szCs w:val="21"/>
                <w:highlight w:val="none"/>
              </w:rPr>
              <w:t>：</w:t>
            </w:r>
          </w:p>
          <w:p w14:paraId="205D2195">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lang w:val="en-US" w:eastAsia="zh-CN"/>
              </w:rPr>
            </w:pPr>
          </w:p>
          <w:p w14:paraId="77C6129D">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b/>
                <w:bCs/>
                <w:color w:val="auto"/>
                <w:sz w:val="21"/>
                <w:szCs w:val="21"/>
                <w:highlight w:val="none"/>
                <w:lang w:val="en-US" w:eastAsia="zh-CN"/>
              </w:rPr>
            </w:pPr>
          </w:p>
        </w:tc>
      </w:tr>
      <w:tr w14:paraId="1944E7AE">
        <w:tblPrEx>
          <w:tblCellMar>
            <w:top w:w="0" w:type="dxa"/>
            <w:left w:w="108" w:type="dxa"/>
            <w:bottom w:w="0" w:type="dxa"/>
            <w:right w:w="108" w:type="dxa"/>
          </w:tblCellMar>
        </w:tblPrEx>
        <w:trPr>
          <w:trHeight w:val="601" w:hRule="atLeast"/>
        </w:trPr>
        <w:tc>
          <w:tcPr>
            <w:tcW w:w="4070" w:type="dxa"/>
            <w:noWrap w:val="0"/>
            <w:vAlign w:val="top"/>
          </w:tcPr>
          <w:p w14:paraId="08E3990E">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年</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 xml:space="preserve">  月 </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 xml:space="preserve"> 日</w:t>
            </w:r>
          </w:p>
        </w:tc>
        <w:tc>
          <w:tcPr>
            <w:tcW w:w="4213" w:type="dxa"/>
            <w:noWrap w:val="0"/>
            <w:vAlign w:val="top"/>
          </w:tcPr>
          <w:p w14:paraId="19631A85">
            <w:pPr>
              <w:pStyle w:val="25"/>
              <w:pageBreakBefore w:val="0"/>
              <w:kinsoku/>
              <w:wordWrap/>
              <w:overflowPunct/>
              <w:topLinePunct w:val="0"/>
              <w:autoSpaceDE/>
              <w:autoSpaceDN/>
              <w:bidi w:val="0"/>
              <w:spacing w:beforeLines="0" w:afterLines="0"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 xml:space="preserve">年  </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 xml:space="preserve">月 </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 xml:space="preserve"> 日</w:t>
            </w:r>
          </w:p>
        </w:tc>
      </w:tr>
    </w:tbl>
    <w:p w14:paraId="7A1A9C20">
      <w:pPr>
        <w:spacing w:beforeLines="0" w:afterLines="0" w:line="360" w:lineRule="auto"/>
        <w:rPr>
          <w:rFonts w:hint="eastAsia" w:ascii="宋体" w:hAnsi="宋体" w:eastAsia="宋体" w:cs="宋体"/>
          <w:color w:val="auto"/>
          <w:sz w:val="21"/>
          <w:szCs w:val="21"/>
          <w:highlight w:val="none"/>
        </w:rPr>
      </w:pPr>
    </w:p>
    <w:p w14:paraId="5D2DCB52">
      <w:pPr>
        <w:keepNext w:val="0"/>
        <w:keepLines w:val="0"/>
        <w:pageBreakBefore w:val="0"/>
        <w:widowControl w:val="0"/>
        <w:kinsoku/>
        <w:wordWrap/>
        <w:overflowPunct/>
        <w:topLinePunct w:val="0"/>
        <w:autoSpaceDE/>
        <w:autoSpaceDN/>
        <w:bidi w:val="0"/>
        <w:adjustRightInd/>
        <w:snapToGrid/>
        <w:spacing w:beforeLines="0" w:afterLines="0" w:line="360" w:lineRule="auto"/>
        <w:ind w:firstLine="422" w:firstLineChars="200"/>
        <w:jc w:val="both"/>
        <w:textAlignment w:val="auto"/>
        <w:rPr>
          <w:rFonts w:hint="eastAsia" w:ascii="宋体" w:hAnsi="宋体" w:eastAsia="宋体" w:cs="宋体"/>
          <w:b/>
          <w:bCs/>
          <w:color w:val="auto"/>
          <w:sz w:val="21"/>
          <w:szCs w:val="21"/>
          <w:highlight w:val="none"/>
        </w:rPr>
      </w:pPr>
    </w:p>
    <w:p w14:paraId="3B3449BE">
      <w:pPr>
        <w:pStyle w:val="47"/>
        <w:spacing w:beforeLines="0" w:after="0" w:afterLines="0" w:line="600" w:lineRule="exact"/>
        <w:rPr>
          <w:rFonts w:hint="eastAsia" w:ascii="仿宋" w:hAnsi="仿宋" w:eastAsia="仿宋" w:cs="仿宋"/>
          <w:b/>
          <w:bCs/>
          <w:color w:val="auto"/>
          <w:sz w:val="32"/>
          <w:szCs w:val="32"/>
          <w:highlight w:val="none"/>
        </w:rPr>
      </w:pPr>
    </w:p>
    <w:p w14:paraId="727A32A7">
      <w:pPr>
        <w:snapToGrid w:val="0"/>
        <w:spacing w:line="360" w:lineRule="auto"/>
        <w:jc w:val="center"/>
        <w:rPr>
          <w:rFonts w:hint="eastAsia" w:ascii="宋体" w:hAnsi="宋体" w:cs="宋体"/>
          <w:bCs/>
          <w:color w:val="auto"/>
          <w:sz w:val="32"/>
          <w:szCs w:val="32"/>
          <w:highlight w:val="none"/>
        </w:rPr>
      </w:pPr>
      <w:r>
        <w:rPr>
          <w:rFonts w:hint="eastAsia" w:ascii="宋体" w:hAnsi="宋体" w:cs="宋体"/>
          <w:b/>
          <w:color w:val="auto"/>
          <w:szCs w:val="21"/>
          <w:highlight w:val="none"/>
        </w:rPr>
        <w:br w:type="page"/>
      </w:r>
    </w:p>
    <w:p w14:paraId="26FA021F">
      <w:pPr>
        <w:pStyle w:val="2"/>
        <w:jc w:val="center"/>
        <w:rPr>
          <w:rFonts w:hint="eastAsia" w:ascii="宋体" w:hAnsi="宋体" w:cs="宋体"/>
          <w:color w:val="auto"/>
          <w:highlight w:val="none"/>
        </w:rPr>
      </w:pPr>
      <w:bookmarkStart w:id="371" w:name="_Toc30294"/>
      <w:bookmarkStart w:id="372" w:name="_Toc20718"/>
      <w:bookmarkStart w:id="373" w:name="_Toc25427"/>
      <w:r>
        <w:rPr>
          <w:rFonts w:hint="eastAsia" w:ascii="宋体" w:hAnsi="宋体" w:cs="宋体"/>
          <w:color w:val="auto"/>
          <w:highlight w:val="none"/>
        </w:rPr>
        <w:t>第六章　投标文件格式</w:t>
      </w:r>
      <w:bookmarkEnd w:id="371"/>
      <w:bookmarkEnd w:id="372"/>
      <w:bookmarkEnd w:id="373"/>
    </w:p>
    <w:p w14:paraId="37DA284B">
      <w:pPr>
        <w:snapToGrid w:val="0"/>
        <w:spacing w:before="50" w:after="50"/>
        <w:rPr>
          <w:rFonts w:hint="eastAsia" w:ascii="宋体" w:hAnsi="宋体" w:cs="宋体"/>
          <w:color w:val="auto"/>
          <w:sz w:val="32"/>
          <w:szCs w:val="20"/>
          <w:highlight w:val="none"/>
        </w:rPr>
      </w:pPr>
    </w:p>
    <w:p w14:paraId="5A01BC02">
      <w:pPr>
        <w:snapToGrid w:val="0"/>
        <w:spacing w:before="50" w:after="50"/>
        <w:rPr>
          <w:rFonts w:hint="eastAsia" w:ascii="宋体" w:hAnsi="宋体" w:cs="宋体"/>
          <w:color w:val="auto"/>
          <w:sz w:val="32"/>
          <w:szCs w:val="20"/>
          <w:highlight w:val="none"/>
        </w:rPr>
      </w:pPr>
    </w:p>
    <w:p w14:paraId="2473C8D1">
      <w:pPr>
        <w:snapToGrid w:val="0"/>
        <w:spacing w:before="50" w:after="50"/>
        <w:rPr>
          <w:rFonts w:hint="eastAsia" w:ascii="宋体" w:hAnsi="宋体" w:cs="宋体"/>
          <w:color w:val="auto"/>
          <w:sz w:val="32"/>
          <w:szCs w:val="20"/>
          <w:highlight w:val="none"/>
        </w:rPr>
      </w:pPr>
    </w:p>
    <w:p w14:paraId="4CA10B75">
      <w:pPr>
        <w:snapToGrid w:val="0"/>
        <w:spacing w:before="50" w:after="50"/>
        <w:rPr>
          <w:rFonts w:hint="eastAsia" w:ascii="宋体" w:hAnsi="宋体" w:cs="宋体"/>
          <w:color w:val="auto"/>
          <w:sz w:val="32"/>
          <w:szCs w:val="20"/>
          <w:highlight w:val="none"/>
        </w:rPr>
      </w:pPr>
    </w:p>
    <w:p w14:paraId="435F0666">
      <w:pPr>
        <w:snapToGrid w:val="0"/>
        <w:spacing w:before="50" w:after="50"/>
        <w:rPr>
          <w:rFonts w:hint="eastAsia" w:ascii="宋体" w:hAnsi="宋体" w:cs="宋体"/>
          <w:color w:val="auto"/>
          <w:sz w:val="32"/>
          <w:szCs w:val="20"/>
          <w:highlight w:val="none"/>
        </w:rPr>
      </w:pPr>
    </w:p>
    <w:p w14:paraId="5AC4D7D4">
      <w:pPr>
        <w:snapToGrid w:val="0"/>
        <w:spacing w:before="50" w:after="50"/>
        <w:rPr>
          <w:rFonts w:hint="eastAsia" w:ascii="宋体" w:hAnsi="宋体" w:cs="宋体"/>
          <w:color w:val="auto"/>
          <w:sz w:val="32"/>
          <w:szCs w:val="20"/>
          <w:highlight w:val="none"/>
        </w:rPr>
      </w:pPr>
    </w:p>
    <w:p w14:paraId="160A2E17">
      <w:pPr>
        <w:snapToGrid w:val="0"/>
        <w:spacing w:before="50" w:after="50"/>
        <w:rPr>
          <w:rFonts w:hint="eastAsia" w:ascii="宋体" w:hAnsi="宋体" w:cs="宋体"/>
          <w:color w:val="auto"/>
          <w:sz w:val="32"/>
          <w:szCs w:val="20"/>
          <w:highlight w:val="none"/>
        </w:rPr>
      </w:pPr>
    </w:p>
    <w:p w14:paraId="202A270E">
      <w:pPr>
        <w:snapToGrid w:val="0"/>
        <w:spacing w:before="50" w:after="50"/>
        <w:rPr>
          <w:rFonts w:hint="eastAsia" w:ascii="宋体" w:hAnsi="宋体" w:cs="宋体"/>
          <w:color w:val="auto"/>
          <w:sz w:val="32"/>
          <w:szCs w:val="20"/>
          <w:highlight w:val="none"/>
        </w:rPr>
      </w:pPr>
    </w:p>
    <w:p w14:paraId="1FBD4165">
      <w:pPr>
        <w:outlineLvl w:val="1"/>
        <w:rPr>
          <w:rFonts w:hint="eastAsia" w:ascii="宋体" w:hAnsi="宋体" w:cs="宋体"/>
          <w:b/>
          <w:color w:val="auto"/>
          <w:sz w:val="28"/>
          <w:szCs w:val="28"/>
          <w:highlight w:val="none"/>
        </w:rPr>
      </w:pPr>
      <w:r>
        <w:rPr>
          <w:rFonts w:hint="eastAsia" w:ascii="宋体" w:hAnsi="宋体" w:cs="宋体"/>
          <w:color w:val="auto"/>
          <w:sz w:val="32"/>
          <w:szCs w:val="20"/>
          <w:highlight w:val="none"/>
        </w:rPr>
        <w:br w:type="page"/>
      </w:r>
      <w:bookmarkStart w:id="374" w:name="_Toc2369"/>
      <w:bookmarkStart w:id="375" w:name="_Toc7400"/>
      <w:bookmarkStart w:id="376" w:name="_Toc19686836"/>
      <w:bookmarkStart w:id="377" w:name="_Toc254970557"/>
      <w:bookmarkStart w:id="378" w:name="_Toc254970698"/>
      <w:r>
        <w:rPr>
          <w:rFonts w:hint="eastAsia" w:ascii="宋体" w:hAnsi="宋体" w:cs="宋体"/>
          <w:b/>
          <w:color w:val="auto"/>
          <w:sz w:val="28"/>
          <w:szCs w:val="28"/>
          <w:highlight w:val="none"/>
        </w:rPr>
        <w:t>一、报价文件格式</w:t>
      </w:r>
      <w:bookmarkEnd w:id="374"/>
      <w:bookmarkEnd w:id="375"/>
      <w:bookmarkEnd w:id="376"/>
    </w:p>
    <w:p w14:paraId="19DF673D">
      <w:pPr>
        <w:snapToGrid w:val="0"/>
        <w:spacing w:before="120" w:beforeLines="50" w:after="50" w:line="360" w:lineRule="auto"/>
        <w:ind w:left="142"/>
        <w:jc w:val="left"/>
        <w:rPr>
          <w:rFonts w:hint="eastAsia" w:ascii="宋体" w:hAnsi="宋体" w:cs="宋体"/>
          <w:color w:val="auto"/>
          <w:sz w:val="24"/>
          <w:szCs w:val="20"/>
          <w:highlight w:val="none"/>
        </w:rPr>
      </w:pPr>
      <w:r>
        <w:rPr>
          <w:rFonts w:hint="eastAsia" w:ascii="宋体" w:hAnsi="宋体" w:cs="宋体"/>
          <w:b/>
          <w:color w:val="auto"/>
          <w:sz w:val="24"/>
          <w:highlight w:val="none"/>
        </w:rPr>
        <w:t xml:space="preserve">1. 报价文件封面格式： </w:t>
      </w:r>
    </w:p>
    <w:p w14:paraId="542D3FBE">
      <w:pPr>
        <w:snapToGrid w:val="0"/>
        <w:spacing w:before="120" w:beforeLines="50" w:after="50" w:line="360" w:lineRule="auto"/>
        <w:ind w:left="142"/>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38BDB788">
      <w:pPr>
        <w:snapToGrid w:val="0"/>
        <w:spacing w:before="120" w:beforeLines="50" w:after="50" w:line="400" w:lineRule="exact"/>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43A1A9B8">
      <w:pPr>
        <w:snapToGrid w:val="0"/>
        <w:spacing w:before="120" w:beforeLines="50" w:after="50" w:line="400" w:lineRule="exact"/>
        <w:jc w:val="center"/>
        <w:rPr>
          <w:rFonts w:hint="eastAsia" w:ascii="宋体" w:hAnsi="宋体" w:cs="宋体"/>
          <w:bCs/>
          <w:color w:val="auto"/>
          <w:sz w:val="24"/>
          <w:szCs w:val="20"/>
          <w:highlight w:val="none"/>
        </w:rPr>
      </w:pPr>
    </w:p>
    <w:p w14:paraId="72C64521">
      <w:pPr>
        <w:snapToGrid w:val="0"/>
        <w:spacing w:before="120"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w:t>
      </w:r>
    </w:p>
    <w:p w14:paraId="3901F811">
      <w:pPr>
        <w:snapToGrid w:val="0"/>
        <w:spacing w:before="120" w:beforeLines="50" w:after="50" w:line="400" w:lineRule="exact"/>
        <w:rPr>
          <w:rFonts w:hint="eastAsia" w:ascii="宋体" w:hAnsi="宋体" w:cs="宋体"/>
          <w:bCs/>
          <w:color w:val="auto"/>
          <w:sz w:val="24"/>
          <w:szCs w:val="20"/>
          <w:highlight w:val="none"/>
        </w:rPr>
      </w:pPr>
    </w:p>
    <w:p w14:paraId="72A28F21">
      <w:pPr>
        <w:snapToGrid w:val="0"/>
        <w:spacing w:before="120" w:beforeLines="50" w:after="50" w:line="400" w:lineRule="exact"/>
        <w:rPr>
          <w:rFonts w:hint="eastAsia" w:ascii="宋体" w:hAnsi="宋体" w:cs="宋体"/>
          <w:bCs/>
          <w:color w:val="auto"/>
          <w:sz w:val="24"/>
          <w:szCs w:val="20"/>
          <w:highlight w:val="none"/>
        </w:rPr>
      </w:pPr>
    </w:p>
    <w:p w14:paraId="359B8EC9">
      <w:pPr>
        <w:snapToGrid w:val="0"/>
        <w:spacing w:before="120" w:beforeLines="50" w:after="50" w:line="400" w:lineRule="exact"/>
        <w:rPr>
          <w:rFonts w:hint="eastAsia" w:ascii="宋体" w:hAnsi="宋体" w:cs="宋体"/>
          <w:bCs/>
          <w:color w:val="auto"/>
          <w:sz w:val="24"/>
          <w:szCs w:val="20"/>
          <w:highlight w:val="none"/>
        </w:rPr>
      </w:pPr>
    </w:p>
    <w:p w14:paraId="488E3ADB">
      <w:pPr>
        <w:snapToGrid w:val="0"/>
        <w:spacing w:before="120" w:beforeLines="50" w:after="50" w:line="400" w:lineRule="exact"/>
        <w:rPr>
          <w:rFonts w:hint="eastAsia" w:ascii="宋体" w:hAnsi="宋体" w:cs="宋体"/>
          <w:bCs/>
          <w:color w:val="auto"/>
          <w:sz w:val="24"/>
          <w:szCs w:val="20"/>
          <w:highlight w:val="none"/>
        </w:rPr>
      </w:pPr>
    </w:p>
    <w:p w14:paraId="29E5DCA4">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2B858724">
      <w:pPr>
        <w:snapToGrid w:val="0"/>
        <w:spacing w:before="120" w:beforeLines="50" w:after="50" w:line="400" w:lineRule="exact"/>
        <w:ind w:firstLine="360" w:firstLineChars="150"/>
        <w:rPr>
          <w:rFonts w:hint="eastAsia" w:ascii="宋体" w:hAnsi="宋体" w:cs="宋体"/>
          <w:bCs/>
          <w:color w:val="auto"/>
          <w:sz w:val="24"/>
          <w:highlight w:val="none"/>
        </w:rPr>
      </w:pPr>
    </w:p>
    <w:p w14:paraId="316F65BB">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59A63B46">
      <w:pPr>
        <w:snapToGrid w:val="0"/>
        <w:spacing w:before="120" w:beforeLines="50" w:after="50" w:line="400" w:lineRule="exact"/>
        <w:ind w:firstLine="360" w:firstLineChars="150"/>
        <w:rPr>
          <w:rFonts w:hint="eastAsia" w:ascii="宋体" w:hAnsi="宋体" w:cs="宋体"/>
          <w:bCs/>
          <w:color w:val="auto"/>
          <w:sz w:val="24"/>
          <w:highlight w:val="none"/>
        </w:rPr>
      </w:pPr>
    </w:p>
    <w:p w14:paraId="09D1FB10">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656DAE18">
      <w:pPr>
        <w:snapToGrid w:val="0"/>
        <w:spacing w:before="120" w:beforeLines="50" w:after="50" w:line="400" w:lineRule="exact"/>
        <w:ind w:firstLine="360" w:firstLineChars="150"/>
        <w:rPr>
          <w:rFonts w:hint="eastAsia" w:ascii="宋体" w:hAnsi="宋体" w:cs="宋体"/>
          <w:bCs/>
          <w:color w:val="auto"/>
          <w:sz w:val="24"/>
          <w:highlight w:val="none"/>
        </w:rPr>
      </w:pPr>
    </w:p>
    <w:p w14:paraId="33238674">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095CE42C">
      <w:pPr>
        <w:snapToGrid w:val="0"/>
        <w:spacing w:before="120" w:beforeLines="50" w:after="50" w:line="400" w:lineRule="exact"/>
        <w:ind w:firstLine="360" w:firstLineChars="150"/>
        <w:rPr>
          <w:rFonts w:hint="eastAsia" w:ascii="宋体" w:hAnsi="宋体" w:cs="宋体"/>
          <w:bCs/>
          <w:color w:val="auto"/>
          <w:sz w:val="24"/>
          <w:highlight w:val="none"/>
        </w:rPr>
      </w:pPr>
    </w:p>
    <w:p w14:paraId="616B4750">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1517734A">
      <w:pPr>
        <w:pStyle w:val="9"/>
        <w:snapToGrid w:val="0"/>
        <w:spacing w:before="50" w:after="50" w:line="400" w:lineRule="exact"/>
        <w:ind w:firstLine="960" w:firstLineChars="400"/>
        <w:rPr>
          <w:rFonts w:hint="eastAsia" w:ascii="宋体" w:hAnsi="宋体" w:cs="宋体"/>
          <w:bCs/>
          <w:color w:val="auto"/>
          <w:sz w:val="24"/>
          <w:szCs w:val="24"/>
          <w:highlight w:val="none"/>
        </w:rPr>
      </w:pPr>
    </w:p>
    <w:p w14:paraId="0F7B64B5">
      <w:pPr>
        <w:snapToGrid w:val="0"/>
        <w:spacing w:before="120" w:beforeLines="50" w:after="50" w:line="400" w:lineRule="exact"/>
        <w:rPr>
          <w:rFonts w:hint="eastAsia" w:ascii="宋体" w:hAnsi="宋体" w:cs="宋体"/>
          <w:color w:val="auto"/>
          <w:sz w:val="30"/>
          <w:szCs w:val="20"/>
          <w:highlight w:val="none"/>
        </w:rPr>
      </w:pPr>
      <w:r>
        <w:rPr>
          <w:rFonts w:hint="eastAsia" w:ascii="宋体" w:hAnsi="宋体" w:cs="宋体"/>
          <w:color w:val="auto"/>
          <w:sz w:val="24"/>
          <w:highlight w:val="none"/>
        </w:rPr>
        <w:t xml:space="preserve">                                   年  月  日</w:t>
      </w:r>
    </w:p>
    <w:p w14:paraId="0BEC3951">
      <w:pPr>
        <w:snapToGrid w:val="0"/>
        <w:spacing w:before="120" w:beforeLines="50" w:after="50" w:line="360" w:lineRule="auto"/>
        <w:jc w:val="left"/>
        <w:rPr>
          <w:rFonts w:hint="eastAsia"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60A6149F">
      <w:pPr>
        <w:snapToGrid w:val="0"/>
        <w:spacing w:before="50" w:after="120" w:afterLines="50" w:line="360" w:lineRule="auto"/>
        <w:jc w:val="left"/>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4A7A37D2">
      <w:pPr>
        <w:snapToGrid w:val="0"/>
        <w:spacing w:before="120" w:beforeLines="50" w:after="50"/>
        <w:rPr>
          <w:rFonts w:hint="eastAsia" w:ascii="宋体" w:hAnsi="宋体" w:cs="宋体"/>
          <w:b/>
          <w:color w:val="auto"/>
          <w:sz w:val="24"/>
          <w:highlight w:val="none"/>
        </w:rPr>
      </w:pPr>
    </w:p>
    <w:p w14:paraId="663A486C">
      <w:pPr>
        <w:snapToGrid w:val="0"/>
        <w:spacing w:before="120" w:beforeLines="50" w:after="50"/>
        <w:rPr>
          <w:rFonts w:hint="eastAsia" w:ascii="宋体" w:hAnsi="宋体" w:cs="宋体"/>
          <w:b/>
          <w:color w:val="auto"/>
          <w:sz w:val="24"/>
          <w:highlight w:val="none"/>
        </w:rPr>
      </w:pPr>
    </w:p>
    <w:p w14:paraId="63771525">
      <w:pPr>
        <w:snapToGrid w:val="0"/>
        <w:spacing w:before="120" w:beforeLines="50" w:after="50"/>
        <w:rPr>
          <w:rFonts w:hint="eastAsia" w:ascii="宋体" w:hAnsi="宋体" w:cs="宋体"/>
          <w:b/>
          <w:color w:val="auto"/>
          <w:sz w:val="24"/>
          <w:highlight w:val="none"/>
        </w:rPr>
      </w:pPr>
    </w:p>
    <w:p w14:paraId="423FD0D7">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投标函格式：</w:t>
      </w:r>
    </w:p>
    <w:p w14:paraId="13FE46B0">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 标 函</w:t>
      </w:r>
    </w:p>
    <w:p w14:paraId="68114D3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p>
    <w:p w14:paraId="211295DB">
      <w:pPr>
        <w:snapToGrid w:val="0"/>
        <w:spacing w:line="360" w:lineRule="auto"/>
        <w:ind w:firstLine="480"/>
        <w:rPr>
          <w:rFonts w:hint="eastAsia" w:ascii="宋体" w:hAnsi="宋体" w:cs="宋体"/>
          <w:color w:val="auto"/>
          <w:szCs w:val="21"/>
          <w:highlight w:val="none"/>
        </w:rPr>
      </w:pPr>
      <w:r>
        <w:rPr>
          <w:rFonts w:hint="eastAsia" w:ascii="宋体" w:hAnsi="宋体" w:cs="宋体"/>
          <w:color w:val="auto"/>
          <w:szCs w:val="21"/>
          <w:highlight w:val="none"/>
        </w:rPr>
        <w:t>根据贵方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）的招标文件，签字代表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（姓名）经正式授权并代表投标人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（投标人名称）提交投标文件。</w:t>
      </w:r>
    </w:p>
    <w:p w14:paraId="66879E4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据此函，我方宣布同意如下：</w:t>
      </w:r>
    </w:p>
    <w:p w14:paraId="743B189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0945D6A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2.我方在投标之前已经完全理解并接受招标文件的各项规定和要求，对招标文件的合理性、合法性不再有异议。</w:t>
      </w:r>
    </w:p>
    <w:p w14:paraId="12789D5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3.本投标有效期自投标截止之日起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A99637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4.如中标，本投标文件至本项目合同履行完毕止均保持有效，我方将按“招标文件”及政府采购法律、法规的规定履行合同责任和义务。</w:t>
      </w:r>
    </w:p>
    <w:p w14:paraId="7D20D25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5.我方同意按照贵方要求提供与投标有关的一切数据或者资料。</w:t>
      </w:r>
    </w:p>
    <w:p w14:paraId="1C2ACCE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6.我方向贵方提交的所有投标文件、资料都是准确的和真实的。</w:t>
      </w:r>
    </w:p>
    <w:p w14:paraId="2C98B22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58E136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3C1310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5FF4D6C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5D66A2D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9.与本项目有关的一切正式往来信函请寄：</w:t>
      </w:r>
    </w:p>
    <w:p w14:paraId="133A9834">
      <w:pPr>
        <w:snapToGrid w:val="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56AAE5F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p>
    <w:p w14:paraId="032B0D1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5F1939F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F12690F">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070195D">
      <w:pPr>
        <w:snapToGrid w:val="0"/>
        <w:spacing w:line="360" w:lineRule="exact"/>
        <w:ind w:firstLine="3045" w:firstLineChars="1450"/>
        <w:jc w:val="left"/>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r>
        <w:rPr>
          <w:rFonts w:hint="eastAsia" w:ascii="宋体" w:hAnsi="宋体" w:cs="宋体"/>
          <w:color w:val="auto"/>
          <w:szCs w:val="21"/>
          <w:highlight w:val="none"/>
          <w:u w:val="single"/>
        </w:rPr>
        <w:t xml:space="preserve">          </w:t>
      </w:r>
    </w:p>
    <w:p w14:paraId="54445EE8">
      <w:pPr>
        <w:pStyle w:val="20"/>
        <w:snapToGrid w:val="0"/>
        <w:spacing w:before="295" w:after="295" w:line="360" w:lineRule="exact"/>
        <w:jc w:val="center"/>
        <w:rPr>
          <w:rFonts w:hint="eastAsia" w:hAnsi="宋体" w:cs="宋体"/>
          <w:color w:val="auto"/>
          <w:highlight w:val="none"/>
          <w:u w:val="single"/>
        </w:rPr>
      </w:pPr>
      <w:r>
        <w:rPr>
          <w:rFonts w:hint="eastAsia" w:hAnsi="宋体" w:cs="宋体"/>
          <w:color w:val="auto"/>
          <w:highlight w:val="none"/>
        </w:rPr>
        <w:t xml:space="preserve">                                     投标人名称（电子签章）：</w:t>
      </w:r>
      <w:r>
        <w:rPr>
          <w:rFonts w:hint="eastAsia" w:hAnsi="宋体" w:cs="宋体"/>
          <w:color w:val="auto"/>
          <w:highlight w:val="none"/>
          <w:u w:val="single"/>
        </w:rPr>
        <w:t xml:space="preserve">          </w:t>
      </w:r>
    </w:p>
    <w:p w14:paraId="7C33AFF2">
      <w:pPr>
        <w:pStyle w:val="20"/>
        <w:snapToGrid w:val="0"/>
        <w:spacing w:before="295" w:after="295" w:line="360" w:lineRule="exact"/>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22DAE773">
      <w:pPr>
        <w:snapToGrid w:val="0"/>
        <w:spacing w:before="120" w:beforeLines="50" w:after="5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24"/>
          <w:highlight w:val="none"/>
        </w:rPr>
        <w:t>4.开标一览表（服务类格式）</w:t>
      </w:r>
    </w:p>
    <w:p w14:paraId="55A9BA5E">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开标一览表</w:t>
      </w:r>
    </w:p>
    <w:p w14:paraId="02E8601C">
      <w:pPr>
        <w:snapToGrid w:val="0"/>
        <w:spacing w:before="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分标：</w:t>
      </w:r>
      <w:r>
        <w:rPr>
          <w:rFonts w:hint="eastAsia" w:ascii="宋体" w:hAnsi="宋体" w:cs="宋体"/>
          <w:color w:val="auto"/>
          <w:szCs w:val="21"/>
          <w:highlight w:val="none"/>
          <w:u w:val="single"/>
        </w:rPr>
        <w:t xml:space="preserve">           </w:t>
      </w:r>
    </w:p>
    <w:tbl>
      <w:tblPr>
        <w:tblStyle w:val="38"/>
        <w:tblpPr w:leftFromText="180" w:rightFromText="180" w:vertAnchor="text" w:horzAnchor="page" w:tblpX="1385" w:tblpY="474"/>
        <w:tblOverlap w:val="never"/>
        <w:tblW w:w="830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6"/>
        <w:gridCol w:w="958"/>
        <w:gridCol w:w="3302"/>
        <w:gridCol w:w="958"/>
        <w:gridCol w:w="1840"/>
        <w:gridCol w:w="559"/>
      </w:tblGrid>
      <w:tr w14:paraId="7D27E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0" w:type="auto"/>
            <w:tcBorders>
              <w:top w:val="single" w:color="000000" w:sz="2" w:space="0"/>
              <w:left w:val="single" w:color="000000" w:sz="2" w:space="0"/>
              <w:bottom w:val="single" w:color="000000" w:sz="2" w:space="0"/>
              <w:right w:val="single" w:color="000000" w:sz="2" w:space="0"/>
            </w:tcBorders>
            <w:noWrap w:val="0"/>
            <w:vAlign w:val="top"/>
          </w:tcPr>
          <w:p w14:paraId="2C7C423A">
            <w:pPr>
              <w:pStyle w:val="126"/>
              <w:spacing w:before="210" w:line="440" w:lineRule="exact"/>
              <w:jc w:val="both"/>
              <w:rPr>
                <w:rFonts w:hint="eastAsia"/>
                <w:color w:val="auto"/>
                <w:sz w:val="21"/>
                <w:szCs w:val="21"/>
                <w:highlight w:val="none"/>
              </w:rPr>
            </w:pPr>
            <w:r>
              <w:rPr>
                <w:rFonts w:hint="eastAsia"/>
                <w:color w:val="auto"/>
                <w:spacing w:val="1"/>
                <w:sz w:val="21"/>
                <w:szCs w:val="21"/>
                <w:highlight w:val="none"/>
              </w:rPr>
              <w:t>序号</w:t>
            </w:r>
          </w:p>
        </w:tc>
        <w:tc>
          <w:tcPr>
            <w:tcW w:w="0" w:type="auto"/>
            <w:tcBorders>
              <w:top w:val="single" w:color="000000" w:sz="2" w:space="0"/>
              <w:left w:val="single" w:color="000000" w:sz="2" w:space="0"/>
              <w:bottom w:val="single" w:color="000000" w:sz="2" w:space="0"/>
              <w:right w:val="single" w:color="000000" w:sz="2" w:space="0"/>
            </w:tcBorders>
            <w:noWrap w:val="0"/>
            <w:vAlign w:val="top"/>
          </w:tcPr>
          <w:p w14:paraId="19710465">
            <w:pPr>
              <w:pStyle w:val="126"/>
              <w:spacing w:before="210" w:line="440" w:lineRule="exact"/>
              <w:jc w:val="center"/>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标的名称</w:t>
            </w:r>
          </w:p>
        </w:tc>
        <w:tc>
          <w:tcPr>
            <w:tcW w:w="0" w:type="auto"/>
            <w:tcBorders>
              <w:top w:val="single" w:color="000000" w:sz="2" w:space="0"/>
              <w:left w:val="single" w:color="000000" w:sz="2" w:space="0"/>
              <w:bottom w:val="single" w:color="000000" w:sz="2" w:space="0"/>
              <w:right w:val="single" w:color="000000" w:sz="2" w:space="0"/>
            </w:tcBorders>
            <w:noWrap w:val="0"/>
            <w:vAlign w:val="top"/>
          </w:tcPr>
          <w:p w14:paraId="724030E7">
            <w:pPr>
              <w:pStyle w:val="126"/>
              <w:spacing w:before="210" w:line="440" w:lineRule="exact"/>
              <w:jc w:val="center"/>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服务需求、技术需求（检测项目）</w:t>
            </w:r>
          </w:p>
        </w:tc>
        <w:tc>
          <w:tcPr>
            <w:tcW w:w="0" w:type="auto"/>
            <w:tcBorders>
              <w:top w:val="single" w:color="000000" w:sz="2" w:space="0"/>
              <w:left w:val="single" w:color="000000" w:sz="2" w:space="0"/>
              <w:bottom w:val="single" w:color="000000" w:sz="2" w:space="0"/>
              <w:right w:val="single" w:color="000000" w:sz="2" w:space="0"/>
            </w:tcBorders>
            <w:noWrap w:val="0"/>
            <w:vAlign w:val="top"/>
          </w:tcPr>
          <w:p w14:paraId="2EAEAE47">
            <w:pPr>
              <w:pStyle w:val="126"/>
              <w:spacing w:before="210" w:line="440" w:lineRule="exact"/>
              <w:jc w:val="center"/>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服务期限</w:t>
            </w:r>
          </w:p>
        </w:tc>
        <w:tc>
          <w:tcPr>
            <w:tcW w:w="0" w:type="auto"/>
            <w:tcBorders>
              <w:top w:val="single" w:color="000000" w:sz="2" w:space="0"/>
              <w:left w:val="single" w:color="000000" w:sz="2" w:space="0"/>
              <w:bottom w:val="single" w:color="000000" w:sz="2" w:space="0"/>
              <w:right w:val="single" w:color="000000" w:sz="2" w:space="0"/>
            </w:tcBorders>
            <w:noWrap w:val="0"/>
            <w:vAlign w:val="top"/>
          </w:tcPr>
          <w:p w14:paraId="59D146B7">
            <w:pPr>
              <w:pStyle w:val="126"/>
              <w:spacing w:before="210" w:line="440" w:lineRule="exact"/>
              <w:jc w:val="center"/>
              <w:rPr>
                <w:rFonts w:hint="eastAsia"/>
                <w:color w:val="auto"/>
                <w:spacing w:val="1"/>
                <w:sz w:val="21"/>
                <w:szCs w:val="21"/>
                <w:highlight w:val="none"/>
              </w:rPr>
            </w:pPr>
            <w:r>
              <w:rPr>
                <w:rFonts w:hint="eastAsia"/>
                <w:color w:val="auto"/>
                <w:sz w:val="21"/>
                <w:szCs w:val="21"/>
                <w:highlight w:val="none"/>
              </w:rPr>
              <w:t>投标</w:t>
            </w:r>
            <w:r>
              <w:rPr>
                <w:rFonts w:hint="eastAsia"/>
                <w:color w:val="auto"/>
                <w:sz w:val="21"/>
                <w:szCs w:val="21"/>
                <w:highlight w:val="none"/>
                <w:lang w:val="en-US" w:eastAsia="zh-CN"/>
              </w:rPr>
              <w:t>单价</w:t>
            </w:r>
            <w:r>
              <w:rPr>
                <w:rFonts w:hint="eastAsia"/>
                <w:color w:val="auto"/>
                <w:sz w:val="21"/>
                <w:szCs w:val="21"/>
                <w:highlight w:val="none"/>
              </w:rPr>
              <w:t>（元）</w:t>
            </w:r>
            <w:r>
              <w:rPr>
                <w:rFonts w:hint="eastAsia"/>
                <w:color w:val="auto"/>
                <w:spacing w:val="1"/>
                <w:sz w:val="21"/>
                <w:szCs w:val="21"/>
                <w:highlight w:val="none"/>
              </w:rPr>
              <w:t xml:space="preserve"> </w:t>
            </w:r>
          </w:p>
        </w:tc>
        <w:tc>
          <w:tcPr>
            <w:tcW w:w="0" w:type="auto"/>
            <w:tcBorders>
              <w:top w:val="single" w:color="000000" w:sz="2" w:space="0"/>
              <w:left w:val="single" w:color="000000" w:sz="2" w:space="0"/>
              <w:bottom w:val="single" w:color="000000" w:sz="2" w:space="0"/>
              <w:right w:val="single" w:color="000000" w:sz="2" w:space="0"/>
            </w:tcBorders>
            <w:noWrap w:val="0"/>
            <w:vAlign w:val="top"/>
          </w:tcPr>
          <w:p w14:paraId="17935852">
            <w:pPr>
              <w:pStyle w:val="126"/>
              <w:spacing w:before="210" w:line="440" w:lineRule="exact"/>
              <w:jc w:val="center"/>
              <w:rPr>
                <w:rFonts w:hint="eastAsia"/>
                <w:color w:val="auto"/>
                <w:spacing w:val="1"/>
                <w:sz w:val="21"/>
                <w:szCs w:val="21"/>
                <w:highlight w:val="none"/>
              </w:rPr>
            </w:pPr>
            <w:r>
              <w:rPr>
                <w:rFonts w:hint="eastAsia"/>
                <w:color w:val="auto"/>
                <w:spacing w:val="1"/>
                <w:sz w:val="21"/>
                <w:szCs w:val="21"/>
                <w:highlight w:val="none"/>
              </w:rPr>
              <w:t>备注</w:t>
            </w:r>
          </w:p>
        </w:tc>
      </w:tr>
      <w:tr w14:paraId="0C5B3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trPr>
        <w:tc>
          <w:tcPr>
            <w:tcW w:w="0" w:type="auto"/>
            <w:tcBorders>
              <w:top w:val="single" w:color="000000" w:sz="2" w:space="0"/>
              <w:left w:val="single" w:color="000000" w:sz="2" w:space="0"/>
              <w:bottom w:val="single" w:color="000000" w:sz="2" w:space="0"/>
              <w:right w:val="single" w:color="000000" w:sz="2" w:space="0"/>
            </w:tcBorders>
            <w:noWrap w:val="0"/>
            <w:vAlign w:val="center"/>
          </w:tcPr>
          <w:p w14:paraId="01A498B5">
            <w:pPr>
              <w:kinsoku w:val="0"/>
              <w:autoSpaceDE w:val="0"/>
              <w:autoSpaceDN w:val="0"/>
              <w:adjustRightInd w:val="0"/>
              <w:snapToGrid w:val="0"/>
              <w:spacing w:before="60" w:line="440" w:lineRule="exact"/>
              <w:ind w:left="288"/>
              <w:textAlignment w:val="baseline"/>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0" w:type="auto"/>
            <w:tcBorders>
              <w:top w:val="single" w:color="000000" w:sz="2" w:space="0"/>
              <w:left w:val="single" w:color="000000" w:sz="2" w:space="0"/>
              <w:bottom w:val="single" w:color="000000" w:sz="2" w:space="0"/>
              <w:right w:val="single" w:color="000000" w:sz="2" w:space="0"/>
            </w:tcBorders>
            <w:noWrap w:val="0"/>
            <w:vAlign w:val="center"/>
          </w:tcPr>
          <w:p w14:paraId="63241E28">
            <w:pPr>
              <w:pStyle w:val="126"/>
              <w:spacing w:before="107" w:line="440" w:lineRule="exact"/>
              <w:ind w:left="205" w:right="195"/>
              <w:jc w:val="center"/>
              <w:rPr>
                <w:rFonts w:hint="eastAsia" w:eastAsia="宋体"/>
                <w:color w:val="auto"/>
                <w:sz w:val="21"/>
                <w:szCs w:val="21"/>
                <w:highlight w:val="none"/>
                <w:lang w:val="en-US" w:eastAsia="zh-CN"/>
              </w:rPr>
            </w:pPr>
          </w:p>
        </w:tc>
        <w:tc>
          <w:tcPr>
            <w:tcW w:w="0" w:type="auto"/>
            <w:tcBorders>
              <w:top w:val="single" w:color="000000" w:sz="2" w:space="0"/>
              <w:left w:val="single" w:color="000000" w:sz="2" w:space="0"/>
              <w:bottom w:val="single" w:color="000000" w:sz="2" w:space="0"/>
              <w:right w:val="single" w:color="000000" w:sz="2" w:space="0"/>
            </w:tcBorders>
            <w:noWrap w:val="0"/>
            <w:vAlign w:val="center"/>
          </w:tcPr>
          <w:p w14:paraId="7F045AFC">
            <w:pPr>
              <w:kinsoku w:val="0"/>
              <w:autoSpaceDE w:val="0"/>
              <w:autoSpaceDN w:val="0"/>
              <w:adjustRightInd w:val="0"/>
              <w:snapToGrid w:val="0"/>
              <w:spacing w:before="60" w:line="440" w:lineRule="exact"/>
              <w:ind w:left="452"/>
              <w:textAlignment w:val="baseline"/>
              <w:rPr>
                <w:rFonts w:hint="eastAsia" w:ascii="宋体" w:hAnsi="宋体" w:cs="宋体"/>
                <w:color w:val="auto"/>
                <w:sz w:val="21"/>
                <w:szCs w:val="21"/>
                <w:highlight w:val="none"/>
              </w:rPr>
            </w:pPr>
          </w:p>
        </w:tc>
        <w:tc>
          <w:tcPr>
            <w:tcW w:w="0" w:type="auto"/>
            <w:tcBorders>
              <w:top w:val="single" w:color="000000" w:sz="2" w:space="0"/>
              <w:left w:val="single" w:color="000000" w:sz="2" w:space="0"/>
              <w:bottom w:val="single" w:color="000000" w:sz="2" w:space="0"/>
              <w:right w:val="single" w:color="000000" w:sz="2" w:space="0"/>
            </w:tcBorders>
            <w:noWrap w:val="0"/>
            <w:vAlign w:val="center"/>
          </w:tcPr>
          <w:p w14:paraId="76C2DA44">
            <w:pPr>
              <w:pStyle w:val="126"/>
              <w:spacing w:before="68" w:line="440" w:lineRule="exact"/>
              <w:jc w:val="center"/>
              <w:rPr>
                <w:rFonts w:hint="eastAsia"/>
                <w:color w:val="auto"/>
                <w:sz w:val="21"/>
                <w:szCs w:val="21"/>
                <w:highlight w:val="none"/>
              </w:rPr>
            </w:pPr>
          </w:p>
        </w:tc>
        <w:tc>
          <w:tcPr>
            <w:tcW w:w="0" w:type="auto"/>
            <w:tcBorders>
              <w:top w:val="single" w:color="000000" w:sz="2" w:space="0"/>
              <w:left w:val="single" w:color="000000" w:sz="2" w:space="0"/>
              <w:bottom w:val="single" w:color="000000" w:sz="2" w:space="0"/>
              <w:right w:val="single" w:color="000000" w:sz="2" w:space="0"/>
            </w:tcBorders>
            <w:noWrap w:val="0"/>
            <w:vAlign w:val="center"/>
          </w:tcPr>
          <w:p w14:paraId="06AD1BF7">
            <w:pPr>
              <w:kinsoku w:val="0"/>
              <w:autoSpaceDE w:val="0"/>
              <w:autoSpaceDN w:val="0"/>
              <w:adjustRightInd w:val="0"/>
              <w:snapToGrid w:val="0"/>
              <w:spacing w:line="440" w:lineRule="exact"/>
              <w:jc w:val="center"/>
              <w:textAlignment w:val="baseline"/>
              <w:rPr>
                <w:rFonts w:hint="eastAsia" w:ascii="宋体" w:hAnsi="宋体" w:cs="宋体"/>
                <w:color w:val="auto"/>
                <w:sz w:val="21"/>
                <w:szCs w:val="21"/>
                <w:highlight w:val="none"/>
              </w:rPr>
            </w:pPr>
          </w:p>
        </w:tc>
        <w:tc>
          <w:tcPr>
            <w:tcW w:w="0" w:type="auto"/>
            <w:tcBorders>
              <w:top w:val="single" w:color="000000" w:sz="2" w:space="0"/>
              <w:left w:val="single" w:color="000000" w:sz="2" w:space="0"/>
              <w:bottom w:val="single" w:color="000000" w:sz="2" w:space="0"/>
              <w:right w:val="single" w:color="000000" w:sz="2" w:space="0"/>
            </w:tcBorders>
            <w:noWrap w:val="0"/>
            <w:vAlign w:val="center"/>
          </w:tcPr>
          <w:p w14:paraId="7791FA25">
            <w:pPr>
              <w:kinsoku w:val="0"/>
              <w:autoSpaceDE w:val="0"/>
              <w:autoSpaceDN w:val="0"/>
              <w:adjustRightInd w:val="0"/>
              <w:snapToGrid w:val="0"/>
              <w:spacing w:line="440" w:lineRule="exact"/>
              <w:jc w:val="center"/>
              <w:textAlignment w:val="baseline"/>
              <w:rPr>
                <w:rFonts w:hint="eastAsia" w:ascii="宋体" w:hAnsi="宋体" w:cs="宋体"/>
                <w:color w:val="auto"/>
                <w:sz w:val="21"/>
                <w:szCs w:val="21"/>
                <w:highlight w:val="none"/>
              </w:rPr>
            </w:pPr>
          </w:p>
        </w:tc>
      </w:tr>
      <w:tr w14:paraId="43B5C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0" w:type="auto"/>
            <w:gridSpan w:val="6"/>
            <w:tcBorders>
              <w:top w:val="single" w:color="000000" w:sz="2" w:space="0"/>
              <w:left w:val="single" w:color="000000" w:sz="2" w:space="0"/>
              <w:bottom w:val="single" w:color="000000" w:sz="2" w:space="0"/>
              <w:right w:val="single" w:color="000000" w:sz="2" w:space="0"/>
            </w:tcBorders>
            <w:noWrap w:val="0"/>
            <w:vAlign w:val="top"/>
          </w:tcPr>
          <w:p w14:paraId="1C41F06B">
            <w:pPr>
              <w:pStyle w:val="126"/>
              <w:spacing w:before="237" w:line="196" w:lineRule="auto"/>
              <w:ind w:left="118" w:leftChars="0"/>
              <w:rPr>
                <w:rFonts w:hint="eastAsia"/>
                <w:color w:val="auto"/>
                <w:sz w:val="21"/>
                <w:szCs w:val="21"/>
                <w:highlight w:val="none"/>
              </w:rPr>
            </w:pPr>
            <w:r>
              <w:rPr>
                <w:color w:val="auto"/>
                <w:spacing w:val="4"/>
                <w:sz w:val="21"/>
                <w:szCs w:val="21"/>
                <w:highlight w:val="none"/>
              </w:rPr>
              <w:t>投标</w:t>
            </w:r>
            <w:r>
              <w:rPr>
                <w:rFonts w:hint="eastAsia"/>
                <w:color w:val="auto"/>
                <w:spacing w:val="4"/>
                <w:sz w:val="21"/>
                <w:szCs w:val="21"/>
                <w:highlight w:val="none"/>
                <w:lang w:val="en-US" w:eastAsia="zh-CN"/>
              </w:rPr>
              <w:t>单价</w:t>
            </w:r>
            <w:r>
              <w:rPr>
                <w:color w:val="auto"/>
                <w:spacing w:val="4"/>
                <w:sz w:val="21"/>
                <w:szCs w:val="21"/>
                <w:highlight w:val="none"/>
              </w:rPr>
              <w:t>报价（大写）：</w:t>
            </w:r>
            <w:r>
              <w:rPr>
                <w:color w:val="auto"/>
                <w:spacing w:val="-41"/>
                <w:sz w:val="21"/>
                <w:szCs w:val="21"/>
                <w:highlight w:val="none"/>
              </w:rPr>
              <w:t xml:space="preserve"> </w:t>
            </w:r>
            <w:r>
              <w:rPr>
                <w:color w:val="auto"/>
                <w:spacing w:val="4"/>
                <w:sz w:val="21"/>
                <w:szCs w:val="21"/>
                <w:highlight w:val="none"/>
              </w:rPr>
              <w:t>人民币                              (¥            ）</w:t>
            </w:r>
          </w:p>
        </w:tc>
      </w:tr>
      <w:tr w14:paraId="1D65F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0" w:type="auto"/>
            <w:gridSpan w:val="6"/>
            <w:tcBorders>
              <w:top w:val="single" w:color="000000" w:sz="2" w:space="0"/>
              <w:left w:val="single" w:color="000000" w:sz="2" w:space="0"/>
              <w:bottom w:val="single" w:color="000000" w:sz="2" w:space="0"/>
              <w:right w:val="single" w:color="000000" w:sz="2" w:space="0"/>
            </w:tcBorders>
            <w:noWrap w:val="0"/>
            <w:vAlign w:val="top"/>
          </w:tcPr>
          <w:p w14:paraId="37591FF9">
            <w:pPr>
              <w:pStyle w:val="126"/>
              <w:spacing w:before="237" w:line="196" w:lineRule="auto"/>
              <w:ind w:left="118" w:leftChars="0"/>
              <w:rPr>
                <w:rFonts w:hint="default"/>
                <w:color w:val="auto"/>
                <w:spacing w:val="4"/>
                <w:sz w:val="21"/>
                <w:szCs w:val="21"/>
                <w:highlight w:val="none"/>
                <w:lang w:val="en-US"/>
              </w:rPr>
            </w:pPr>
            <w:r>
              <w:rPr>
                <w:rFonts w:hint="eastAsia"/>
                <w:color w:val="auto"/>
                <w:spacing w:val="4"/>
                <w:sz w:val="21"/>
                <w:szCs w:val="21"/>
                <w:highlight w:val="none"/>
                <w:lang w:val="en-US" w:eastAsia="zh-CN"/>
              </w:rPr>
              <w:t>注：本项目采用固定单价、据实结算方式，最终支付金额以实际发生量乘以中标单价为准。本项目设置总价最高限额为分标预算上控价，若按实际发生量计算的应付金额超出该上控价，则一律按上控价进行封顶结算，超出部分采购人不予支付。</w:t>
            </w:r>
          </w:p>
        </w:tc>
      </w:tr>
      <w:tr w14:paraId="02FDB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0" w:type="auto"/>
            <w:gridSpan w:val="6"/>
            <w:tcBorders>
              <w:top w:val="single" w:color="000000" w:sz="2" w:space="0"/>
              <w:left w:val="single" w:color="000000" w:sz="2" w:space="0"/>
              <w:bottom w:val="single" w:color="000000" w:sz="2" w:space="0"/>
              <w:right w:val="single" w:color="000000" w:sz="2" w:space="0"/>
            </w:tcBorders>
            <w:noWrap w:val="0"/>
            <w:vAlign w:val="top"/>
          </w:tcPr>
          <w:p w14:paraId="66A336CF">
            <w:pPr>
              <w:pStyle w:val="126"/>
              <w:spacing w:before="237" w:line="196" w:lineRule="auto"/>
              <w:ind w:left="115" w:leftChars="0"/>
              <w:rPr>
                <w:rFonts w:hint="eastAsia"/>
                <w:b/>
                <w:color w:val="auto"/>
                <w:sz w:val="21"/>
                <w:szCs w:val="21"/>
                <w:highlight w:val="none"/>
              </w:rPr>
            </w:pPr>
            <w:r>
              <w:rPr>
                <w:color w:val="auto"/>
                <w:spacing w:val="8"/>
                <w:sz w:val="21"/>
                <w:szCs w:val="21"/>
                <w:highlight w:val="none"/>
              </w:rPr>
              <w:t>验收标准：</w:t>
            </w:r>
            <w:r>
              <w:rPr>
                <w:color w:val="auto"/>
                <w:spacing w:val="-26"/>
                <w:sz w:val="21"/>
                <w:szCs w:val="21"/>
                <w:highlight w:val="none"/>
              </w:rPr>
              <w:t xml:space="preserve"> </w:t>
            </w:r>
            <w:r>
              <w:rPr>
                <w:color w:val="auto"/>
                <w:spacing w:val="8"/>
                <w:sz w:val="21"/>
                <w:szCs w:val="21"/>
                <w:highlight w:val="none"/>
              </w:rPr>
              <w:t>依据招标文件上的技术规格要求和国家有关质量标准进行。</w:t>
            </w:r>
          </w:p>
        </w:tc>
      </w:tr>
      <w:tr w14:paraId="52575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0" w:type="auto"/>
            <w:gridSpan w:val="6"/>
            <w:tcBorders>
              <w:top w:val="single" w:color="000000" w:sz="2" w:space="0"/>
              <w:left w:val="single" w:color="000000" w:sz="2" w:space="0"/>
              <w:right w:val="single" w:color="000000" w:sz="2" w:space="0"/>
            </w:tcBorders>
            <w:noWrap w:val="0"/>
            <w:vAlign w:val="top"/>
          </w:tcPr>
          <w:p w14:paraId="61E85DA0">
            <w:pPr>
              <w:pStyle w:val="126"/>
              <w:spacing w:before="239" w:line="196" w:lineRule="auto"/>
              <w:ind w:left="115" w:leftChars="0"/>
              <w:rPr>
                <w:rFonts w:hint="eastAsia"/>
                <w:b/>
                <w:color w:val="auto"/>
                <w:sz w:val="21"/>
                <w:szCs w:val="21"/>
                <w:highlight w:val="none"/>
              </w:rPr>
            </w:pPr>
            <w:r>
              <w:rPr>
                <w:color w:val="auto"/>
                <w:spacing w:val="6"/>
                <w:sz w:val="21"/>
                <w:szCs w:val="21"/>
                <w:highlight w:val="none"/>
              </w:rPr>
              <w:t>优惠及其他：</w:t>
            </w:r>
          </w:p>
        </w:tc>
      </w:tr>
    </w:tbl>
    <w:p w14:paraId="67613D7D">
      <w:pPr>
        <w:snapToGrid w:val="0"/>
        <w:spacing w:before="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438CA10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03CD3AED">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1.投标人的开标一览表必须加盖投标人电子签章并由法定代表人或者委托代理人签字或者电子签名，</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44C1A008">
      <w:pPr>
        <w:snapToGrid w:val="0"/>
        <w:spacing w:line="360" w:lineRule="auto"/>
        <w:ind w:firstLine="420" w:firstLineChars="200"/>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报价一经涂改，应在涂改处加盖投标人公章或者加盖电子签章或者由法定代表人或者委托代理人签字（或者电子签名）</w:t>
      </w:r>
      <w:r>
        <w:rPr>
          <w:rFonts w:hint="eastAsia" w:ascii="宋体" w:hAnsi="宋体" w:cs="宋体"/>
          <w:b/>
          <w:color w:val="auto"/>
          <w:szCs w:val="21"/>
          <w:highlight w:val="none"/>
        </w:rPr>
        <w:t>，否则其投标作无效标处理。</w:t>
      </w:r>
    </w:p>
    <w:p w14:paraId="6AF6208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3.如为联合体投标，“投标人名称”处必须列明联合体各方名称，并标注联合体牵头人名称，</w:t>
      </w:r>
      <w:r>
        <w:rPr>
          <w:rFonts w:hint="eastAsia" w:ascii="宋体" w:hAnsi="宋体" w:cs="宋体"/>
          <w:b/>
          <w:color w:val="auto"/>
          <w:szCs w:val="21"/>
          <w:highlight w:val="none"/>
        </w:rPr>
        <w:t>否则其投标作无效标处理。</w:t>
      </w:r>
    </w:p>
    <w:p w14:paraId="35BF52D4">
      <w:pPr>
        <w:snapToGrid w:val="0"/>
        <w:spacing w:line="360" w:lineRule="auto"/>
        <w:ind w:firstLine="396" w:firstLineChars="200"/>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4.如为联合体投标，盖章处须加盖联合体牵头人电子签章，</w:t>
      </w:r>
      <w:r>
        <w:rPr>
          <w:rFonts w:hint="eastAsia" w:ascii="宋体" w:hAnsi="宋体" w:cs="宋体"/>
          <w:b/>
          <w:color w:val="auto"/>
          <w:spacing w:val="-6"/>
          <w:szCs w:val="21"/>
          <w:highlight w:val="none"/>
        </w:rPr>
        <w:t>否则其投标作无效标处理。</w:t>
      </w:r>
    </w:p>
    <w:p w14:paraId="6823E7B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5.如有多分标，按分标分别提供开标一览表，</w:t>
      </w:r>
      <w:r>
        <w:rPr>
          <w:rFonts w:hint="eastAsia" w:ascii="宋体" w:hAnsi="宋体" w:cs="宋体"/>
          <w:b/>
          <w:color w:val="auto"/>
          <w:szCs w:val="21"/>
          <w:highlight w:val="none"/>
        </w:rPr>
        <w:t>否则投标无效。</w:t>
      </w:r>
    </w:p>
    <w:p w14:paraId="7704A737">
      <w:pPr>
        <w:snapToGrid w:val="0"/>
        <w:spacing w:line="360" w:lineRule="auto"/>
        <w:ind w:left="-2" w:leftChars="-1" w:right="-817" w:rightChars="-389"/>
        <w:rPr>
          <w:rFonts w:hint="eastAsia" w:ascii="宋体" w:hAnsi="宋体" w:cs="宋体"/>
          <w:color w:val="auto"/>
          <w:szCs w:val="21"/>
          <w:highlight w:val="none"/>
        </w:rPr>
      </w:pPr>
    </w:p>
    <w:p w14:paraId="5A640A78">
      <w:pPr>
        <w:snapToGrid w:val="0"/>
        <w:spacing w:line="360" w:lineRule="auto"/>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法定代表人或者委托代理人（签字或者电子签名）： </w:t>
      </w:r>
    </w:p>
    <w:p w14:paraId="73DB73AE">
      <w:pPr>
        <w:snapToGrid w:val="0"/>
        <w:spacing w:line="360" w:lineRule="auto"/>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3B30153E">
      <w:pPr>
        <w:snapToGrid w:val="0"/>
        <w:spacing w:line="360" w:lineRule="auto"/>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679C3A2D">
      <w:pPr>
        <w:rPr>
          <w:rFonts w:hint="eastAsia" w:ascii="宋体" w:hAnsi="宋体" w:cs="宋体"/>
          <w:b/>
          <w:color w:val="auto"/>
          <w:sz w:val="24"/>
          <w:highlight w:val="none"/>
        </w:rPr>
      </w:pPr>
      <w:bookmarkStart w:id="379" w:name="_Toc19686837"/>
      <w:r>
        <w:rPr>
          <w:rFonts w:hint="eastAsia" w:ascii="宋体" w:hAnsi="宋体" w:cs="宋体"/>
          <w:b/>
          <w:color w:val="auto"/>
          <w:sz w:val="24"/>
          <w:highlight w:val="none"/>
        </w:rPr>
        <w:br w:type="page"/>
      </w:r>
    </w:p>
    <w:p w14:paraId="4D6E7671">
      <w:pPr>
        <w:rPr>
          <w:rFonts w:hint="eastAsia" w:ascii="宋体" w:hAnsi="宋体" w:cs="宋体"/>
          <w:color w:val="auto"/>
          <w:highlight w:val="none"/>
        </w:rPr>
      </w:pPr>
      <w:r>
        <w:rPr>
          <w:rFonts w:hint="eastAsia" w:ascii="宋体" w:hAnsi="宋体" w:cs="宋体"/>
          <w:b/>
          <w:color w:val="auto"/>
          <w:sz w:val="24"/>
          <w:highlight w:val="none"/>
        </w:rPr>
        <w:t>3.中小企业声明函格式</w:t>
      </w:r>
    </w:p>
    <w:p w14:paraId="78489E4A">
      <w:pPr>
        <w:rPr>
          <w:rFonts w:hint="eastAsia" w:ascii="宋体" w:hAnsi="宋体" w:cs="宋体"/>
          <w:color w:val="auto"/>
          <w:highlight w:val="none"/>
        </w:rPr>
      </w:pPr>
    </w:p>
    <w:p w14:paraId="289BF07B">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中小企业声明函（服务）</w:t>
      </w:r>
    </w:p>
    <w:p w14:paraId="2E3461E6">
      <w:pPr>
        <w:spacing w:before="2" w:line="500" w:lineRule="exact"/>
        <w:rPr>
          <w:rFonts w:hint="eastAsia" w:ascii="宋体" w:hAnsi="宋体" w:cs="宋体"/>
          <w:b/>
          <w:bCs/>
          <w:color w:val="auto"/>
          <w:szCs w:val="21"/>
          <w:highlight w:val="none"/>
        </w:rPr>
      </w:pPr>
    </w:p>
    <w:p w14:paraId="27BB6A82">
      <w:pPr>
        <w:pStyle w:val="15"/>
        <w:spacing w:line="360" w:lineRule="auto"/>
        <w:ind w:right="142"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14:paraId="3048D30F">
      <w:pPr>
        <w:tabs>
          <w:tab w:val="left" w:pos="1384"/>
          <w:tab w:val="left" w:pos="4562"/>
          <w:tab w:val="left" w:pos="6803"/>
        </w:tabs>
        <w:spacing w:before="13" w:line="360" w:lineRule="auto"/>
        <w:ind w:right="142" w:firstLine="600" w:firstLineChars="286"/>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562351D0">
      <w:pPr>
        <w:pStyle w:val="15"/>
        <w:spacing w:before="34" w:line="360" w:lineRule="auto"/>
        <w:ind w:left="765" w:right="142" w:hanging="5"/>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15274358">
      <w:pPr>
        <w:pStyle w:val="15"/>
        <w:spacing w:before="34" w:line="360" w:lineRule="auto"/>
        <w:ind w:right="142"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58E8D804">
      <w:pPr>
        <w:pStyle w:val="15"/>
        <w:spacing w:before="34" w:line="360" w:lineRule="auto"/>
        <w:ind w:right="142"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5A44AE01">
      <w:pPr>
        <w:pStyle w:val="15"/>
        <w:spacing w:before="56" w:line="360" w:lineRule="auto"/>
        <w:ind w:left="3960" w:right="1808"/>
        <w:rPr>
          <w:rFonts w:hint="eastAsia" w:ascii="宋体" w:hAnsi="宋体" w:cs="宋体"/>
          <w:color w:val="auto"/>
          <w:szCs w:val="21"/>
          <w:highlight w:val="none"/>
        </w:rPr>
      </w:pPr>
      <w:r>
        <w:rPr>
          <w:rFonts w:hint="eastAsia" w:ascii="宋体" w:hAnsi="宋体" w:cs="宋体"/>
          <w:color w:val="auto"/>
          <w:kern w:val="24"/>
          <w:szCs w:val="21"/>
          <w:highlight w:val="none"/>
        </w:rPr>
        <w:t>企业名称（电子签章）：</w:t>
      </w:r>
      <w:r>
        <w:rPr>
          <w:rFonts w:hint="eastAsia" w:ascii="宋体" w:hAnsi="宋体" w:cs="宋体"/>
          <w:color w:val="auto"/>
          <w:szCs w:val="21"/>
          <w:highlight w:val="none"/>
        </w:rPr>
        <w:t xml:space="preserve"> </w:t>
      </w:r>
    </w:p>
    <w:p w14:paraId="7DD5257F">
      <w:pPr>
        <w:pStyle w:val="15"/>
        <w:spacing w:before="56" w:line="360" w:lineRule="auto"/>
        <w:ind w:left="3960" w:right="1808"/>
        <w:rPr>
          <w:rFonts w:hint="eastAsia" w:ascii="宋体" w:hAnsi="宋体" w:cs="宋体"/>
          <w:color w:val="auto"/>
          <w:szCs w:val="21"/>
          <w:highlight w:val="none"/>
        </w:rPr>
      </w:pPr>
      <w:r>
        <w:rPr>
          <w:rFonts w:hint="eastAsia" w:ascii="宋体" w:hAnsi="宋体" w:cs="宋体"/>
          <w:color w:val="auto"/>
          <w:szCs w:val="21"/>
          <w:highlight w:val="none"/>
        </w:rPr>
        <w:t>日 期：</w:t>
      </w:r>
    </w:p>
    <w:p w14:paraId="24D19E91">
      <w:pPr>
        <w:spacing w:line="360" w:lineRule="auto"/>
        <w:rPr>
          <w:rFonts w:hint="eastAsia" w:ascii="宋体" w:hAnsi="宋体" w:cs="宋体"/>
          <w:color w:val="auto"/>
          <w:szCs w:val="21"/>
          <w:highlight w:val="none"/>
        </w:rPr>
      </w:pPr>
      <w:r>
        <w:rPr>
          <w:rFonts w:hint="eastAsia" w:ascii="宋体" w:hAnsi="宋体" w:cs="宋体"/>
          <w:color w:val="auto"/>
          <w:spacing w:val="6"/>
          <w:szCs w:val="21"/>
          <w:highlight w:val="none"/>
        </w:rPr>
        <w:t xml:space="preserve"> </w:t>
      </w:r>
    </w:p>
    <w:p w14:paraId="5C60C4AC">
      <w:pPr>
        <w:spacing w:line="360" w:lineRule="auto"/>
        <w:rPr>
          <w:rFonts w:hint="eastAsia" w:ascii="宋体" w:hAnsi="宋体" w:cs="宋体"/>
          <w:b/>
          <w:color w:val="auto"/>
          <w:sz w:val="24"/>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color w:val="auto"/>
          <w:highlight w:val="none"/>
        </w:rPr>
        <w:br w:type="page"/>
      </w:r>
      <w:r>
        <w:rPr>
          <w:rFonts w:hint="eastAsia" w:ascii="宋体" w:hAnsi="宋体" w:cs="宋体"/>
          <w:color w:val="auto"/>
          <w:highlight w:val="none"/>
        </w:rPr>
        <w:t>4</w:t>
      </w:r>
      <w:r>
        <w:rPr>
          <w:rFonts w:hint="eastAsia" w:ascii="宋体" w:hAnsi="宋体" w:cs="宋体"/>
          <w:b/>
          <w:color w:val="auto"/>
          <w:sz w:val="24"/>
          <w:highlight w:val="none"/>
        </w:rPr>
        <w:t>.残疾人福利性单位声明函格式</w:t>
      </w:r>
    </w:p>
    <w:p w14:paraId="576E3B6A">
      <w:pPr>
        <w:spacing w:line="588" w:lineRule="exact"/>
        <w:jc w:val="center"/>
        <w:rPr>
          <w:rFonts w:hint="eastAsia" w:ascii="宋体" w:hAnsi="宋体" w:cs="宋体"/>
          <w:b/>
          <w:color w:val="auto"/>
          <w:spacing w:val="6"/>
          <w:sz w:val="32"/>
          <w:szCs w:val="32"/>
          <w:highlight w:val="none"/>
        </w:rPr>
      </w:pPr>
    </w:p>
    <w:p w14:paraId="47C3A427">
      <w:pPr>
        <w:spacing w:line="588" w:lineRule="exact"/>
        <w:jc w:val="center"/>
        <w:rPr>
          <w:rFonts w:hint="eastAsia" w:ascii="宋体" w:hAnsi="宋体" w:cs="宋体"/>
          <w:b/>
          <w:bCs/>
          <w:color w:val="auto"/>
          <w:spacing w:val="6"/>
          <w:sz w:val="30"/>
          <w:szCs w:val="30"/>
          <w:highlight w:val="none"/>
        </w:rPr>
      </w:pPr>
      <w:r>
        <w:rPr>
          <w:rFonts w:hint="eastAsia" w:ascii="宋体" w:hAnsi="宋体" w:cs="宋体"/>
          <w:b/>
          <w:bCs/>
          <w:color w:val="auto"/>
          <w:spacing w:val="6"/>
          <w:sz w:val="30"/>
          <w:szCs w:val="30"/>
          <w:highlight w:val="none"/>
        </w:rPr>
        <w:t>残疾人福利性单位声明函</w:t>
      </w:r>
    </w:p>
    <w:p w14:paraId="66832035">
      <w:pPr>
        <w:spacing w:line="588" w:lineRule="exact"/>
        <w:rPr>
          <w:rFonts w:hint="eastAsia" w:ascii="宋体" w:hAnsi="宋体" w:cs="宋体"/>
          <w:b/>
          <w:color w:val="auto"/>
          <w:spacing w:val="6"/>
          <w:sz w:val="30"/>
          <w:szCs w:val="30"/>
          <w:highlight w:val="none"/>
        </w:rPr>
      </w:pPr>
    </w:p>
    <w:p w14:paraId="3454DC56">
      <w:pPr>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zCs w:val="21"/>
          <w:highlight w:val="none"/>
        </w:rPr>
        <w:t>〔2017〕 141</w:t>
      </w:r>
      <w:r>
        <w:rPr>
          <w:rFonts w:hint="eastAsia" w:ascii="宋体" w:hAnsi="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Cs w:val="21"/>
          <w:highlight w:val="none"/>
        </w:rPr>
        <w:t>疾人福利性单位制造的货物（不包括使用非残疾人福利性单位注册商标的货物）。</w:t>
      </w:r>
    </w:p>
    <w:p w14:paraId="4E7F4269">
      <w:pPr>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0C0BCA31">
      <w:pPr>
        <w:spacing w:line="360" w:lineRule="auto"/>
        <w:ind w:firstLine="444" w:firstLineChars="200"/>
        <w:rPr>
          <w:rFonts w:hint="eastAsia" w:ascii="宋体" w:hAnsi="宋体" w:cs="宋体"/>
          <w:color w:val="auto"/>
          <w:spacing w:val="6"/>
          <w:szCs w:val="21"/>
          <w:highlight w:val="none"/>
        </w:rPr>
      </w:pPr>
    </w:p>
    <w:p w14:paraId="36EB8C53">
      <w:pPr>
        <w:spacing w:line="360" w:lineRule="auto"/>
        <w:ind w:firstLine="444" w:firstLineChars="200"/>
        <w:rPr>
          <w:rFonts w:hint="eastAsia" w:ascii="宋体" w:hAnsi="宋体" w:cs="宋体"/>
          <w:color w:val="auto"/>
          <w:spacing w:val="6"/>
          <w:szCs w:val="21"/>
          <w:highlight w:val="none"/>
        </w:rPr>
      </w:pPr>
    </w:p>
    <w:p w14:paraId="00178735">
      <w:pPr>
        <w:tabs>
          <w:tab w:val="left" w:pos="4860"/>
        </w:tabs>
        <w:spacing w:line="360" w:lineRule="auto"/>
        <w:ind w:right="1560" w:firstLine="444" w:firstLineChars="200"/>
        <w:contextualSpacing/>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单位名称（电子签章）：</w:t>
      </w:r>
    </w:p>
    <w:p w14:paraId="24DC3B79">
      <w:pPr>
        <w:tabs>
          <w:tab w:val="left" w:pos="4860"/>
        </w:tabs>
        <w:spacing w:line="360" w:lineRule="auto"/>
        <w:ind w:right="1560" w:firstLine="444" w:firstLineChars="200"/>
        <w:contextualSpacing/>
        <w:jc w:val="center"/>
        <w:rPr>
          <w:rFonts w:hint="eastAsia" w:ascii="宋体" w:hAnsi="宋体" w:cs="宋体"/>
          <w:color w:val="auto"/>
          <w:spacing w:val="6"/>
          <w:szCs w:val="21"/>
          <w:highlight w:val="none"/>
        </w:rPr>
      </w:pPr>
      <w:r>
        <w:rPr>
          <w:rFonts w:hint="eastAsia" w:ascii="宋体" w:hAnsi="宋体" w:cs="宋体"/>
          <w:color w:val="auto"/>
          <w:spacing w:val="6"/>
          <w:szCs w:val="21"/>
          <w:highlight w:val="none"/>
        </w:rPr>
        <w:t>日  期：</w:t>
      </w:r>
    </w:p>
    <w:p w14:paraId="06DC0FC3">
      <w:pPr>
        <w:spacing w:line="360" w:lineRule="auto"/>
        <w:rPr>
          <w:rFonts w:hint="eastAsia" w:ascii="宋体" w:hAnsi="宋体" w:cs="宋体"/>
          <w:color w:val="auto"/>
          <w:szCs w:val="21"/>
          <w:highlight w:val="none"/>
        </w:rPr>
      </w:pPr>
    </w:p>
    <w:p w14:paraId="39BE5533">
      <w:pPr>
        <w:spacing w:line="360" w:lineRule="auto"/>
        <w:rPr>
          <w:rFonts w:hint="eastAsia" w:ascii="宋体" w:hAnsi="宋体" w:cs="宋体"/>
          <w:color w:val="auto"/>
          <w:szCs w:val="21"/>
          <w:highlight w:val="none"/>
        </w:rPr>
      </w:pPr>
    </w:p>
    <w:p w14:paraId="6053B68F">
      <w:pPr>
        <w:spacing w:line="360" w:lineRule="auto"/>
        <w:rPr>
          <w:rFonts w:hint="eastAsia" w:ascii="宋体" w:hAnsi="宋体" w:cs="宋体"/>
          <w:color w:val="auto"/>
          <w:szCs w:val="21"/>
          <w:highlight w:val="none"/>
        </w:rPr>
      </w:pPr>
    </w:p>
    <w:p w14:paraId="4991B9B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0584E86">
      <w:pPr>
        <w:ind w:firstLine="3990" w:firstLineChars="1900"/>
        <w:rPr>
          <w:rFonts w:hint="eastAsia" w:ascii="宋体" w:hAnsi="宋体" w:cs="宋体"/>
          <w:color w:val="auto"/>
          <w:szCs w:val="21"/>
          <w:highlight w:val="none"/>
        </w:rPr>
      </w:pPr>
    </w:p>
    <w:p w14:paraId="5EE0F355">
      <w:pPr>
        <w:spacing w:line="360" w:lineRule="auto"/>
        <w:rPr>
          <w:rFonts w:hint="eastAsia"/>
          <w:color w:val="auto"/>
          <w:szCs w:val="21"/>
          <w:highlight w:val="none"/>
        </w:rPr>
      </w:pPr>
    </w:p>
    <w:p w14:paraId="681AA45D">
      <w:pPr>
        <w:rPr>
          <w:rFonts w:hint="eastAsia"/>
          <w:color w:val="auto"/>
          <w:szCs w:val="21"/>
          <w:highlight w:val="none"/>
        </w:rPr>
      </w:pPr>
    </w:p>
    <w:p w14:paraId="1E01D559">
      <w:pPr>
        <w:spacing w:line="360" w:lineRule="auto"/>
        <w:rPr>
          <w:rFonts w:hint="eastAsia"/>
          <w:color w:val="auto"/>
          <w:highlight w:val="none"/>
        </w:rPr>
      </w:pPr>
    </w:p>
    <w:p w14:paraId="45786E78">
      <w:pPr>
        <w:spacing w:line="360" w:lineRule="auto"/>
        <w:rPr>
          <w:rFonts w:hint="eastAsia"/>
          <w:color w:val="auto"/>
          <w:highlight w:val="none"/>
        </w:rPr>
      </w:pPr>
    </w:p>
    <w:p w14:paraId="2C3E7C40">
      <w:pPr>
        <w:rPr>
          <w:rFonts w:hint="eastAsia" w:ascii="宋体" w:hAnsi="宋体" w:cs="宋体"/>
          <w:color w:val="auto"/>
          <w:sz w:val="24"/>
          <w:highlight w:val="none"/>
        </w:rPr>
      </w:pPr>
    </w:p>
    <w:p w14:paraId="3F44817D">
      <w:pPr>
        <w:pStyle w:val="3"/>
        <w:rPr>
          <w:rFonts w:hint="eastAsia"/>
          <w:color w:val="auto"/>
          <w:highlight w:val="none"/>
        </w:rPr>
      </w:pPr>
      <w:r>
        <w:rPr>
          <w:rFonts w:hint="eastAsia"/>
          <w:color w:val="auto"/>
          <w:highlight w:val="none"/>
        </w:rPr>
        <w:br w:type="page"/>
      </w:r>
      <w:bookmarkStart w:id="380" w:name="_Toc23452"/>
      <w:bookmarkStart w:id="381" w:name="_Toc560"/>
      <w:r>
        <w:rPr>
          <w:rFonts w:hint="eastAsia"/>
          <w:color w:val="auto"/>
          <w:highlight w:val="none"/>
        </w:rPr>
        <w:t>二、资格证明文件格式</w:t>
      </w:r>
      <w:bookmarkEnd w:id="377"/>
      <w:bookmarkEnd w:id="378"/>
      <w:bookmarkEnd w:id="379"/>
      <w:bookmarkEnd w:id="380"/>
      <w:bookmarkEnd w:id="381"/>
    </w:p>
    <w:p w14:paraId="521785C5">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44A5E7F7">
      <w:pPr>
        <w:snapToGrid w:val="0"/>
        <w:spacing w:before="120" w:beforeLines="50" w:after="50"/>
        <w:jc w:val="center"/>
        <w:rPr>
          <w:rFonts w:hint="eastAsia" w:ascii="宋体" w:hAnsi="宋体" w:cs="宋体"/>
          <w:bCs/>
          <w:color w:val="auto"/>
          <w:sz w:val="48"/>
          <w:szCs w:val="48"/>
          <w:highlight w:val="none"/>
        </w:rPr>
      </w:pPr>
    </w:p>
    <w:p w14:paraId="1393DC3B">
      <w:pPr>
        <w:snapToGrid w:val="0"/>
        <w:spacing w:before="120" w:beforeLines="50" w:after="50"/>
        <w:jc w:val="center"/>
        <w:rPr>
          <w:rFonts w:hint="eastAsia" w:ascii="宋体" w:hAnsi="宋体" w:cs="宋体"/>
          <w:bCs/>
          <w:color w:val="auto"/>
          <w:sz w:val="48"/>
          <w:szCs w:val="48"/>
          <w:highlight w:val="none"/>
        </w:rPr>
      </w:pPr>
    </w:p>
    <w:p w14:paraId="1845BDC7">
      <w:pPr>
        <w:snapToGrid w:val="0"/>
        <w:spacing w:before="120" w:beforeLines="50" w:after="5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6248C21C">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highlight w:val="none"/>
        </w:rPr>
        <w:t xml:space="preserve">                 </w:t>
      </w:r>
    </w:p>
    <w:p w14:paraId="0F62DA08">
      <w:pPr>
        <w:snapToGrid w:val="0"/>
        <w:spacing w:before="120"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6A7B0E9D">
      <w:pPr>
        <w:snapToGrid w:val="0"/>
        <w:spacing w:before="120" w:beforeLines="50" w:after="50"/>
        <w:rPr>
          <w:rFonts w:hint="eastAsia" w:ascii="宋体" w:hAnsi="宋体" w:cs="宋体"/>
          <w:bCs/>
          <w:color w:val="auto"/>
          <w:sz w:val="24"/>
          <w:szCs w:val="20"/>
          <w:highlight w:val="none"/>
        </w:rPr>
      </w:pPr>
    </w:p>
    <w:p w14:paraId="414C9F6F">
      <w:pPr>
        <w:snapToGrid w:val="0"/>
        <w:spacing w:before="120" w:beforeLines="50" w:after="50"/>
        <w:rPr>
          <w:rFonts w:hint="eastAsia" w:ascii="宋体" w:hAnsi="宋体" w:cs="宋体"/>
          <w:bCs/>
          <w:color w:val="auto"/>
          <w:sz w:val="24"/>
          <w:szCs w:val="20"/>
          <w:highlight w:val="none"/>
        </w:rPr>
      </w:pPr>
    </w:p>
    <w:p w14:paraId="4036630E">
      <w:pPr>
        <w:snapToGrid w:val="0"/>
        <w:spacing w:before="120" w:beforeLines="50" w:after="50"/>
        <w:rPr>
          <w:rFonts w:hint="eastAsia" w:ascii="宋体" w:hAnsi="宋体" w:cs="宋体"/>
          <w:bCs/>
          <w:color w:val="auto"/>
          <w:sz w:val="24"/>
          <w:szCs w:val="20"/>
          <w:highlight w:val="none"/>
        </w:rPr>
      </w:pPr>
    </w:p>
    <w:p w14:paraId="78C1A8D6">
      <w:pPr>
        <w:snapToGrid w:val="0"/>
        <w:spacing w:before="120" w:beforeLines="50" w:after="50"/>
        <w:rPr>
          <w:rFonts w:hint="eastAsia" w:ascii="宋体" w:hAnsi="宋体" w:cs="宋体"/>
          <w:bCs/>
          <w:color w:val="auto"/>
          <w:sz w:val="24"/>
          <w:szCs w:val="20"/>
          <w:highlight w:val="none"/>
        </w:rPr>
      </w:pPr>
    </w:p>
    <w:p w14:paraId="1DA93F8C">
      <w:pPr>
        <w:snapToGrid w:val="0"/>
        <w:spacing w:before="120" w:beforeLines="50" w:after="50"/>
        <w:rPr>
          <w:rFonts w:hint="eastAsia" w:ascii="宋体" w:hAnsi="宋体" w:cs="宋体"/>
          <w:bCs/>
          <w:color w:val="auto"/>
          <w:sz w:val="24"/>
          <w:szCs w:val="20"/>
          <w:highlight w:val="none"/>
        </w:rPr>
      </w:pPr>
    </w:p>
    <w:p w14:paraId="720484DA">
      <w:pPr>
        <w:snapToGrid w:val="0"/>
        <w:spacing w:before="120" w:beforeLines="50" w:after="50"/>
        <w:rPr>
          <w:rFonts w:hint="eastAsia" w:ascii="宋体" w:hAnsi="宋体" w:cs="宋体"/>
          <w:bCs/>
          <w:color w:val="auto"/>
          <w:sz w:val="24"/>
          <w:szCs w:val="20"/>
          <w:highlight w:val="none"/>
        </w:rPr>
      </w:pPr>
    </w:p>
    <w:p w14:paraId="50B966B2">
      <w:pPr>
        <w:snapToGrid w:val="0"/>
        <w:spacing w:before="120" w:beforeLines="50" w:after="50"/>
        <w:rPr>
          <w:rFonts w:hint="eastAsia" w:ascii="宋体" w:hAnsi="宋体" w:cs="宋体"/>
          <w:bCs/>
          <w:color w:val="auto"/>
          <w:sz w:val="24"/>
          <w:szCs w:val="20"/>
          <w:highlight w:val="none"/>
        </w:rPr>
      </w:pPr>
    </w:p>
    <w:p w14:paraId="0BA9823A">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3650F7BC">
      <w:pPr>
        <w:snapToGrid w:val="0"/>
        <w:spacing w:before="120" w:beforeLines="50" w:after="50"/>
        <w:ind w:firstLine="540" w:firstLineChars="225"/>
        <w:rPr>
          <w:rFonts w:hint="eastAsia" w:ascii="宋体" w:hAnsi="宋体" w:cs="宋体"/>
          <w:bCs/>
          <w:color w:val="auto"/>
          <w:sz w:val="24"/>
          <w:szCs w:val="20"/>
          <w:highlight w:val="none"/>
        </w:rPr>
      </w:pPr>
    </w:p>
    <w:p w14:paraId="75F6BC8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521172B4">
      <w:pPr>
        <w:snapToGrid w:val="0"/>
        <w:spacing w:before="120" w:beforeLines="50" w:after="50"/>
        <w:ind w:firstLine="540" w:firstLineChars="225"/>
        <w:rPr>
          <w:rFonts w:hint="eastAsia" w:ascii="宋体" w:hAnsi="宋体" w:cs="宋体"/>
          <w:bCs/>
          <w:color w:val="auto"/>
          <w:sz w:val="24"/>
          <w:szCs w:val="20"/>
          <w:highlight w:val="none"/>
        </w:rPr>
      </w:pPr>
    </w:p>
    <w:p w14:paraId="6CB58E2B">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7CE88B89">
      <w:pPr>
        <w:pStyle w:val="9"/>
        <w:snapToGrid w:val="0"/>
        <w:spacing w:before="50" w:after="50"/>
        <w:ind w:firstLine="540" w:firstLineChars="225"/>
        <w:rPr>
          <w:rFonts w:hint="eastAsia" w:ascii="宋体" w:hAnsi="宋体" w:cs="宋体"/>
          <w:bCs/>
          <w:color w:val="auto"/>
          <w:sz w:val="24"/>
          <w:szCs w:val="24"/>
          <w:highlight w:val="none"/>
        </w:rPr>
      </w:pPr>
    </w:p>
    <w:p w14:paraId="6EFB9590">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070E8553">
      <w:pPr>
        <w:pStyle w:val="9"/>
        <w:snapToGrid w:val="0"/>
        <w:spacing w:before="50" w:after="50"/>
        <w:ind w:firstLine="540" w:firstLineChars="225"/>
        <w:rPr>
          <w:rFonts w:hint="eastAsia" w:ascii="宋体" w:hAnsi="宋体" w:cs="宋体"/>
          <w:bCs/>
          <w:color w:val="auto"/>
          <w:sz w:val="24"/>
          <w:szCs w:val="24"/>
          <w:highlight w:val="none"/>
        </w:rPr>
      </w:pPr>
    </w:p>
    <w:p w14:paraId="70F11365">
      <w:pPr>
        <w:pStyle w:val="9"/>
        <w:snapToGrid w:val="0"/>
        <w:spacing w:before="50" w:after="50"/>
        <w:ind w:firstLine="960" w:firstLineChars="400"/>
        <w:rPr>
          <w:rFonts w:hint="eastAsia" w:ascii="宋体" w:hAnsi="宋体" w:cs="宋体"/>
          <w:bCs/>
          <w:color w:val="auto"/>
          <w:sz w:val="24"/>
          <w:szCs w:val="24"/>
          <w:highlight w:val="none"/>
        </w:rPr>
      </w:pPr>
    </w:p>
    <w:p w14:paraId="7A98ADE0">
      <w:pPr>
        <w:snapToGrid w:val="0"/>
        <w:spacing w:before="120"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39AB6CA2">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1607276F">
      <w:pPr>
        <w:snapToGrid w:val="0"/>
        <w:spacing w:before="120" w:beforeLines="50" w:after="50"/>
        <w:rPr>
          <w:rFonts w:hint="eastAsia" w:ascii="宋体" w:hAnsi="宋体" w:cs="宋体"/>
          <w:color w:val="auto"/>
          <w:sz w:val="24"/>
          <w:szCs w:val="20"/>
          <w:highlight w:val="none"/>
        </w:rPr>
      </w:pPr>
    </w:p>
    <w:p w14:paraId="73B833D4">
      <w:pPr>
        <w:snapToGrid w:val="0"/>
        <w:spacing w:before="120" w:beforeLines="50" w:after="50" w:line="360" w:lineRule="auto"/>
        <w:ind w:firstLine="120" w:firstLineChars="50"/>
        <w:jc w:val="left"/>
        <w:rPr>
          <w:rFonts w:hint="eastAsia" w:ascii="宋体" w:hAnsi="宋体" w:cs="宋体"/>
          <w:color w:val="auto"/>
          <w:sz w:val="24"/>
          <w:szCs w:val="20"/>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2.资格证明文件目录</w:t>
      </w:r>
    </w:p>
    <w:p w14:paraId="116C1F93">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6FB1A006">
      <w:pPr>
        <w:snapToGrid w:val="0"/>
        <w:spacing w:before="50" w:after="120" w:afterLines="50"/>
        <w:jc w:val="left"/>
        <w:rPr>
          <w:rFonts w:hint="eastAsia" w:ascii="宋体" w:hAnsi="宋体" w:cs="宋体"/>
          <w:color w:val="auto"/>
          <w:sz w:val="24"/>
          <w:highlight w:val="none"/>
        </w:rPr>
      </w:pPr>
    </w:p>
    <w:p w14:paraId="02C907DD">
      <w:pPr>
        <w:snapToGrid w:val="0"/>
        <w:spacing w:before="50" w:after="120" w:afterLines="50"/>
        <w:jc w:val="left"/>
        <w:rPr>
          <w:rFonts w:hint="eastAsia" w:ascii="宋体" w:hAnsi="宋体" w:cs="宋体"/>
          <w:color w:val="auto"/>
          <w:sz w:val="24"/>
          <w:highlight w:val="none"/>
        </w:rPr>
      </w:pPr>
    </w:p>
    <w:p w14:paraId="016BB6A4">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投标人直接控股、管理关系信息表</w:t>
      </w:r>
    </w:p>
    <w:p w14:paraId="23A17586">
      <w:pPr>
        <w:snapToGrid w:val="0"/>
        <w:spacing w:before="50" w:after="120" w:afterLines="50"/>
        <w:jc w:val="center"/>
        <w:rPr>
          <w:rFonts w:hint="eastAsia" w:ascii="宋体" w:hAnsi="宋体" w:cs="宋体"/>
          <w:b/>
          <w:color w:val="auto"/>
          <w:sz w:val="28"/>
          <w:szCs w:val="28"/>
          <w:highlight w:val="none"/>
        </w:rPr>
      </w:pPr>
    </w:p>
    <w:p w14:paraId="2F51958B">
      <w:pPr>
        <w:snapToGrid w:val="0"/>
        <w:spacing w:before="120" w:beforeLines="50" w:after="50"/>
        <w:ind w:left="420"/>
        <w:jc w:val="center"/>
        <w:rPr>
          <w:rFonts w:hint="eastAsia" w:ascii="宋体" w:hAnsi="宋体" w:cs="宋体"/>
          <w:bCs/>
          <w:color w:val="auto"/>
          <w:spacing w:val="-17"/>
          <w:sz w:val="44"/>
          <w:szCs w:val="44"/>
          <w:highlight w:val="none"/>
        </w:rPr>
      </w:pPr>
      <w:r>
        <w:rPr>
          <w:rFonts w:hint="eastAsia" w:ascii="宋体" w:hAnsi="宋体" w:cs="宋体"/>
          <w:bCs/>
          <w:color w:val="auto"/>
          <w:spacing w:val="-17"/>
          <w:sz w:val="44"/>
          <w:szCs w:val="44"/>
          <w:highlight w:val="none"/>
        </w:rPr>
        <w:t>供应商直接控股、管理关系信息表</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051"/>
        <w:gridCol w:w="802"/>
        <w:gridCol w:w="1482"/>
        <w:gridCol w:w="4396"/>
      </w:tblGrid>
      <w:tr w14:paraId="15DF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419" w:type="pct"/>
            <w:gridSpan w:val="4"/>
            <w:shd w:val="clear" w:color="auto" w:fill="F2DBDB"/>
            <w:noWrap w:val="0"/>
            <w:vAlign w:val="center"/>
          </w:tcPr>
          <w:p w14:paraId="38C0ED39">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投标人直接控股股东信息表</w:t>
            </w:r>
          </w:p>
        </w:tc>
        <w:tc>
          <w:tcPr>
            <w:tcW w:w="2580" w:type="pct"/>
            <w:shd w:val="clear" w:color="auto" w:fill="F2DBDB"/>
            <w:noWrap w:val="0"/>
            <w:vAlign w:val="center"/>
          </w:tcPr>
          <w:p w14:paraId="64B78B4B">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00FA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center"/>
          </w:tcPr>
          <w:p w14:paraId="45CFF771">
            <w:pPr>
              <w:spacing w:line="44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617" w:type="pct"/>
            <w:noWrap w:val="0"/>
            <w:vAlign w:val="center"/>
          </w:tcPr>
          <w:p w14:paraId="42F82F6B">
            <w:pPr>
              <w:spacing w:line="44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471" w:type="pct"/>
            <w:noWrap w:val="0"/>
            <w:vAlign w:val="center"/>
          </w:tcPr>
          <w:p w14:paraId="32EB59AB">
            <w:pPr>
              <w:spacing w:line="44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869" w:type="pct"/>
            <w:noWrap w:val="0"/>
            <w:vAlign w:val="center"/>
          </w:tcPr>
          <w:p w14:paraId="7C95186E">
            <w:pPr>
              <w:spacing w:line="44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2580" w:type="pct"/>
            <w:vMerge w:val="restart"/>
            <w:noWrap w:val="0"/>
            <w:vAlign w:val="center"/>
          </w:tcPr>
          <w:p w14:paraId="62DC3B19">
            <w:pPr>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881E5F5">
            <w:pPr>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25EF3E56">
            <w:pPr>
              <w:snapToGrid w:val="0"/>
              <w:spacing w:line="440" w:lineRule="exact"/>
              <w:jc w:val="left"/>
              <w:rPr>
                <w:rFonts w:hint="eastAsia" w:ascii="宋体" w:hAnsi="宋体" w:cs="宋体"/>
                <w:b/>
                <w:bCs/>
                <w:color w:val="auto"/>
                <w:kern w:val="0"/>
                <w:szCs w:val="21"/>
                <w:highlight w:val="none"/>
              </w:rPr>
            </w:pPr>
            <w:r>
              <w:rPr>
                <w:rFonts w:hint="eastAsia" w:ascii="宋体" w:hAnsi="宋体" w:cs="宋体"/>
                <w:color w:val="auto"/>
                <w:szCs w:val="21"/>
                <w:highlight w:val="none"/>
              </w:rPr>
              <w:t>3.供应商不存在直接控股股东的，则填“无”。</w:t>
            </w:r>
          </w:p>
        </w:tc>
      </w:tr>
      <w:tr w14:paraId="542A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top"/>
          </w:tcPr>
          <w:p w14:paraId="373F5AAF">
            <w:pPr>
              <w:snapToGrid w:val="0"/>
              <w:spacing w:before="120" w:beforeLines="50" w:after="50"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617" w:type="pct"/>
            <w:noWrap w:val="0"/>
            <w:vAlign w:val="top"/>
          </w:tcPr>
          <w:p w14:paraId="09D4D2F1">
            <w:pPr>
              <w:snapToGrid w:val="0"/>
              <w:spacing w:before="120" w:beforeLines="50" w:after="50" w:line="440" w:lineRule="exact"/>
              <w:jc w:val="left"/>
              <w:rPr>
                <w:rFonts w:hint="eastAsia" w:ascii="宋体" w:hAnsi="宋体" w:cs="宋体"/>
                <w:b/>
                <w:color w:val="auto"/>
                <w:szCs w:val="21"/>
                <w:highlight w:val="none"/>
              </w:rPr>
            </w:pPr>
          </w:p>
        </w:tc>
        <w:tc>
          <w:tcPr>
            <w:tcW w:w="471" w:type="pct"/>
            <w:noWrap w:val="0"/>
            <w:vAlign w:val="top"/>
          </w:tcPr>
          <w:p w14:paraId="458B4F4C">
            <w:pPr>
              <w:snapToGrid w:val="0"/>
              <w:spacing w:before="120" w:beforeLines="50" w:after="50" w:line="440" w:lineRule="exact"/>
              <w:jc w:val="left"/>
              <w:rPr>
                <w:rFonts w:hint="eastAsia" w:ascii="宋体" w:hAnsi="宋体" w:cs="宋体"/>
                <w:b/>
                <w:color w:val="auto"/>
                <w:szCs w:val="21"/>
                <w:highlight w:val="none"/>
              </w:rPr>
            </w:pPr>
          </w:p>
        </w:tc>
        <w:tc>
          <w:tcPr>
            <w:tcW w:w="869" w:type="pct"/>
            <w:noWrap w:val="0"/>
            <w:vAlign w:val="top"/>
          </w:tcPr>
          <w:p w14:paraId="01197DBE">
            <w:pPr>
              <w:snapToGrid w:val="0"/>
              <w:spacing w:before="120" w:beforeLines="50" w:after="50" w:line="440" w:lineRule="exact"/>
              <w:jc w:val="left"/>
              <w:rPr>
                <w:rFonts w:hint="eastAsia" w:ascii="宋体" w:hAnsi="宋体" w:cs="宋体"/>
                <w:b/>
                <w:color w:val="auto"/>
                <w:szCs w:val="21"/>
                <w:highlight w:val="none"/>
              </w:rPr>
            </w:pPr>
          </w:p>
        </w:tc>
        <w:tc>
          <w:tcPr>
            <w:tcW w:w="2580" w:type="pct"/>
            <w:vMerge w:val="continue"/>
            <w:noWrap w:val="0"/>
            <w:vAlign w:val="top"/>
          </w:tcPr>
          <w:p w14:paraId="0E2FD45A">
            <w:pPr>
              <w:snapToGrid w:val="0"/>
              <w:spacing w:line="440" w:lineRule="exact"/>
              <w:jc w:val="left"/>
              <w:rPr>
                <w:rFonts w:hint="eastAsia" w:ascii="宋体" w:hAnsi="宋体" w:cs="宋体"/>
                <w:color w:val="auto"/>
                <w:szCs w:val="21"/>
                <w:highlight w:val="none"/>
              </w:rPr>
            </w:pPr>
          </w:p>
        </w:tc>
      </w:tr>
      <w:tr w14:paraId="0A07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top"/>
          </w:tcPr>
          <w:p w14:paraId="5DD63A8D">
            <w:pPr>
              <w:snapToGrid w:val="0"/>
              <w:spacing w:before="120" w:beforeLines="50" w:after="50"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617" w:type="pct"/>
            <w:noWrap w:val="0"/>
            <w:vAlign w:val="top"/>
          </w:tcPr>
          <w:p w14:paraId="7809AEEC">
            <w:pPr>
              <w:snapToGrid w:val="0"/>
              <w:spacing w:before="120" w:beforeLines="50" w:after="50" w:line="440" w:lineRule="exact"/>
              <w:jc w:val="left"/>
              <w:rPr>
                <w:rFonts w:hint="eastAsia" w:ascii="宋体" w:hAnsi="宋体" w:cs="宋体"/>
                <w:b/>
                <w:color w:val="auto"/>
                <w:szCs w:val="21"/>
                <w:highlight w:val="none"/>
              </w:rPr>
            </w:pPr>
          </w:p>
        </w:tc>
        <w:tc>
          <w:tcPr>
            <w:tcW w:w="471" w:type="pct"/>
            <w:noWrap w:val="0"/>
            <w:vAlign w:val="top"/>
          </w:tcPr>
          <w:p w14:paraId="4C004FDB">
            <w:pPr>
              <w:snapToGrid w:val="0"/>
              <w:spacing w:before="120" w:beforeLines="50" w:after="50" w:line="440" w:lineRule="exact"/>
              <w:jc w:val="left"/>
              <w:rPr>
                <w:rFonts w:hint="eastAsia" w:ascii="宋体" w:hAnsi="宋体" w:cs="宋体"/>
                <w:b/>
                <w:color w:val="auto"/>
                <w:szCs w:val="21"/>
                <w:highlight w:val="none"/>
              </w:rPr>
            </w:pPr>
          </w:p>
        </w:tc>
        <w:tc>
          <w:tcPr>
            <w:tcW w:w="869" w:type="pct"/>
            <w:noWrap w:val="0"/>
            <w:vAlign w:val="top"/>
          </w:tcPr>
          <w:p w14:paraId="7BF8F11B">
            <w:pPr>
              <w:snapToGrid w:val="0"/>
              <w:spacing w:before="120" w:beforeLines="50" w:after="50" w:line="440" w:lineRule="exact"/>
              <w:jc w:val="left"/>
              <w:rPr>
                <w:rFonts w:hint="eastAsia" w:ascii="宋体" w:hAnsi="宋体" w:cs="宋体"/>
                <w:b/>
                <w:color w:val="auto"/>
                <w:szCs w:val="21"/>
                <w:highlight w:val="none"/>
              </w:rPr>
            </w:pPr>
          </w:p>
        </w:tc>
        <w:tc>
          <w:tcPr>
            <w:tcW w:w="2580" w:type="pct"/>
            <w:vMerge w:val="continue"/>
            <w:noWrap w:val="0"/>
            <w:vAlign w:val="top"/>
          </w:tcPr>
          <w:p w14:paraId="66497A5E">
            <w:pPr>
              <w:snapToGrid w:val="0"/>
              <w:spacing w:before="120" w:beforeLines="50" w:after="50" w:line="440" w:lineRule="exact"/>
              <w:jc w:val="left"/>
              <w:rPr>
                <w:rFonts w:hint="eastAsia" w:ascii="宋体" w:hAnsi="宋体" w:cs="宋体"/>
                <w:b/>
                <w:color w:val="auto"/>
                <w:szCs w:val="21"/>
                <w:highlight w:val="none"/>
              </w:rPr>
            </w:pPr>
          </w:p>
        </w:tc>
      </w:tr>
      <w:tr w14:paraId="67E9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tcBorders>
              <w:bottom w:val="single" w:color="auto" w:sz="4" w:space="0"/>
            </w:tcBorders>
            <w:noWrap w:val="0"/>
            <w:vAlign w:val="top"/>
          </w:tcPr>
          <w:p w14:paraId="25AE7455">
            <w:pPr>
              <w:snapToGrid w:val="0"/>
              <w:spacing w:before="120" w:beforeLines="50" w:after="50" w:line="440" w:lineRule="exact"/>
              <w:jc w:val="left"/>
              <w:rPr>
                <w:rFonts w:hint="eastAsia" w:ascii="宋体" w:hAnsi="宋体" w:cs="宋体"/>
                <w:b/>
                <w:color w:val="auto"/>
                <w:szCs w:val="21"/>
                <w:highlight w:val="none"/>
              </w:rPr>
            </w:pPr>
            <w:r>
              <w:rPr>
                <w:rFonts w:hint="eastAsia" w:ascii="宋体" w:hAnsi="宋体" w:cs="宋体"/>
                <w:color w:val="auto"/>
                <w:kern w:val="0"/>
                <w:szCs w:val="21"/>
                <w:highlight w:val="none"/>
              </w:rPr>
              <w:t>……</w:t>
            </w:r>
          </w:p>
        </w:tc>
        <w:tc>
          <w:tcPr>
            <w:tcW w:w="617" w:type="pct"/>
            <w:tcBorders>
              <w:bottom w:val="single" w:color="auto" w:sz="4" w:space="0"/>
            </w:tcBorders>
            <w:noWrap w:val="0"/>
            <w:vAlign w:val="top"/>
          </w:tcPr>
          <w:p w14:paraId="2D164439">
            <w:pPr>
              <w:snapToGrid w:val="0"/>
              <w:spacing w:before="120" w:beforeLines="50" w:after="50" w:line="440" w:lineRule="exact"/>
              <w:jc w:val="left"/>
              <w:rPr>
                <w:rFonts w:hint="eastAsia" w:ascii="宋体" w:hAnsi="宋体" w:cs="宋体"/>
                <w:b/>
                <w:color w:val="auto"/>
                <w:szCs w:val="21"/>
                <w:highlight w:val="none"/>
              </w:rPr>
            </w:pPr>
          </w:p>
        </w:tc>
        <w:tc>
          <w:tcPr>
            <w:tcW w:w="471" w:type="pct"/>
            <w:tcBorders>
              <w:bottom w:val="single" w:color="auto" w:sz="4" w:space="0"/>
            </w:tcBorders>
            <w:noWrap w:val="0"/>
            <w:vAlign w:val="top"/>
          </w:tcPr>
          <w:p w14:paraId="7FD6BFF7">
            <w:pPr>
              <w:snapToGrid w:val="0"/>
              <w:spacing w:before="120" w:beforeLines="50" w:after="50" w:line="440" w:lineRule="exact"/>
              <w:jc w:val="left"/>
              <w:rPr>
                <w:rFonts w:hint="eastAsia" w:ascii="宋体" w:hAnsi="宋体" w:cs="宋体"/>
                <w:b/>
                <w:color w:val="auto"/>
                <w:szCs w:val="21"/>
                <w:highlight w:val="none"/>
              </w:rPr>
            </w:pPr>
          </w:p>
        </w:tc>
        <w:tc>
          <w:tcPr>
            <w:tcW w:w="869" w:type="pct"/>
            <w:tcBorders>
              <w:bottom w:val="single" w:color="auto" w:sz="4" w:space="0"/>
            </w:tcBorders>
            <w:noWrap w:val="0"/>
            <w:vAlign w:val="top"/>
          </w:tcPr>
          <w:p w14:paraId="548FDA10">
            <w:pPr>
              <w:snapToGrid w:val="0"/>
              <w:spacing w:before="120" w:beforeLines="50" w:after="50" w:line="440" w:lineRule="exact"/>
              <w:jc w:val="left"/>
              <w:rPr>
                <w:rFonts w:hint="eastAsia" w:ascii="宋体" w:hAnsi="宋体" w:cs="宋体"/>
                <w:b/>
                <w:color w:val="auto"/>
                <w:szCs w:val="21"/>
                <w:highlight w:val="none"/>
              </w:rPr>
            </w:pPr>
          </w:p>
        </w:tc>
        <w:tc>
          <w:tcPr>
            <w:tcW w:w="2580" w:type="pct"/>
            <w:vMerge w:val="continue"/>
            <w:tcBorders>
              <w:bottom w:val="single" w:color="auto" w:sz="4" w:space="0"/>
            </w:tcBorders>
            <w:noWrap w:val="0"/>
            <w:vAlign w:val="top"/>
          </w:tcPr>
          <w:p w14:paraId="4AE2F5F6">
            <w:pPr>
              <w:snapToGrid w:val="0"/>
              <w:spacing w:before="120" w:beforeLines="50" w:after="50" w:line="440" w:lineRule="exact"/>
              <w:jc w:val="left"/>
              <w:rPr>
                <w:rFonts w:hint="eastAsia" w:ascii="宋体" w:hAnsi="宋体" w:cs="宋体"/>
                <w:b/>
                <w:color w:val="auto"/>
                <w:szCs w:val="21"/>
                <w:highlight w:val="none"/>
              </w:rPr>
            </w:pPr>
          </w:p>
        </w:tc>
      </w:tr>
      <w:tr w14:paraId="6397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419" w:type="pct"/>
            <w:gridSpan w:val="4"/>
            <w:shd w:val="clear" w:color="auto" w:fill="F2DBDB"/>
            <w:noWrap w:val="0"/>
            <w:vAlign w:val="center"/>
          </w:tcPr>
          <w:p w14:paraId="7BC53D4F">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投标人直接管理关系信息表</w:t>
            </w:r>
          </w:p>
        </w:tc>
        <w:tc>
          <w:tcPr>
            <w:tcW w:w="2580" w:type="pct"/>
            <w:shd w:val="clear" w:color="auto" w:fill="F2DBDB"/>
            <w:noWrap w:val="0"/>
            <w:vAlign w:val="center"/>
          </w:tcPr>
          <w:p w14:paraId="5BF1C9AF">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0006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center"/>
          </w:tcPr>
          <w:p w14:paraId="4BAA7FE8">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序号</w:t>
            </w:r>
          </w:p>
        </w:tc>
        <w:tc>
          <w:tcPr>
            <w:tcW w:w="1088" w:type="pct"/>
            <w:gridSpan w:val="2"/>
            <w:noWrap w:val="0"/>
            <w:vAlign w:val="center"/>
          </w:tcPr>
          <w:p w14:paraId="553DF60B">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直接管理关系单位名称</w:t>
            </w:r>
          </w:p>
        </w:tc>
        <w:tc>
          <w:tcPr>
            <w:tcW w:w="869" w:type="pct"/>
            <w:noWrap w:val="0"/>
            <w:vAlign w:val="center"/>
          </w:tcPr>
          <w:p w14:paraId="6F3D2608">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统一社会信用代码</w:t>
            </w:r>
          </w:p>
        </w:tc>
        <w:tc>
          <w:tcPr>
            <w:tcW w:w="2580" w:type="pct"/>
            <w:vMerge w:val="restart"/>
            <w:noWrap w:val="0"/>
            <w:vAlign w:val="center"/>
          </w:tcPr>
          <w:p w14:paraId="7DB78533">
            <w:pPr>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55A6562A">
            <w:pPr>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ED149BE">
            <w:pPr>
              <w:snapToGrid w:val="0"/>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tc>
      </w:tr>
      <w:tr w14:paraId="7562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center"/>
          </w:tcPr>
          <w:p w14:paraId="4BDD8D52">
            <w:pPr>
              <w:snapToGrid w:val="0"/>
              <w:spacing w:before="120" w:beforeLines="50" w:after="50" w:line="44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w:t>
            </w:r>
          </w:p>
        </w:tc>
        <w:tc>
          <w:tcPr>
            <w:tcW w:w="1088" w:type="pct"/>
            <w:gridSpan w:val="2"/>
            <w:noWrap w:val="0"/>
            <w:vAlign w:val="center"/>
          </w:tcPr>
          <w:p w14:paraId="0AD35581">
            <w:pPr>
              <w:snapToGrid w:val="0"/>
              <w:spacing w:before="120" w:beforeLines="50" w:after="50" w:line="440" w:lineRule="exact"/>
              <w:jc w:val="center"/>
              <w:rPr>
                <w:rFonts w:hint="eastAsia" w:ascii="宋体" w:hAnsi="宋体" w:cs="宋体"/>
                <w:b/>
                <w:bCs/>
                <w:color w:val="auto"/>
                <w:kern w:val="0"/>
                <w:szCs w:val="21"/>
                <w:highlight w:val="none"/>
              </w:rPr>
            </w:pPr>
          </w:p>
        </w:tc>
        <w:tc>
          <w:tcPr>
            <w:tcW w:w="869" w:type="pct"/>
            <w:noWrap w:val="0"/>
            <w:vAlign w:val="center"/>
          </w:tcPr>
          <w:p w14:paraId="5861AD7A">
            <w:pPr>
              <w:snapToGrid w:val="0"/>
              <w:spacing w:before="120" w:beforeLines="50" w:after="50" w:line="440" w:lineRule="exact"/>
              <w:jc w:val="center"/>
              <w:rPr>
                <w:rFonts w:hint="eastAsia" w:ascii="宋体" w:hAnsi="宋体" w:cs="宋体"/>
                <w:b/>
                <w:bCs/>
                <w:color w:val="auto"/>
                <w:kern w:val="0"/>
                <w:szCs w:val="21"/>
                <w:highlight w:val="none"/>
              </w:rPr>
            </w:pPr>
          </w:p>
        </w:tc>
        <w:tc>
          <w:tcPr>
            <w:tcW w:w="2580" w:type="pct"/>
            <w:vMerge w:val="continue"/>
            <w:noWrap w:val="0"/>
            <w:vAlign w:val="center"/>
          </w:tcPr>
          <w:p w14:paraId="3A25ECDE">
            <w:pPr>
              <w:snapToGrid w:val="0"/>
              <w:spacing w:line="440" w:lineRule="exact"/>
              <w:jc w:val="left"/>
              <w:rPr>
                <w:rFonts w:hint="eastAsia" w:ascii="宋体" w:hAnsi="宋体" w:cs="宋体"/>
                <w:color w:val="auto"/>
                <w:szCs w:val="21"/>
                <w:highlight w:val="none"/>
              </w:rPr>
            </w:pPr>
          </w:p>
        </w:tc>
      </w:tr>
      <w:tr w14:paraId="01B5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center"/>
          </w:tcPr>
          <w:p w14:paraId="1EB21D49">
            <w:pPr>
              <w:snapToGrid w:val="0"/>
              <w:spacing w:before="120" w:beforeLines="50" w:after="50" w:line="44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2</w:t>
            </w:r>
          </w:p>
        </w:tc>
        <w:tc>
          <w:tcPr>
            <w:tcW w:w="1088" w:type="pct"/>
            <w:gridSpan w:val="2"/>
            <w:noWrap w:val="0"/>
            <w:vAlign w:val="center"/>
          </w:tcPr>
          <w:p w14:paraId="7466F1D4">
            <w:pPr>
              <w:snapToGrid w:val="0"/>
              <w:spacing w:before="120" w:beforeLines="50" w:after="50" w:line="440" w:lineRule="exact"/>
              <w:jc w:val="center"/>
              <w:rPr>
                <w:rFonts w:hint="eastAsia" w:ascii="宋体" w:hAnsi="宋体" w:cs="宋体"/>
                <w:b/>
                <w:bCs/>
                <w:color w:val="auto"/>
                <w:kern w:val="0"/>
                <w:szCs w:val="21"/>
                <w:highlight w:val="none"/>
              </w:rPr>
            </w:pPr>
          </w:p>
        </w:tc>
        <w:tc>
          <w:tcPr>
            <w:tcW w:w="869" w:type="pct"/>
            <w:noWrap w:val="0"/>
            <w:vAlign w:val="center"/>
          </w:tcPr>
          <w:p w14:paraId="2CFE250A">
            <w:pPr>
              <w:snapToGrid w:val="0"/>
              <w:spacing w:before="120" w:beforeLines="50" w:after="50" w:line="440" w:lineRule="exact"/>
              <w:jc w:val="center"/>
              <w:rPr>
                <w:rFonts w:hint="eastAsia" w:ascii="宋体" w:hAnsi="宋体" w:cs="宋体"/>
                <w:b/>
                <w:bCs/>
                <w:color w:val="auto"/>
                <w:kern w:val="0"/>
                <w:szCs w:val="21"/>
                <w:highlight w:val="none"/>
              </w:rPr>
            </w:pPr>
          </w:p>
        </w:tc>
        <w:tc>
          <w:tcPr>
            <w:tcW w:w="2580" w:type="pct"/>
            <w:vMerge w:val="continue"/>
            <w:noWrap w:val="0"/>
            <w:vAlign w:val="center"/>
          </w:tcPr>
          <w:p w14:paraId="2AA19C31">
            <w:pPr>
              <w:snapToGrid w:val="0"/>
              <w:spacing w:line="440" w:lineRule="exact"/>
              <w:jc w:val="left"/>
              <w:rPr>
                <w:rFonts w:hint="eastAsia" w:ascii="宋体" w:hAnsi="宋体" w:cs="宋体"/>
                <w:color w:val="auto"/>
                <w:szCs w:val="21"/>
                <w:highlight w:val="none"/>
              </w:rPr>
            </w:pPr>
          </w:p>
        </w:tc>
      </w:tr>
      <w:tr w14:paraId="1AB6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 w:type="pct"/>
            <w:noWrap w:val="0"/>
            <w:vAlign w:val="center"/>
          </w:tcPr>
          <w:p w14:paraId="78D55737">
            <w:pPr>
              <w:snapToGrid w:val="0"/>
              <w:spacing w:before="120" w:beforeLines="50" w:after="50" w:line="440" w:lineRule="exact"/>
              <w:jc w:val="center"/>
              <w:rPr>
                <w:rFonts w:hint="eastAsia" w:ascii="宋体" w:hAnsi="宋体" w:cs="宋体"/>
                <w:b/>
                <w:bCs/>
                <w:color w:val="auto"/>
                <w:kern w:val="0"/>
                <w:szCs w:val="21"/>
                <w:highlight w:val="none"/>
              </w:rPr>
            </w:pPr>
            <w:r>
              <w:rPr>
                <w:rFonts w:hint="eastAsia" w:ascii="宋体" w:hAnsi="宋体" w:cs="宋体"/>
                <w:color w:val="auto"/>
                <w:kern w:val="0"/>
                <w:szCs w:val="21"/>
                <w:highlight w:val="none"/>
              </w:rPr>
              <w:t>……</w:t>
            </w:r>
          </w:p>
        </w:tc>
        <w:tc>
          <w:tcPr>
            <w:tcW w:w="1088" w:type="pct"/>
            <w:gridSpan w:val="2"/>
            <w:noWrap w:val="0"/>
            <w:vAlign w:val="center"/>
          </w:tcPr>
          <w:p w14:paraId="5D31503C">
            <w:pPr>
              <w:snapToGrid w:val="0"/>
              <w:spacing w:before="120" w:beforeLines="50" w:after="50" w:line="440" w:lineRule="exact"/>
              <w:jc w:val="center"/>
              <w:rPr>
                <w:rFonts w:hint="eastAsia" w:ascii="宋体" w:hAnsi="宋体" w:cs="宋体"/>
                <w:b/>
                <w:bCs/>
                <w:color w:val="auto"/>
                <w:kern w:val="0"/>
                <w:szCs w:val="21"/>
                <w:highlight w:val="none"/>
              </w:rPr>
            </w:pPr>
          </w:p>
        </w:tc>
        <w:tc>
          <w:tcPr>
            <w:tcW w:w="869" w:type="pct"/>
            <w:noWrap w:val="0"/>
            <w:vAlign w:val="center"/>
          </w:tcPr>
          <w:p w14:paraId="16345CAA">
            <w:pPr>
              <w:snapToGrid w:val="0"/>
              <w:spacing w:before="120" w:beforeLines="50" w:after="50" w:line="440" w:lineRule="exact"/>
              <w:jc w:val="center"/>
              <w:rPr>
                <w:rFonts w:hint="eastAsia" w:ascii="宋体" w:hAnsi="宋体" w:cs="宋体"/>
                <w:b/>
                <w:bCs/>
                <w:color w:val="auto"/>
                <w:kern w:val="0"/>
                <w:szCs w:val="21"/>
                <w:highlight w:val="none"/>
              </w:rPr>
            </w:pPr>
          </w:p>
        </w:tc>
        <w:tc>
          <w:tcPr>
            <w:tcW w:w="2580" w:type="pct"/>
            <w:vMerge w:val="continue"/>
            <w:noWrap w:val="0"/>
            <w:vAlign w:val="center"/>
          </w:tcPr>
          <w:p w14:paraId="38C127D4">
            <w:pPr>
              <w:snapToGrid w:val="0"/>
              <w:spacing w:line="440" w:lineRule="exact"/>
              <w:jc w:val="left"/>
              <w:rPr>
                <w:rFonts w:hint="eastAsia" w:ascii="宋体" w:hAnsi="宋体" w:cs="宋体"/>
                <w:color w:val="auto"/>
                <w:szCs w:val="21"/>
                <w:highlight w:val="none"/>
              </w:rPr>
            </w:pPr>
          </w:p>
        </w:tc>
      </w:tr>
    </w:tbl>
    <w:p w14:paraId="5314F09D">
      <w:pPr>
        <w:snapToGrid w:val="0"/>
        <w:spacing w:line="400" w:lineRule="exact"/>
        <w:jc w:val="left"/>
        <w:rPr>
          <w:rFonts w:hint="eastAsia" w:ascii="宋体" w:hAnsi="宋体" w:cs="宋体"/>
          <w:color w:val="auto"/>
          <w:szCs w:val="21"/>
          <w:highlight w:val="none"/>
        </w:rPr>
      </w:pPr>
    </w:p>
    <w:p w14:paraId="01D20AA5">
      <w:pPr>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687C834F">
      <w:pPr>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2182FF29">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446AFCD7">
      <w:pPr>
        <w:snapToGrid w:val="0"/>
        <w:jc w:val="center"/>
        <w:rPr>
          <w:rFonts w:hint="eastAsia" w:ascii="宋体" w:hAnsi="宋体" w:cs="宋体"/>
          <w:b/>
          <w:color w:val="auto"/>
          <w:sz w:val="28"/>
          <w:szCs w:val="28"/>
          <w:highlight w:val="none"/>
        </w:rPr>
      </w:pPr>
    </w:p>
    <w:p w14:paraId="68E0AFDC">
      <w:pPr>
        <w:snapToGrid w:val="0"/>
        <w:spacing w:before="120" w:beforeLines="50" w:after="50"/>
        <w:jc w:val="left"/>
        <w:rPr>
          <w:rFonts w:hint="eastAsia"/>
          <w:color w:val="auto"/>
          <w:szCs w:val="20"/>
          <w:highlight w:val="none"/>
        </w:rPr>
      </w:pPr>
      <w:r>
        <w:rPr>
          <w:rFonts w:hint="eastAsia" w:ascii="宋体" w:hAnsi="宋体" w:cs="宋体"/>
          <w:b/>
          <w:color w:val="auto"/>
          <w:sz w:val="32"/>
          <w:szCs w:val="32"/>
          <w:highlight w:val="none"/>
        </w:rPr>
        <w:br w:type="page"/>
      </w:r>
      <w:r>
        <w:rPr>
          <w:rFonts w:hint="eastAsia" w:ascii="宋体" w:hAnsi="宋体" w:cs="宋体"/>
          <w:b/>
          <w:color w:val="auto"/>
          <w:sz w:val="28"/>
          <w:szCs w:val="28"/>
          <w:highlight w:val="none"/>
        </w:rPr>
        <w:t>4.投标声明</w:t>
      </w:r>
    </w:p>
    <w:p w14:paraId="32AE4DF6">
      <w:pPr>
        <w:snapToGrid w:val="0"/>
        <w:spacing w:before="50" w:after="120" w:afterLines="50"/>
        <w:jc w:val="left"/>
        <w:rPr>
          <w:rFonts w:hint="eastAsia" w:ascii="宋体" w:hAnsi="宋体" w:cs="宋体"/>
          <w:color w:val="auto"/>
          <w:highlight w:val="none"/>
        </w:rPr>
      </w:pPr>
    </w:p>
    <w:p w14:paraId="3F289925">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投标声明</w:t>
      </w:r>
    </w:p>
    <w:p w14:paraId="62F81875">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（采购人名称）：</w:t>
      </w:r>
    </w:p>
    <w:p w14:paraId="324E2193">
      <w:pPr>
        <w:spacing w:line="440" w:lineRule="exact"/>
        <w:ind w:firstLine="457" w:firstLineChars="218"/>
        <w:contextualSpacing/>
        <w:jc w:val="left"/>
        <w:rPr>
          <w:rFonts w:hint="eastAsia" w:ascii="宋体" w:hAnsi="宋体" w:cs="宋体"/>
          <w:color w:val="auto"/>
          <w:szCs w:val="21"/>
          <w:highlight w:val="none"/>
        </w:rPr>
      </w:pPr>
      <w:r>
        <w:rPr>
          <w:rFonts w:hint="eastAsia" w:ascii="宋体" w:hAnsi="宋体" w:cs="宋体"/>
          <w:color w:val="auto"/>
          <w:szCs w:val="21"/>
          <w:highlight w:val="none"/>
        </w:rPr>
        <w:t>我方参加贵单位组织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）的政府采购活动。我方在此郑重声明：</w:t>
      </w:r>
    </w:p>
    <w:p w14:paraId="64DD3AB4">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CD6A375">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5CDA1BD9">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3.我方承诺符合《中华人民共和国政府采购法》第二十二条规定：</w:t>
      </w:r>
    </w:p>
    <w:p w14:paraId="0A76EA19">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（一）具有独立承担民事责任的能力；</w:t>
      </w:r>
    </w:p>
    <w:p w14:paraId="4EF3CF69">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（二）具有良好的商业信誉和健全的财务会计制度；</w:t>
      </w:r>
    </w:p>
    <w:p w14:paraId="26842508">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（三）具有履行合同所必需的设备和专业技术能力；</w:t>
      </w:r>
    </w:p>
    <w:p w14:paraId="4BE0D74B">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（四）有依法缴纳税收和社会保障资金的良好记录；</w:t>
      </w:r>
    </w:p>
    <w:p w14:paraId="051DC36A">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（五）参加政府采购活动前三年内，在经营活动中没有重大违法记录；</w:t>
      </w:r>
    </w:p>
    <w:p w14:paraId="2E7B5339">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（六）法律、行政法规规定的其他条件。</w:t>
      </w:r>
    </w:p>
    <w:p w14:paraId="2A1E3E61">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4.以上事项如有虚假或者隐瞒，我方愿意承担一切后果，并不再寻求任何旨在减轻或者免除法律责任的辩解。</w:t>
      </w:r>
    </w:p>
    <w:p w14:paraId="24456D1F">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特此承诺。</w:t>
      </w:r>
    </w:p>
    <w:p w14:paraId="0BE8A3CB">
      <w:pPr>
        <w:snapToGrid w:val="0"/>
        <w:spacing w:before="50" w:after="50" w:line="440" w:lineRule="exact"/>
        <w:ind w:firstLine="930" w:firstLineChars="441"/>
        <w:rPr>
          <w:rFonts w:hint="eastAsia" w:ascii="宋体" w:hAnsi="宋体" w:cs="宋体"/>
          <w:color w:val="auto"/>
          <w:spacing w:val="20"/>
          <w:szCs w:val="21"/>
          <w:highlight w:val="none"/>
          <w:u w:val="singl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法定代表人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544D4B09">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zCs w:val="21"/>
          <w:highlight w:val="none"/>
          <w:u w:val="single"/>
        </w:rPr>
        <w:t xml:space="preserve">                 </w:t>
      </w:r>
    </w:p>
    <w:p w14:paraId="777BEACF">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194EC8DA">
      <w:pPr>
        <w:spacing w:line="440" w:lineRule="exact"/>
        <w:contextualSpacing/>
        <w:rPr>
          <w:rFonts w:hint="eastAsia" w:ascii="宋体" w:hAnsi="宋体" w:cs="宋体"/>
          <w:b/>
          <w:color w:val="auto"/>
          <w:szCs w:val="21"/>
          <w:highlight w:val="none"/>
        </w:rPr>
      </w:pPr>
      <w:r>
        <w:rPr>
          <w:rFonts w:hint="eastAsia" w:ascii="宋体" w:hAnsi="宋体" w:cs="宋体"/>
          <w:b/>
          <w:color w:val="auto"/>
          <w:szCs w:val="21"/>
          <w:highlight w:val="none"/>
        </w:rPr>
        <w:t>注：如为联合体投标，盖章处须加盖联合体牵头人电子签章并由联合体牵头人法定代表人分别签字或者盖章或者电子签名，否则投标无效。</w:t>
      </w:r>
    </w:p>
    <w:p w14:paraId="03838C3E">
      <w:pPr>
        <w:snapToGrid w:val="0"/>
        <w:spacing w:before="120" w:beforeLines="50" w:after="50"/>
        <w:jc w:val="left"/>
        <w:rPr>
          <w:rFonts w:ascii="宋体" w:hAnsi="宋体" w:cs="宋体"/>
          <w:b/>
          <w:color w:val="auto"/>
          <w:sz w:val="28"/>
          <w:szCs w:val="28"/>
          <w:highlight w:val="none"/>
        </w:rPr>
      </w:pPr>
    </w:p>
    <w:p w14:paraId="20FFAA70">
      <w:pPr>
        <w:snapToGrid w:val="0"/>
        <w:spacing w:before="120" w:beforeLines="50" w:after="50"/>
        <w:jc w:val="left"/>
        <w:rPr>
          <w:rFonts w:hint="eastAsia"/>
          <w:color w:val="auto"/>
          <w:spacing w:val="20"/>
          <w:sz w:val="24"/>
          <w:highlight w:val="none"/>
        </w:rPr>
      </w:pPr>
      <w:r>
        <w:rPr>
          <w:b/>
          <w:color w:val="auto"/>
          <w:highlight w:val="none"/>
        </w:rPr>
        <w:br w:type="page"/>
      </w:r>
      <w:r>
        <w:rPr>
          <w:rFonts w:hint="eastAsia" w:ascii="宋体" w:hAnsi="宋体" w:cs="宋体"/>
          <w:b/>
          <w:color w:val="auto"/>
          <w:sz w:val="28"/>
          <w:szCs w:val="28"/>
          <w:highlight w:val="none"/>
        </w:rPr>
        <w:t>5.联合投标协议书格式</w:t>
      </w:r>
    </w:p>
    <w:p w14:paraId="30DA5C11">
      <w:pPr>
        <w:pStyle w:val="9"/>
        <w:overflowPunct w:val="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联合体协议书</w:t>
      </w:r>
    </w:p>
    <w:p w14:paraId="10BAA464">
      <w:pPr>
        <w:pStyle w:val="9"/>
        <w:overflowPunct w:val="0"/>
        <w:spacing w:line="360" w:lineRule="auto"/>
        <w:ind w:firstLine="0"/>
        <w:contextualSpacing/>
        <w:rPr>
          <w:rFonts w:hint="eastAsia" w:ascii="宋体" w:hAnsi="宋体" w:cs="宋体"/>
          <w:color w:val="auto"/>
          <w:sz w:val="24"/>
          <w:highlight w:val="none"/>
        </w:rPr>
      </w:pPr>
    </w:p>
    <w:p w14:paraId="0EA68A5A">
      <w:pPr>
        <w:pStyle w:val="9"/>
        <w:overflowPunct w:val="0"/>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（所有成员单位名称）自愿组成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（联合体名称）联合体，共同参加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（项目名称）   </w:t>
      </w:r>
      <w:r>
        <w:rPr>
          <w:rFonts w:hint="eastAsia" w:ascii="宋体" w:cs="宋体"/>
          <w:color w:val="auto"/>
          <w:kern w:val="0"/>
          <w:szCs w:val="21"/>
          <w:highlight w:val="none"/>
        </w:rPr>
        <w:t>（项目编号：</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r>
        <w:rPr>
          <w:rFonts w:hint="eastAsia" w:ascii="宋体" w:cs="宋体"/>
          <w:color w:val="auto"/>
          <w:kern w:val="0"/>
          <w:szCs w:val="21"/>
          <w:highlight w:val="none"/>
          <w:u w:val="single"/>
        </w:rPr>
        <w:t xml:space="preserve">   </w:t>
      </w:r>
      <w:r>
        <w:rPr>
          <w:rFonts w:hint="eastAsia" w:ascii="宋体" w:hAnsi="宋体" w:cs="宋体"/>
          <w:color w:val="auto"/>
          <w:szCs w:val="21"/>
          <w:highlight w:val="none"/>
        </w:rPr>
        <w:t>分标采购招标项目投标。现就联合体投标事宜订立如下协议。</w:t>
      </w:r>
    </w:p>
    <w:p w14:paraId="791BE033">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1.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（某成员单位名称）为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（联合体名称）牵头人。</w:t>
      </w:r>
    </w:p>
    <w:p w14:paraId="3B889682">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2.联合体各成员授权牵头人代表联合体参加投标活动，签署文件及对文件的盖章，提交和接收相关的资料、 信息及指示，进行合同谈判活动，负责合同实施阶段的组织和协调工作，以及处理与本招标项 目有关的一切事宜。</w:t>
      </w:r>
    </w:p>
    <w:p w14:paraId="0523E19B">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53FE5C59">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4.联合体各成员单位内部的职责分工如下：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F39B729">
      <w:pPr>
        <w:spacing w:line="360" w:lineRule="auto"/>
        <w:ind w:firstLine="420" w:firstLineChars="200"/>
        <w:rPr>
          <w:rFonts w:hint="eastAsia"/>
          <w:color w:val="auto"/>
          <w:szCs w:val="21"/>
          <w:highlight w:val="none"/>
        </w:rPr>
      </w:pPr>
      <w:r>
        <w:rPr>
          <w:rFonts w:hint="eastAsia" w:ascii="宋体" w:hAnsi="宋体" w:cs="宋体"/>
          <w:color w:val="auto"/>
          <w:kern w:val="0"/>
          <w:szCs w:val="20"/>
          <w:highlight w:val="none"/>
        </w:rPr>
        <w:t>5.本联合体中，</w:t>
      </w:r>
      <w:r>
        <w:rPr>
          <w:rFonts w:hint="eastAsia" w:ascii="宋体" w:hAnsi="宋体" w:cs="宋体"/>
          <w:color w:val="auto"/>
          <w:kern w:val="0"/>
          <w:szCs w:val="20"/>
          <w:highlight w:val="none"/>
          <w:u w:val="single"/>
        </w:rPr>
        <w:t xml:space="preserve"> （某成员单位名称） </w:t>
      </w:r>
      <w:r>
        <w:rPr>
          <w:rFonts w:hint="eastAsia" w:ascii="宋体" w:hAnsi="宋体" w:cs="宋体"/>
          <w:color w:val="auto"/>
          <w:kern w:val="0"/>
          <w:szCs w:val="20"/>
          <w:highlight w:val="none"/>
        </w:rPr>
        <w:t>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（请填写：中型、小型、微型）企业，其协议合同金额占联合体协议合同总金额的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%。【如联合体成员中有小型、微型企业的，请填写此条，否则无需填写；如联合体成员中有多个小型、微型企业的，请逐一列出。】</w:t>
      </w:r>
    </w:p>
    <w:p w14:paraId="254E3F38">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6.本协议书自所有成员单位法定代表人或者其委托代理人签字（或者电子签名）或者盖公章之日起生效，合同履行完毕后自动失效。</w:t>
      </w:r>
    </w:p>
    <w:p w14:paraId="1403B946">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7.本协议书一式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份，联合体成员和招标人各执一份。</w:t>
      </w:r>
    </w:p>
    <w:p w14:paraId="79D4E6DA">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注：本协议书应附法定代表人身份证明；有委托代理的，应附授权委托书（格式自拟）。</w:t>
      </w:r>
    </w:p>
    <w:p w14:paraId="2C27077C">
      <w:pPr>
        <w:pStyle w:val="9"/>
        <w:overflowPunct w:val="0"/>
        <w:spacing w:line="360" w:lineRule="auto"/>
        <w:ind w:firstLine="367" w:firstLineChars="175"/>
        <w:contextualSpacing/>
        <w:rPr>
          <w:rFonts w:hint="eastAsia" w:ascii="宋体" w:hAnsi="宋体" w:cs="宋体"/>
          <w:color w:val="auto"/>
          <w:szCs w:val="21"/>
          <w:highlight w:val="none"/>
        </w:rPr>
      </w:pPr>
    </w:p>
    <w:p w14:paraId="7DDE3FA8">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联合体牵头人名称（电子签章）：</w:t>
      </w:r>
    </w:p>
    <w:p w14:paraId="66D30EBC">
      <w:pPr>
        <w:pStyle w:val="9"/>
        <w:overflowPunct w:val="0"/>
        <w:spacing w:line="360" w:lineRule="auto"/>
        <w:ind w:firstLine="367" w:firstLineChars="175"/>
        <w:contextualSpacing/>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43A03366">
      <w:pPr>
        <w:pStyle w:val="9"/>
        <w:overflowPunct w:val="0"/>
        <w:spacing w:line="360" w:lineRule="auto"/>
        <w:ind w:firstLine="367" w:firstLineChars="175"/>
        <w:contextualSpacing/>
        <w:rPr>
          <w:rFonts w:hint="eastAsia" w:ascii="宋体" w:hAnsi="宋体" w:cs="宋体"/>
          <w:color w:val="auto"/>
          <w:szCs w:val="21"/>
          <w:highlight w:val="none"/>
        </w:rPr>
      </w:pPr>
    </w:p>
    <w:p w14:paraId="1B5BA814">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联合体成员名称（盖公章或者电子签章）：</w:t>
      </w:r>
    </w:p>
    <w:p w14:paraId="77A8E88E">
      <w:pPr>
        <w:pStyle w:val="9"/>
        <w:overflowPunct w:val="0"/>
        <w:spacing w:line="360" w:lineRule="auto"/>
        <w:ind w:firstLine="367" w:firstLineChars="175"/>
        <w:contextualSpacing/>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51DE98D4">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w:t>
      </w:r>
    </w:p>
    <w:p w14:paraId="48D67A13">
      <w:pPr>
        <w:pStyle w:val="3"/>
        <w:rPr>
          <w:rFonts w:hint="eastAsia" w:ascii="宋体" w:hAnsi="宋体" w:cs="宋体"/>
          <w:color w:val="auto"/>
          <w:sz w:val="28"/>
          <w:szCs w:val="28"/>
          <w:highlight w:val="none"/>
        </w:rPr>
      </w:pPr>
      <w:r>
        <w:rPr>
          <w:color w:val="auto"/>
          <w:sz w:val="21"/>
          <w:szCs w:val="21"/>
          <w:highlight w:val="none"/>
        </w:rPr>
        <w:br w:type="page"/>
      </w:r>
      <w:bookmarkStart w:id="382" w:name="_Toc19686838"/>
      <w:bookmarkStart w:id="383" w:name="_Toc7619"/>
      <w:bookmarkStart w:id="384" w:name="_Toc6222"/>
      <w:r>
        <w:rPr>
          <w:rFonts w:hint="eastAsia" w:ascii="宋体" w:hAnsi="宋体" w:cs="宋体"/>
          <w:color w:val="auto"/>
          <w:sz w:val="28"/>
          <w:szCs w:val="28"/>
          <w:highlight w:val="none"/>
        </w:rPr>
        <w:t>三、商务及技术文件格式</w:t>
      </w:r>
      <w:bookmarkEnd w:id="382"/>
      <w:bookmarkEnd w:id="383"/>
      <w:bookmarkEnd w:id="384"/>
    </w:p>
    <w:p w14:paraId="37A5062A">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（一）商务文件封面格式： </w:t>
      </w:r>
    </w:p>
    <w:p w14:paraId="25D62834">
      <w:pPr>
        <w:snapToGrid w:val="0"/>
        <w:spacing w:before="120"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6E301088">
      <w:pPr>
        <w:snapToGrid w:val="0"/>
        <w:spacing w:before="120"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3666C36">
      <w:pPr>
        <w:rPr>
          <w:rFonts w:hint="eastAsia" w:ascii="宋体" w:hAnsi="宋体" w:cs="宋体"/>
          <w:color w:val="auto"/>
          <w:sz w:val="24"/>
          <w:highlight w:val="none"/>
        </w:rPr>
      </w:pPr>
    </w:p>
    <w:p w14:paraId="69ECDC7A">
      <w:pPr>
        <w:rPr>
          <w:rFonts w:hint="eastAsia"/>
          <w:color w:val="auto"/>
          <w:highlight w:val="none"/>
        </w:rPr>
      </w:pPr>
    </w:p>
    <w:p w14:paraId="0FCBDDC9">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商务文件</w:t>
      </w:r>
    </w:p>
    <w:p w14:paraId="304F0905">
      <w:pPr>
        <w:rPr>
          <w:rFonts w:hint="eastAsia" w:ascii="宋体" w:hAnsi="宋体" w:cs="宋体"/>
          <w:b/>
          <w:color w:val="auto"/>
          <w:sz w:val="32"/>
          <w:szCs w:val="32"/>
          <w:highlight w:val="none"/>
        </w:rPr>
      </w:pPr>
    </w:p>
    <w:p w14:paraId="367A1AC9">
      <w:pPr>
        <w:rPr>
          <w:rFonts w:hint="eastAsia"/>
          <w:color w:val="auto"/>
          <w:highlight w:val="none"/>
        </w:rPr>
      </w:pPr>
    </w:p>
    <w:p w14:paraId="78AFE04B">
      <w:pPr>
        <w:snapToGrid w:val="0"/>
        <w:spacing w:before="120" w:beforeLines="50" w:after="50"/>
        <w:rPr>
          <w:rFonts w:hint="eastAsia" w:ascii="宋体" w:hAnsi="宋体" w:cs="宋体"/>
          <w:bCs/>
          <w:color w:val="auto"/>
          <w:sz w:val="24"/>
          <w:szCs w:val="20"/>
          <w:highlight w:val="none"/>
        </w:rPr>
      </w:pPr>
    </w:p>
    <w:p w14:paraId="5DDE15ED">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1F198DCF">
      <w:pPr>
        <w:snapToGrid w:val="0"/>
        <w:spacing w:before="120" w:beforeLines="50" w:after="50"/>
        <w:ind w:firstLine="540" w:firstLineChars="225"/>
        <w:rPr>
          <w:rFonts w:hint="eastAsia" w:ascii="宋体" w:hAnsi="宋体" w:cs="宋体"/>
          <w:bCs/>
          <w:color w:val="auto"/>
          <w:sz w:val="24"/>
          <w:szCs w:val="20"/>
          <w:highlight w:val="none"/>
        </w:rPr>
      </w:pPr>
    </w:p>
    <w:p w14:paraId="29E249A6">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2CC37E11">
      <w:pPr>
        <w:snapToGrid w:val="0"/>
        <w:spacing w:before="120"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3506CCF0">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4B7B7F83">
      <w:pPr>
        <w:snapToGrid w:val="0"/>
        <w:spacing w:before="120" w:beforeLines="50" w:after="50"/>
        <w:ind w:firstLine="540" w:firstLineChars="225"/>
        <w:rPr>
          <w:rFonts w:hint="eastAsia" w:ascii="宋体" w:hAnsi="宋体" w:cs="宋体"/>
          <w:bCs/>
          <w:color w:val="auto"/>
          <w:sz w:val="24"/>
          <w:szCs w:val="20"/>
          <w:highlight w:val="none"/>
        </w:rPr>
      </w:pPr>
    </w:p>
    <w:p w14:paraId="3F97A8B4">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5A0192E">
      <w:pPr>
        <w:pStyle w:val="9"/>
        <w:snapToGrid w:val="0"/>
        <w:spacing w:before="50" w:after="50"/>
        <w:ind w:firstLine="540" w:firstLineChars="225"/>
        <w:rPr>
          <w:rFonts w:hint="eastAsia" w:ascii="宋体" w:hAnsi="宋体" w:cs="宋体"/>
          <w:bCs/>
          <w:color w:val="auto"/>
          <w:sz w:val="24"/>
          <w:szCs w:val="24"/>
          <w:highlight w:val="none"/>
        </w:rPr>
      </w:pPr>
    </w:p>
    <w:p w14:paraId="4B7D3494">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3F5B821D">
      <w:pPr>
        <w:pStyle w:val="9"/>
        <w:snapToGrid w:val="0"/>
        <w:spacing w:before="50" w:after="50"/>
        <w:ind w:firstLine="960" w:firstLineChars="400"/>
        <w:rPr>
          <w:rFonts w:hint="eastAsia" w:ascii="宋体" w:hAnsi="宋体" w:cs="宋体"/>
          <w:bCs/>
          <w:color w:val="auto"/>
          <w:sz w:val="24"/>
          <w:szCs w:val="24"/>
          <w:highlight w:val="none"/>
        </w:rPr>
      </w:pPr>
    </w:p>
    <w:p w14:paraId="3B6DB0C2">
      <w:pPr>
        <w:snapToGrid w:val="0"/>
        <w:spacing w:before="120"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2BCAB397">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31CA9033">
      <w:pPr>
        <w:snapToGrid w:val="0"/>
        <w:spacing w:line="360" w:lineRule="auto"/>
        <w:jc w:val="center"/>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cs="宋体"/>
          <w:b/>
          <w:bCs/>
          <w:color w:val="auto"/>
          <w:sz w:val="28"/>
          <w:szCs w:val="28"/>
          <w:highlight w:val="none"/>
        </w:rPr>
        <w:t>商务文件目录</w:t>
      </w:r>
    </w:p>
    <w:p w14:paraId="47341FD6">
      <w:pPr>
        <w:snapToGrid w:val="0"/>
        <w:spacing w:before="50" w:after="120" w:afterLines="50" w:line="360" w:lineRule="auto"/>
        <w:jc w:val="center"/>
        <w:rPr>
          <w:rFonts w:hint="eastAsia" w:ascii="宋体" w:hAnsi="宋体" w:cs="宋体"/>
          <w:b/>
          <w:bCs/>
          <w:color w:val="auto"/>
          <w:sz w:val="24"/>
          <w:highlight w:val="none"/>
        </w:rPr>
      </w:pPr>
      <w:r>
        <w:rPr>
          <w:rFonts w:hint="eastAsia" w:ascii="宋体" w:hAnsi="宋体" w:cs="宋体"/>
          <w:color w:val="auto"/>
          <w:szCs w:val="21"/>
          <w:highlight w:val="none"/>
        </w:rPr>
        <w:t>根据招标文件规定及投标人提供的材料自行编写目录。</w:t>
      </w:r>
    </w:p>
    <w:p w14:paraId="5F6B777E">
      <w:pPr>
        <w:snapToGrid w:val="0"/>
        <w:spacing w:before="50" w:after="120" w:afterLines="50"/>
        <w:jc w:val="left"/>
        <w:rPr>
          <w:rFonts w:hint="eastAsia" w:ascii="宋体" w:hAnsi="宋体" w:cs="宋体"/>
          <w:color w:val="auto"/>
          <w:highlight w:val="none"/>
        </w:rPr>
      </w:pPr>
    </w:p>
    <w:p w14:paraId="32675684">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1. 无串通投标行为的承诺函</w:t>
      </w:r>
    </w:p>
    <w:p w14:paraId="5410355E">
      <w:pPr>
        <w:snapToGrid w:val="0"/>
        <w:spacing w:before="120" w:beforeLines="50" w:after="50"/>
        <w:jc w:val="left"/>
        <w:rPr>
          <w:rFonts w:hint="eastAsia" w:ascii="宋体" w:hAnsi="宋体" w:cs="宋体"/>
          <w:b/>
          <w:color w:val="auto"/>
          <w:sz w:val="24"/>
          <w:highlight w:val="none"/>
        </w:rPr>
      </w:pPr>
    </w:p>
    <w:p w14:paraId="1590F3DA">
      <w:pPr>
        <w:snapToGrid w:val="0"/>
        <w:spacing w:before="120" w:beforeLines="50" w:after="5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无串通投标行为的承诺函</w:t>
      </w:r>
    </w:p>
    <w:p w14:paraId="72ACD0E1">
      <w:pPr>
        <w:spacing w:line="440" w:lineRule="exact"/>
        <w:contextualSpacing/>
        <w:jc w:val="left"/>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567EE26B">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290718F1">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75C8D59E">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69F44698">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5AF3D2C6">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2B26CAA7">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09961276">
      <w:pPr>
        <w:spacing w:line="440" w:lineRule="exact"/>
        <w:contextualSpacing/>
        <w:jc w:val="left"/>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6B192704">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1.投标人直接或者间接从采购人或者采购代理机构处获得其他投标人的相关信息并修改其投标文件或者响应文件；</w:t>
      </w:r>
    </w:p>
    <w:p w14:paraId="556A3AED">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2.投标人按照采购人或者采购代理机构的授意撤换、修改投标文件或者响应文件；</w:t>
      </w:r>
    </w:p>
    <w:p w14:paraId="3FECA67F">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3.投标人之间协商报价、技术方案等投标文件或者响应文件的实质性内容；</w:t>
      </w:r>
    </w:p>
    <w:p w14:paraId="6FF1F62B">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77689075">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EC664D9">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1D2CD610">
      <w:pPr>
        <w:spacing w:line="440" w:lineRule="exact"/>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733C8CC7">
      <w:pPr>
        <w:spacing w:line="440" w:lineRule="exact"/>
        <w:ind w:firstLine="413" w:firstLineChars="196"/>
        <w:contextualSpacing/>
        <w:jc w:val="left"/>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以上情形一经核查属实，我方愿意承担一切后果，并不再寻求任何旨在减轻或者免除法律责任的辩解。</w:t>
      </w:r>
    </w:p>
    <w:p w14:paraId="651693A7">
      <w:pPr>
        <w:pStyle w:val="20"/>
        <w:spacing w:line="440" w:lineRule="exact"/>
        <w:ind w:firstLine="840" w:firstLineChars="400"/>
        <w:rPr>
          <w:rFonts w:hint="eastAsia" w:hAnsi="宋体" w:cs="宋体"/>
          <w:color w:val="auto"/>
          <w:highlight w:val="none"/>
        </w:rPr>
      </w:pPr>
      <w:r>
        <w:rPr>
          <w:rFonts w:hint="eastAsia" w:hAnsi="宋体" w:cs="宋体"/>
          <w:color w:val="auto"/>
          <w:highlight w:val="none"/>
        </w:rPr>
        <w:t xml:space="preserve"> </w:t>
      </w:r>
    </w:p>
    <w:p w14:paraId="5BAFCD12">
      <w:pPr>
        <w:pStyle w:val="20"/>
        <w:spacing w:line="440" w:lineRule="exact"/>
        <w:contextualSpacing/>
        <w:jc w:val="center"/>
        <w:rPr>
          <w:rFonts w:hint="eastAsia" w:hAnsi="宋体" w:cs="宋体"/>
          <w:color w:val="auto"/>
          <w:highlight w:val="none"/>
        </w:rPr>
      </w:pPr>
      <w:r>
        <w:rPr>
          <w:rFonts w:hint="eastAsia" w:hAnsi="宋体" w:cs="宋体"/>
          <w:color w:val="auto"/>
          <w:highlight w:val="none"/>
        </w:rPr>
        <w:t xml:space="preserve">                                    投标人名称（电子签章）:</w:t>
      </w:r>
      <w:r>
        <w:rPr>
          <w:rFonts w:hint="eastAsia" w:hAnsi="宋体" w:cs="宋体"/>
          <w:color w:val="auto"/>
          <w:spacing w:val="20"/>
          <w:highlight w:val="none"/>
          <w:u w:val="single"/>
        </w:rPr>
        <w:t xml:space="preserve">            </w:t>
      </w:r>
      <w:r>
        <w:rPr>
          <w:rFonts w:hint="eastAsia" w:hAnsi="宋体" w:cs="宋体"/>
          <w:color w:val="auto"/>
          <w:spacing w:val="20"/>
          <w:highlight w:val="none"/>
        </w:rPr>
        <w:t xml:space="preserve"> </w:t>
      </w:r>
    </w:p>
    <w:p w14:paraId="6A85640C">
      <w:pPr>
        <w:pStyle w:val="20"/>
        <w:spacing w:line="440" w:lineRule="exact"/>
        <w:contextualSpacing/>
        <w:jc w:val="right"/>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707D69D6">
      <w:pPr>
        <w:snapToGrid w:val="0"/>
        <w:spacing w:before="120" w:beforeLines="50" w:after="50" w:line="360" w:lineRule="auto"/>
        <w:ind w:firstLine="472" w:firstLineChars="196"/>
        <w:jc w:val="left"/>
        <w:rPr>
          <w:rFonts w:hint="eastAsia"/>
          <w:color w:val="auto"/>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2.投标保证金缴纳证明</w:t>
      </w:r>
    </w:p>
    <w:p w14:paraId="1B95027C">
      <w:pPr>
        <w:spacing w:line="360" w:lineRule="auto"/>
        <w:jc w:val="center"/>
        <w:rPr>
          <w:rFonts w:hint="eastAsia" w:ascii="宋体" w:cs="宋体"/>
          <w:b/>
          <w:color w:val="auto"/>
          <w:sz w:val="36"/>
          <w:szCs w:val="36"/>
          <w:highlight w:val="none"/>
          <w:lang w:val="ru-RU"/>
        </w:rPr>
      </w:pPr>
    </w:p>
    <w:p w14:paraId="6C69A67F">
      <w:pPr>
        <w:spacing w:line="360" w:lineRule="auto"/>
        <w:jc w:val="center"/>
        <w:rPr>
          <w:rFonts w:hint="eastAsia" w:ascii="宋体" w:cs="宋体"/>
          <w:b/>
          <w:color w:val="auto"/>
          <w:sz w:val="36"/>
          <w:szCs w:val="36"/>
          <w:highlight w:val="none"/>
        </w:rPr>
      </w:pPr>
      <w:r>
        <w:rPr>
          <w:rFonts w:hint="eastAsia" w:ascii="宋体" w:cs="宋体"/>
          <w:b/>
          <w:color w:val="auto"/>
          <w:sz w:val="36"/>
          <w:szCs w:val="36"/>
          <w:highlight w:val="none"/>
        </w:rPr>
        <w:t>保证金交款、退款函</w:t>
      </w:r>
    </w:p>
    <w:p w14:paraId="5A0E2982">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广西建设工程机电设备招标中心有限公司</w:t>
      </w:r>
    </w:p>
    <w:p w14:paraId="7FE625B5">
      <w:pPr>
        <w:spacing w:line="360" w:lineRule="auto"/>
        <w:ind w:firstLine="411" w:firstLineChars="196"/>
        <w:contextualSpacing/>
        <w:jc w:val="left"/>
        <w:rPr>
          <w:rFonts w:ascii="宋体" w:hAnsi="宋体"/>
          <w:color w:val="auto"/>
          <w:szCs w:val="21"/>
          <w:highlight w:val="none"/>
        </w:rPr>
      </w:pPr>
      <w:r>
        <w:rPr>
          <w:rFonts w:hint="eastAsia" w:ascii="宋体" w:hAnsi="宋体"/>
          <w:color w:val="auto"/>
          <w:szCs w:val="21"/>
          <w:highlight w:val="none"/>
        </w:rPr>
        <w:t>1.我方为</w:t>
      </w:r>
      <w:r>
        <w:rPr>
          <w:rFonts w:ascii="宋体" w:hAnsi="宋体"/>
          <w:color w:val="auto"/>
          <w:szCs w:val="21"/>
          <w:highlight w:val="none"/>
        </w:rPr>
        <w:t>____________(</w:t>
      </w:r>
      <w:r>
        <w:rPr>
          <w:rFonts w:hint="eastAsia" w:ascii="宋体" w:hAnsi="宋体"/>
          <w:color w:val="auto"/>
          <w:szCs w:val="21"/>
          <w:highlight w:val="none"/>
        </w:rPr>
        <w:t>项目名称</w:t>
      </w:r>
      <w:r>
        <w:rPr>
          <w:rFonts w:ascii="宋体" w:hAnsi="宋体"/>
          <w:color w:val="auto"/>
          <w:szCs w:val="21"/>
          <w:highlight w:val="none"/>
        </w:rPr>
        <w:t>)(</w:t>
      </w:r>
      <w:r>
        <w:rPr>
          <w:rFonts w:hint="eastAsia" w:ascii="宋体" w:hAnsi="宋体"/>
          <w:color w:val="auto"/>
          <w:szCs w:val="21"/>
          <w:highlight w:val="none"/>
        </w:rPr>
        <w:t>项目编号：</w:t>
      </w:r>
      <w:r>
        <w:rPr>
          <w:rFonts w:ascii="宋体" w:hAnsi="宋体"/>
          <w:color w:val="auto"/>
          <w:szCs w:val="21"/>
          <w:highlight w:val="none"/>
        </w:rPr>
        <w:t>________)</w:t>
      </w:r>
      <w:r>
        <w:rPr>
          <w:rFonts w:hint="eastAsia" w:ascii="宋体" w:hAnsi="宋体"/>
          <w:color w:val="auto"/>
          <w:szCs w:val="21"/>
          <w:highlight w:val="none"/>
        </w:rPr>
        <w:t>已于</w:t>
      </w:r>
      <w:r>
        <w:rPr>
          <w:rFonts w:ascii="宋体" w:hAnsi="宋体"/>
          <w:color w:val="auto"/>
          <w:szCs w:val="21"/>
          <w:highlight w:val="none"/>
        </w:rPr>
        <w:t>______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日以</w:t>
      </w:r>
      <w:r>
        <w:rPr>
          <w:rFonts w:hint="eastAsia" w:ascii="宋体" w:hAnsi="宋体"/>
          <w:color w:val="auto"/>
          <w:szCs w:val="21"/>
          <w:highlight w:val="none"/>
          <w:u w:val="single"/>
        </w:rPr>
        <w:t xml:space="preserve">         （银行转账、支票、汇票、本票或者金融、担保金融、担保机构出具的保函）</w:t>
      </w:r>
      <w:r>
        <w:rPr>
          <w:rFonts w:hint="eastAsia" w:ascii="宋体" w:hAnsi="宋体"/>
          <w:color w:val="auto"/>
          <w:szCs w:val="21"/>
          <w:highlight w:val="none"/>
        </w:rPr>
        <w:t>方式递交保证金人民币大写</w:t>
      </w:r>
      <w:r>
        <w:rPr>
          <w:rFonts w:ascii="宋体" w:hAnsi="宋体"/>
          <w:color w:val="auto"/>
          <w:szCs w:val="21"/>
          <w:highlight w:val="none"/>
        </w:rPr>
        <w:t>________(</w:t>
      </w:r>
      <w:r>
        <w:rPr>
          <w:rFonts w:hint="eastAsia" w:ascii="宋体" w:hAnsi="宋体"/>
          <w:color w:val="auto"/>
          <w:szCs w:val="21"/>
          <w:highlight w:val="none"/>
        </w:rPr>
        <w:t>¥       ）。</w:t>
      </w:r>
    </w:p>
    <w:p w14:paraId="4BF3CDA7">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2.退还保证金时请按以下内容划入我方账户：</w:t>
      </w:r>
    </w:p>
    <w:tbl>
      <w:tblPr>
        <w:tblStyle w:val="38"/>
        <w:tblW w:w="8940" w:type="dxa"/>
        <w:jc w:val="center"/>
        <w:tblLayout w:type="fixed"/>
        <w:tblCellMar>
          <w:top w:w="0" w:type="dxa"/>
          <w:left w:w="108" w:type="dxa"/>
          <w:bottom w:w="0" w:type="dxa"/>
          <w:right w:w="108" w:type="dxa"/>
        </w:tblCellMar>
      </w:tblPr>
      <w:tblGrid>
        <w:gridCol w:w="1355"/>
        <w:gridCol w:w="2394"/>
        <w:gridCol w:w="1984"/>
        <w:gridCol w:w="3207"/>
      </w:tblGrid>
      <w:tr w14:paraId="35FA17CB">
        <w:trPr>
          <w:trHeight w:val="699"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63F56EA9">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项目名称</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63D599D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6442A422">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项目编号</w:t>
            </w:r>
          </w:p>
        </w:tc>
        <w:tc>
          <w:tcPr>
            <w:tcW w:w="3207" w:type="dxa"/>
            <w:tcBorders>
              <w:top w:val="single" w:color="auto" w:sz="4" w:space="0"/>
              <w:left w:val="single" w:color="auto" w:sz="4" w:space="0"/>
              <w:bottom w:val="single" w:color="auto" w:sz="4" w:space="0"/>
              <w:right w:val="single" w:color="auto" w:sz="4" w:space="0"/>
            </w:tcBorders>
            <w:noWrap w:val="0"/>
            <w:vAlign w:val="center"/>
          </w:tcPr>
          <w:p w14:paraId="2165E80B">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460CE533">
        <w:tblPrEx>
          <w:tblCellMar>
            <w:top w:w="0" w:type="dxa"/>
            <w:left w:w="108" w:type="dxa"/>
            <w:bottom w:w="0" w:type="dxa"/>
            <w:right w:w="108" w:type="dxa"/>
          </w:tblCellMar>
        </w:tblPrEx>
        <w:trPr>
          <w:trHeight w:val="654"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1D535B62">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交款单位</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2AEA3DE1">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　</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3087B66">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联系人及电话</w:t>
            </w:r>
          </w:p>
        </w:tc>
        <w:tc>
          <w:tcPr>
            <w:tcW w:w="3207" w:type="dxa"/>
            <w:tcBorders>
              <w:top w:val="single" w:color="auto" w:sz="4" w:space="0"/>
              <w:left w:val="single" w:color="auto" w:sz="4" w:space="0"/>
              <w:bottom w:val="single" w:color="auto" w:sz="4" w:space="0"/>
              <w:right w:val="single" w:color="auto" w:sz="4" w:space="0"/>
            </w:tcBorders>
            <w:noWrap w:val="0"/>
            <w:vAlign w:val="center"/>
          </w:tcPr>
          <w:p w14:paraId="19DD9254">
            <w:pPr>
              <w:widowControl/>
              <w:spacing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　</w:t>
            </w:r>
          </w:p>
        </w:tc>
      </w:tr>
      <w:tr w14:paraId="640CCE59">
        <w:tblPrEx>
          <w:tblCellMar>
            <w:top w:w="0" w:type="dxa"/>
            <w:left w:w="108" w:type="dxa"/>
            <w:bottom w:w="0" w:type="dxa"/>
            <w:right w:w="108" w:type="dxa"/>
          </w:tblCellMar>
        </w:tblPrEx>
        <w:trPr>
          <w:trHeight w:val="749"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4BC06035">
            <w:pPr>
              <w:widowControl/>
              <w:spacing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保证金金额</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347B0396">
            <w:pPr>
              <w:widowControl/>
              <w:spacing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w:t>
            </w:r>
          </w:p>
        </w:tc>
        <w:tc>
          <w:tcPr>
            <w:tcW w:w="5191" w:type="dxa"/>
            <w:gridSpan w:val="2"/>
            <w:vMerge w:val="restart"/>
            <w:tcBorders>
              <w:top w:val="single" w:color="auto" w:sz="4" w:space="0"/>
              <w:left w:val="single" w:color="auto" w:sz="4" w:space="0"/>
              <w:bottom w:val="single" w:color="auto" w:sz="4" w:space="0"/>
              <w:right w:val="single" w:color="auto" w:sz="4" w:space="0"/>
            </w:tcBorders>
            <w:noWrap w:val="0"/>
            <w:vAlign w:val="top"/>
          </w:tcPr>
          <w:p w14:paraId="43140F9A">
            <w:pPr>
              <w:spacing w:line="360" w:lineRule="auto"/>
              <w:contextualSpacing/>
              <w:jc w:val="left"/>
              <w:rPr>
                <w:rFonts w:ascii="宋体" w:hAnsi="宋体"/>
                <w:color w:val="auto"/>
                <w:szCs w:val="21"/>
                <w:highlight w:val="none"/>
              </w:rPr>
            </w:pPr>
            <w:r>
              <w:rPr>
                <w:rFonts w:hint="eastAsia" w:ascii="宋体" w:hAnsi="宋体"/>
                <w:color w:val="auto"/>
                <w:szCs w:val="21"/>
                <w:highlight w:val="none"/>
              </w:rPr>
              <w:t xml:space="preserve">1. 若我单位未中标请采购人或采购代理机构于该项目中标通知书发出后5个工作日内将保证金退回原交款人。 </w:t>
            </w:r>
          </w:p>
          <w:p w14:paraId="0CA920DC">
            <w:pPr>
              <w:spacing w:line="360" w:lineRule="auto"/>
              <w:contextualSpacing/>
              <w:jc w:val="left"/>
              <w:rPr>
                <w:rFonts w:ascii="宋体" w:hAnsi="宋体"/>
                <w:color w:val="auto"/>
                <w:szCs w:val="21"/>
                <w:highlight w:val="none"/>
              </w:rPr>
            </w:pPr>
            <w:r>
              <w:rPr>
                <w:rFonts w:hint="eastAsia" w:ascii="宋体" w:hAnsi="宋体"/>
                <w:color w:val="auto"/>
                <w:szCs w:val="21"/>
                <w:highlight w:val="none"/>
              </w:rPr>
              <w:t xml:space="preserve">2. 若我单位中标，请采购人或采购代理机构收到我单位提交的合同后5个工作日内将保证金退回原交款人。                                     </w:t>
            </w:r>
          </w:p>
          <w:p w14:paraId="62B4CC61">
            <w:pPr>
              <w:spacing w:line="360" w:lineRule="auto"/>
              <w:contextualSpacing/>
              <w:jc w:val="left"/>
              <w:rPr>
                <w:rFonts w:ascii="宋体" w:hAnsi="宋体"/>
                <w:color w:val="auto"/>
                <w:szCs w:val="21"/>
                <w:highlight w:val="none"/>
              </w:rPr>
            </w:pPr>
            <w:r>
              <w:rPr>
                <w:rFonts w:hint="eastAsia" w:ascii="宋体" w:hAnsi="宋体"/>
                <w:color w:val="auto"/>
                <w:szCs w:val="21"/>
                <w:highlight w:val="none"/>
              </w:rPr>
              <w:t>3.若因内容不全、错误、字迹潦草模糊导致该项目保证金未能及时退还或退还过程中发生错误，我方将承担全部责任和损失。</w:t>
            </w:r>
          </w:p>
          <w:p w14:paraId="016A836D">
            <w:pPr>
              <w:spacing w:line="360" w:lineRule="auto"/>
              <w:contextualSpacing/>
              <w:jc w:val="left"/>
              <w:rPr>
                <w:rFonts w:hint="eastAsia" w:hAnsi="宋体" w:cs="宋体"/>
                <w:color w:val="auto"/>
                <w:highlight w:val="none"/>
              </w:rPr>
            </w:pPr>
          </w:p>
          <w:p w14:paraId="51DD27A1">
            <w:pPr>
              <w:spacing w:line="360" w:lineRule="auto"/>
              <w:contextualSpacing/>
              <w:jc w:val="left"/>
              <w:rPr>
                <w:rFonts w:ascii="宋体" w:hAnsi="宋体"/>
                <w:color w:val="auto"/>
                <w:szCs w:val="21"/>
                <w:highlight w:val="none"/>
              </w:rPr>
            </w:pPr>
            <w:r>
              <w:rPr>
                <w:rFonts w:hint="eastAsia" w:hAnsi="宋体" w:cs="宋体"/>
                <w:color w:val="auto"/>
                <w:highlight w:val="none"/>
              </w:rPr>
              <w:t>投标人名称</w:t>
            </w:r>
            <w:r>
              <w:rPr>
                <w:rFonts w:hint="eastAsia" w:ascii="宋体" w:hAnsi="宋体"/>
                <w:color w:val="auto"/>
                <w:szCs w:val="21"/>
                <w:highlight w:val="none"/>
              </w:rPr>
              <w:t>（电子签章）：</w:t>
            </w:r>
          </w:p>
          <w:p w14:paraId="7736DA0C">
            <w:pPr>
              <w:spacing w:line="360" w:lineRule="auto"/>
              <w:ind w:firstLine="411" w:firstLineChars="196"/>
              <w:contextualSpacing/>
              <w:jc w:val="left"/>
              <w:rPr>
                <w:rFonts w:ascii="宋体" w:hAnsi="宋体" w:cs="宋体"/>
                <w:bCs/>
                <w:color w:val="auto"/>
                <w:kern w:val="0"/>
                <w:szCs w:val="21"/>
                <w:highlight w:val="none"/>
              </w:rPr>
            </w:pPr>
            <w:r>
              <w:rPr>
                <w:rFonts w:hint="eastAsia" w:ascii="宋体" w:hAnsi="宋体"/>
                <w:color w:val="auto"/>
                <w:szCs w:val="21"/>
                <w:highlight w:val="none"/>
              </w:rPr>
              <w:t xml:space="preserve">                       年   月   日</w:t>
            </w:r>
            <w:r>
              <w:rPr>
                <w:rFonts w:hint="eastAsia" w:ascii="宋体" w:hAnsi="宋体" w:cs="宋体"/>
                <w:bCs/>
                <w:color w:val="auto"/>
                <w:kern w:val="0"/>
                <w:szCs w:val="21"/>
                <w:highlight w:val="none"/>
              </w:rPr>
              <w:t xml:space="preserve"> </w:t>
            </w:r>
          </w:p>
        </w:tc>
      </w:tr>
      <w:tr w14:paraId="0E68DCB1">
        <w:tblPrEx>
          <w:tblCellMar>
            <w:top w:w="0" w:type="dxa"/>
            <w:left w:w="108" w:type="dxa"/>
            <w:bottom w:w="0" w:type="dxa"/>
            <w:right w:w="108" w:type="dxa"/>
          </w:tblCellMar>
        </w:tblPrEx>
        <w:trPr>
          <w:trHeight w:val="689" w:hRule="atLeast"/>
          <w:jc w:val="center"/>
        </w:trPr>
        <w:tc>
          <w:tcPr>
            <w:tcW w:w="3749" w:type="dxa"/>
            <w:gridSpan w:val="2"/>
            <w:tcBorders>
              <w:top w:val="single" w:color="auto" w:sz="4" w:space="0"/>
              <w:left w:val="single" w:color="auto" w:sz="4" w:space="0"/>
              <w:bottom w:val="single" w:color="auto" w:sz="4" w:space="0"/>
              <w:right w:val="single" w:color="auto" w:sz="4" w:space="0"/>
            </w:tcBorders>
            <w:noWrap w:val="0"/>
            <w:vAlign w:val="center"/>
          </w:tcPr>
          <w:p w14:paraId="09176101">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退款信息</w:t>
            </w:r>
          </w:p>
        </w:tc>
        <w:tc>
          <w:tcPr>
            <w:tcW w:w="519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2C71DB9">
            <w:pPr>
              <w:spacing w:line="360" w:lineRule="auto"/>
              <w:jc w:val="center"/>
              <w:rPr>
                <w:rFonts w:ascii="宋体" w:hAnsi="宋体" w:cs="宋体"/>
                <w:bCs/>
                <w:color w:val="auto"/>
                <w:kern w:val="0"/>
                <w:szCs w:val="21"/>
                <w:highlight w:val="none"/>
              </w:rPr>
            </w:pPr>
          </w:p>
        </w:tc>
      </w:tr>
      <w:tr w14:paraId="617D918B">
        <w:tblPrEx>
          <w:tblCellMar>
            <w:top w:w="0" w:type="dxa"/>
            <w:left w:w="108" w:type="dxa"/>
            <w:bottom w:w="0" w:type="dxa"/>
            <w:right w:w="108" w:type="dxa"/>
          </w:tblCellMar>
        </w:tblPrEx>
        <w:trPr>
          <w:trHeight w:val="744"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69CAE254">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户  名</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03098A6E">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　</w:t>
            </w:r>
          </w:p>
        </w:tc>
        <w:tc>
          <w:tcPr>
            <w:tcW w:w="5191"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1BE9C7A2">
            <w:pPr>
              <w:spacing w:line="360" w:lineRule="auto"/>
              <w:jc w:val="center"/>
              <w:rPr>
                <w:rFonts w:ascii="宋体" w:hAnsi="宋体" w:cs="宋体"/>
                <w:bCs/>
                <w:color w:val="auto"/>
                <w:kern w:val="0"/>
                <w:szCs w:val="21"/>
                <w:highlight w:val="none"/>
              </w:rPr>
            </w:pPr>
          </w:p>
        </w:tc>
      </w:tr>
      <w:tr w14:paraId="67D1107A">
        <w:tblPrEx>
          <w:tblCellMar>
            <w:top w:w="0" w:type="dxa"/>
            <w:left w:w="108" w:type="dxa"/>
            <w:bottom w:w="0" w:type="dxa"/>
            <w:right w:w="108" w:type="dxa"/>
          </w:tblCellMar>
        </w:tblPrEx>
        <w:trPr>
          <w:trHeight w:val="759"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07FBB373">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账  号</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6640BDEF">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　</w:t>
            </w:r>
          </w:p>
        </w:tc>
        <w:tc>
          <w:tcPr>
            <w:tcW w:w="519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3A4C51D">
            <w:pPr>
              <w:spacing w:line="360" w:lineRule="auto"/>
              <w:jc w:val="center"/>
              <w:rPr>
                <w:rFonts w:ascii="宋体" w:hAnsi="宋体" w:cs="宋体"/>
                <w:bCs/>
                <w:color w:val="auto"/>
                <w:kern w:val="0"/>
                <w:szCs w:val="21"/>
                <w:highlight w:val="none"/>
              </w:rPr>
            </w:pPr>
          </w:p>
        </w:tc>
      </w:tr>
      <w:tr w14:paraId="02FB3433">
        <w:tblPrEx>
          <w:tblCellMar>
            <w:top w:w="0" w:type="dxa"/>
            <w:left w:w="108" w:type="dxa"/>
            <w:bottom w:w="0" w:type="dxa"/>
            <w:right w:w="108" w:type="dxa"/>
          </w:tblCellMar>
        </w:tblPrEx>
        <w:trPr>
          <w:trHeight w:val="789"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45732228">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汇入地点</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7EC1EEB6">
            <w:pPr>
              <w:widowControl/>
              <w:spacing w:line="360" w:lineRule="auto"/>
              <w:jc w:val="right"/>
              <w:rPr>
                <w:rFonts w:ascii="宋体" w:hAnsi="宋体" w:cs="宋体"/>
                <w:bCs/>
                <w:color w:val="auto"/>
                <w:kern w:val="0"/>
                <w:szCs w:val="21"/>
                <w:highlight w:val="none"/>
              </w:rPr>
            </w:pPr>
            <w:r>
              <w:rPr>
                <w:rFonts w:hint="eastAsia" w:ascii="宋体" w:hAnsi="宋体" w:cs="宋体"/>
                <w:bCs/>
                <w:color w:val="auto"/>
                <w:kern w:val="0"/>
                <w:szCs w:val="21"/>
                <w:highlight w:val="none"/>
              </w:rPr>
              <w:t xml:space="preserve">省       市（县）  </w:t>
            </w:r>
          </w:p>
        </w:tc>
        <w:tc>
          <w:tcPr>
            <w:tcW w:w="519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B5F25BD">
            <w:pPr>
              <w:spacing w:line="360" w:lineRule="auto"/>
              <w:jc w:val="center"/>
              <w:rPr>
                <w:rFonts w:ascii="宋体" w:hAnsi="宋体" w:cs="宋体"/>
                <w:bCs/>
                <w:color w:val="auto"/>
                <w:kern w:val="0"/>
                <w:szCs w:val="21"/>
                <w:highlight w:val="none"/>
              </w:rPr>
            </w:pPr>
          </w:p>
        </w:tc>
      </w:tr>
      <w:tr w14:paraId="69C2E080">
        <w:tblPrEx>
          <w:tblCellMar>
            <w:top w:w="0" w:type="dxa"/>
            <w:left w:w="108" w:type="dxa"/>
            <w:bottom w:w="0" w:type="dxa"/>
            <w:right w:w="108" w:type="dxa"/>
          </w:tblCellMar>
        </w:tblPrEx>
        <w:trPr>
          <w:trHeight w:val="699" w:hRule="atLeast"/>
          <w:jc w:val="center"/>
        </w:trPr>
        <w:tc>
          <w:tcPr>
            <w:tcW w:w="1355" w:type="dxa"/>
            <w:tcBorders>
              <w:top w:val="single" w:color="auto" w:sz="4" w:space="0"/>
              <w:left w:val="single" w:color="auto" w:sz="4" w:space="0"/>
              <w:bottom w:val="single" w:color="auto" w:sz="4" w:space="0"/>
              <w:right w:val="single" w:color="auto" w:sz="4" w:space="0"/>
            </w:tcBorders>
            <w:noWrap w:val="0"/>
            <w:vAlign w:val="center"/>
          </w:tcPr>
          <w:p w14:paraId="37DAB8BE">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开户银行</w:t>
            </w:r>
          </w:p>
        </w:tc>
        <w:tc>
          <w:tcPr>
            <w:tcW w:w="2394" w:type="dxa"/>
            <w:tcBorders>
              <w:top w:val="single" w:color="auto" w:sz="4" w:space="0"/>
              <w:left w:val="single" w:color="auto" w:sz="4" w:space="0"/>
              <w:bottom w:val="single" w:color="auto" w:sz="4" w:space="0"/>
              <w:right w:val="single" w:color="auto" w:sz="4" w:space="0"/>
            </w:tcBorders>
            <w:noWrap w:val="0"/>
            <w:vAlign w:val="center"/>
          </w:tcPr>
          <w:p w14:paraId="15555CEA">
            <w:pPr>
              <w:widowControl/>
              <w:spacing w:line="36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　</w:t>
            </w:r>
          </w:p>
        </w:tc>
        <w:tc>
          <w:tcPr>
            <w:tcW w:w="5191"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DB218FD">
            <w:pPr>
              <w:widowControl/>
              <w:spacing w:line="360" w:lineRule="auto"/>
              <w:jc w:val="center"/>
              <w:rPr>
                <w:rFonts w:ascii="宋体" w:hAnsi="宋体" w:cs="宋体"/>
                <w:bCs/>
                <w:color w:val="auto"/>
                <w:kern w:val="0"/>
                <w:szCs w:val="21"/>
                <w:highlight w:val="none"/>
              </w:rPr>
            </w:pPr>
          </w:p>
        </w:tc>
      </w:tr>
    </w:tbl>
    <w:p w14:paraId="2636009C">
      <w:pPr>
        <w:spacing w:line="360" w:lineRule="auto"/>
        <w:ind w:firstLine="411" w:firstLineChars="196"/>
        <w:contextualSpacing/>
        <w:jc w:val="left"/>
        <w:rPr>
          <w:rFonts w:hint="eastAsia" w:ascii="宋体" w:hAnsi="宋体" w:cs="宋体"/>
          <w:color w:val="auto"/>
          <w:szCs w:val="21"/>
          <w:highlight w:val="none"/>
        </w:rPr>
      </w:pPr>
    </w:p>
    <w:p w14:paraId="0369C7E7">
      <w:pPr>
        <w:spacing w:line="360" w:lineRule="auto"/>
        <w:ind w:firstLine="411" w:firstLineChars="196"/>
        <w:contextualSpacing/>
        <w:jc w:val="left"/>
        <w:rPr>
          <w:rFonts w:hint="eastAsia" w:ascii="宋体" w:hAnsi="宋体" w:cs="宋体"/>
          <w:color w:val="auto"/>
          <w:szCs w:val="21"/>
          <w:highlight w:val="none"/>
        </w:rPr>
      </w:pPr>
      <w:r>
        <w:rPr>
          <w:rFonts w:hint="eastAsia" w:ascii="宋体" w:hAnsi="宋体" w:cs="宋体"/>
          <w:color w:val="auto"/>
          <w:szCs w:val="21"/>
          <w:highlight w:val="none"/>
        </w:rPr>
        <w:t>3.投标保证金银行保函原件，请按以下信息寄回</w:t>
      </w:r>
    </w:p>
    <w:tbl>
      <w:tblPr>
        <w:tblStyle w:val="38"/>
        <w:tblW w:w="8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7CBD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789A79C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收件地址</w:t>
            </w:r>
          </w:p>
        </w:tc>
        <w:tc>
          <w:tcPr>
            <w:tcW w:w="5431" w:type="dxa"/>
            <w:noWrap w:val="0"/>
            <w:vAlign w:val="center"/>
          </w:tcPr>
          <w:p w14:paraId="741FA872">
            <w:pPr>
              <w:spacing w:line="360" w:lineRule="auto"/>
              <w:jc w:val="center"/>
              <w:rPr>
                <w:rFonts w:hint="eastAsia" w:ascii="宋体" w:hAnsi="宋体" w:cs="宋体"/>
                <w:color w:val="auto"/>
                <w:szCs w:val="21"/>
                <w:highlight w:val="none"/>
              </w:rPr>
            </w:pPr>
          </w:p>
        </w:tc>
      </w:tr>
      <w:tr w14:paraId="0710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7FF28F9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收件人</w:t>
            </w:r>
          </w:p>
        </w:tc>
        <w:tc>
          <w:tcPr>
            <w:tcW w:w="5431" w:type="dxa"/>
            <w:noWrap w:val="0"/>
            <w:vAlign w:val="center"/>
          </w:tcPr>
          <w:p w14:paraId="1D34B8AC">
            <w:pPr>
              <w:spacing w:line="360" w:lineRule="auto"/>
              <w:jc w:val="center"/>
              <w:rPr>
                <w:rFonts w:hint="eastAsia" w:ascii="宋体" w:hAnsi="宋体" w:cs="宋体"/>
                <w:color w:val="auto"/>
                <w:szCs w:val="21"/>
                <w:highlight w:val="none"/>
              </w:rPr>
            </w:pPr>
          </w:p>
        </w:tc>
      </w:tr>
      <w:tr w14:paraId="5DD7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67E9B6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收件人手机号码</w:t>
            </w:r>
          </w:p>
        </w:tc>
        <w:tc>
          <w:tcPr>
            <w:tcW w:w="5431" w:type="dxa"/>
            <w:noWrap w:val="0"/>
            <w:vAlign w:val="center"/>
          </w:tcPr>
          <w:p w14:paraId="4B9F038D">
            <w:pPr>
              <w:spacing w:line="360" w:lineRule="auto"/>
              <w:jc w:val="center"/>
              <w:rPr>
                <w:rFonts w:hint="eastAsia" w:ascii="宋体" w:hAnsi="宋体" w:cs="宋体"/>
                <w:color w:val="auto"/>
                <w:szCs w:val="21"/>
                <w:highlight w:val="none"/>
              </w:rPr>
            </w:pPr>
          </w:p>
        </w:tc>
      </w:tr>
    </w:tbl>
    <w:p w14:paraId="78F6FCA8">
      <w:pPr>
        <w:pStyle w:val="20"/>
        <w:spacing w:line="360" w:lineRule="auto"/>
        <w:ind w:firstLine="480" w:firstLineChars="200"/>
        <w:rPr>
          <w:rFonts w:hAnsi="宋体"/>
          <w:color w:val="auto"/>
          <w:sz w:val="24"/>
          <w:szCs w:val="24"/>
          <w:highlight w:val="none"/>
        </w:rPr>
      </w:pPr>
    </w:p>
    <w:p w14:paraId="309DE3E6">
      <w:pPr>
        <w:spacing w:line="360" w:lineRule="auto"/>
        <w:ind w:firstLine="411" w:firstLineChars="196"/>
        <w:contextualSpacing/>
        <w:jc w:val="left"/>
        <w:rPr>
          <w:rFonts w:hint="eastAsia" w:ascii="宋体" w:hAnsi="宋体"/>
          <w:color w:val="auto"/>
          <w:szCs w:val="21"/>
          <w:highlight w:val="none"/>
        </w:rPr>
      </w:pPr>
    </w:p>
    <w:p w14:paraId="60C61FEB">
      <w:pPr>
        <w:spacing w:line="360" w:lineRule="auto"/>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附：银行出具的汇款单或转账凭证扫描件或保函扫描件。</w:t>
      </w:r>
    </w:p>
    <w:p w14:paraId="09D718C6">
      <w:pPr>
        <w:rPr>
          <w:rFonts w:hint="eastAsia"/>
          <w:color w:val="auto"/>
          <w:highlight w:val="none"/>
        </w:rPr>
      </w:pPr>
    </w:p>
    <w:p w14:paraId="4645980E">
      <w:pPr>
        <w:snapToGrid w:val="0"/>
        <w:spacing w:before="120" w:beforeLines="50" w:after="50"/>
        <w:ind w:firstLine="472" w:firstLineChars="196"/>
        <w:jc w:val="left"/>
        <w:rPr>
          <w:rFonts w:hint="eastAsia" w:ascii="宋体" w:hAnsi="宋体" w:cs="宋体"/>
          <w:b/>
          <w:color w:val="auto"/>
          <w:sz w:val="24"/>
          <w:szCs w:val="20"/>
          <w:highlight w:val="none"/>
        </w:rPr>
      </w:pPr>
      <w:r>
        <w:rPr>
          <w:rFonts w:hint="eastAsia" w:ascii="宋体" w:hAnsi="宋体" w:cs="宋体"/>
          <w:b/>
          <w:color w:val="auto"/>
          <w:sz w:val="24"/>
          <w:highlight w:val="none"/>
        </w:rPr>
        <w:t>3.法定代表人身份证明</w:t>
      </w:r>
    </w:p>
    <w:p w14:paraId="5A862001">
      <w:pPr>
        <w:spacing w:before="240" w:beforeLines="100" w:after="120" w:afterLines="50"/>
        <w:ind w:left="540"/>
        <w:jc w:val="center"/>
        <w:rPr>
          <w:rFonts w:hint="eastAsia" w:ascii="宋体" w:hAnsi="宋体" w:cs="宋体"/>
          <w:b/>
          <w:color w:val="auto"/>
          <w:sz w:val="32"/>
          <w:szCs w:val="32"/>
          <w:highlight w:val="none"/>
        </w:rPr>
      </w:pPr>
    </w:p>
    <w:p w14:paraId="2558E00F">
      <w:pPr>
        <w:spacing w:before="240" w:beforeLines="100" w:after="120" w:afterLines="50"/>
        <w:ind w:left="54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法定代表人身份证明</w:t>
      </w:r>
    </w:p>
    <w:p w14:paraId="7A566A62">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投 标 人：</w:t>
      </w:r>
      <w:r>
        <w:rPr>
          <w:rFonts w:hint="eastAsia" w:ascii="宋体" w:hAnsi="宋体" w:cs="宋体"/>
          <w:color w:val="auto"/>
          <w:szCs w:val="21"/>
          <w:highlight w:val="none"/>
          <w:u w:val="single"/>
        </w:rPr>
        <w:t xml:space="preserve">                                                        </w:t>
      </w:r>
    </w:p>
    <w:p w14:paraId="5EA4F79A">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47A6D167">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4CB1D96D">
      <w:pPr>
        <w:spacing w:line="500" w:lineRule="exact"/>
        <w:ind w:left="540"/>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12D5E241">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1FE955E4">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1812D7C6">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特此证明。</w:t>
      </w:r>
    </w:p>
    <w:p w14:paraId="3C2151EE">
      <w:pPr>
        <w:spacing w:line="500" w:lineRule="exact"/>
        <w:ind w:left="540"/>
        <w:rPr>
          <w:rFonts w:hint="eastAsia" w:ascii="宋体" w:hAnsi="宋体" w:cs="宋体"/>
          <w:color w:val="auto"/>
          <w:szCs w:val="21"/>
          <w:highlight w:val="none"/>
        </w:rPr>
      </w:pPr>
    </w:p>
    <w:p w14:paraId="266F570A">
      <w:pPr>
        <w:spacing w:line="500" w:lineRule="exact"/>
        <w:ind w:left="540"/>
        <w:rPr>
          <w:rFonts w:hint="eastAsia" w:ascii="宋体" w:hAnsi="宋体" w:cs="宋体"/>
          <w:color w:val="auto"/>
          <w:szCs w:val="21"/>
          <w:highlight w:val="none"/>
        </w:rPr>
      </w:pPr>
    </w:p>
    <w:p w14:paraId="3B66D3DA">
      <w:pPr>
        <w:spacing w:line="500" w:lineRule="exact"/>
        <w:ind w:left="540"/>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5F509202">
      <w:pPr>
        <w:spacing w:line="500" w:lineRule="exact"/>
        <w:ind w:left="540"/>
        <w:rPr>
          <w:rFonts w:hint="eastAsia" w:ascii="宋体" w:hAnsi="宋体" w:cs="宋体"/>
          <w:color w:val="auto"/>
          <w:szCs w:val="21"/>
          <w:highlight w:val="none"/>
        </w:rPr>
      </w:pPr>
    </w:p>
    <w:p w14:paraId="7C7F1A4A">
      <w:pPr>
        <w:spacing w:line="500" w:lineRule="exact"/>
        <w:ind w:right="420" w:firstLine="4620" w:firstLineChars="2200"/>
        <w:rPr>
          <w:rFonts w:hint="eastAsia" w:ascii="宋体" w:hAnsi="宋体" w:cs="宋体"/>
          <w:color w:val="auto"/>
          <w:szCs w:val="21"/>
          <w:highlight w:val="none"/>
        </w:rPr>
      </w:pPr>
      <w:r>
        <w:rPr>
          <w:rFonts w:hint="eastAsia" w:ascii="宋体" w:hAnsi="宋体" w:cs="宋体"/>
          <w:color w:val="auto"/>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3491B9D6">
      <w:pPr>
        <w:snapToGrid w:val="0"/>
        <w:spacing w:before="120" w:beforeLines="50" w:after="50"/>
        <w:ind w:left="540" w:right="420"/>
        <w:jc w:val="right"/>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AE19EC9">
      <w:pPr>
        <w:snapToGrid w:val="0"/>
        <w:spacing w:before="120" w:beforeLines="50" w:after="50"/>
        <w:jc w:val="center"/>
        <w:rPr>
          <w:rFonts w:hint="eastAsia" w:ascii="宋体" w:hAnsi="宋体" w:cs="宋体"/>
          <w:b/>
          <w:color w:val="auto"/>
          <w:szCs w:val="21"/>
          <w:highlight w:val="none"/>
        </w:rPr>
      </w:pPr>
    </w:p>
    <w:p w14:paraId="1F0320EB">
      <w:pPr>
        <w:snapToGrid w:val="0"/>
        <w:spacing w:before="120" w:beforeLines="50" w:after="50"/>
        <w:jc w:val="left"/>
        <w:rPr>
          <w:rFonts w:hint="eastAsia" w:ascii="宋体" w:hAnsi="宋体" w:cs="宋体"/>
          <w:b/>
          <w:color w:val="auto"/>
          <w:szCs w:val="21"/>
          <w:highlight w:val="none"/>
        </w:rPr>
      </w:pPr>
      <w:r>
        <w:rPr>
          <w:rFonts w:hint="eastAsia" w:ascii="宋体" w:hAnsi="宋体" w:cs="宋体"/>
          <w:color w:val="auto"/>
          <w:szCs w:val="21"/>
          <w:highlight w:val="none"/>
        </w:rPr>
        <w:t>注：自然人投标的无需提供</w:t>
      </w:r>
    </w:p>
    <w:p w14:paraId="00F80B98">
      <w:pPr>
        <w:snapToGrid w:val="0"/>
        <w:spacing w:before="120" w:beforeLines="50" w:after="50"/>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4.授权委托书格式</w:t>
      </w:r>
    </w:p>
    <w:p w14:paraId="01B679DE">
      <w:pPr>
        <w:snapToGrid w:val="0"/>
        <w:spacing w:before="120" w:beforeLines="50" w:after="5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授权委托书</w:t>
      </w:r>
    </w:p>
    <w:p w14:paraId="4D7E425D">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（非联合体投标格式）</w:t>
      </w:r>
    </w:p>
    <w:p w14:paraId="4C34B344">
      <w:pPr>
        <w:snapToGrid w:val="0"/>
        <w:spacing w:before="120" w:beforeLines="50" w:after="50"/>
        <w:jc w:val="center"/>
        <w:rPr>
          <w:rFonts w:hint="eastAsia" w:ascii="宋体" w:hAnsi="宋体" w:cs="宋体"/>
          <w:b/>
          <w:color w:val="auto"/>
          <w:sz w:val="24"/>
          <w:highlight w:val="none"/>
        </w:rPr>
      </w:pPr>
      <w:r>
        <w:rPr>
          <w:rFonts w:hint="eastAsia" w:ascii="宋体" w:hAnsi="宋体" w:cs="宋体"/>
          <w:b/>
          <w:color w:val="auto"/>
          <w:sz w:val="32"/>
          <w:szCs w:val="32"/>
          <w:highlight w:val="none"/>
        </w:rPr>
        <w:t>（如有委托时）</w:t>
      </w:r>
    </w:p>
    <w:p w14:paraId="00877F8F">
      <w:pPr>
        <w:spacing w:line="440" w:lineRule="exact"/>
        <w:contextualSpacing/>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4273F36E">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031CBEE7">
      <w:pPr>
        <w:spacing w:line="44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    我方对委托代理人的签字或者电子签名事项负全部责任。</w:t>
      </w:r>
    </w:p>
    <w:p w14:paraId="73826305">
      <w:pPr>
        <w:spacing w:line="440" w:lineRule="exact"/>
        <w:ind w:firstLine="480"/>
        <w:contextualSpacing/>
        <w:rPr>
          <w:rFonts w:hint="eastAsia" w:ascii="宋体" w:hAnsi="宋体" w:cs="宋体"/>
          <w:color w:val="auto"/>
          <w:szCs w:val="21"/>
          <w:highlight w:val="none"/>
        </w:rPr>
      </w:pPr>
      <w:r>
        <w:rPr>
          <w:rFonts w:hint="eastAsia" w:ascii="宋体" w:hAnsi="宋体" w:cs="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6860E7E4">
      <w:pPr>
        <w:spacing w:line="440" w:lineRule="exact"/>
        <w:ind w:firstLine="480"/>
        <w:contextualSpacing/>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4A02DF6F">
      <w:pPr>
        <w:spacing w:line="440" w:lineRule="exact"/>
        <w:ind w:firstLine="480"/>
        <w:contextualSpacing/>
        <w:rPr>
          <w:rFonts w:hint="eastAsia" w:ascii="宋体" w:hAnsi="宋体" w:cs="宋体"/>
          <w:color w:val="auto"/>
          <w:szCs w:val="21"/>
          <w:highlight w:val="none"/>
        </w:rPr>
      </w:pPr>
      <w:r>
        <w:rPr>
          <w:rFonts w:hint="eastAsia" w:ascii="宋体" w:hAnsi="宋体" w:cs="宋体"/>
          <w:color w:val="auto"/>
          <w:szCs w:val="21"/>
          <w:highlight w:val="none"/>
        </w:rPr>
        <w:t>附：法定代表人身份证明及委托代理人有效身份证正反面复印件</w:t>
      </w:r>
    </w:p>
    <w:p w14:paraId="0300D8BB">
      <w:pPr>
        <w:spacing w:line="440" w:lineRule="exact"/>
        <w:contextualSpacing/>
        <w:rPr>
          <w:rFonts w:hint="eastAsia" w:ascii="宋体" w:hAnsi="宋体" w:cs="宋体"/>
          <w:color w:val="auto"/>
          <w:szCs w:val="21"/>
          <w:highlight w:val="none"/>
        </w:rPr>
      </w:pPr>
    </w:p>
    <w:p w14:paraId="32C5BA8E">
      <w:pPr>
        <w:spacing w:line="44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委托代理人（签字或者电子签名）：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5096971">
      <w:pPr>
        <w:spacing w:line="440" w:lineRule="exact"/>
        <w:contextualSpacing/>
        <w:rPr>
          <w:rFonts w:hint="eastAsia" w:ascii="宋体" w:hAnsi="宋体" w:cs="宋体"/>
          <w:color w:val="auto"/>
          <w:szCs w:val="21"/>
          <w:highlight w:val="none"/>
          <w:u w:val="single"/>
        </w:rPr>
      </w:pPr>
      <w:r>
        <w:rPr>
          <w:rFonts w:hint="eastAsia" w:ascii="宋体" w:hAnsi="宋体" w:cs="宋体"/>
          <w:color w:val="auto"/>
          <w:szCs w:val="21"/>
          <w:highlight w:val="none"/>
        </w:rPr>
        <w:t>委托代理人身份证号码：</w:t>
      </w:r>
      <w:r>
        <w:rPr>
          <w:rFonts w:hint="eastAsia" w:ascii="宋体" w:hAnsi="宋体" w:cs="宋体"/>
          <w:color w:val="auto"/>
          <w:szCs w:val="21"/>
          <w:highlight w:val="none"/>
          <w:u w:val="single"/>
        </w:rPr>
        <w:t xml:space="preserve">                             </w:t>
      </w:r>
    </w:p>
    <w:p w14:paraId="46252253">
      <w:pPr>
        <w:spacing w:line="440" w:lineRule="exact"/>
        <w:contextualSpacing/>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p>
    <w:p w14:paraId="45D8A54C">
      <w:pPr>
        <w:spacing w:line="44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77DCD487">
      <w:pPr>
        <w:spacing w:line="440" w:lineRule="exact"/>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1CF3AE16">
      <w:pPr>
        <w:snapToGrid w:val="0"/>
        <w:spacing w:before="120" w:beforeLines="50" w:after="50"/>
        <w:ind w:left="540" w:right="420"/>
        <w:jc w:val="righ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8B02CAA">
      <w:pPr>
        <w:spacing w:line="440" w:lineRule="exact"/>
        <w:contextualSpacing/>
        <w:jc w:val="center"/>
        <w:rPr>
          <w:rFonts w:hint="eastAsia" w:ascii="宋体" w:hAnsi="宋体" w:cs="宋体"/>
          <w:color w:val="auto"/>
          <w:szCs w:val="21"/>
          <w:highlight w:val="none"/>
        </w:rPr>
      </w:pPr>
    </w:p>
    <w:p w14:paraId="75B8DEB2">
      <w:pPr>
        <w:spacing w:line="44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注：1.</w:t>
      </w:r>
      <w:bookmarkStart w:id="385" w:name="_Hlk65851555"/>
      <w:bookmarkStart w:id="386" w:name="_Hlk65851620"/>
      <w:r>
        <w:rPr>
          <w:rFonts w:hint="eastAsia" w:ascii="宋体" w:hAnsi="宋体" w:cs="宋体"/>
          <w:color w:val="auto"/>
          <w:szCs w:val="21"/>
          <w:highlight w:val="none"/>
        </w:rPr>
        <w:t>法定代表人必须在授权委托书上签字或者盖章或者电子签名，</w:t>
      </w:r>
      <w:bookmarkEnd w:id="385"/>
      <w:r>
        <w:rPr>
          <w:rFonts w:hint="eastAsia" w:ascii="宋体" w:hAnsi="宋体" w:cs="宋体"/>
          <w:color w:val="auto"/>
          <w:szCs w:val="21"/>
          <w:highlight w:val="none"/>
        </w:rPr>
        <w:t>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bookmarkEnd w:id="386"/>
    </w:p>
    <w:p w14:paraId="35B96BB3">
      <w:pPr>
        <w:spacing w:line="440" w:lineRule="exact"/>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2.法人、其他组织投标时“我方”是指“我单位”，自然人投标时“我方”是指“本人”。</w:t>
      </w:r>
    </w:p>
    <w:p w14:paraId="3A6BF839">
      <w:pPr>
        <w:snapToGrid w:val="0"/>
        <w:spacing w:before="120" w:beforeLines="50" w:after="50"/>
        <w:ind w:firstLine="566" w:firstLineChars="236"/>
        <w:jc w:val="center"/>
        <w:rPr>
          <w:rFonts w:hint="eastAsia" w:ascii="宋体" w:hAnsi="宋体" w:cs="宋体"/>
          <w:b/>
          <w:color w:val="auto"/>
          <w:sz w:val="30"/>
          <w:szCs w:val="30"/>
          <w:highlight w:val="none"/>
        </w:rPr>
      </w:pPr>
      <w:r>
        <w:rPr>
          <w:rFonts w:hint="eastAsia" w:ascii="宋体" w:hAnsi="宋体" w:cs="宋体"/>
          <w:color w:val="auto"/>
          <w:sz w:val="24"/>
          <w:highlight w:val="none"/>
        </w:rPr>
        <w:br w:type="page"/>
      </w:r>
      <w:r>
        <w:rPr>
          <w:rFonts w:hint="eastAsia" w:ascii="宋体" w:hAnsi="宋体" w:cs="宋体"/>
          <w:b/>
          <w:color w:val="auto"/>
          <w:sz w:val="30"/>
          <w:szCs w:val="30"/>
          <w:highlight w:val="none"/>
        </w:rPr>
        <w:t>授权委托书</w:t>
      </w:r>
    </w:p>
    <w:p w14:paraId="1DC9E760">
      <w:pPr>
        <w:snapToGrid w:val="0"/>
        <w:spacing w:before="120" w:beforeLines="50" w:after="50"/>
        <w:ind w:firstLine="758" w:firstLineChars="236"/>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（联合体投标格式）</w:t>
      </w:r>
    </w:p>
    <w:p w14:paraId="5A8F23CA">
      <w:pPr>
        <w:snapToGrid w:val="0"/>
        <w:spacing w:before="120" w:beforeLines="50" w:after="50"/>
        <w:ind w:firstLine="758" w:firstLineChars="236"/>
        <w:jc w:val="center"/>
        <w:rPr>
          <w:rFonts w:hint="eastAsia" w:ascii="宋体" w:hAnsi="宋体" w:cs="宋体"/>
          <w:color w:val="auto"/>
          <w:sz w:val="24"/>
          <w:highlight w:val="none"/>
        </w:rPr>
      </w:pPr>
      <w:r>
        <w:rPr>
          <w:rFonts w:hint="eastAsia" w:ascii="宋体" w:hAnsi="宋体" w:cs="宋体"/>
          <w:b/>
          <w:bCs/>
          <w:color w:val="auto"/>
          <w:sz w:val="32"/>
          <w:szCs w:val="32"/>
          <w:highlight w:val="none"/>
        </w:rPr>
        <w:t>（如有委托时）</w:t>
      </w:r>
    </w:p>
    <w:p w14:paraId="4D547DF8">
      <w:pPr>
        <w:spacing w:line="440" w:lineRule="exact"/>
        <w:contextualSpacing/>
        <w:jc w:val="left"/>
        <w:rPr>
          <w:rFonts w:hint="eastAsia" w:ascii="宋体" w:hAnsi="宋体" w:cs="宋体"/>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3FBA86A0">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根据 </w:t>
      </w:r>
      <w:r>
        <w:rPr>
          <w:rFonts w:hint="eastAsia" w:ascii="宋体" w:hAnsi="宋体" w:cs="宋体"/>
          <w:color w:val="auto"/>
          <w:szCs w:val="21"/>
          <w:highlight w:val="none"/>
          <w:u w:val="single"/>
        </w:rPr>
        <w:t xml:space="preserve"> （牵头人名称）</w:t>
      </w:r>
      <w:r>
        <w:rPr>
          <w:rFonts w:hint="eastAsia" w:ascii="宋体" w:hAnsi="宋体" w:cs="宋体"/>
          <w:color w:val="auto"/>
          <w:szCs w:val="21"/>
          <w:highlight w:val="none"/>
        </w:rPr>
        <w:t>与</w:t>
      </w:r>
      <w:r>
        <w:rPr>
          <w:rFonts w:hint="eastAsia" w:ascii="宋体" w:hAnsi="宋体" w:cs="宋体"/>
          <w:color w:val="auto"/>
          <w:szCs w:val="21"/>
          <w:highlight w:val="none"/>
          <w:u w:val="single"/>
        </w:rPr>
        <w:t>（联合体其他成员名称）</w:t>
      </w:r>
      <w:r>
        <w:rPr>
          <w:rFonts w:hint="eastAsia" w:ascii="宋体" w:hAnsi="宋体" w:cs="宋体"/>
          <w:color w:val="auto"/>
          <w:szCs w:val="21"/>
          <w:highlight w:val="none"/>
        </w:rPr>
        <w:t>签订的《联合体投标协议书》的内容，</w:t>
      </w:r>
      <w:r>
        <w:rPr>
          <w:rFonts w:hint="eastAsia" w:ascii="宋体" w:hAnsi="宋体" w:cs="宋体"/>
          <w:color w:val="auto"/>
          <w:szCs w:val="21"/>
          <w:highlight w:val="none"/>
          <w:u w:val="single"/>
        </w:rPr>
        <w:t>（牵头人名称）</w:t>
      </w:r>
      <w:r>
        <w:rPr>
          <w:rFonts w:hint="eastAsia" w:ascii="宋体" w:hAnsi="宋体" w:cs="宋体"/>
          <w:color w:val="auto"/>
          <w:szCs w:val="21"/>
          <w:highlight w:val="none"/>
        </w:rPr>
        <w:t>的法定代表人</w:t>
      </w:r>
      <w:r>
        <w:rPr>
          <w:rFonts w:hint="eastAsia" w:ascii="宋体" w:hAnsi="宋体" w:cs="宋体"/>
          <w:color w:val="auto"/>
          <w:szCs w:val="21"/>
          <w:highlight w:val="none"/>
          <w:u w:val="single"/>
        </w:rPr>
        <w:t>（姓名）</w:t>
      </w:r>
      <w:r>
        <w:rPr>
          <w:rFonts w:hint="eastAsia" w:ascii="宋体" w:hAnsi="宋体" w:cs="宋体"/>
          <w:color w:val="auto"/>
          <w:szCs w:val="21"/>
          <w:highlight w:val="none"/>
        </w:rPr>
        <w:t>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7875BABE">
      <w:pPr>
        <w:spacing w:line="440" w:lineRule="exact"/>
        <w:ind w:firstLine="495" w:firstLineChars="236"/>
        <w:contextualSpacing/>
        <w:rPr>
          <w:rFonts w:hint="eastAsia" w:ascii="宋体" w:hAnsi="宋体" w:cs="宋体"/>
          <w:color w:val="auto"/>
          <w:szCs w:val="21"/>
          <w:highlight w:val="none"/>
        </w:rPr>
      </w:pPr>
      <w:bookmarkStart w:id="387" w:name="_Hlk65852658"/>
      <w:r>
        <w:rPr>
          <w:rFonts w:hint="eastAsia" w:ascii="宋体" w:hAnsi="宋体" w:cs="宋体"/>
          <w:color w:val="auto"/>
          <w:szCs w:val="21"/>
          <w:highlight w:val="none"/>
        </w:rPr>
        <w:t>我方对委托代理人的签字或者电子签名事项负全部责任。</w:t>
      </w:r>
    </w:p>
    <w:p w14:paraId="4701BE59">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28A189BC">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71C5A171">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附：牵头人法定代表人身份证明及委托代理人有效身份证正反面复印件</w:t>
      </w:r>
    </w:p>
    <w:p w14:paraId="1C3B774E">
      <w:pPr>
        <w:spacing w:line="440" w:lineRule="exact"/>
        <w:ind w:firstLine="495" w:firstLineChars="236"/>
        <w:contextualSpacing/>
        <w:rPr>
          <w:rFonts w:hint="eastAsia" w:ascii="宋体" w:hAnsi="宋体" w:cs="宋体"/>
          <w:color w:val="auto"/>
          <w:szCs w:val="21"/>
          <w:highlight w:val="none"/>
        </w:rPr>
      </w:pPr>
    </w:p>
    <w:p w14:paraId="4D556412">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牵头人法定代表人（签字或者盖章或者电子签名）：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66A3BCB6">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牵头人（电子签章）：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7796E453">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5C211CFA">
      <w:pPr>
        <w:spacing w:line="440" w:lineRule="exact"/>
        <w:ind w:firstLine="495" w:firstLineChars="236"/>
        <w:contextualSpacing/>
        <w:rPr>
          <w:rFonts w:hint="eastAsia" w:ascii="宋体" w:hAnsi="宋体" w:cs="宋体"/>
          <w:color w:val="auto"/>
          <w:szCs w:val="21"/>
          <w:highlight w:val="none"/>
        </w:rPr>
      </w:pPr>
    </w:p>
    <w:p w14:paraId="389D7AFA">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被授权人（签字或者电子签名）：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41ECA7C5">
      <w:pPr>
        <w:spacing w:line="440" w:lineRule="exact"/>
        <w:ind w:firstLine="495" w:firstLineChars="236"/>
        <w:contextualSpacing/>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2BEB31A5">
      <w:pPr>
        <w:spacing w:line="44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注：1.法定代表人必须在授权委托书上签字或者盖章或者电子签名，委托代理人必须在授权委托书上签字或者电子签名，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63EC9050">
      <w:pPr>
        <w:spacing w:line="440" w:lineRule="exact"/>
        <w:ind w:firstLine="420" w:firstLineChars="200"/>
        <w:contextualSpacing/>
        <w:jc w:val="left"/>
        <w:rPr>
          <w:rFonts w:hint="eastAsia" w:ascii="宋体" w:hAnsi="宋体" w:cs="宋体"/>
          <w:color w:val="auto"/>
          <w:sz w:val="24"/>
          <w:highlight w:val="none"/>
        </w:rPr>
      </w:pPr>
      <w:r>
        <w:rPr>
          <w:rFonts w:hint="eastAsia" w:ascii="宋体" w:hAnsi="宋体" w:cs="宋体"/>
          <w:color w:val="auto"/>
          <w:szCs w:val="21"/>
          <w:highlight w:val="none"/>
        </w:rPr>
        <w:t>2.法人、其他组织投标时“我方”是指“我单位”，自然人投标时“我方”是指“本人”。</w:t>
      </w:r>
    </w:p>
    <w:p w14:paraId="36DCC849">
      <w:pPr>
        <w:spacing w:line="440" w:lineRule="exact"/>
        <w:contextualSpacing/>
        <w:rPr>
          <w:rFonts w:hint="eastAsia" w:ascii="宋体" w:hAnsi="宋体" w:cs="宋体"/>
          <w:color w:val="auto"/>
          <w:sz w:val="24"/>
          <w:highlight w:val="none"/>
        </w:rPr>
      </w:pPr>
    </w:p>
    <w:bookmarkEnd w:id="387"/>
    <w:p w14:paraId="11617849">
      <w:pPr>
        <w:snapToGrid w:val="0"/>
        <w:spacing w:before="50" w:after="120" w:afterLines="50"/>
        <w:ind w:firstLine="480" w:firstLineChars="200"/>
        <w:jc w:val="left"/>
        <w:rPr>
          <w:rFonts w:hint="eastAsia" w:ascii="宋体" w:hAnsi="宋体" w:cs="宋体"/>
          <w:color w:val="auto"/>
          <w:sz w:val="24"/>
          <w:highlight w:val="none"/>
        </w:rPr>
        <w:sectPr>
          <w:footerReference r:id="rId11" w:type="default"/>
          <w:pgSz w:w="11906" w:h="16838"/>
          <w:pgMar w:top="1440" w:right="1803" w:bottom="1440" w:left="1803" w:header="850" w:footer="850" w:gutter="0"/>
          <w:pgNumType w:fmt="decimal"/>
          <w:cols w:space="720" w:num="1"/>
          <w:docGrid w:linePitch="312" w:charSpace="0"/>
        </w:sectPr>
      </w:pPr>
    </w:p>
    <w:p w14:paraId="18F10ACF">
      <w:pPr>
        <w:rPr>
          <w:rFonts w:hint="eastAsia" w:ascii="宋体" w:hAnsi="宋体" w:cs="宋体"/>
          <w:color w:val="auto"/>
          <w:sz w:val="24"/>
          <w:highlight w:val="none"/>
        </w:rPr>
      </w:pPr>
    </w:p>
    <w:p w14:paraId="39CD2C0F">
      <w:pPr>
        <w:rPr>
          <w:rFonts w:hint="eastAsia" w:ascii="宋体" w:hAnsi="宋体" w:cs="宋体"/>
          <w:b/>
          <w:color w:val="auto"/>
          <w:sz w:val="24"/>
          <w:szCs w:val="20"/>
          <w:highlight w:val="none"/>
        </w:rPr>
      </w:pPr>
      <w:r>
        <w:rPr>
          <w:rFonts w:hint="eastAsia" w:ascii="宋体" w:hAnsi="宋体" w:cs="宋体"/>
          <w:b/>
          <w:color w:val="auto"/>
          <w:sz w:val="24"/>
          <w:highlight w:val="none"/>
        </w:rPr>
        <w:t>5.商务要求偏离表格式（注：按项目需求表具体项目修改）</w:t>
      </w:r>
    </w:p>
    <w:p w14:paraId="0E680656">
      <w:pPr>
        <w:snapToGrid w:val="0"/>
        <w:spacing w:before="50"/>
        <w:jc w:val="left"/>
        <w:rPr>
          <w:rFonts w:hint="eastAsia" w:ascii="宋体" w:hAnsi="宋体" w:cs="宋体"/>
          <w:color w:val="auto"/>
          <w:sz w:val="24"/>
          <w:highlight w:val="none"/>
        </w:rPr>
      </w:pPr>
    </w:p>
    <w:p w14:paraId="7D62D84C">
      <w:pPr>
        <w:pStyle w:val="20"/>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p w14:paraId="1800F484">
      <w:pPr>
        <w:snapToGrid w:val="0"/>
        <w:spacing w:before="50" w:line="440" w:lineRule="exact"/>
        <w:jc w:val="left"/>
        <w:rPr>
          <w:rFonts w:hint="eastAsia" w:ascii="宋体" w:hAnsi="宋体" w:cs="宋体"/>
          <w:color w:val="auto"/>
          <w:szCs w:val="21"/>
          <w:highlight w:val="none"/>
          <w:u w:val="single"/>
        </w:rPr>
      </w:pPr>
    </w:p>
    <w:tbl>
      <w:tblPr>
        <w:tblStyle w:val="38"/>
        <w:tblW w:w="0" w:type="auto"/>
        <w:tblInd w:w="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65"/>
        <w:gridCol w:w="2776"/>
        <w:gridCol w:w="1760"/>
        <w:gridCol w:w="2864"/>
      </w:tblGrid>
      <w:tr w14:paraId="36411B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865" w:type="dxa"/>
            <w:tcBorders>
              <w:top w:val="single" w:color="auto" w:sz="4" w:space="0"/>
              <w:left w:val="single" w:color="auto" w:sz="4" w:space="0"/>
              <w:bottom w:val="single" w:color="auto" w:sz="4" w:space="0"/>
              <w:right w:val="single" w:color="auto" w:sz="4" w:space="0"/>
            </w:tcBorders>
            <w:noWrap w:val="0"/>
            <w:vAlign w:val="top"/>
          </w:tcPr>
          <w:p w14:paraId="7F628047">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1C9C4FE6">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0744DF3D">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投标人的承诺</w:t>
            </w:r>
          </w:p>
        </w:tc>
        <w:tc>
          <w:tcPr>
            <w:tcW w:w="2864" w:type="dxa"/>
            <w:tcBorders>
              <w:top w:val="single" w:color="auto" w:sz="4" w:space="0"/>
              <w:left w:val="single" w:color="auto" w:sz="4" w:space="0"/>
              <w:bottom w:val="single" w:color="auto" w:sz="4" w:space="0"/>
              <w:right w:val="single" w:color="auto" w:sz="4" w:space="0"/>
            </w:tcBorders>
            <w:noWrap w:val="0"/>
            <w:vAlign w:val="top"/>
          </w:tcPr>
          <w:p w14:paraId="639287D5">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0DF5E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865" w:type="dxa"/>
            <w:tcBorders>
              <w:top w:val="single" w:color="auto" w:sz="4" w:space="0"/>
              <w:left w:val="single" w:color="auto" w:sz="4" w:space="0"/>
              <w:bottom w:val="single" w:color="auto" w:sz="4" w:space="0"/>
              <w:right w:val="single" w:color="auto" w:sz="4" w:space="0"/>
            </w:tcBorders>
            <w:noWrap w:val="0"/>
            <w:vAlign w:val="center"/>
          </w:tcPr>
          <w:p w14:paraId="5DF8AB09">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4CC80059">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1143DBE">
            <w:pPr>
              <w:snapToGrid w:val="0"/>
              <w:spacing w:before="120" w:beforeLines="50" w:line="440" w:lineRule="exact"/>
              <w:jc w:val="center"/>
              <w:rPr>
                <w:rFonts w:hint="eastAsia" w:ascii="宋体" w:hAnsi="宋体" w:cs="宋体"/>
                <w:color w:val="auto"/>
                <w:szCs w:val="21"/>
                <w:highlight w:val="none"/>
              </w:rPr>
            </w:pPr>
          </w:p>
        </w:tc>
        <w:tc>
          <w:tcPr>
            <w:tcW w:w="2864" w:type="dxa"/>
            <w:tcBorders>
              <w:top w:val="single" w:color="auto" w:sz="4" w:space="0"/>
              <w:left w:val="single" w:color="auto" w:sz="4" w:space="0"/>
              <w:bottom w:val="single" w:color="auto" w:sz="4" w:space="0"/>
              <w:right w:val="single" w:color="auto" w:sz="4" w:space="0"/>
            </w:tcBorders>
            <w:noWrap w:val="0"/>
            <w:vAlign w:val="top"/>
          </w:tcPr>
          <w:p w14:paraId="087B9CE3">
            <w:pPr>
              <w:snapToGrid w:val="0"/>
              <w:spacing w:before="120" w:beforeLines="50" w:line="440" w:lineRule="exact"/>
              <w:jc w:val="center"/>
              <w:rPr>
                <w:rFonts w:hint="eastAsia" w:ascii="宋体" w:hAnsi="宋体" w:cs="宋体"/>
                <w:color w:val="auto"/>
                <w:szCs w:val="21"/>
                <w:highlight w:val="none"/>
              </w:rPr>
            </w:pPr>
          </w:p>
        </w:tc>
      </w:tr>
      <w:tr w14:paraId="349C4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865" w:type="dxa"/>
            <w:tcBorders>
              <w:top w:val="single" w:color="auto" w:sz="4" w:space="0"/>
              <w:left w:val="single" w:color="auto" w:sz="4" w:space="0"/>
              <w:bottom w:val="single" w:color="auto" w:sz="4" w:space="0"/>
              <w:right w:val="single" w:color="auto" w:sz="4" w:space="0"/>
            </w:tcBorders>
            <w:noWrap w:val="0"/>
            <w:vAlign w:val="center"/>
          </w:tcPr>
          <w:p w14:paraId="29A012CA">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180E5C61">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33A6F50">
            <w:pPr>
              <w:snapToGrid w:val="0"/>
              <w:spacing w:before="120" w:beforeLines="50" w:line="440" w:lineRule="exact"/>
              <w:ind w:left="43"/>
              <w:jc w:val="center"/>
              <w:rPr>
                <w:rFonts w:hint="eastAsia" w:ascii="宋体" w:hAnsi="宋体" w:cs="宋体"/>
                <w:color w:val="auto"/>
                <w:szCs w:val="21"/>
                <w:highlight w:val="none"/>
              </w:rPr>
            </w:pPr>
          </w:p>
        </w:tc>
        <w:tc>
          <w:tcPr>
            <w:tcW w:w="2864" w:type="dxa"/>
            <w:tcBorders>
              <w:top w:val="single" w:color="auto" w:sz="4" w:space="0"/>
              <w:left w:val="single" w:color="auto" w:sz="4" w:space="0"/>
              <w:bottom w:val="single" w:color="auto" w:sz="4" w:space="0"/>
              <w:right w:val="single" w:color="auto" w:sz="4" w:space="0"/>
            </w:tcBorders>
            <w:noWrap w:val="0"/>
            <w:vAlign w:val="top"/>
          </w:tcPr>
          <w:p w14:paraId="2FDF61B7">
            <w:pPr>
              <w:snapToGrid w:val="0"/>
              <w:spacing w:before="120" w:beforeLines="50" w:line="440" w:lineRule="exact"/>
              <w:ind w:left="43"/>
              <w:jc w:val="center"/>
              <w:rPr>
                <w:rFonts w:hint="eastAsia" w:ascii="宋体" w:hAnsi="宋体" w:cs="宋体"/>
                <w:color w:val="auto"/>
                <w:szCs w:val="21"/>
                <w:highlight w:val="none"/>
              </w:rPr>
            </w:pPr>
          </w:p>
        </w:tc>
      </w:tr>
      <w:tr w14:paraId="771BC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65" w:type="dxa"/>
            <w:tcBorders>
              <w:top w:val="single" w:color="auto" w:sz="4" w:space="0"/>
              <w:left w:val="single" w:color="auto" w:sz="4" w:space="0"/>
              <w:bottom w:val="single" w:color="auto" w:sz="4" w:space="0"/>
              <w:right w:val="single" w:color="auto" w:sz="4" w:space="0"/>
            </w:tcBorders>
            <w:noWrap w:val="0"/>
            <w:vAlign w:val="top"/>
          </w:tcPr>
          <w:p w14:paraId="1AC434B5">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4FBA4ED8">
            <w:pPr>
              <w:snapToGrid w:val="0"/>
              <w:spacing w:before="120" w:beforeLines="50" w:line="440" w:lineRule="exact"/>
              <w:jc w:val="center"/>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39F0BE47">
            <w:pPr>
              <w:snapToGrid w:val="0"/>
              <w:spacing w:before="120" w:beforeLines="50" w:line="440" w:lineRule="exact"/>
              <w:jc w:val="center"/>
              <w:rPr>
                <w:rFonts w:hint="eastAsia" w:ascii="宋体" w:hAnsi="宋体" w:cs="宋体"/>
                <w:color w:val="auto"/>
                <w:szCs w:val="21"/>
                <w:highlight w:val="none"/>
              </w:rPr>
            </w:pPr>
          </w:p>
        </w:tc>
        <w:tc>
          <w:tcPr>
            <w:tcW w:w="2864" w:type="dxa"/>
            <w:tcBorders>
              <w:top w:val="single" w:color="auto" w:sz="4" w:space="0"/>
              <w:left w:val="single" w:color="auto" w:sz="4" w:space="0"/>
              <w:bottom w:val="single" w:color="auto" w:sz="4" w:space="0"/>
              <w:right w:val="single" w:color="auto" w:sz="4" w:space="0"/>
            </w:tcBorders>
            <w:noWrap w:val="0"/>
            <w:vAlign w:val="top"/>
          </w:tcPr>
          <w:p w14:paraId="1C0F9BE9">
            <w:pPr>
              <w:snapToGrid w:val="0"/>
              <w:spacing w:before="120" w:beforeLines="50" w:line="440" w:lineRule="exact"/>
              <w:jc w:val="center"/>
              <w:rPr>
                <w:rFonts w:hint="eastAsia" w:ascii="宋体" w:hAnsi="宋体" w:cs="宋体"/>
                <w:color w:val="auto"/>
                <w:szCs w:val="21"/>
                <w:highlight w:val="none"/>
              </w:rPr>
            </w:pPr>
          </w:p>
        </w:tc>
      </w:tr>
    </w:tbl>
    <w:p w14:paraId="591637C7">
      <w:pPr>
        <w:pStyle w:val="14"/>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571B4566">
      <w:pPr>
        <w:pStyle w:val="16"/>
        <w:spacing w:line="440" w:lineRule="exact"/>
        <w:ind w:firstLine="0"/>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采购需求”中的商务要求逐条作明确的投标响应，并作出偏离说明。</w:t>
      </w:r>
    </w:p>
    <w:p w14:paraId="30D123F5">
      <w:pPr>
        <w:pStyle w:val="14"/>
        <w:spacing w:line="44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2.投标人应根据自身的承诺，对照招标文件要求在“偏离说明”中注明“正偏离”、“负偏离”或者“无偏离”。既不属于“正偏离”也不属于“负偏离”即为“无偏离”。</w:t>
      </w:r>
    </w:p>
    <w:p w14:paraId="5E8C3750">
      <w:pPr>
        <w:snapToGrid w:val="0"/>
        <w:spacing w:before="50" w:after="50" w:line="440" w:lineRule="exact"/>
        <w:rPr>
          <w:rFonts w:hint="eastAsia" w:ascii="宋体" w:hAnsi="宋体" w:cs="宋体"/>
          <w:color w:val="auto"/>
          <w:szCs w:val="21"/>
          <w:highlight w:val="none"/>
        </w:rPr>
      </w:pPr>
    </w:p>
    <w:p w14:paraId="23D138CA">
      <w:pPr>
        <w:snapToGrid w:val="0"/>
        <w:spacing w:before="50" w:after="50" w:line="440" w:lineRule="exact"/>
        <w:rPr>
          <w:rFonts w:hint="eastAsia" w:ascii="宋体" w:hAnsi="宋体" w:cs="宋体"/>
          <w:color w:val="auto"/>
          <w:szCs w:val="21"/>
          <w:highlight w:val="none"/>
        </w:rPr>
      </w:pPr>
    </w:p>
    <w:p w14:paraId="7FF49B39">
      <w:pPr>
        <w:snapToGrid w:val="0"/>
        <w:spacing w:before="50" w:after="50" w:line="440" w:lineRule="exact"/>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5867E914">
      <w:pPr>
        <w:snapToGrid w:val="0"/>
        <w:spacing w:before="120" w:beforeLines="50" w:line="440" w:lineRule="exact"/>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2A88F7A2">
      <w:pPr>
        <w:snapToGrid w:val="0"/>
        <w:spacing w:before="120" w:beforeLines="50" w:after="50"/>
        <w:ind w:right="920"/>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B697CE1">
      <w:pPr>
        <w:spacing w:line="440" w:lineRule="exact"/>
        <w:contextualSpacing/>
        <w:rPr>
          <w:rFonts w:hint="eastAsia" w:ascii="宋体" w:hAnsi="宋体" w:cs="宋体"/>
          <w:color w:val="auto"/>
          <w:szCs w:val="21"/>
          <w:highlight w:val="none"/>
        </w:rPr>
      </w:pPr>
    </w:p>
    <w:p w14:paraId="462BD90E">
      <w:pPr>
        <w:snapToGrid w:val="0"/>
        <w:spacing w:before="120" w:beforeLines="50" w:line="440" w:lineRule="exact"/>
        <w:rPr>
          <w:rFonts w:hint="eastAsia" w:ascii="宋体" w:hAnsi="宋体" w:cs="宋体"/>
          <w:color w:val="auto"/>
          <w:szCs w:val="21"/>
          <w:highlight w:val="none"/>
        </w:rPr>
      </w:pPr>
    </w:p>
    <w:p w14:paraId="626C7073">
      <w:pPr>
        <w:snapToGrid w:val="0"/>
        <w:spacing w:before="120" w:beforeLines="50"/>
        <w:rPr>
          <w:rFonts w:hint="eastAsia" w:ascii="宋体" w:hAnsi="宋体" w:cs="宋体"/>
          <w:color w:val="auto"/>
          <w:sz w:val="24"/>
          <w:szCs w:val="20"/>
          <w:highlight w:val="none"/>
        </w:rPr>
      </w:pPr>
    </w:p>
    <w:p w14:paraId="301456CB">
      <w:pPr>
        <w:snapToGrid w:val="0"/>
        <w:spacing w:before="120" w:beforeLines="50" w:after="50"/>
        <w:jc w:val="left"/>
        <w:rPr>
          <w:rFonts w:hint="eastAsia" w:ascii="宋体" w:hAnsi="宋体" w:cs="宋体"/>
          <w:color w:val="auto"/>
          <w:sz w:val="24"/>
          <w:szCs w:val="20"/>
          <w:highlight w:val="none"/>
        </w:rPr>
        <w:sectPr>
          <w:footerReference r:id="rId15" w:type="first"/>
          <w:headerReference r:id="rId12" w:type="default"/>
          <w:footerReference r:id="rId13" w:type="default"/>
          <w:footerReference r:id="rId14" w:type="even"/>
          <w:pgSz w:w="11906" w:h="16838"/>
          <w:pgMar w:top="1134" w:right="1247" w:bottom="1134" w:left="1417" w:header="850" w:footer="850" w:gutter="0"/>
          <w:pgNumType w:fmt="decimal"/>
          <w:cols w:space="720" w:num="1"/>
          <w:titlePg/>
          <w:docGrid w:linePitch="312" w:charSpace="0"/>
        </w:sectPr>
      </w:pPr>
    </w:p>
    <w:p w14:paraId="7680C325">
      <w:pPr>
        <w:snapToGrid w:val="0"/>
        <w:spacing w:before="165"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t>6.投标人业绩证明材料</w:t>
      </w:r>
    </w:p>
    <w:p w14:paraId="5C383CC6">
      <w:pPr>
        <w:pStyle w:val="29"/>
        <w:snapToGrid w:val="0"/>
        <w:ind w:left="480" w:hanging="480"/>
        <w:rPr>
          <w:rFonts w:hint="eastAsia" w:ascii="宋体" w:hAnsi="宋体" w:cs="宋体"/>
          <w:color w:val="auto"/>
          <w:sz w:val="24"/>
          <w:highlight w:val="none"/>
        </w:rPr>
      </w:pPr>
    </w:p>
    <w:p w14:paraId="2B776565">
      <w:pPr>
        <w:pStyle w:val="29"/>
        <w:snapToGrid w:val="0"/>
        <w:spacing w:line="440" w:lineRule="exact"/>
        <w:ind w:left="600" w:hanging="60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投标人业绩情况一览表格式 </w:t>
      </w:r>
    </w:p>
    <w:tbl>
      <w:tblPr>
        <w:tblStyle w:val="38"/>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65"/>
        <w:gridCol w:w="1963"/>
        <w:gridCol w:w="1963"/>
        <w:gridCol w:w="3167"/>
      </w:tblGrid>
      <w:tr w14:paraId="79F65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237F7AA2">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66CB5640">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0DC74A5D">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合同金额</w:t>
            </w:r>
          </w:p>
          <w:p w14:paraId="5AB70022">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6EA95C54">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采购人联系人及</w:t>
            </w:r>
          </w:p>
          <w:p w14:paraId="72244369">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r>
      <w:tr w14:paraId="06046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0"/>
            <w:vAlign w:val="center"/>
          </w:tcPr>
          <w:p w14:paraId="2F8C9277">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71B96486">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6BCCEFD6">
            <w:pPr>
              <w:spacing w:line="440" w:lineRule="exact"/>
              <w:jc w:val="left"/>
              <w:rPr>
                <w:rFonts w:hint="eastAsia" w:ascii="宋体" w:hAnsi="宋体" w:cs="宋体"/>
                <w:color w:val="auto"/>
                <w:szCs w:val="21"/>
                <w:highlight w:val="none"/>
              </w:rPr>
            </w:pPr>
          </w:p>
        </w:tc>
        <w:tc>
          <w:tcPr>
            <w:tcW w:w="1674" w:type="pct"/>
            <w:vMerge w:val="continue"/>
            <w:tcBorders>
              <w:top w:val="single" w:color="auto" w:sz="4" w:space="0"/>
              <w:left w:val="single" w:color="auto" w:sz="4" w:space="0"/>
              <w:bottom w:val="single" w:color="auto" w:sz="4" w:space="0"/>
              <w:right w:val="single" w:color="auto" w:sz="4" w:space="0"/>
            </w:tcBorders>
            <w:noWrap w:val="0"/>
            <w:vAlign w:val="center"/>
          </w:tcPr>
          <w:p w14:paraId="1B15AA82">
            <w:pPr>
              <w:spacing w:line="440" w:lineRule="exact"/>
              <w:jc w:val="left"/>
              <w:rPr>
                <w:rFonts w:hint="eastAsia" w:ascii="宋体" w:hAnsi="宋体" w:cs="宋体"/>
                <w:color w:val="auto"/>
                <w:szCs w:val="21"/>
                <w:highlight w:val="none"/>
              </w:rPr>
            </w:pPr>
          </w:p>
        </w:tc>
      </w:tr>
      <w:tr w14:paraId="1957F4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5670725D">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08F2044">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2097A83">
            <w:pPr>
              <w:snapToGrid w:val="0"/>
              <w:spacing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6F606E37">
            <w:pPr>
              <w:snapToGrid w:val="0"/>
              <w:spacing w:line="440" w:lineRule="exact"/>
              <w:jc w:val="left"/>
              <w:rPr>
                <w:rFonts w:hint="eastAsia" w:ascii="宋体" w:hAnsi="宋体" w:cs="宋体"/>
                <w:color w:val="auto"/>
                <w:szCs w:val="21"/>
                <w:highlight w:val="none"/>
              </w:rPr>
            </w:pPr>
          </w:p>
        </w:tc>
      </w:tr>
      <w:tr w14:paraId="7BC699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30E0A1E4">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883969C">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207E4EC">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C19FE42">
            <w:pPr>
              <w:snapToGrid w:val="0"/>
              <w:spacing w:before="50" w:after="165" w:afterLines="50" w:line="440" w:lineRule="exact"/>
              <w:jc w:val="left"/>
              <w:rPr>
                <w:rFonts w:hint="eastAsia" w:ascii="宋体" w:hAnsi="宋体" w:cs="宋体"/>
                <w:color w:val="auto"/>
                <w:szCs w:val="21"/>
                <w:highlight w:val="none"/>
              </w:rPr>
            </w:pPr>
          </w:p>
        </w:tc>
      </w:tr>
      <w:tr w14:paraId="7BB7E4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7DC04A29">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F5041FB">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AE66D5C">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324DDC52">
            <w:pPr>
              <w:snapToGrid w:val="0"/>
              <w:spacing w:before="50" w:after="165" w:afterLines="50" w:line="440" w:lineRule="exact"/>
              <w:jc w:val="left"/>
              <w:rPr>
                <w:rFonts w:hint="eastAsia" w:ascii="宋体" w:hAnsi="宋体" w:cs="宋体"/>
                <w:color w:val="auto"/>
                <w:szCs w:val="21"/>
                <w:highlight w:val="none"/>
              </w:rPr>
            </w:pPr>
          </w:p>
        </w:tc>
      </w:tr>
      <w:tr w14:paraId="72EDA1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1966E443">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ECF01DE">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D11964A">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2A2B4FA">
            <w:pPr>
              <w:snapToGrid w:val="0"/>
              <w:spacing w:before="50" w:after="165" w:afterLines="50" w:line="440" w:lineRule="exact"/>
              <w:jc w:val="left"/>
              <w:rPr>
                <w:rFonts w:hint="eastAsia" w:ascii="宋体" w:hAnsi="宋体" w:cs="宋体"/>
                <w:color w:val="auto"/>
                <w:szCs w:val="21"/>
                <w:highlight w:val="none"/>
              </w:rPr>
            </w:pPr>
          </w:p>
        </w:tc>
      </w:tr>
      <w:tr w14:paraId="4D60B6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0BA134F7">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C0A23AE">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BFE8CD2">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16B86BE5">
            <w:pPr>
              <w:snapToGrid w:val="0"/>
              <w:spacing w:before="50" w:after="165" w:afterLines="50" w:line="440" w:lineRule="exact"/>
              <w:jc w:val="left"/>
              <w:rPr>
                <w:rFonts w:hint="eastAsia" w:ascii="宋体" w:hAnsi="宋体" w:cs="宋体"/>
                <w:color w:val="auto"/>
                <w:szCs w:val="21"/>
                <w:highlight w:val="none"/>
              </w:rPr>
            </w:pPr>
          </w:p>
        </w:tc>
      </w:tr>
    </w:tbl>
    <w:p w14:paraId="5C3B1040">
      <w:pPr>
        <w:pStyle w:val="10"/>
        <w:spacing w:before="0" w:after="0" w:line="440" w:lineRule="exact"/>
        <w:contextualSpacing/>
        <w:rPr>
          <w:rFonts w:hint="eastAsia" w:ascii="宋体" w:hAnsi="宋体" w:eastAsia="宋体" w:cs="宋体"/>
          <w:color w:val="auto"/>
          <w:sz w:val="21"/>
          <w:szCs w:val="21"/>
          <w:highlight w:val="none"/>
        </w:rPr>
      </w:pPr>
    </w:p>
    <w:p w14:paraId="7F9DAD40">
      <w:pPr>
        <w:pStyle w:val="10"/>
        <w:spacing w:before="0" w:after="0" w:line="440" w:lineRule="exact"/>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注：投标人根据评标标准具体要求附业绩证明材料。</w:t>
      </w:r>
    </w:p>
    <w:p w14:paraId="2AFD29AF">
      <w:pPr>
        <w:pStyle w:val="10"/>
        <w:spacing w:before="0" w:after="0" w:line="440" w:lineRule="exact"/>
        <w:contextualSpacing/>
        <w:jc w:val="left"/>
        <w:rPr>
          <w:rFonts w:hint="eastAsia" w:ascii="宋体" w:hAnsi="宋体" w:eastAsia="宋体" w:cs="宋体"/>
          <w:color w:val="auto"/>
          <w:sz w:val="21"/>
          <w:szCs w:val="21"/>
          <w:highlight w:val="none"/>
        </w:rPr>
      </w:pPr>
    </w:p>
    <w:p w14:paraId="697CBAEE">
      <w:pPr>
        <w:pStyle w:val="10"/>
        <w:spacing w:before="0" w:after="0" w:line="440" w:lineRule="exact"/>
        <w:contextualSpacing/>
        <w:jc w:val="left"/>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法定代表人或者委托代理人（签字或者电子签名）：</w:t>
      </w:r>
      <w:r>
        <w:rPr>
          <w:rFonts w:hint="eastAsia" w:ascii="宋体" w:hAnsi="宋体" w:eastAsia="宋体" w:cs="宋体"/>
          <w:color w:val="auto"/>
          <w:sz w:val="21"/>
          <w:szCs w:val="21"/>
          <w:highlight w:val="none"/>
          <w:u w:val="single"/>
        </w:rPr>
        <w:t xml:space="preserve">             </w:t>
      </w:r>
    </w:p>
    <w:p w14:paraId="71EE82BB">
      <w:pPr>
        <w:spacing w:line="440" w:lineRule="exact"/>
        <w:ind w:right="480"/>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投标人名称（电子签章）： </w:t>
      </w:r>
      <w:r>
        <w:rPr>
          <w:rFonts w:hint="eastAsia" w:ascii="宋体" w:hAnsi="宋体" w:cs="宋体"/>
          <w:color w:val="auto"/>
          <w:szCs w:val="21"/>
          <w:highlight w:val="none"/>
          <w:u w:val="single"/>
        </w:rPr>
        <w:t xml:space="preserve">                </w:t>
      </w:r>
    </w:p>
    <w:p w14:paraId="4EE4288B">
      <w:pPr>
        <w:snapToGrid w:val="0"/>
        <w:spacing w:before="165" w:beforeLines="50" w:after="50"/>
        <w:ind w:right="84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23A4A49">
      <w:pPr>
        <w:snapToGrid w:val="0"/>
        <w:spacing w:before="165" w:beforeLines="50" w:after="50"/>
        <w:jc w:val="left"/>
        <w:rPr>
          <w:rFonts w:hint="eastAsia"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 xml:space="preserve">（二）技术文件封面格式： </w:t>
      </w:r>
    </w:p>
    <w:p w14:paraId="574ECA12">
      <w:pPr>
        <w:snapToGrid w:val="0"/>
        <w:spacing w:before="165"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2F4909F4">
      <w:pPr>
        <w:snapToGrid w:val="0"/>
        <w:spacing w:before="165"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33218417">
      <w:pPr>
        <w:rPr>
          <w:rFonts w:hint="eastAsia" w:ascii="宋体" w:hAnsi="宋体" w:cs="宋体"/>
          <w:color w:val="auto"/>
          <w:sz w:val="24"/>
          <w:highlight w:val="none"/>
        </w:rPr>
      </w:pPr>
    </w:p>
    <w:p w14:paraId="4E7F3750">
      <w:pPr>
        <w:rPr>
          <w:rFonts w:hint="eastAsia"/>
          <w:color w:val="auto"/>
          <w:highlight w:val="none"/>
        </w:rPr>
      </w:pPr>
    </w:p>
    <w:p w14:paraId="46B7558B">
      <w:pPr>
        <w:snapToGrid w:val="0"/>
        <w:spacing w:before="165"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技术文件</w:t>
      </w:r>
    </w:p>
    <w:p w14:paraId="76B656A0">
      <w:pPr>
        <w:rPr>
          <w:rFonts w:hint="eastAsia" w:ascii="宋体" w:hAnsi="宋体" w:cs="宋体"/>
          <w:b/>
          <w:color w:val="auto"/>
          <w:sz w:val="32"/>
          <w:szCs w:val="32"/>
          <w:highlight w:val="none"/>
        </w:rPr>
      </w:pPr>
    </w:p>
    <w:p w14:paraId="260ED129">
      <w:pPr>
        <w:rPr>
          <w:rFonts w:hint="eastAsia"/>
          <w:color w:val="auto"/>
          <w:highlight w:val="none"/>
        </w:rPr>
      </w:pPr>
    </w:p>
    <w:p w14:paraId="2905DD55">
      <w:pPr>
        <w:snapToGrid w:val="0"/>
        <w:spacing w:before="165" w:beforeLines="50" w:after="50"/>
        <w:rPr>
          <w:rFonts w:hint="eastAsia" w:ascii="宋体" w:hAnsi="宋体" w:cs="宋体"/>
          <w:bCs/>
          <w:color w:val="auto"/>
          <w:sz w:val="24"/>
          <w:szCs w:val="20"/>
          <w:highlight w:val="none"/>
        </w:rPr>
      </w:pPr>
    </w:p>
    <w:p w14:paraId="56F086BC">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31BCB4B0">
      <w:pPr>
        <w:snapToGrid w:val="0"/>
        <w:spacing w:before="165" w:beforeLines="50" w:after="50"/>
        <w:ind w:firstLine="540" w:firstLineChars="225"/>
        <w:rPr>
          <w:rFonts w:hint="eastAsia" w:ascii="宋体" w:hAnsi="宋体" w:cs="宋体"/>
          <w:bCs/>
          <w:color w:val="auto"/>
          <w:sz w:val="24"/>
          <w:szCs w:val="20"/>
          <w:highlight w:val="none"/>
        </w:rPr>
      </w:pPr>
    </w:p>
    <w:p w14:paraId="7744A7AA">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4225024A">
      <w:pPr>
        <w:snapToGrid w:val="0"/>
        <w:spacing w:before="165"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7D54F8A0">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265C897F">
      <w:pPr>
        <w:snapToGrid w:val="0"/>
        <w:spacing w:before="165" w:beforeLines="50" w:after="50"/>
        <w:ind w:firstLine="540" w:firstLineChars="225"/>
        <w:rPr>
          <w:rFonts w:hint="eastAsia" w:ascii="宋体" w:hAnsi="宋体" w:cs="宋体"/>
          <w:bCs/>
          <w:color w:val="auto"/>
          <w:sz w:val="24"/>
          <w:szCs w:val="20"/>
          <w:highlight w:val="none"/>
        </w:rPr>
      </w:pPr>
    </w:p>
    <w:p w14:paraId="44E0CC31">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A56425F">
      <w:pPr>
        <w:pStyle w:val="9"/>
        <w:snapToGrid w:val="0"/>
        <w:spacing w:before="50" w:after="50"/>
        <w:ind w:firstLine="540" w:firstLineChars="225"/>
        <w:rPr>
          <w:rFonts w:hint="eastAsia" w:ascii="宋体" w:hAnsi="宋体" w:cs="宋体"/>
          <w:bCs/>
          <w:color w:val="auto"/>
          <w:sz w:val="24"/>
          <w:szCs w:val="24"/>
          <w:highlight w:val="none"/>
        </w:rPr>
      </w:pPr>
    </w:p>
    <w:p w14:paraId="6A359A2A">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352E30B1">
      <w:pPr>
        <w:pStyle w:val="9"/>
        <w:snapToGrid w:val="0"/>
        <w:spacing w:before="50" w:after="50"/>
        <w:ind w:firstLine="960" w:firstLineChars="400"/>
        <w:rPr>
          <w:rFonts w:hint="eastAsia" w:ascii="宋体" w:hAnsi="宋体" w:cs="宋体"/>
          <w:bCs/>
          <w:color w:val="auto"/>
          <w:sz w:val="24"/>
          <w:szCs w:val="24"/>
          <w:highlight w:val="none"/>
        </w:rPr>
      </w:pPr>
    </w:p>
    <w:p w14:paraId="6090448B">
      <w:pPr>
        <w:snapToGrid w:val="0"/>
        <w:spacing w:before="165"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6E69D73A">
      <w:pPr>
        <w:snapToGrid w:val="0"/>
        <w:spacing w:before="165"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755742E3">
      <w:pPr>
        <w:snapToGrid w:val="0"/>
        <w:spacing w:line="360" w:lineRule="auto"/>
        <w:ind w:firstLine="120" w:firstLineChars="50"/>
        <w:jc w:val="center"/>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cs="宋体"/>
          <w:b/>
          <w:bCs/>
          <w:color w:val="auto"/>
          <w:sz w:val="28"/>
          <w:szCs w:val="28"/>
          <w:highlight w:val="none"/>
        </w:rPr>
        <w:t>商务及技术文件目录</w:t>
      </w:r>
    </w:p>
    <w:p w14:paraId="3CF8F980">
      <w:pPr>
        <w:snapToGrid w:val="0"/>
        <w:spacing w:before="50" w:after="165"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163B3E39">
      <w:pPr>
        <w:snapToGrid w:val="0"/>
        <w:spacing w:before="165" w:beforeLines="50" w:after="50"/>
        <w:ind w:left="142"/>
        <w:jc w:val="left"/>
        <w:rPr>
          <w:rFonts w:hint="eastAsia"/>
          <w:b/>
          <w:color w:val="auto"/>
          <w:highlight w:val="none"/>
        </w:rPr>
      </w:pPr>
      <w:r>
        <w:rPr>
          <w:color w:val="auto"/>
          <w:highlight w:val="none"/>
        </w:rPr>
        <w:br w:type="page"/>
      </w:r>
      <w:r>
        <w:rPr>
          <w:rFonts w:hint="eastAsia" w:ascii="宋体" w:hAnsi="宋体" w:cs="宋体"/>
          <w:b/>
          <w:color w:val="auto"/>
          <w:sz w:val="24"/>
          <w:highlight w:val="none"/>
        </w:rPr>
        <w:t>1.技术要求偏离表格式</w:t>
      </w:r>
    </w:p>
    <w:p w14:paraId="1176AC6B">
      <w:pPr>
        <w:snapToGrid w:val="0"/>
        <w:spacing w:before="165" w:beforeLines="50" w:after="50"/>
        <w:ind w:left="142"/>
        <w:jc w:val="left"/>
        <w:rPr>
          <w:rFonts w:hint="eastAsia" w:ascii="宋体" w:hAnsi="宋体" w:cs="宋体"/>
          <w:b/>
          <w:color w:val="auto"/>
          <w:sz w:val="24"/>
          <w:highlight w:val="none"/>
        </w:rPr>
      </w:pPr>
    </w:p>
    <w:p w14:paraId="260D6CF3">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技术要求偏离表</w:t>
      </w:r>
    </w:p>
    <w:p w14:paraId="07E26109">
      <w:pPr>
        <w:pStyle w:val="20"/>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38"/>
        <w:tblW w:w="9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2096"/>
      </w:tblGrid>
      <w:tr w14:paraId="38BB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1EA1CE08">
            <w:pPr>
              <w:pStyle w:val="20"/>
              <w:spacing w:line="440" w:lineRule="exact"/>
              <w:jc w:val="center"/>
              <w:rPr>
                <w:rFonts w:hint="eastAsia" w:hAnsi="宋体" w:cs="宋体"/>
                <w:color w:val="auto"/>
                <w:highlight w:val="none"/>
              </w:rPr>
            </w:pPr>
            <w:r>
              <w:rPr>
                <w:rFonts w:hint="eastAsia" w:hAnsi="宋体" w:cs="宋体"/>
                <w:color w:val="auto"/>
                <w:highlight w:val="none"/>
              </w:rPr>
              <w:t>项号</w:t>
            </w:r>
          </w:p>
        </w:tc>
        <w:tc>
          <w:tcPr>
            <w:tcW w:w="2143" w:type="dxa"/>
            <w:noWrap w:val="0"/>
            <w:vAlign w:val="center"/>
          </w:tcPr>
          <w:p w14:paraId="6BFA578B">
            <w:pPr>
              <w:pStyle w:val="20"/>
              <w:spacing w:line="440" w:lineRule="exact"/>
              <w:jc w:val="center"/>
              <w:rPr>
                <w:rFonts w:hint="eastAsia" w:hAnsi="宋体" w:cs="宋体"/>
                <w:color w:val="auto"/>
                <w:highlight w:val="none"/>
              </w:rPr>
            </w:pPr>
            <w:r>
              <w:rPr>
                <w:rFonts w:hint="eastAsia" w:hAnsi="宋体" w:cs="宋体"/>
                <w:color w:val="auto"/>
                <w:highlight w:val="none"/>
              </w:rPr>
              <w:t>标的名称</w:t>
            </w:r>
          </w:p>
        </w:tc>
        <w:tc>
          <w:tcPr>
            <w:tcW w:w="1834" w:type="dxa"/>
            <w:noWrap w:val="0"/>
            <w:vAlign w:val="center"/>
          </w:tcPr>
          <w:p w14:paraId="171E5AA4">
            <w:pPr>
              <w:pStyle w:val="20"/>
              <w:spacing w:line="440" w:lineRule="exact"/>
              <w:jc w:val="center"/>
              <w:rPr>
                <w:rFonts w:hint="eastAsia" w:hAnsi="宋体" w:cs="宋体"/>
                <w:color w:val="auto"/>
                <w:highlight w:val="none"/>
              </w:rPr>
            </w:pPr>
            <w:r>
              <w:rPr>
                <w:rFonts w:hint="eastAsia" w:hAnsi="宋体" w:cs="宋体"/>
                <w:color w:val="auto"/>
                <w:highlight w:val="none"/>
              </w:rPr>
              <w:t>项目要求及技术需求</w:t>
            </w:r>
          </w:p>
        </w:tc>
        <w:tc>
          <w:tcPr>
            <w:tcW w:w="2181" w:type="dxa"/>
            <w:noWrap w:val="0"/>
            <w:vAlign w:val="center"/>
          </w:tcPr>
          <w:p w14:paraId="2690EFD0">
            <w:pPr>
              <w:pStyle w:val="20"/>
              <w:spacing w:line="440" w:lineRule="exact"/>
              <w:jc w:val="center"/>
              <w:rPr>
                <w:rFonts w:hint="eastAsia" w:hAnsi="宋体" w:cs="宋体"/>
                <w:color w:val="auto"/>
                <w:highlight w:val="none"/>
              </w:rPr>
            </w:pPr>
            <w:r>
              <w:rPr>
                <w:rFonts w:hint="eastAsia" w:hAnsi="宋体" w:cs="宋体"/>
                <w:color w:val="auto"/>
                <w:highlight w:val="none"/>
              </w:rPr>
              <w:t>投标响应</w:t>
            </w:r>
          </w:p>
        </w:tc>
        <w:tc>
          <w:tcPr>
            <w:tcW w:w="2096" w:type="dxa"/>
            <w:noWrap w:val="0"/>
            <w:vAlign w:val="center"/>
          </w:tcPr>
          <w:p w14:paraId="1A1553B1">
            <w:pPr>
              <w:pStyle w:val="20"/>
              <w:spacing w:line="440" w:lineRule="exact"/>
              <w:jc w:val="center"/>
              <w:rPr>
                <w:rFonts w:hint="eastAsia" w:hAnsi="宋体" w:cs="宋体"/>
                <w:color w:val="auto"/>
                <w:highlight w:val="none"/>
              </w:rPr>
            </w:pPr>
            <w:r>
              <w:rPr>
                <w:rFonts w:hint="eastAsia" w:hAnsi="宋体" w:cs="宋体"/>
                <w:color w:val="auto"/>
                <w:highlight w:val="none"/>
              </w:rPr>
              <w:t>偏离说明</w:t>
            </w:r>
          </w:p>
        </w:tc>
      </w:tr>
      <w:tr w14:paraId="2AF3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020F9CE0">
            <w:pPr>
              <w:pStyle w:val="20"/>
              <w:spacing w:line="440" w:lineRule="exact"/>
              <w:jc w:val="center"/>
              <w:rPr>
                <w:rFonts w:hint="eastAsia" w:hAnsi="宋体" w:cs="宋体"/>
                <w:color w:val="auto"/>
                <w:highlight w:val="none"/>
              </w:rPr>
            </w:pPr>
          </w:p>
        </w:tc>
        <w:tc>
          <w:tcPr>
            <w:tcW w:w="2143" w:type="dxa"/>
            <w:noWrap w:val="0"/>
            <w:vAlign w:val="center"/>
          </w:tcPr>
          <w:p w14:paraId="4FEB67D0">
            <w:pPr>
              <w:pStyle w:val="20"/>
              <w:spacing w:line="440" w:lineRule="exact"/>
              <w:jc w:val="center"/>
              <w:rPr>
                <w:rFonts w:hint="eastAsia" w:hAnsi="宋体" w:cs="宋体"/>
                <w:color w:val="auto"/>
                <w:highlight w:val="none"/>
              </w:rPr>
            </w:pPr>
          </w:p>
        </w:tc>
        <w:tc>
          <w:tcPr>
            <w:tcW w:w="1834" w:type="dxa"/>
            <w:noWrap w:val="0"/>
            <w:vAlign w:val="center"/>
          </w:tcPr>
          <w:p w14:paraId="6731E8B4">
            <w:pPr>
              <w:pStyle w:val="20"/>
              <w:spacing w:line="440" w:lineRule="exact"/>
              <w:jc w:val="center"/>
              <w:rPr>
                <w:rFonts w:hint="eastAsia" w:hAnsi="宋体" w:cs="宋体"/>
                <w:color w:val="auto"/>
                <w:highlight w:val="none"/>
              </w:rPr>
            </w:pPr>
          </w:p>
        </w:tc>
        <w:tc>
          <w:tcPr>
            <w:tcW w:w="2181" w:type="dxa"/>
            <w:noWrap w:val="0"/>
            <w:vAlign w:val="center"/>
          </w:tcPr>
          <w:p w14:paraId="57467257">
            <w:pPr>
              <w:pStyle w:val="20"/>
              <w:spacing w:line="440" w:lineRule="exact"/>
              <w:jc w:val="center"/>
              <w:rPr>
                <w:rFonts w:hint="eastAsia" w:hAnsi="宋体" w:cs="宋体"/>
                <w:color w:val="auto"/>
                <w:highlight w:val="none"/>
              </w:rPr>
            </w:pPr>
          </w:p>
        </w:tc>
        <w:tc>
          <w:tcPr>
            <w:tcW w:w="2096" w:type="dxa"/>
            <w:noWrap w:val="0"/>
            <w:vAlign w:val="center"/>
          </w:tcPr>
          <w:p w14:paraId="1C9D0E6A">
            <w:pPr>
              <w:pStyle w:val="20"/>
              <w:spacing w:line="440" w:lineRule="exact"/>
              <w:jc w:val="center"/>
              <w:rPr>
                <w:rFonts w:hint="eastAsia" w:hAnsi="宋体" w:cs="宋体"/>
                <w:color w:val="auto"/>
                <w:highlight w:val="none"/>
              </w:rPr>
            </w:pPr>
          </w:p>
        </w:tc>
      </w:tr>
      <w:tr w14:paraId="7595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3F3D782">
            <w:pPr>
              <w:pStyle w:val="20"/>
              <w:spacing w:line="440" w:lineRule="exact"/>
              <w:rPr>
                <w:rFonts w:hint="eastAsia" w:hAnsi="宋体" w:cs="宋体"/>
                <w:color w:val="auto"/>
                <w:highlight w:val="none"/>
              </w:rPr>
            </w:pPr>
          </w:p>
        </w:tc>
        <w:tc>
          <w:tcPr>
            <w:tcW w:w="2143" w:type="dxa"/>
            <w:noWrap w:val="0"/>
            <w:vAlign w:val="top"/>
          </w:tcPr>
          <w:p w14:paraId="150180D1">
            <w:pPr>
              <w:pStyle w:val="20"/>
              <w:spacing w:line="440" w:lineRule="exact"/>
              <w:rPr>
                <w:rFonts w:hint="eastAsia" w:hAnsi="宋体" w:cs="宋体"/>
                <w:color w:val="auto"/>
                <w:highlight w:val="none"/>
              </w:rPr>
            </w:pPr>
          </w:p>
        </w:tc>
        <w:tc>
          <w:tcPr>
            <w:tcW w:w="1834" w:type="dxa"/>
            <w:noWrap w:val="0"/>
            <w:vAlign w:val="top"/>
          </w:tcPr>
          <w:p w14:paraId="50B288D4">
            <w:pPr>
              <w:pStyle w:val="20"/>
              <w:spacing w:line="440" w:lineRule="exact"/>
              <w:rPr>
                <w:rFonts w:hint="eastAsia" w:hAnsi="宋体" w:cs="宋体"/>
                <w:color w:val="auto"/>
                <w:highlight w:val="none"/>
              </w:rPr>
            </w:pPr>
          </w:p>
        </w:tc>
        <w:tc>
          <w:tcPr>
            <w:tcW w:w="2181" w:type="dxa"/>
            <w:noWrap w:val="0"/>
            <w:vAlign w:val="top"/>
          </w:tcPr>
          <w:p w14:paraId="799FAE4D">
            <w:pPr>
              <w:pStyle w:val="20"/>
              <w:spacing w:line="440" w:lineRule="exact"/>
              <w:rPr>
                <w:rFonts w:hint="eastAsia" w:hAnsi="宋体" w:cs="宋体"/>
                <w:color w:val="auto"/>
                <w:highlight w:val="none"/>
              </w:rPr>
            </w:pPr>
          </w:p>
        </w:tc>
        <w:tc>
          <w:tcPr>
            <w:tcW w:w="2096" w:type="dxa"/>
            <w:noWrap w:val="0"/>
            <w:vAlign w:val="top"/>
          </w:tcPr>
          <w:p w14:paraId="3D38DAAC">
            <w:pPr>
              <w:pStyle w:val="20"/>
              <w:spacing w:line="440" w:lineRule="exact"/>
              <w:rPr>
                <w:rFonts w:hint="eastAsia" w:hAnsi="宋体" w:cs="宋体"/>
                <w:color w:val="auto"/>
                <w:highlight w:val="none"/>
              </w:rPr>
            </w:pPr>
          </w:p>
        </w:tc>
      </w:tr>
      <w:tr w14:paraId="4DE9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5E440202">
            <w:pPr>
              <w:pStyle w:val="20"/>
              <w:spacing w:line="440" w:lineRule="exact"/>
              <w:rPr>
                <w:rFonts w:hint="eastAsia" w:hAnsi="宋体" w:cs="宋体"/>
                <w:color w:val="auto"/>
                <w:highlight w:val="none"/>
              </w:rPr>
            </w:pPr>
          </w:p>
        </w:tc>
        <w:tc>
          <w:tcPr>
            <w:tcW w:w="2143" w:type="dxa"/>
            <w:noWrap w:val="0"/>
            <w:vAlign w:val="top"/>
          </w:tcPr>
          <w:p w14:paraId="3F0D8E58">
            <w:pPr>
              <w:pStyle w:val="20"/>
              <w:spacing w:line="440" w:lineRule="exact"/>
              <w:rPr>
                <w:rFonts w:hint="eastAsia" w:hAnsi="宋体" w:cs="宋体"/>
                <w:color w:val="auto"/>
                <w:highlight w:val="none"/>
              </w:rPr>
            </w:pPr>
          </w:p>
        </w:tc>
        <w:tc>
          <w:tcPr>
            <w:tcW w:w="1834" w:type="dxa"/>
            <w:noWrap w:val="0"/>
            <w:vAlign w:val="top"/>
          </w:tcPr>
          <w:p w14:paraId="05F6E3F8">
            <w:pPr>
              <w:pStyle w:val="20"/>
              <w:spacing w:line="440" w:lineRule="exact"/>
              <w:rPr>
                <w:rFonts w:hint="eastAsia" w:hAnsi="宋体" w:cs="宋体"/>
                <w:color w:val="auto"/>
                <w:highlight w:val="none"/>
              </w:rPr>
            </w:pPr>
          </w:p>
        </w:tc>
        <w:tc>
          <w:tcPr>
            <w:tcW w:w="2181" w:type="dxa"/>
            <w:noWrap w:val="0"/>
            <w:vAlign w:val="top"/>
          </w:tcPr>
          <w:p w14:paraId="17657852">
            <w:pPr>
              <w:pStyle w:val="20"/>
              <w:spacing w:line="440" w:lineRule="exact"/>
              <w:rPr>
                <w:rFonts w:hint="eastAsia" w:hAnsi="宋体" w:cs="宋体"/>
                <w:color w:val="auto"/>
                <w:highlight w:val="none"/>
              </w:rPr>
            </w:pPr>
          </w:p>
        </w:tc>
        <w:tc>
          <w:tcPr>
            <w:tcW w:w="2096" w:type="dxa"/>
            <w:noWrap w:val="0"/>
            <w:vAlign w:val="top"/>
          </w:tcPr>
          <w:p w14:paraId="6D7BA839">
            <w:pPr>
              <w:pStyle w:val="20"/>
              <w:spacing w:line="440" w:lineRule="exact"/>
              <w:rPr>
                <w:rFonts w:hint="eastAsia" w:hAnsi="宋体" w:cs="宋体"/>
                <w:color w:val="auto"/>
                <w:highlight w:val="none"/>
              </w:rPr>
            </w:pPr>
          </w:p>
        </w:tc>
      </w:tr>
      <w:tr w14:paraId="4AB4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0A161D68">
            <w:pPr>
              <w:pStyle w:val="20"/>
              <w:spacing w:line="440" w:lineRule="exact"/>
              <w:rPr>
                <w:rFonts w:hint="eastAsia" w:hAnsi="宋体" w:cs="宋体"/>
                <w:color w:val="auto"/>
                <w:highlight w:val="none"/>
              </w:rPr>
            </w:pPr>
          </w:p>
        </w:tc>
        <w:tc>
          <w:tcPr>
            <w:tcW w:w="2143" w:type="dxa"/>
            <w:noWrap w:val="0"/>
            <w:vAlign w:val="top"/>
          </w:tcPr>
          <w:p w14:paraId="13EE9810">
            <w:pPr>
              <w:pStyle w:val="20"/>
              <w:spacing w:line="440" w:lineRule="exact"/>
              <w:rPr>
                <w:rFonts w:hint="eastAsia" w:hAnsi="宋体" w:cs="宋体"/>
                <w:color w:val="auto"/>
                <w:highlight w:val="none"/>
              </w:rPr>
            </w:pPr>
          </w:p>
        </w:tc>
        <w:tc>
          <w:tcPr>
            <w:tcW w:w="1834" w:type="dxa"/>
            <w:noWrap w:val="0"/>
            <w:vAlign w:val="top"/>
          </w:tcPr>
          <w:p w14:paraId="323301FB">
            <w:pPr>
              <w:pStyle w:val="20"/>
              <w:spacing w:line="440" w:lineRule="exact"/>
              <w:rPr>
                <w:rFonts w:hint="eastAsia" w:hAnsi="宋体" w:cs="宋体"/>
                <w:color w:val="auto"/>
                <w:highlight w:val="none"/>
              </w:rPr>
            </w:pPr>
          </w:p>
        </w:tc>
        <w:tc>
          <w:tcPr>
            <w:tcW w:w="2181" w:type="dxa"/>
            <w:noWrap w:val="0"/>
            <w:vAlign w:val="top"/>
          </w:tcPr>
          <w:p w14:paraId="7CDCCF55">
            <w:pPr>
              <w:pStyle w:val="20"/>
              <w:spacing w:line="440" w:lineRule="exact"/>
              <w:rPr>
                <w:rFonts w:hint="eastAsia" w:hAnsi="宋体" w:cs="宋体"/>
                <w:color w:val="auto"/>
                <w:highlight w:val="none"/>
              </w:rPr>
            </w:pPr>
          </w:p>
        </w:tc>
        <w:tc>
          <w:tcPr>
            <w:tcW w:w="2096" w:type="dxa"/>
            <w:noWrap w:val="0"/>
            <w:vAlign w:val="top"/>
          </w:tcPr>
          <w:p w14:paraId="7DAC0FAB">
            <w:pPr>
              <w:pStyle w:val="20"/>
              <w:spacing w:line="440" w:lineRule="exact"/>
              <w:rPr>
                <w:rFonts w:hint="eastAsia" w:hAnsi="宋体" w:cs="宋体"/>
                <w:color w:val="auto"/>
                <w:highlight w:val="none"/>
              </w:rPr>
            </w:pPr>
          </w:p>
        </w:tc>
      </w:tr>
      <w:tr w14:paraId="5DD8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34A7BDBC">
            <w:pPr>
              <w:pStyle w:val="20"/>
              <w:spacing w:line="440" w:lineRule="exact"/>
              <w:rPr>
                <w:rFonts w:hint="eastAsia" w:hAnsi="宋体" w:cs="宋体"/>
                <w:color w:val="auto"/>
                <w:highlight w:val="none"/>
              </w:rPr>
            </w:pPr>
          </w:p>
        </w:tc>
        <w:tc>
          <w:tcPr>
            <w:tcW w:w="2143" w:type="dxa"/>
            <w:noWrap w:val="0"/>
            <w:vAlign w:val="top"/>
          </w:tcPr>
          <w:p w14:paraId="286A2657">
            <w:pPr>
              <w:pStyle w:val="20"/>
              <w:spacing w:line="440" w:lineRule="exact"/>
              <w:rPr>
                <w:rFonts w:hint="eastAsia" w:hAnsi="宋体" w:cs="宋体"/>
                <w:color w:val="auto"/>
                <w:highlight w:val="none"/>
              </w:rPr>
            </w:pPr>
          </w:p>
        </w:tc>
        <w:tc>
          <w:tcPr>
            <w:tcW w:w="1834" w:type="dxa"/>
            <w:noWrap w:val="0"/>
            <w:vAlign w:val="top"/>
          </w:tcPr>
          <w:p w14:paraId="6103FD42">
            <w:pPr>
              <w:pStyle w:val="20"/>
              <w:spacing w:line="440" w:lineRule="exact"/>
              <w:rPr>
                <w:rFonts w:hint="eastAsia" w:hAnsi="宋体" w:cs="宋体"/>
                <w:color w:val="auto"/>
                <w:highlight w:val="none"/>
              </w:rPr>
            </w:pPr>
          </w:p>
        </w:tc>
        <w:tc>
          <w:tcPr>
            <w:tcW w:w="2181" w:type="dxa"/>
            <w:noWrap w:val="0"/>
            <w:vAlign w:val="top"/>
          </w:tcPr>
          <w:p w14:paraId="05F25658">
            <w:pPr>
              <w:pStyle w:val="20"/>
              <w:spacing w:line="440" w:lineRule="exact"/>
              <w:rPr>
                <w:rFonts w:hint="eastAsia" w:hAnsi="宋体" w:cs="宋体"/>
                <w:color w:val="auto"/>
                <w:highlight w:val="none"/>
              </w:rPr>
            </w:pPr>
          </w:p>
        </w:tc>
        <w:tc>
          <w:tcPr>
            <w:tcW w:w="2096" w:type="dxa"/>
            <w:noWrap w:val="0"/>
            <w:vAlign w:val="top"/>
          </w:tcPr>
          <w:p w14:paraId="4A767B6A">
            <w:pPr>
              <w:pStyle w:val="20"/>
              <w:spacing w:line="440" w:lineRule="exact"/>
              <w:rPr>
                <w:rFonts w:hint="eastAsia" w:hAnsi="宋体" w:cs="宋体"/>
                <w:color w:val="auto"/>
                <w:highlight w:val="none"/>
              </w:rPr>
            </w:pPr>
          </w:p>
        </w:tc>
      </w:tr>
      <w:tr w14:paraId="5E6C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0C9A169B">
            <w:pPr>
              <w:pStyle w:val="20"/>
              <w:spacing w:line="440" w:lineRule="exact"/>
              <w:rPr>
                <w:rFonts w:hint="eastAsia" w:hAnsi="宋体" w:cs="宋体"/>
                <w:color w:val="auto"/>
                <w:highlight w:val="none"/>
              </w:rPr>
            </w:pPr>
          </w:p>
        </w:tc>
        <w:tc>
          <w:tcPr>
            <w:tcW w:w="2143" w:type="dxa"/>
            <w:noWrap w:val="0"/>
            <w:vAlign w:val="top"/>
          </w:tcPr>
          <w:p w14:paraId="737CE6EA">
            <w:pPr>
              <w:pStyle w:val="20"/>
              <w:spacing w:line="440" w:lineRule="exact"/>
              <w:rPr>
                <w:rFonts w:hint="eastAsia" w:hAnsi="宋体" w:cs="宋体"/>
                <w:color w:val="auto"/>
                <w:highlight w:val="none"/>
              </w:rPr>
            </w:pPr>
          </w:p>
        </w:tc>
        <w:tc>
          <w:tcPr>
            <w:tcW w:w="1834" w:type="dxa"/>
            <w:noWrap w:val="0"/>
            <w:vAlign w:val="top"/>
          </w:tcPr>
          <w:p w14:paraId="29AFC366">
            <w:pPr>
              <w:pStyle w:val="20"/>
              <w:spacing w:line="440" w:lineRule="exact"/>
              <w:rPr>
                <w:rFonts w:hint="eastAsia" w:hAnsi="宋体" w:cs="宋体"/>
                <w:color w:val="auto"/>
                <w:highlight w:val="none"/>
              </w:rPr>
            </w:pPr>
          </w:p>
        </w:tc>
        <w:tc>
          <w:tcPr>
            <w:tcW w:w="2181" w:type="dxa"/>
            <w:noWrap w:val="0"/>
            <w:vAlign w:val="top"/>
          </w:tcPr>
          <w:p w14:paraId="478D06E4">
            <w:pPr>
              <w:pStyle w:val="20"/>
              <w:spacing w:line="440" w:lineRule="exact"/>
              <w:rPr>
                <w:rFonts w:hint="eastAsia" w:hAnsi="宋体" w:cs="宋体"/>
                <w:color w:val="auto"/>
                <w:highlight w:val="none"/>
              </w:rPr>
            </w:pPr>
          </w:p>
        </w:tc>
        <w:tc>
          <w:tcPr>
            <w:tcW w:w="2096" w:type="dxa"/>
            <w:noWrap w:val="0"/>
            <w:vAlign w:val="top"/>
          </w:tcPr>
          <w:p w14:paraId="25248216">
            <w:pPr>
              <w:pStyle w:val="20"/>
              <w:spacing w:line="440" w:lineRule="exact"/>
              <w:rPr>
                <w:rFonts w:hint="eastAsia" w:hAnsi="宋体" w:cs="宋体"/>
                <w:color w:val="auto"/>
                <w:highlight w:val="none"/>
              </w:rPr>
            </w:pPr>
          </w:p>
        </w:tc>
      </w:tr>
      <w:tr w14:paraId="3849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4C0BDE8C">
            <w:pPr>
              <w:pStyle w:val="20"/>
              <w:spacing w:line="440" w:lineRule="exact"/>
              <w:rPr>
                <w:rFonts w:hint="eastAsia" w:hAnsi="宋体" w:cs="宋体"/>
                <w:color w:val="auto"/>
                <w:highlight w:val="none"/>
              </w:rPr>
            </w:pPr>
          </w:p>
        </w:tc>
        <w:tc>
          <w:tcPr>
            <w:tcW w:w="2143" w:type="dxa"/>
            <w:noWrap w:val="0"/>
            <w:vAlign w:val="top"/>
          </w:tcPr>
          <w:p w14:paraId="2B05408D">
            <w:pPr>
              <w:pStyle w:val="20"/>
              <w:spacing w:line="440" w:lineRule="exact"/>
              <w:rPr>
                <w:rFonts w:hint="eastAsia" w:hAnsi="宋体" w:cs="宋体"/>
                <w:color w:val="auto"/>
                <w:highlight w:val="none"/>
              </w:rPr>
            </w:pPr>
          </w:p>
        </w:tc>
        <w:tc>
          <w:tcPr>
            <w:tcW w:w="1834" w:type="dxa"/>
            <w:noWrap w:val="0"/>
            <w:vAlign w:val="top"/>
          </w:tcPr>
          <w:p w14:paraId="1B3D6716">
            <w:pPr>
              <w:pStyle w:val="20"/>
              <w:spacing w:line="440" w:lineRule="exact"/>
              <w:rPr>
                <w:rFonts w:hint="eastAsia" w:hAnsi="宋体" w:cs="宋体"/>
                <w:color w:val="auto"/>
                <w:highlight w:val="none"/>
              </w:rPr>
            </w:pPr>
          </w:p>
        </w:tc>
        <w:tc>
          <w:tcPr>
            <w:tcW w:w="2181" w:type="dxa"/>
            <w:noWrap w:val="0"/>
            <w:vAlign w:val="top"/>
          </w:tcPr>
          <w:p w14:paraId="7061767F">
            <w:pPr>
              <w:pStyle w:val="20"/>
              <w:spacing w:line="440" w:lineRule="exact"/>
              <w:rPr>
                <w:rFonts w:hint="eastAsia" w:hAnsi="宋体" w:cs="宋体"/>
                <w:color w:val="auto"/>
                <w:highlight w:val="none"/>
              </w:rPr>
            </w:pPr>
          </w:p>
        </w:tc>
        <w:tc>
          <w:tcPr>
            <w:tcW w:w="2096" w:type="dxa"/>
            <w:noWrap w:val="0"/>
            <w:vAlign w:val="top"/>
          </w:tcPr>
          <w:p w14:paraId="1FC9C6CB">
            <w:pPr>
              <w:pStyle w:val="20"/>
              <w:spacing w:line="440" w:lineRule="exact"/>
              <w:rPr>
                <w:rFonts w:hint="eastAsia" w:hAnsi="宋体" w:cs="宋体"/>
                <w:color w:val="auto"/>
                <w:highlight w:val="none"/>
              </w:rPr>
            </w:pPr>
          </w:p>
        </w:tc>
      </w:tr>
    </w:tbl>
    <w:p w14:paraId="2240802E">
      <w:pPr>
        <w:pStyle w:val="14"/>
        <w:spacing w:line="440" w:lineRule="exact"/>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1F32C07E">
      <w:pPr>
        <w:pStyle w:val="16"/>
        <w:spacing w:line="440" w:lineRule="exact"/>
        <w:ind w:firstLine="0"/>
        <w:contextualSpacing/>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采购需求”中的项目要求及技术需求逐条作明确的投标响应，并作出偏离说明。</w:t>
      </w:r>
    </w:p>
    <w:p w14:paraId="60209E05">
      <w:pPr>
        <w:pStyle w:val="14"/>
        <w:spacing w:line="440" w:lineRule="exact"/>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2.投标人应根据自身的承诺，对照招标文件要求，在“偏离说明”中注明“正偏离”、“负偏离”或者“无偏离”。既不属于“正偏离”也不属于“负偏离”即为“无偏离”。</w:t>
      </w:r>
    </w:p>
    <w:p w14:paraId="633F1C39">
      <w:pPr>
        <w:pStyle w:val="14"/>
        <w:spacing w:line="440" w:lineRule="exact"/>
        <w:contextualSpacing/>
        <w:rPr>
          <w:rFonts w:hint="eastAsia" w:ascii="宋体" w:hAnsi="宋体" w:cs="宋体"/>
          <w:color w:val="auto"/>
          <w:spacing w:val="20"/>
          <w:sz w:val="21"/>
          <w:szCs w:val="21"/>
          <w:highlight w:val="none"/>
        </w:rPr>
      </w:pPr>
    </w:p>
    <w:p w14:paraId="001EAB24">
      <w:pPr>
        <w:spacing w:line="440" w:lineRule="exact"/>
        <w:contextualSpacing/>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7A15B381">
      <w:pPr>
        <w:spacing w:line="440" w:lineRule="exact"/>
        <w:contextualSpacing/>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C71AB8B">
      <w:pPr>
        <w:spacing w:line="440" w:lineRule="exact"/>
        <w:contextualSpacing/>
        <w:rPr>
          <w:rFonts w:hint="eastAsia" w:ascii="宋体" w:hAnsi="宋体" w:cs="宋体"/>
          <w:color w:val="auto"/>
          <w:spacing w:val="20"/>
          <w:szCs w:val="21"/>
          <w:highlight w:val="none"/>
          <w:u w:val="singl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6D08123">
      <w:pPr>
        <w:spacing w:line="360" w:lineRule="auto"/>
        <w:contextualSpacing/>
        <w:rPr>
          <w:rFonts w:hint="eastAsia" w:ascii="宋体" w:hAnsi="宋体" w:cs="宋体"/>
          <w:color w:val="auto"/>
          <w:sz w:val="24"/>
          <w:szCs w:val="20"/>
          <w:highlight w:val="none"/>
        </w:rPr>
      </w:pPr>
    </w:p>
    <w:p w14:paraId="61C151AE">
      <w:pPr>
        <w:snapToGrid w:val="0"/>
        <w:spacing w:before="165"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2.项目实施人员一览表格式</w:t>
      </w:r>
    </w:p>
    <w:p w14:paraId="7453D9ED">
      <w:pPr>
        <w:snapToGrid w:val="0"/>
        <w:spacing w:before="165" w:beforeLines="50" w:after="50"/>
        <w:ind w:left="142"/>
        <w:jc w:val="left"/>
        <w:rPr>
          <w:rFonts w:hint="eastAsia" w:ascii="宋体" w:hAnsi="宋体" w:cs="宋体"/>
          <w:b/>
          <w:color w:val="auto"/>
          <w:sz w:val="24"/>
          <w:highlight w:val="none"/>
        </w:rPr>
      </w:pPr>
    </w:p>
    <w:p w14:paraId="06F0A5F8">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项目实施人员一览表</w:t>
      </w:r>
    </w:p>
    <w:p w14:paraId="438B61D5">
      <w:pPr>
        <w:pStyle w:val="20"/>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777"/>
        <w:gridCol w:w="1865"/>
        <w:gridCol w:w="1557"/>
        <w:gridCol w:w="1862"/>
        <w:gridCol w:w="2394"/>
      </w:tblGrid>
      <w:tr w14:paraId="38C4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896" w:type="dxa"/>
            <w:noWrap w:val="0"/>
            <w:vAlign w:val="center"/>
          </w:tcPr>
          <w:p w14:paraId="25C943B9">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777" w:type="dxa"/>
            <w:noWrap w:val="0"/>
            <w:vAlign w:val="center"/>
          </w:tcPr>
          <w:p w14:paraId="0E0CA6A5">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865" w:type="dxa"/>
            <w:noWrap w:val="0"/>
            <w:vAlign w:val="center"/>
          </w:tcPr>
          <w:p w14:paraId="02580C9A">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1557" w:type="dxa"/>
            <w:noWrap w:val="0"/>
            <w:vAlign w:val="center"/>
          </w:tcPr>
          <w:p w14:paraId="1AF6EB02">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862" w:type="dxa"/>
            <w:noWrap w:val="0"/>
            <w:vAlign w:val="center"/>
          </w:tcPr>
          <w:p w14:paraId="21524BDA">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1343EF96">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2394" w:type="dxa"/>
            <w:noWrap w:val="0"/>
            <w:vAlign w:val="center"/>
          </w:tcPr>
          <w:p w14:paraId="13999E5E">
            <w:pPr>
              <w:snapToGrid w:val="0"/>
              <w:spacing w:before="50" w:after="165" w:after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5328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50BD8284">
            <w:pPr>
              <w:snapToGrid w:val="0"/>
              <w:spacing w:before="50" w:after="165" w:afterLines="50" w:line="440" w:lineRule="exact"/>
              <w:jc w:val="center"/>
              <w:rPr>
                <w:rFonts w:hint="eastAsia" w:ascii="宋体" w:hAnsi="宋体" w:cs="宋体"/>
                <w:color w:val="auto"/>
                <w:szCs w:val="21"/>
                <w:highlight w:val="none"/>
              </w:rPr>
            </w:pPr>
          </w:p>
        </w:tc>
        <w:tc>
          <w:tcPr>
            <w:tcW w:w="777" w:type="dxa"/>
            <w:noWrap w:val="0"/>
            <w:vAlign w:val="center"/>
          </w:tcPr>
          <w:p w14:paraId="26CF85C3">
            <w:pPr>
              <w:snapToGrid w:val="0"/>
              <w:spacing w:before="50" w:after="165" w:afterLines="50" w:line="440" w:lineRule="exact"/>
              <w:jc w:val="center"/>
              <w:rPr>
                <w:rFonts w:hint="eastAsia" w:ascii="宋体" w:hAnsi="宋体" w:cs="宋体"/>
                <w:color w:val="auto"/>
                <w:szCs w:val="21"/>
                <w:highlight w:val="none"/>
              </w:rPr>
            </w:pPr>
          </w:p>
        </w:tc>
        <w:tc>
          <w:tcPr>
            <w:tcW w:w="1865" w:type="dxa"/>
            <w:noWrap w:val="0"/>
            <w:vAlign w:val="center"/>
          </w:tcPr>
          <w:p w14:paraId="12613647">
            <w:pPr>
              <w:snapToGrid w:val="0"/>
              <w:spacing w:before="50" w:after="165" w:afterLines="50" w:line="440" w:lineRule="exact"/>
              <w:jc w:val="center"/>
              <w:rPr>
                <w:rFonts w:hint="eastAsia" w:ascii="宋体" w:hAnsi="宋体" w:cs="宋体"/>
                <w:color w:val="auto"/>
                <w:szCs w:val="21"/>
                <w:highlight w:val="none"/>
              </w:rPr>
            </w:pPr>
          </w:p>
        </w:tc>
        <w:tc>
          <w:tcPr>
            <w:tcW w:w="1557" w:type="dxa"/>
            <w:noWrap w:val="0"/>
            <w:vAlign w:val="center"/>
          </w:tcPr>
          <w:p w14:paraId="04BD2B3A">
            <w:pPr>
              <w:snapToGrid w:val="0"/>
              <w:spacing w:before="50" w:after="165" w:afterLines="50" w:line="440" w:lineRule="exact"/>
              <w:jc w:val="center"/>
              <w:rPr>
                <w:rFonts w:hint="eastAsia" w:ascii="宋体" w:hAnsi="宋体" w:cs="宋体"/>
                <w:color w:val="auto"/>
                <w:szCs w:val="21"/>
                <w:highlight w:val="none"/>
              </w:rPr>
            </w:pPr>
          </w:p>
        </w:tc>
        <w:tc>
          <w:tcPr>
            <w:tcW w:w="1862" w:type="dxa"/>
            <w:noWrap w:val="0"/>
            <w:vAlign w:val="center"/>
          </w:tcPr>
          <w:p w14:paraId="45C7411E">
            <w:pPr>
              <w:snapToGrid w:val="0"/>
              <w:spacing w:before="50" w:after="165" w:afterLines="50" w:line="440" w:lineRule="exact"/>
              <w:jc w:val="center"/>
              <w:rPr>
                <w:rFonts w:hint="eastAsia" w:ascii="宋体" w:hAnsi="宋体" w:cs="宋体"/>
                <w:color w:val="auto"/>
                <w:szCs w:val="21"/>
                <w:highlight w:val="none"/>
              </w:rPr>
            </w:pPr>
          </w:p>
        </w:tc>
        <w:tc>
          <w:tcPr>
            <w:tcW w:w="2394" w:type="dxa"/>
            <w:noWrap w:val="0"/>
            <w:vAlign w:val="center"/>
          </w:tcPr>
          <w:p w14:paraId="12C2B18F">
            <w:pPr>
              <w:snapToGrid w:val="0"/>
              <w:spacing w:before="50" w:after="165" w:afterLines="50" w:line="440" w:lineRule="exact"/>
              <w:jc w:val="center"/>
              <w:rPr>
                <w:rFonts w:hint="eastAsia" w:ascii="宋体" w:hAnsi="宋体" w:cs="宋体"/>
                <w:color w:val="auto"/>
                <w:szCs w:val="21"/>
                <w:highlight w:val="none"/>
              </w:rPr>
            </w:pPr>
          </w:p>
        </w:tc>
      </w:tr>
      <w:tr w14:paraId="5B1C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002B4266">
            <w:pPr>
              <w:snapToGrid w:val="0"/>
              <w:spacing w:before="50" w:after="165" w:afterLines="50" w:line="440" w:lineRule="exact"/>
              <w:jc w:val="center"/>
              <w:rPr>
                <w:rFonts w:hint="eastAsia" w:ascii="宋体" w:hAnsi="宋体" w:cs="宋体"/>
                <w:color w:val="auto"/>
                <w:szCs w:val="21"/>
                <w:highlight w:val="none"/>
              </w:rPr>
            </w:pPr>
          </w:p>
        </w:tc>
        <w:tc>
          <w:tcPr>
            <w:tcW w:w="777" w:type="dxa"/>
            <w:noWrap w:val="0"/>
            <w:vAlign w:val="center"/>
          </w:tcPr>
          <w:p w14:paraId="710F094E">
            <w:pPr>
              <w:snapToGrid w:val="0"/>
              <w:spacing w:before="50" w:after="165" w:afterLines="50" w:line="440" w:lineRule="exact"/>
              <w:jc w:val="center"/>
              <w:rPr>
                <w:rFonts w:hint="eastAsia" w:ascii="宋体" w:hAnsi="宋体" w:cs="宋体"/>
                <w:color w:val="auto"/>
                <w:szCs w:val="21"/>
                <w:highlight w:val="none"/>
              </w:rPr>
            </w:pPr>
          </w:p>
        </w:tc>
        <w:tc>
          <w:tcPr>
            <w:tcW w:w="1865" w:type="dxa"/>
            <w:noWrap w:val="0"/>
            <w:vAlign w:val="center"/>
          </w:tcPr>
          <w:p w14:paraId="38E7F62F">
            <w:pPr>
              <w:snapToGrid w:val="0"/>
              <w:spacing w:before="50" w:after="165" w:afterLines="50" w:line="440" w:lineRule="exact"/>
              <w:jc w:val="center"/>
              <w:rPr>
                <w:rFonts w:hint="eastAsia" w:ascii="宋体" w:hAnsi="宋体" w:cs="宋体"/>
                <w:color w:val="auto"/>
                <w:szCs w:val="21"/>
                <w:highlight w:val="none"/>
              </w:rPr>
            </w:pPr>
          </w:p>
        </w:tc>
        <w:tc>
          <w:tcPr>
            <w:tcW w:w="1557" w:type="dxa"/>
            <w:noWrap w:val="0"/>
            <w:vAlign w:val="center"/>
          </w:tcPr>
          <w:p w14:paraId="1363E1C1">
            <w:pPr>
              <w:snapToGrid w:val="0"/>
              <w:spacing w:before="50" w:after="165" w:afterLines="50" w:line="440" w:lineRule="exact"/>
              <w:jc w:val="center"/>
              <w:rPr>
                <w:rFonts w:hint="eastAsia" w:ascii="宋体" w:hAnsi="宋体" w:cs="宋体"/>
                <w:color w:val="auto"/>
                <w:szCs w:val="21"/>
                <w:highlight w:val="none"/>
              </w:rPr>
            </w:pPr>
          </w:p>
        </w:tc>
        <w:tc>
          <w:tcPr>
            <w:tcW w:w="1862" w:type="dxa"/>
            <w:noWrap w:val="0"/>
            <w:vAlign w:val="center"/>
          </w:tcPr>
          <w:p w14:paraId="33B1337C">
            <w:pPr>
              <w:snapToGrid w:val="0"/>
              <w:spacing w:before="50" w:after="165" w:afterLines="50" w:line="440" w:lineRule="exact"/>
              <w:jc w:val="center"/>
              <w:rPr>
                <w:rFonts w:hint="eastAsia" w:ascii="宋体" w:hAnsi="宋体" w:cs="宋体"/>
                <w:color w:val="auto"/>
                <w:szCs w:val="21"/>
                <w:highlight w:val="none"/>
              </w:rPr>
            </w:pPr>
          </w:p>
        </w:tc>
        <w:tc>
          <w:tcPr>
            <w:tcW w:w="2394" w:type="dxa"/>
            <w:noWrap w:val="0"/>
            <w:vAlign w:val="center"/>
          </w:tcPr>
          <w:p w14:paraId="24673E9C">
            <w:pPr>
              <w:snapToGrid w:val="0"/>
              <w:spacing w:before="50" w:after="165" w:afterLines="50" w:line="440" w:lineRule="exact"/>
              <w:jc w:val="center"/>
              <w:rPr>
                <w:rFonts w:hint="eastAsia" w:ascii="宋体" w:hAnsi="宋体" w:cs="宋体"/>
                <w:color w:val="auto"/>
                <w:szCs w:val="21"/>
                <w:highlight w:val="none"/>
              </w:rPr>
            </w:pPr>
          </w:p>
        </w:tc>
      </w:tr>
      <w:tr w14:paraId="1530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6" w:type="dxa"/>
            <w:noWrap w:val="0"/>
            <w:vAlign w:val="center"/>
          </w:tcPr>
          <w:p w14:paraId="03EC1804">
            <w:pPr>
              <w:snapToGrid w:val="0"/>
              <w:spacing w:before="50" w:after="165" w:afterLines="50" w:line="440" w:lineRule="exact"/>
              <w:jc w:val="center"/>
              <w:rPr>
                <w:rFonts w:hint="eastAsia" w:ascii="宋体" w:hAnsi="宋体" w:cs="宋体"/>
                <w:color w:val="auto"/>
                <w:szCs w:val="21"/>
                <w:highlight w:val="none"/>
              </w:rPr>
            </w:pPr>
          </w:p>
        </w:tc>
        <w:tc>
          <w:tcPr>
            <w:tcW w:w="777" w:type="dxa"/>
            <w:noWrap w:val="0"/>
            <w:vAlign w:val="center"/>
          </w:tcPr>
          <w:p w14:paraId="5C9026FE">
            <w:pPr>
              <w:snapToGrid w:val="0"/>
              <w:spacing w:before="50" w:after="165" w:afterLines="50" w:line="440" w:lineRule="exact"/>
              <w:jc w:val="center"/>
              <w:rPr>
                <w:rFonts w:hint="eastAsia" w:ascii="宋体" w:hAnsi="宋体" w:cs="宋体"/>
                <w:color w:val="auto"/>
                <w:szCs w:val="21"/>
                <w:highlight w:val="none"/>
              </w:rPr>
            </w:pPr>
          </w:p>
        </w:tc>
        <w:tc>
          <w:tcPr>
            <w:tcW w:w="1865" w:type="dxa"/>
            <w:noWrap w:val="0"/>
            <w:vAlign w:val="center"/>
          </w:tcPr>
          <w:p w14:paraId="22B01BF6">
            <w:pPr>
              <w:snapToGrid w:val="0"/>
              <w:spacing w:before="50" w:after="165" w:afterLines="50" w:line="440" w:lineRule="exact"/>
              <w:jc w:val="center"/>
              <w:rPr>
                <w:rFonts w:hint="eastAsia" w:ascii="宋体" w:hAnsi="宋体" w:cs="宋体"/>
                <w:color w:val="auto"/>
                <w:szCs w:val="21"/>
                <w:highlight w:val="none"/>
              </w:rPr>
            </w:pPr>
          </w:p>
        </w:tc>
        <w:tc>
          <w:tcPr>
            <w:tcW w:w="1557" w:type="dxa"/>
            <w:noWrap w:val="0"/>
            <w:vAlign w:val="center"/>
          </w:tcPr>
          <w:p w14:paraId="2385B528">
            <w:pPr>
              <w:snapToGrid w:val="0"/>
              <w:spacing w:before="50" w:after="165" w:afterLines="50" w:line="440" w:lineRule="exact"/>
              <w:jc w:val="center"/>
              <w:rPr>
                <w:rFonts w:hint="eastAsia" w:ascii="宋体" w:hAnsi="宋体" w:cs="宋体"/>
                <w:color w:val="auto"/>
                <w:szCs w:val="21"/>
                <w:highlight w:val="none"/>
              </w:rPr>
            </w:pPr>
          </w:p>
        </w:tc>
        <w:tc>
          <w:tcPr>
            <w:tcW w:w="1862" w:type="dxa"/>
            <w:noWrap w:val="0"/>
            <w:vAlign w:val="center"/>
          </w:tcPr>
          <w:p w14:paraId="5BBD0542">
            <w:pPr>
              <w:snapToGrid w:val="0"/>
              <w:spacing w:before="50" w:after="165" w:afterLines="50" w:line="440" w:lineRule="exact"/>
              <w:jc w:val="center"/>
              <w:rPr>
                <w:rFonts w:hint="eastAsia" w:ascii="宋体" w:hAnsi="宋体" w:cs="宋体"/>
                <w:color w:val="auto"/>
                <w:szCs w:val="21"/>
                <w:highlight w:val="none"/>
              </w:rPr>
            </w:pPr>
          </w:p>
        </w:tc>
        <w:tc>
          <w:tcPr>
            <w:tcW w:w="2394" w:type="dxa"/>
            <w:noWrap w:val="0"/>
            <w:vAlign w:val="center"/>
          </w:tcPr>
          <w:p w14:paraId="3BD0F7FA">
            <w:pPr>
              <w:snapToGrid w:val="0"/>
              <w:spacing w:before="50" w:after="165" w:afterLines="50" w:line="440" w:lineRule="exact"/>
              <w:jc w:val="center"/>
              <w:rPr>
                <w:rFonts w:hint="eastAsia" w:ascii="宋体" w:hAnsi="宋体" w:cs="宋体"/>
                <w:color w:val="auto"/>
                <w:szCs w:val="21"/>
                <w:highlight w:val="none"/>
              </w:rPr>
            </w:pPr>
          </w:p>
        </w:tc>
      </w:tr>
    </w:tbl>
    <w:p w14:paraId="5EB2AC41">
      <w:pPr>
        <w:snapToGrid w:val="0"/>
        <w:spacing w:before="50" w:after="165" w:afterLines="50" w:line="440" w:lineRule="exact"/>
        <w:jc w:val="left"/>
        <w:rPr>
          <w:rFonts w:hint="eastAsia" w:ascii="宋体" w:hAnsi="宋体" w:cs="宋体"/>
          <w:color w:val="auto"/>
          <w:szCs w:val="21"/>
          <w:highlight w:val="none"/>
        </w:rPr>
      </w:pPr>
    </w:p>
    <w:p w14:paraId="187C86C4">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51C6E873">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1.在填写时，如本表格不适合投标单位的实际情况，可根据本表格式自行制表填写。</w:t>
      </w:r>
    </w:p>
    <w:p w14:paraId="66B4BD77">
      <w:pPr>
        <w:spacing w:line="44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2.投标人应当附本表所列证书的复印件并加盖投标人电子签章。</w:t>
      </w:r>
    </w:p>
    <w:p w14:paraId="0270AD9D">
      <w:pPr>
        <w:wordWrap w:val="0"/>
        <w:spacing w:line="440" w:lineRule="exact"/>
        <w:contextualSpacing/>
        <w:jc w:val="left"/>
        <w:rPr>
          <w:rFonts w:hint="eastAsia" w:ascii="宋体" w:hAnsi="宋体" w:cs="宋体"/>
          <w:color w:val="auto"/>
          <w:szCs w:val="21"/>
          <w:highlight w:val="none"/>
        </w:rPr>
      </w:pPr>
    </w:p>
    <w:p w14:paraId="338EB262">
      <w:pPr>
        <w:wordWrap w:val="0"/>
        <w:spacing w:line="440" w:lineRule="exact"/>
        <w:contextualSpacing/>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27AD24E3">
      <w:pPr>
        <w:wordWrap w:val="0"/>
        <w:spacing w:line="440" w:lineRule="exact"/>
        <w:contextualSpacing/>
        <w:jc w:val="left"/>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794A485A">
      <w:pPr>
        <w:wordWrap w:val="0"/>
        <w:spacing w:line="440" w:lineRule="exact"/>
        <w:contextualSpacing/>
        <w:jc w:val="left"/>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2D71068">
      <w:pPr>
        <w:spacing w:line="360" w:lineRule="auto"/>
        <w:contextualSpacing/>
        <w:jc w:val="left"/>
        <w:rPr>
          <w:rFonts w:hint="eastAsia" w:ascii="宋体" w:hAnsi="宋体" w:cs="宋体"/>
          <w:color w:val="auto"/>
          <w:sz w:val="24"/>
          <w:szCs w:val="20"/>
          <w:highlight w:val="none"/>
        </w:rPr>
      </w:pPr>
    </w:p>
    <w:p w14:paraId="797D7CD0">
      <w:pPr>
        <w:snapToGrid w:val="0"/>
        <w:spacing w:before="50" w:after="165" w:afterLines="50"/>
        <w:jc w:val="left"/>
        <w:rPr>
          <w:rFonts w:hint="eastAsia" w:ascii="宋体" w:hAnsi="宋体" w:cs="宋体"/>
          <w:color w:val="auto"/>
          <w:sz w:val="24"/>
          <w:szCs w:val="20"/>
          <w:highlight w:val="none"/>
        </w:rPr>
      </w:pPr>
    </w:p>
    <w:p w14:paraId="5F3409F7">
      <w:pPr>
        <w:snapToGrid w:val="0"/>
        <w:spacing w:before="165" w:beforeLines="50" w:after="50"/>
        <w:jc w:val="left"/>
        <w:rPr>
          <w:rFonts w:hint="eastAsia" w:ascii="宋体" w:hAnsi="宋体" w:cs="宋体"/>
          <w:color w:val="auto"/>
          <w:sz w:val="24"/>
          <w:szCs w:val="20"/>
          <w:highlight w:val="none"/>
        </w:rPr>
      </w:pPr>
    </w:p>
    <w:p w14:paraId="118C42C5">
      <w:pPr>
        <w:snapToGrid w:val="0"/>
        <w:spacing w:before="50" w:after="165" w:afterLines="50"/>
        <w:jc w:val="left"/>
        <w:rPr>
          <w:rFonts w:hint="eastAsia" w:ascii="宋体" w:hAnsi="宋体" w:cs="宋体"/>
          <w:color w:val="auto"/>
          <w:sz w:val="24"/>
          <w:szCs w:val="20"/>
          <w:highlight w:val="none"/>
        </w:rPr>
      </w:pPr>
    </w:p>
    <w:p w14:paraId="412C09EB">
      <w:pPr>
        <w:rPr>
          <w:rFonts w:hint="eastAsia" w:ascii="宋体" w:hAnsi="宋体" w:cs="宋体"/>
          <w:b/>
          <w:color w:val="auto"/>
          <w:sz w:val="28"/>
          <w:szCs w:val="28"/>
          <w:highlight w:val="none"/>
        </w:rPr>
      </w:pPr>
      <w:r>
        <w:rPr>
          <w:rFonts w:hint="eastAsia" w:ascii="宋体" w:hAnsi="宋体" w:cs="宋体"/>
          <w:b/>
          <w:bCs/>
          <w:color w:val="auto"/>
          <w:sz w:val="24"/>
          <w:highlight w:val="none"/>
        </w:rPr>
        <w:br w:type="page"/>
      </w:r>
      <w:bookmarkStart w:id="388" w:name="_Toc19686840"/>
      <w:r>
        <w:rPr>
          <w:rFonts w:hint="eastAsia" w:ascii="宋体" w:hAnsi="宋体" w:cs="宋体"/>
          <w:b/>
          <w:color w:val="auto"/>
          <w:sz w:val="28"/>
          <w:szCs w:val="28"/>
          <w:highlight w:val="none"/>
        </w:rPr>
        <w:t>四、其他文书、文件格式</w:t>
      </w:r>
      <w:bookmarkEnd w:id="388"/>
    </w:p>
    <w:p w14:paraId="1A8C649C">
      <w:pPr>
        <w:spacing w:line="360" w:lineRule="auto"/>
        <w:jc w:val="left"/>
        <w:rPr>
          <w:rFonts w:hint="eastAsia" w:ascii="宋体" w:hAnsi="宋体" w:cs="宋体"/>
          <w:b/>
          <w:bCs/>
          <w:color w:val="auto"/>
          <w:sz w:val="32"/>
          <w:szCs w:val="32"/>
          <w:highlight w:val="none"/>
        </w:rPr>
      </w:pPr>
      <w:r>
        <w:rPr>
          <w:rFonts w:hint="eastAsia" w:ascii="宋体" w:hAnsi="宋体" w:cs="宋体"/>
          <w:b/>
          <w:color w:val="auto"/>
          <w:sz w:val="24"/>
          <w:highlight w:val="none"/>
        </w:rPr>
        <w:t>1.质疑函（格式）</w:t>
      </w:r>
    </w:p>
    <w:p w14:paraId="10FA7966">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质疑函（格式）</w:t>
      </w:r>
    </w:p>
    <w:p w14:paraId="6548BC9A">
      <w:pPr>
        <w:pStyle w:val="20"/>
        <w:snapToGrid w:val="0"/>
        <w:spacing w:line="440" w:lineRule="exact"/>
        <w:ind w:firstLine="422" w:firstLineChars="200"/>
        <w:rPr>
          <w:rFonts w:hint="eastAsia" w:hAnsi="宋体" w:cs="宋体"/>
          <w:b/>
          <w:bCs/>
          <w:color w:val="auto"/>
          <w:highlight w:val="none"/>
        </w:rPr>
      </w:pPr>
      <w:r>
        <w:rPr>
          <w:rFonts w:hint="eastAsia" w:hAnsi="宋体" w:cs="宋体"/>
          <w:b/>
          <w:bCs/>
          <w:color w:val="auto"/>
          <w:highlight w:val="none"/>
        </w:rPr>
        <w:t>一、质疑供应商基本信息：</w:t>
      </w:r>
    </w:p>
    <w:p w14:paraId="1CA2ABE2">
      <w:pPr>
        <w:pStyle w:val="20"/>
        <w:snapToGrid w:val="0"/>
        <w:spacing w:line="440" w:lineRule="exact"/>
        <w:ind w:firstLine="420" w:firstLineChars="200"/>
        <w:rPr>
          <w:rFonts w:hint="eastAsia" w:hAnsi="宋体" w:cs="宋体"/>
          <w:bCs/>
          <w:color w:val="auto"/>
          <w:highlight w:val="none"/>
          <w:u w:val="single"/>
        </w:rPr>
      </w:pPr>
      <w:r>
        <w:rPr>
          <w:rFonts w:hint="eastAsia" w:hAnsi="宋体" w:cs="宋体"/>
          <w:bCs/>
          <w:color w:val="auto"/>
          <w:highlight w:val="none"/>
        </w:rPr>
        <w:t>质疑供应商：</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4206DDB3">
      <w:pPr>
        <w:pStyle w:val="20"/>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791BAEE9">
      <w:pPr>
        <w:pStyle w:val="20"/>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794F9D13">
      <w:pPr>
        <w:pStyle w:val="20"/>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授权代表：</w:t>
      </w:r>
      <w:r>
        <w:rPr>
          <w:rFonts w:hint="eastAsia" w:hAnsi="宋体" w:cs="宋体"/>
          <w:bCs/>
          <w:color w:val="auto"/>
          <w:highlight w:val="none"/>
          <w:u w:val="single"/>
        </w:rPr>
        <w:t xml:space="preserve">                      </w:t>
      </w:r>
    </w:p>
    <w:p w14:paraId="2A611F6F">
      <w:pPr>
        <w:pStyle w:val="20"/>
        <w:snapToGrid w:val="0"/>
        <w:spacing w:line="440" w:lineRule="exact"/>
        <w:ind w:firstLine="420" w:firstLineChars="200"/>
        <w:rPr>
          <w:rFonts w:hint="eastAsia" w:hAnsi="宋体" w:cs="宋体"/>
          <w:bCs/>
          <w:color w:val="auto"/>
          <w:highlight w:val="none"/>
          <w:u w:val="singl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1F990850">
      <w:pPr>
        <w:pStyle w:val="20"/>
        <w:snapToGrid w:val="0"/>
        <w:spacing w:line="440" w:lineRule="exact"/>
        <w:ind w:firstLine="420" w:firstLineChars="200"/>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55AA40A3">
      <w:pPr>
        <w:pStyle w:val="20"/>
        <w:snapToGrid w:val="0"/>
        <w:spacing w:line="440" w:lineRule="exact"/>
        <w:ind w:firstLine="422" w:firstLineChars="200"/>
        <w:rPr>
          <w:rFonts w:hint="eastAsia" w:hAnsi="宋体" w:cs="宋体"/>
          <w:b/>
          <w:bCs/>
          <w:color w:val="auto"/>
          <w:highlight w:val="none"/>
        </w:rPr>
      </w:pPr>
      <w:r>
        <w:rPr>
          <w:rFonts w:hint="eastAsia" w:hAnsi="宋体" w:cs="宋体"/>
          <w:b/>
          <w:bCs/>
          <w:color w:val="auto"/>
          <w:highlight w:val="none"/>
        </w:rPr>
        <w:t>二、质疑项目基本情况：</w:t>
      </w:r>
    </w:p>
    <w:p w14:paraId="0FC64F58">
      <w:pPr>
        <w:pStyle w:val="20"/>
        <w:spacing w:line="440" w:lineRule="exact"/>
        <w:ind w:left="25" w:leftChars="12" w:firstLine="413" w:firstLineChars="197"/>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项目的名称：</w:t>
      </w:r>
      <w:r>
        <w:rPr>
          <w:rFonts w:hint="eastAsia" w:hAnsi="宋体" w:cs="宋体"/>
          <w:bCs/>
          <w:color w:val="auto"/>
          <w:highlight w:val="none"/>
          <w:u w:val="single"/>
        </w:rPr>
        <w:t xml:space="preserve">                                     </w:t>
      </w:r>
    </w:p>
    <w:p w14:paraId="29F3F02D">
      <w:pPr>
        <w:pStyle w:val="20"/>
        <w:spacing w:line="440" w:lineRule="exact"/>
        <w:ind w:left="25" w:leftChars="12" w:firstLine="413" w:firstLineChars="197"/>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项目的编号：</w:t>
      </w:r>
      <w:r>
        <w:rPr>
          <w:rFonts w:hint="eastAsia" w:hAnsi="宋体" w:cs="宋体"/>
          <w:bCs/>
          <w:color w:val="auto"/>
          <w:highlight w:val="none"/>
          <w:u w:val="single"/>
        </w:rPr>
        <w:t xml:space="preserve">                                     </w:t>
      </w:r>
    </w:p>
    <w:p w14:paraId="5C0BA4EF">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05C09B5C">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质疑事项：</w:t>
      </w:r>
    </w:p>
    <w:p w14:paraId="7610F03A">
      <w:pPr>
        <w:pStyle w:val="20"/>
        <w:spacing w:line="440" w:lineRule="exact"/>
        <w:ind w:left="25" w:leftChars="12" w:firstLine="308" w:firstLineChars="147"/>
        <w:rPr>
          <w:rFonts w:hint="eastAsia" w:hAnsi="宋体" w:cs="宋体"/>
          <w:color w:val="auto"/>
          <w:highlight w:val="none"/>
        </w:rPr>
      </w:pPr>
      <w:r>
        <w:rPr>
          <w:rFonts w:hint="eastAsia" w:hAnsi="宋体" w:cs="宋体"/>
          <w:color w:val="auto"/>
          <w:highlight w:val="none"/>
        </w:rPr>
        <w:t>□招标文件   招标文件获取日期：</w:t>
      </w:r>
      <w:r>
        <w:rPr>
          <w:rFonts w:hint="eastAsia" w:hAnsi="宋体" w:cs="宋体"/>
          <w:bCs/>
          <w:color w:val="auto"/>
          <w:highlight w:val="none"/>
          <w:u w:val="single"/>
        </w:rPr>
        <w:t xml:space="preserve">                                   </w:t>
      </w:r>
    </w:p>
    <w:p w14:paraId="12D72BB1">
      <w:pPr>
        <w:pStyle w:val="20"/>
        <w:spacing w:line="440" w:lineRule="exact"/>
        <w:ind w:left="25" w:leftChars="12" w:firstLine="308" w:firstLineChars="147"/>
        <w:rPr>
          <w:rFonts w:hint="eastAsia" w:hAnsi="宋体" w:cs="宋体"/>
          <w:color w:val="auto"/>
          <w:highlight w:val="none"/>
        </w:rPr>
      </w:pPr>
      <w:r>
        <w:rPr>
          <w:rFonts w:hint="eastAsia" w:hAnsi="宋体" w:cs="宋体"/>
          <w:color w:val="auto"/>
          <w:highlight w:val="none"/>
        </w:rPr>
        <w:t xml:space="preserve">□招标过程   </w:t>
      </w:r>
    </w:p>
    <w:p w14:paraId="6567A2B2">
      <w:pPr>
        <w:pStyle w:val="20"/>
        <w:spacing w:line="440" w:lineRule="exact"/>
        <w:ind w:left="25" w:leftChars="12" w:firstLine="308" w:firstLineChars="147"/>
        <w:rPr>
          <w:rFonts w:hint="eastAsia" w:hAnsi="宋体" w:cs="宋体"/>
          <w:bCs/>
          <w:color w:val="auto"/>
          <w:highlight w:val="none"/>
          <w:u w:val="single"/>
        </w:rPr>
      </w:pPr>
      <w:r>
        <w:rPr>
          <w:rFonts w:hint="eastAsia" w:hAnsi="宋体" w:cs="宋体"/>
          <w:color w:val="auto"/>
          <w:highlight w:val="none"/>
        </w:rPr>
        <w:t xml:space="preserve">□招标结果   </w:t>
      </w:r>
    </w:p>
    <w:p w14:paraId="66039ECD">
      <w:pPr>
        <w:pStyle w:val="20"/>
        <w:spacing w:line="440" w:lineRule="exact"/>
        <w:ind w:left="25" w:leftChars="12" w:firstLine="413" w:firstLineChars="196"/>
        <w:rPr>
          <w:rFonts w:hint="eastAsia" w:hAnsi="宋体" w:cs="宋体"/>
          <w:b/>
          <w:color w:val="auto"/>
          <w:highlight w:val="none"/>
        </w:rPr>
      </w:pPr>
      <w:r>
        <w:rPr>
          <w:rFonts w:hint="eastAsia" w:hAnsi="宋体" w:cs="宋体"/>
          <w:b/>
          <w:color w:val="auto"/>
          <w:highlight w:val="none"/>
        </w:rPr>
        <w:t>三、质疑事项具体内容</w:t>
      </w:r>
    </w:p>
    <w:p w14:paraId="6E910324">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质疑事项1：</w:t>
      </w:r>
      <w:r>
        <w:rPr>
          <w:rFonts w:hint="eastAsia" w:hAnsi="宋体" w:cs="宋体"/>
          <w:bCs/>
          <w:color w:val="auto"/>
          <w:highlight w:val="none"/>
          <w:u w:val="single"/>
        </w:rPr>
        <w:t xml:space="preserve">                                                                    </w:t>
      </w:r>
    </w:p>
    <w:p w14:paraId="22CF8F27">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事实依据：</w:t>
      </w:r>
      <w:r>
        <w:rPr>
          <w:rFonts w:hint="eastAsia" w:hAnsi="宋体" w:cs="宋体"/>
          <w:bCs/>
          <w:color w:val="auto"/>
          <w:highlight w:val="none"/>
          <w:u w:val="single"/>
        </w:rPr>
        <w:t xml:space="preserve">                                                                      </w:t>
      </w:r>
    </w:p>
    <w:p w14:paraId="0770A6B1">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法律依据：</w:t>
      </w:r>
      <w:r>
        <w:rPr>
          <w:rFonts w:hint="eastAsia" w:hAnsi="宋体" w:cs="宋体"/>
          <w:color w:val="auto"/>
          <w:highlight w:val="none"/>
          <w:u w:val="single"/>
        </w:rPr>
        <w:t xml:space="preserve">                                                        </w:t>
      </w:r>
      <w:r>
        <w:rPr>
          <w:rFonts w:hint="eastAsia" w:hAnsi="宋体" w:cs="宋体"/>
          <w:bCs/>
          <w:color w:val="auto"/>
          <w:highlight w:val="none"/>
          <w:u w:val="single"/>
        </w:rPr>
        <w:t xml:space="preserve">               </w:t>
      </w:r>
    </w:p>
    <w:p w14:paraId="4A2B1D90">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质疑事项2</w:t>
      </w:r>
    </w:p>
    <w:p w14:paraId="41C4A25B">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w:t>
      </w:r>
    </w:p>
    <w:p w14:paraId="165BCC99">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四、与质疑事项相关的质疑请求：</w:t>
      </w:r>
    </w:p>
    <w:p w14:paraId="03273E77">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000F6182">
      <w:pPr>
        <w:pStyle w:val="20"/>
        <w:spacing w:line="440" w:lineRule="exact"/>
        <w:ind w:left="25" w:leftChars="12" w:firstLine="308" w:firstLineChars="147"/>
        <w:rPr>
          <w:rFonts w:hint="eastAsia" w:hAnsi="宋体" w:cs="宋体"/>
          <w:color w:val="auto"/>
          <w:highlight w:val="none"/>
        </w:rPr>
      </w:pPr>
    </w:p>
    <w:p w14:paraId="6A5BCF5F">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签字（签章）：                                       公章：</w:t>
      </w:r>
    </w:p>
    <w:p w14:paraId="1B73358B">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日期：</w:t>
      </w:r>
    </w:p>
    <w:p w14:paraId="02E01A5F">
      <w:pPr>
        <w:pStyle w:val="20"/>
        <w:snapToGrid w:val="0"/>
        <w:spacing w:line="440" w:lineRule="exact"/>
        <w:rPr>
          <w:rFonts w:hint="eastAsia" w:hAnsi="宋体" w:cs="宋体"/>
          <w:b/>
          <w:color w:val="auto"/>
          <w:highlight w:val="none"/>
        </w:rPr>
      </w:pPr>
      <w:r>
        <w:rPr>
          <w:rFonts w:hint="eastAsia" w:hAnsi="宋体" w:cs="宋体"/>
          <w:b/>
          <w:color w:val="auto"/>
          <w:highlight w:val="none"/>
        </w:rPr>
        <w:t>说明：</w:t>
      </w:r>
    </w:p>
    <w:p w14:paraId="3577B702">
      <w:pPr>
        <w:pStyle w:val="20"/>
        <w:spacing w:line="440" w:lineRule="exact"/>
        <w:ind w:left="25" w:leftChars="12" w:firstLine="310" w:firstLineChars="147"/>
        <w:rPr>
          <w:rFonts w:hint="eastAsia" w:hAnsi="宋体" w:cs="宋体"/>
          <w:b/>
          <w:bCs/>
          <w:color w:val="auto"/>
          <w:highlight w:val="none"/>
        </w:rPr>
      </w:pPr>
      <w:r>
        <w:rPr>
          <w:rFonts w:hint="eastAsia" w:hAnsi="宋体" w:cs="宋体"/>
          <w:b/>
          <w:color w:val="auto"/>
          <w:highlight w:val="none"/>
        </w:rPr>
        <w:t>1.供应商提出质疑时，应提交质疑函和必要的证明材料</w:t>
      </w:r>
      <w:r>
        <w:rPr>
          <w:rFonts w:hint="eastAsia" w:hAnsi="宋体" w:cs="宋体"/>
          <w:b/>
          <w:bCs/>
          <w:color w:val="auto"/>
          <w:highlight w:val="none"/>
        </w:rPr>
        <w:t>。</w:t>
      </w:r>
    </w:p>
    <w:p w14:paraId="494A78EE">
      <w:pPr>
        <w:pStyle w:val="20"/>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C171DF1">
      <w:pPr>
        <w:pStyle w:val="20"/>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3.质疑函的质疑事项应具体、明确，并有必要的事实依据和法律依据。</w:t>
      </w:r>
    </w:p>
    <w:p w14:paraId="0F329832">
      <w:pPr>
        <w:pStyle w:val="20"/>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4.质疑函的质疑请求应与质疑事项相关。</w:t>
      </w:r>
    </w:p>
    <w:p w14:paraId="27335168">
      <w:pPr>
        <w:pStyle w:val="20"/>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5.质疑供应商为法人或者其他组织的，质疑函应由法定代表人、主要负责人，或者其授权代表签字或者盖章，并加盖公章。</w:t>
      </w:r>
    </w:p>
    <w:p w14:paraId="0CB900D6">
      <w:pPr>
        <w:spacing w:line="460" w:lineRule="exact"/>
        <w:rPr>
          <w:rFonts w:hint="eastAsia" w:ascii="宋体" w:hAnsi="宋体" w:cs="宋体"/>
          <w:color w:val="auto"/>
          <w:sz w:val="44"/>
          <w:highlight w:val="none"/>
        </w:rPr>
      </w:pPr>
    </w:p>
    <w:p w14:paraId="114E06DE">
      <w:pPr>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2.投诉书（格式）</w:t>
      </w:r>
    </w:p>
    <w:p w14:paraId="00261C2B">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投诉书（格式）</w:t>
      </w:r>
    </w:p>
    <w:p w14:paraId="001EBE63">
      <w:pPr>
        <w:pStyle w:val="20"/>
        <w:snapToGrid w:val="0"/>
        <w:spacing w:line="440" w:lineRule="exact"/>
        <w:ind w:firstLine="422" w:firstLineChars="200"/>
        <w:rPr>
          <w:rFonts w:hint="eastAsia" w:hAnsi="宋体" w:cs="宋体"/>
          <w:b/>
          <w:bCs/>
          <w:color w:val="auto"/>
          <w:highlight w:val="none"/>
        </w:rPr>
      </w:pPr>
      <w:r>
        <w:rPr>
          <w:rFonts w:hint="eastAsia" w:hAnsi="宋体" w:cs="宋体"/>
          <w:b/>
          <w:bCs/>
          <w:color w:val="auto"/>
          <w:highlight w:val="none"/>
        </w:rPr>
        <w:t>一、投诉相关主体基本情况：</w:t>
      </w:r>
    </w:p>
    <w:p w14:paraId="6B2ED295">
      <w:pPr>
        <w:pStyle w:val="20"/>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投标人：</w:t>
      </w:r>
      <w:r>
        <w:rPr>
          <w:rFonts w:hint="eastAsia" w:hAnsi="宋体" w:cs="宋体"/>
          <w:bCs/>
          <w:color w:val="auto"/>
          <w:highlight w:val="none"/>
          <w:u w:val="single"/>
        </w:rPr>
        <w:t xml:space="preserve">                                                                        </w:t>
      </w:r>
    </w:p>
    <w:p w14:paraId="632A2A62">
      <w:pPr>
        <w:pStyle w:val="20"/>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198E8FDE">
      <w:pPr>
        <w:pStyle w:val="20"/>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法定代表人/主要负责人：</w:t>
      </w:r>
      <w:r>
        <w:rPr>
          <w:rFonts w:hint="eastAsia" w:hAnsi="宋体" w:cs="宋体"/>
          <w:bCs/>
          <w:color w:val="auto"/>
          <w:highlight w:val="none"/>
          <w:u w:val="single"/>
        </w:rPr>
        <w:t xml:space="preserve">                                                         </w:t>
      </w:r>
    </w:p>
    <w:p w14:paraId="1EE768FF">
      <w:pPr>
        <w:pStyle w:val="20"/>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3C61508A">
      <w:pPr>
        <w:pStyle w:val="20"/>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授权代表：</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718680D7">
      <w:pPr>
        <w:pStyle w:val="20"/>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598BAFE3">
      <w:pPr>
        <w:pStyle w:val="20"/>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5C45BA4B">
      <w:pPr>
        <w:pStyle w:val="20"/>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被投诉人1：</w:t>
      </w:r>
    </w:p>
    <w:p w14:paraId="6724EF86">
      <w:pPr>
        <w:pStyle w:val="20"/>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0170F537">
      <w:pPr>
        <w:pStyle w:val="20"/>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62EB8D87">
      <w:pPr>
        <w:pStyle w:val="20"/>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6D85227B">
      <w:pPr>
        <w:pStyle w:val="20"/>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被投诉人2：</w:t>
      </w:r>
    </w:p>
    <w:p w14:paraId="60AA2BAD">
      <w:pPr>
        <w:pStyle w:val="20"/>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w:t>
      </w:r>
    </w:p>
    <w:p w14:paraId="06260285">
      <w:pPr>
        <w:pStyle w:val="20"/>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相关供应商：</w:t>
      </w:r>
      <w:r>
        <w:rPr>
          <w:rFonts w:hint="eastAsia" w:hAnsi="宋体" w:cs="宋体"/>
          <w:bCs/>
          <w:color w:val="auto"/>
          <w:highlight w:val="none"/>
          <w:u w:val="single"/>
        </w:rPr>
        <w:t xml:space="preserve">                                                                       </w:t>
      </w:r>
    </w:p>
    <w:p w14:paraId="36A4333C">
      <w:pPr>
        <w:pStyle w:val="20"/>
        <w:snapToGrid w:val="0"/>
        <w:spacing w:line="440" w:lineRule="exact"/>
        <w:ind w:firstLine="420" w:firstLineChars="200"/>
        <w:jc w:val="left"/>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2314A856">
      <w:pPr>
        <w:pStyle w:val="20"/>
        <w:snapToGrid w:val="0"/>
        <w:spacing w:line="440" w:lineRule="exact"/>
        <w:ind w:firstLine="420" w:firstLineChars="200"/>
        <w:jc w:val="left"/>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78473B7D">
      <w:pPr>
        <w:pStyle w:val="20"/>
        <w:snapToGrid w:val="0"/>
        <w:spacing w:line="440" w:lineRule="exact"/>
        <w:ind w:firstLine="422" w:firstLineChars="200"/>
        <w:rPr>
          <w:rFonts w:hint="eastAsia" w:hAnsi="宋体" w:cs="宋体"/>
          <w:b/>
          <w:bCs/>
          <w:color w:val="auto"/>
          <w:highlight w:val="none"/>
        </w:rPr>
      </w:pPr>
      <w:r>
        <w:rPr>
          <w:rFonts w:hint="eastAsia" w:hAnsi="宋体" w:cs="宋体"/>
          <w:b/>
          <w:bCs/>
          <w:color w:val="auto"/>
          <w:highlight w:val="none"/>
        </w:rPr>
        <w:t>二、投诉项目基本情况：</w:t>
      </w:r>
    </w:p>
    <w:p w14:paraId="6B055846">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招标项目的名称：</w:t>
      </w:r>
      <w:r>
        <w:rPr>
          <w:rFonts w:hint="eastAsia" w:hAnsi="宋体" w:cs="宋体"/>
          <w:bCs/>
          <w:color w:val="auto"/>
          <w:highlight w:val="none"/>
          <w:u w:val="single"/>
        </w:rPr>
        <w:t xml:space="preserve">                                                                   </w:t>
      </w:r>
    </w:p>
    <w:p w14:paraId="27F00ADF">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招标项目的编号：</w:t>
      </w:r>
      <w:r>
        <w:rPr>
          <w:rFonts w:hint="eastAsia" w:hAnsi="宋体" w:cs="宋体"/>
          <w:bCs/>
          <w:color w:val="auto"/>
          <w:highlight w:val="none"/>
          <w:u w:val="single"/>
        </w:rPr>
        <w:t xml:space="preserve">                                          </w:t>
      </w:r>
    </w:p>
    <w:p w14:paraId="2E40990A">
      <w:pPr>
        <w:pStyle w:val="20"/>
        <w:spacing w:line="440" w:lineRule="exact"/>
        <w:ind w:left="25" w:leftChars="12" w:firstLine="413" w:firstLineChars="197"/>
        <w:rPr>
          <w:rFonts w:hint="eastAsia" w:hAnsi="宋体" w:cs="宋体"/>
          <w:bCs/>
          <w:color w:val="auto"/>
          <w:highlight w:val="none"/>
          <w:u w:val="singl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7D9D3AF1">
      <w:pPr>
        <w:pStyle w:val="20"/>
        <w:spacing w:line="440" w:lineRule="exact"/>
        <w:ind w:left="25" w:leftChars="12" w:firstLine="413" w:firstLineChars="197"/>
        <w:rPr>
          <w:rFonts w:hint="eastAsia" w:hAnsi="宋体" w:cs="宋体"/>
          <w:bCs/>
          <w:color w:val="auto"/>
          <w:highlight w:val="none"/>
          <w:u w:val="single"/>
        </w:rPr>
      </w:pPr>
      <w:r>
        <w:rPr>
          <w:rFonts w:hint="eastAsia" w:hAnsi="宋体" w:cs="宋体"/>
          <w:color w:val="auto"/>
          <w:highlight w:val="none"/>
        </w:rPr>
        <w:t>代理机构名称：</w:t>
      </w:r>
      <w:r>
        <w:rPr>
          <w:rFonts w:hint="eastAsia" w:hAnsi="宋体" w:cs="宋体"/>
          <w:bCs/>
          <w:color w:val="auto"/>
          <w:highlight w:val="none"/>
          <w:u w:val="single"/>
        </w:rPr>
        <w:t xml:space="preserve">                                                                      </w:t>
      </w:r>
    </w:p>
    <w:p w14:paraId="0539E24C">
      <w:pPr>
        <w:pStyle w:val="20"/>
        <w:spacing w:line="440" w:lineRule="exact"/>
        <w:ind w:left="25" w:leftChars="12" w:firstLine="413" w:firstLineChars="197"/>
        <w:rPr>
          <w:rFonts w:hint="eastAsia" w:hAnsi="宋体" w:cs="宋体"/>
          <w:bCs/>
          <w:color w:val="auto"/>
          <w:highlight w:val="none"/>
          <w:u w:val="single"/>
        </w:rPr>
      </w:pPr>
      <w:r>
        <w:rPr>
          <w:rFonts w:hint="eastAsia" w:hAnsi="宋体" w:cs="宋体"/>
          <w:color w:val="auto"/>
          <w:highlight w:val="none"/>
        </w:rPr>
        <w:t>招标</w:t>
      </w:r>
      <w:r>
        <w:rPr>
          <w:rFonts w:hint="eastAsia" w:hAnsi="宋体" w:cs="宋体"/>
          <w:bCs/>
          <w:color w:val="auto"/>
          <w:highlight w:val="none"/>
        </w:rPr>
        <w:t>文件公告：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68044D36">
      <w:pPr>
        <w:pStyle w:val="20"/>
        <w:spacing w:line="440" w:lineRule="exact"/>
        <w:ind w:left="25" w:leftChars="12" w:firstLine="413" w:firstLineChars="197"/>
        <w:rPr>
          <w:rFonts w:hint="eastAsia" w:hAnsi="宋体" w:cs="宋体"/>
          <w:b/>
          <w:color w:val="auto"/>
          <w:highlight w:val="none"/>
        </w:rPr>
      </w:pPr>
      <w:r>
        <w:rPr>
          <w:rFonts w:hint="eastAsia" w:hAnsi="宋体" w:cs="宋体"/>
          <w:color w:val="auto"/>
          <w:highlight w:val="none"/>
        </w:rPr>
        <w:t>招标</w:t>
      </w:r>
      <w:r>
        <w:rPr>
          <w:rFonts w:hint="eastAsia" w:hAnsi="宋体" w:cs="宋体"/>
          <w:bCs/>
          <w:color w:val="auto"/>
          <w:highlight w:val="none"/>
        </w:rPr>
        <w:t>结果公告：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3CF5B8AF">
      <w:pPr>
        <w:pStyle w:val="20"/>
        <w:spacing w:line="440" w:lineRule="exact"/>
        <w:ind w:left="25" w:leftChars="12" w:firstLine="413" w:firstLineChars="196"/>
        <w:rPr>
          <w:rFonts w:hint="eastAsia" w:hAnsi="宋体" w:cs="宋体"/>
          <w:b/>
          <w:color w:val="auto"/>
          <w:highlight w:val="none"/>
        </w:rPr>
      </w:pPr>
      <w:r>
        <w:rPr>
          <w:rFonts w:hint="eastAsia" w:hAnsi="宋体" w:cs="宋体"/>
          <w:b/>
          <w:color w:val="auto"/>
          <w:highlight w:val="none"/>
        </w:rPr>
        <w:t>三、质疑基本情况</w:t>
      </w:r>
    </w:p>
    <w:p w14:paraId="7DA4C92D">
      <w:pPr>
        <w:pStyle w:val="20"/>
        <w:spacing w:line="440" w:lineRule="exact"/>
        <w:ind w:left="25" w:leftChars="12" w:firstLine="420" w:firstLineChars="200"/>
        <w:rPr>
          <w:rFonts w:hint="eastAsia" w:hAnsi="宋体" w:cs="宋体"/>
          <w:color w:val="auto"/>
          <w:highlight w:val="none"/>
        </w:rPr>
      </w:pPr>
      <w:r>
        <w:rPr>
          <w:rFonts w:hint="eastAsia" w:hAnsi="宋体" w:cs="宋体"/>
          <w:color w:val="auto"/>
          <w:highlight w:val="none"/>
        </w:rPr>
        <w:t>投诉人于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日，向</w:t>
      </w:r>
      <w:r>
        <w:rPr>
          <w:rFonts w:hint="eastAsia" w:hAnsi="宋体" w:cs="宋体"/>
          <w:color w:val="auto"/>
          <w:highlight w:val="none"/>
          <w:u w:val="single"/>
        </w:rPr>
        <w:t xml:space="preserve">                                </w:t>
      </w:r>
      <w:r>
        <w:rPr>
          <w:rFonts w:hint="eastAsia" w:hAnsi="宋体" w:cs="宋体"/>
          <w:color w:val="auto"/>
          <w:highlight w:val="none"/>
        </w:rPr>
        <w:t>提出质疑，质疑事项为：</w:t>
      </w:r>
    </w:p>
    <w:p w14:paraId="1C453AC9">
      <w:pPr>
        <w:pStyle w:val="20"/>
        <w:spacing w:line="440" w:lineRule="exact"/>
        <w:ind w:firstLine="241"/>
        <w:rPr>
          <w:rFonts w:hint="eastAsia" w:hAnsi="宋体" w:cs="宋体"/>
          <w:bCs/>
          <w:color w:val="auto"/>
          <w:highlight w:val="none"/>
          <w:u w:val="single"/>
        </w:rPr>
      </w:pPr>
      <w:r>
        <w:rPr>
          <w:rFonts w:hint="eastAsia" w:hAnsi="宋体" w:cs="宋体"/>
          <w:color w:val="auto"/>
          <w:highlight w:val="none"/>
        </w:rPr>
        <w:t xml:space="preserve">    </w:t>
      </w:r>
      <w:r>
        <w:rPr>
          <w:rFonts w:hint="eastAsia" w:hAnsi="宋体" w:cs="宋体"/>
          <w:bCs/>
          <w:color w:val="auto"/>
          <w:highlight w:val="none"/>
          <w:u w:val="single"/>
        </w:rPr>
        <w:t xml:space="preserve">                                                                                      </w:t>
      </w:r>
    </w:p>
    <w:p w14:paraId="379BC751">
      <w:pPr>
        <w:pStyle w:val="20"/>
        <w:spacing w:line="440" w:lineRule="exact"/>
        <w:ind w:firstLine="241"/>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78754064">
      <w:pPr>
        <w:pStyle w:val="20"/>
        <w:spacing w:line="440" w:lineRule="exact"/>
        <w:ind w:firstLine="420" w:firstLineChars="200"/>
        <w:rPr>
          <w:rFonts w:hint="eastAsia" w:hAnsi="宋体" w:cs="宋体"/>
          <w:color w:val="auto"/>
          <w:highlight w:val="none"/>
        </w:rPr>
      </w:pPr>
      <w:r>
        <w:rPr>
          <w:rFonts w:hint="eastAsia" w:hAnsi="宋体" w:cs="宋体"/>
          <w:bCs/>
          <w:color w:val="auto"/>
          <w:highlight w:val="none"/>
          <w:u w:val="single"/>
        </w:rPr>
        <w:t>采购人/代理机构</w:t>
      </w:r>
      <w:r>
        <w:rPr>
          <w:rFonts w:hint="eastAsia" w:hAnsi="宋体" w:cs="宋体"/>
          <w:bCs/>
          <w:color w:val="auto"/>
          <w:highlight w:val="none"/>
        </w:rPr>
        <w:t>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r>
        <w:rPr>
          <w:rFonts w:hint="eastAsia" w:hAnsi="宋体" w:cs="宋体"/>
          <w:bCs/>
          <w:color w:val="auto"/>
          <w:highlight w:val="none"/>
        </w:rPr>
        <w:t xml:space="preserve">就质疑事项作出了答复/没有在法定期限内作出答复。                                                                                             </w:t>
      </w:r>
    </w:p>
    <w:p w14:paraId="16CBB658">
      <w:pPr>
        <w:pStyle w:val="20"/>
        <w:spacing w:line="440" w:lineRule="exact"/>
        <w:ind w:left="25" w:leftChars="12" w:firstLine="413" w:firstLineChars="196"/>
        <w:rPr>
          <w:rFonts w:hint="eastAsia" w:hAnsi="宋体" w:cs="宋体"/>
          <w:b/>
          <w:color w:val="auto"/>
          <w:highlight w:val="none"/>
        </w:rPr>
      </w:pPr>
      <w:r>
        <w:rPr>
          <w:rFonts w:hint="eastAsia" w:hAnsi="宋体" w:cs="宋体"/>
          <w:b/>
          <w:color w:val="auto"/>
          <w:highlight w:val="none"/>
        </w:rPr>
        <w:t>四、投诉事项具体内容</w:t>
      </w:r>
    </w:p>
    <w:p w14:paraId="024AD265">
      <w:pPr>
        <w:pStyle w:val="20"/>
        <w:spacing w:line="440" w:lineRule="exact"/>
        <w:ind w:left="25" w:leftChars="12" w:firstLine="413" w:firstLineChars="197"/>
        <w:rPr>
          <w:rFonts w:hint="eastAsia" w:hAnsi="宋体" w:cs="宋体"/>
          <w:bCs/>
          <w:color w:val="auto"/>
          <w:highlight w:val="none"/>
          <w:u w:val="single"/>
        </w:rPr>
      </w:pPr>
      <w:r>
        <w:rPr>
          <w:rFonts w:hint="eastAsia" w:hAnsi="宋体" w:cs="宋体"/>
          <w:color w:val="auto"/>
          <w:highlight w:val="none"/>
        </w:rPr>
        <w:t>投诉事项1：</w:t>
      </w:r>
      <w:r>
        <w:rPr>
          <w:rFonts w:hint="eastAsia" w:hAnsi="宋体" w:cs="宋体"/>
          <w:bCs/>
          <w:color w:val="auto"/>
          <w:highlight w:val="none"/>
          <w:u w:val="single"/>
        </w:rPr>
        <w:t xml:space="preserve">                                                                           </w:t>
      </w:r>
    </w:p>
    <w:p w14:paraId="61A59660">
      <w:pPr>
        <w:pStyle w:val="20"/>
        <w:spacing w:line="440" w:lineRule="exact"/>
        <w:ind w:firstLine="420" w:firstLineChars="200"/>
        <w:rPr>
          <w:rFonts w:hint="eastAsia" w:hAnsi="宋体" w:cs="宋体"/>
          <w:bCs/>
          <w:color w:val="auto"/>
          <w:highlight w:val="none"/>
          <w:u w:val="single"/>
        </w:rPr>
      </w:pPr>
      <w:r>
        <w:rPr>
          <w:rFonts w:hint="eastAsia" w:hAnsi="宋体" w:cs="宋体"/>
          <w:bCs/>
          <w:color w:val="auto"/>
          <w:highlight w:val="none"/>
        </w:rPr>
        <w:t>事实依据：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5A5D9EB8">
      <w:pPr>
        <w:pStyle w:val="20"/>
        <w:spacing w:line="440" w:lineRule="exact"/>
        <w:ind w:left="25" w:leftChars="12" w:firstLine="413" w:firstLineChars="197"/>
        <w:rPr>
          <w:rFonts w:hint="eastAsia" w:hAnsi="宋体" w:cs="宋体"/>
          <w:color w:val="auto"/>
          <w:highlight w:val="none"/>
        </w:rPr>
      </w:pPr>
      <w:r>
        <w:rPr>
          <w:rFonts w:hint="eastAsia" w:hAnsi="宋体" w:cs="宋体"/>
          <w:bCs/>
          <w:color w:val="auto"/>
          <w:highlight w:val="none"/>
          <w:u w:val="single"/>
        </w:rPr>
        <w:t xml:space="preserve">                                                                                        </w:t>
      </w:r>
    </w:p>
    <w:p w14:paraId="40A8D877">
      <w:pPr>
        <w:pStyle w:val="20"/>
        <w:spacing w:line="440" w:lineRule="exact"/>
        <w:ind w:firstLine="420" w:firstLineChars="200"/>
        <w:rPr>
          <w:rFonts w:hint="eastAsia" w:hAnsi="宋体" w:cs="宋体"/>
          <w:bCs/>
          <w:color w:val="auto"/>
          <w:highlight w:val="none"/>
          <w:u w:val="single"/>
        </w:rPr>
      </w:pPr>
      <w:r>
        <w:rPr>
          <w:rFonts w:hint="eastAsia" w:hAnsi="宋体" w:cs="宋体"/>
          <w:bCs/>
          <w:color w:val="auto"/>
          <w:highlight w:val="none"/>
        </w:rPr>
        <w:t>法律依据：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34E52CE4">
      <w:pPr>
        <w:pStyle w:val="20"/>
        <w:spacing w:line="440" w:lineRule="exact"/>
        <w:ind w:left="25" w:leftChars="12" w:firstLine="308" w:firstLineChars="147"/>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04DB8294">
      <w:pPr>
        <w:pStyle w:val="20"/>
        <w:spacing w:line="440" w:lineRule="exact"/>
        <w:ind w:left="25" w:leftChars="12" w:firstLine="413" w:firstLineChars="197"/>
        <w:rPr>
          <w:rFonts w:hint="eastAsia" w:hAnsi="宋体" w:cs="宋体"/>
          <w:bCs/>
          <w:color w:val="auto"/>
          <w:highlight w:val="none"/>
        </w:rPr>
      </w:pPr>
      <w:r>
        <w:rPr>
          <w:rFonts w:hint="eastAsia" w:hAnsi="宋体" w:cs="宋体"/>
          <w:color w:val="auto"/>
          <w:highlight w:val="none"/>
        </w:rPr>
        <w:t xml:space="preserve">投诉事项2  </w:t>
      </w:r>
      <w:r>
        <w:rPr>
          <w:rFonts w:hint="eastAsia" w:hAnsi="宋体" w:cs="宋体"/>
          <w:bCs/>
          <w:color w:val="auto"/>
          <w:highlight w:val="none"/>
        </w:rPr>
        <w:t xml:space="preserve">   </w:t>
      </w:r>
    </w:p>
    <w:p w14:paraId="67248EAB">
      <w:pPr>
        <w:pStyle w:val="20"/>
        <w:spacing w:line="440" w:lineRule="exact"/>
        <w:ind w:left="25" w:leftChars="12" w:firstLine="413" w:firstLineChars="197"/>
        <w:rPr>
          <w:rFonts w:hint="eastAsia" w:hAnsi="宋体" w:cs="宋体"/>
          <w:bCs/>
          <w:color w:val="auto"/>
          <w:highlight w:val="none"/>
        </w:rPr>
      </w:pPr>
      <w:r>
        <w:rPr>
          <w:rFonts w:hint="eastAsia" w:hAnsi="宋体" w:cs="宋体"/>
          <w:bCs/>
          <w:color w:val="auto"/>
          <w:highlight w:val="none"/>
        </w:rPr>
        <w:t>……</w:t>
      </w:r>
    </w:p>
    <w:p w14:paraId="0A683879">
      <w:pPr>
        <w:pStyle w:val="20"/>
        <w:spacing w:line="440" w:lineRule="exact"/>
        <w:ind w:left="25" w:leftChars="12" w:firstLine="413" w:firstLineChars="196"/>
        <w:rPr>
          <w:rFonts w:hint="eastAsia" w:hAnsi="宋体" w:cs="宋体"/>
          <w:b/>
          <w:color w:val="auto"/>
          <w:highlight w:val="none"/>
        </w:rPr>
      </w:pPr>
      <w:r>
        <w:rPr>
          <w:rFonts w:hint="eastAsia" w:hAnsi="宋体" w:cs="宋体"/>
          <w:b/>
          <w:color w:val="auto"/>
          <w:highlight w:val="none"/>
        </w:rPr>
        <w:t>五、与投诉事项相关的投诉请求：</w:t>
      </w:r>
    </w:p>
    <w:p w14:paraId="1F0D1052">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13194705">
      <w:pPr>
        <w:pStyle w:val="20"/>
        <w:spacing w:line="440" w:lineRule="exact"/>
        <w:ind w:left="25" w:leftChars="12" w:firstLine="308" w:firstLineChars="147"/>
        <w:rPr>
          <w:rFonts w:hint="eastAsia" w:hAnsi="宋体" w:cs="宋体"/>
          <w:color w:val="auto"/>
          <w:highlight w:val="none"/>
        </w:rPr>
      </w:pPr>
    </w:p>
    <w:p w14:paraId="40BB6996">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签字（签章）：                                       公章：</w:t>
      </w:r>
    </w:p>
    <w:p w14:paraId="3CF7125D">
      <w:pPr>
        <w:pStyle w:val="20"/>
        <w:spacing w:line="440" w:lineRule="exact"/>
        <w:ind w:left="25" w:leftChars="12" w:firstLine="308" w:firstLineChars="147"/>
        <w:rPr>
          <w:rFonts w:hint="eastAsia" w:hAnsi="宋体" w:cs="宋体"/>
          <w:color w:val="auto"/>
          <w:highlight w:val="none"/>
        </w:rPr>
      </w:pPr>
    </w:p>
    <w:p w14:paraId="21A10FCE">
      <w:pPr>
        <w:pStyle w:val="20"/>
        <w:spacing w:line="440" w:lineRule="exact"/>
        <w:ind w:left="25" w:leftChars="12" w:firstLine="413" w:firstLineChars="197"/>
        <w:rPr>
          <w:rFonts w:hint="eastAsia" w:hAnsi="宋体" w:cs="宋体"/>
          <w:color w:val="auto"/>
          <w:highlight w:val="none"/>
        </w:rPr>
      </w:pPr>
      <w:r>
        <w:rPr>
          <w:rFonts w:hint="eastAsia" w:hAnsi="宋体" w:cs="宋体"/>
          <w:color w:val="auto"/>
          <w:highlight w:val="none"/>
        </w:rPr>
        <w:t>日期：</w:t>
      </w:r>
    </w:p>
    <w:p w14:paraId="79246747">
      <w:pPr>
        <w:pStyle w:val="20"/>
        <w:spacing w:line="440" w:lineRule="exact"/>
        <w:ind w:left="25" w:leftChars="12" w:firstLine="415" w:firstLineChars="197"/>
        <w:rPr>
          <w:rFonts w:hint="eastAsia" w:hAnsi="宋体" w:cs="宋体"/>
          <w:b/>
          <w:color w:val="auto"/>
          <w:highlight w:val="none"/>
        </w:rPr>
      </w:pPr>
      <w:r>
        <w:rPr>
          <w:rFonts w:hint="eastAsia" w:hAnsi="宋体" w:cs="宋体"/>
          <w:b/>
          <w:color w:val="auto"/>
          <w:highlight w:val="none"/>
        </w:rPr>
        <w:t>说明：</w:t>
      </w:r>
    </w:p>
    <w:p w14:paraId="195E817C">
      <w:pPr>
        <w:pStyle w:val="20"/>
        <w:spacing w:line="440" w:lineRule="exact"/>
        <w:ind w:left="25" w:leftChars="12" w:firstLine="310" w:firstLineChars="147"/>
        <w:rPr>
          <w:rFonts w:hint="eastAsia" w:hAnsi="宋体" w:cs="宋体"/>
          <w:b/>
          <w:bCs/>
          <w:color w:val="auto"/>
          <w:highlight w:val="none"/>
        </w:rPr>
      </w:pPr>
      <w:r>
        <w:rPr>
          <w:rFonts w:hint="eastAsia" w:hAnsi="宋体" w:cs="宋体"/>
          <w:b/>
          <w:color w:val="auto"/>
          <w:highlight w:val="none"/>
        </w:rPr>
        <w:t>1.投诉人提起投诉时，应当提交投诉书和必要的证明材料，并按照被投诉人和与投诉事项有关的供应商数量提供投诉书副本</w:t>
      </w:r>
      <w:r>
        <w:rPr>
          <w:rFonts w:hint="eastAsia" w:hAnsi="宋体" w:cs="宋体"/>
          <w:b/>
          <w:bCs/>
          <w:color w:val="auto"/>
          <w:highlight w:val="none"/>
        </w:rPr>
        <w:t>。</w:t>
      </w:r>
    </w:p>
    <w:p w14:paraId="556393B0">
      <w:pPr>
        <w:pStyle w:val="20"/>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854BB2D">
      <w:pPr>
        <w:pStyle w:val="20"/>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3.投诉书应简要列明质疑事项，质疑函、质疑答复等作为附件材料提供。</w:t>
      </w:r>
    </w:p>
    <w:p w14:paraId="3B3A3950">
      <w:pPr>
        <w:pStyle w:val="20"/>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4.投诉书的投诉事项应具体、明确，并有必要的事实依据和法律依据。</w:t>
      </w:r>
    </w:p>
    <w:p w14:paraId="3029669D">
      <w:pPr>
        <w:pStyle w:val="20"/>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5.投诉书的投诉请求应与投诉事项相关。</w:t>
      </w:r>
    </w:p>
    <w:p w14:paraId="79103748">
      <w:pPr>
        <w:pStyle w:val="20"/>
        <w:spacing w:line="440" w:lineRule="exact"/>
        <w:ind w:left="25" w:leftChars="12" w:firstLine="310" w:firstLineChars="147"/>
        <w:rPr>
          <w:rFonts w:hint="eastAsia" w:hAnsi="宋体" w:cs="宋体"/>
          <w:b/>
          <w:color w:val="auto"/>
          <w:highlight w:val="none"/>
        </w:rPr>
      </w:pPr>
      <w:r>
        <w:rPr>
          <w:rFonts w:hint="eastAsia" w:hAnsi="宋体" w:cs="宋体"/>
          <w:b/>
          <w:color w:val="auto"/>
          <w:highlight w:val="none"/>
        </w:rPr>
        <w:t>6.投诉人为法人或者其他组织的，投诉书应由法定代表人、主要负责人，或者其授权代表签字或者盖章，并加盖公章。</w:t>
      </w:r>
      <w:bookmarkEnd w:id="1"/>
      <w:bookmarkEnd w:id="2"/>
      <w:bookmarkEnd w:id="3"/>
      <w:bookmarkEnd w:id="4"/>
    </w:p>
    <w:p w14:paraId="26AFDE4E">
      <w:pPr>
        <w:rPr>
          <w:rFonts w:hint="eastAsia"/>
          <w:color w:val="auto"/>
          <w:highlight w:val="none"/>
        </w:rPr>
      </w:pPr>
    </w:p>
    <w:sectPr>
      <w:footerReference r:id="rId18" w:type="first"/>
      <w:footerReference r:id="rId16" w:type="default"/>
      <w:footerReference r:id="rId17" w:type="even"/>
      <w:pgSz w:w="11906" w:h="16838"/>
      <w:pgMar w:top="1134" w:right="1247" w:bottom="1134" w:left="1417"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0B477F79-A697-4869-B79E-A3CDD0109DE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3106D57-1A8A-4555-AC07-813B8144A578}"/>
  </w:font>
  <w:font w:name="仿宋_GB2312">
    <w:panose1 w:val="02010609030101010101"/>
    <w:charset w:val="86"/>
    <w:family w:val="modern"/>
    <w:pitch w:val="default"/>
    <w:sig w:usb0="00000001" w:usb1="080E0000" w:usb2="00000000" w:usb3="00000000" w:csb0="00040000" w:csb1="00000000"/>
    <w:embedRegular r:id="rId3" w:fontKey="{DD7A51EC-26E9-43CA-97CD-FF168021388D}"/>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4" w:fontKey="{1C5CBA87-BE72-4951-A7C0-21A54464AE8D}"/>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font>
  <w:font w:name="MS Mincho">
    <w:panose1 w:val="02020609040205080304"/>
    <w:charset w:val="80"/>
    <w:family w:val="modern"/>
    <w:pitch w:val="default"/>
    <w:sig w:usb0="A00002BF" w:usb1="68C7FCFB" w:usb2="00000010" w:usb3="00000000" w:csb0="4002009F" w:csb1="DFD70000"/>
    <w:embedRegular r:id="rId5" w:fontKey="{8D669498-27FE-4548-8683-50FC5F4C1CBB}"/>
  </w:font>
  <w:font w:name="Wingdings 2">
    <w:panose1 w:val="05020102010507070707"/>
    <w:charset w:val="00"/>
    <w:family w:val="auto"/>
    <w:pitch w:val="default"/>
    <w:sig w:usb0="00000000" w:usb1="00000000" w:usb2="00000000" w:usb3="00000000" w:csb0="80000000" w:csb1="00000000"/>
    <w:embedRegular r:id="rId6" w:fontKey="{FB15DBB7-F03D-4187-B07A-4FA9B003A2D8}"/>
  </w:font>
  <w:font w:name="方正小标宋_GBK">
    <w:panose1 w:val="02000000000000000000"/>
    <w:charset w:val="86"/>
    <w:family w:val="script"/>
    <w:pitch w:val="default"/>
    <w:sig w:usb0="A00002BF" w:usb1="38CF7CFA" w:usb2="00082016" w:usb3="00000000" w:csb0="00040001" w:csb1="00000000"/>
    <w:embedRegular r:id="rId7" w:fontKey="{611BC3DC-D23F-48EA-A029-83FE87ECB228}"/>
  </w:font>
  <w:font w:name="楷体">
    <w:panose1 w:val="02010609060101010101"/>
    <w:charset w:val="86"/>
    <w:family w:val="modern"/>
    <w:pitch w:val="default"/>
    <w:sig w:usb0="800002BF" w:usb1="38CF7CFA" w:usb2="00000016" w:usb3="00000000" w:csb0="00040001" w:csb1="00000000"/>
    <w:embedRegular r:id="rId8" w:fontKey="{084050A0-58AB-4EFF-A262-8FFBAA2ACEBD}"/>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14D89">
    <w:pPr>
      <w:pStyle w:val="25"/>
      <w:jc w:val="center"/>
    </w:pPr>
  </w:p>
  <w:p w14:paraId="0C169037">
    <w:pPr>
      <w:pStyle w:val="2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B7490">
    <w:pPr>
      <w:pStyle w:val="25"/>
      <w:framePr w:wrap="around" w:vAnchor="text" w:hAnchor="margin" w:xAlign="center" w:y="1"/>
      <w:rPr>
        <w:rStyle w:val="42"/>
      </w:rPr>
    </w:pPr>
    <w:r>
      <w:fldChar w:fldCharType="begin"/>
    </w:r>
    <w:r>
      <w:rPr>
        <w:rStyle w:val="42"/>
      </w:rPr>
      <w:instrText xml:space="preserve">PAGE  </w:instrText>
    </w:r>
    <w:r>
      <w:fldChar w:fldCharType="end"/>
    </w:r>
  </w:p>
  <w:p w14:paraId="534ED80A">
    <w:pPr>
      <w:pStyle w:val="25"/>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957E">
    <w:pPr>
      <w:pStyle w:val="25"/>
      <w:ind w:right="360"/>
      <w:jc w:val="both"/>
      <w:rPr>
        <w:rFonts w:hint="eastAsi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B53D7">
                          <w:pPr>
                            <w:pStyle w:val="25"/>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BDB53D7">
                    <w:pPr>
                      <w:pStyle w:val="25"/>
                    </w:pPr>
                    <w:r>
                      <w:fldChar w:fldCharType="begin"/>
                    </w:r>
                    <w:r>
                      <w:instrText xml:space="preserve"> PAGE  \* MERGEFORMAT </w:instrText>
                    </w:r>
                    <w:r>
                      <w:fldChar w:fldCharType="separate"/>
                    </w:r>
                    <w:r>
                      <w:t>77</w:t>
                    </w:r>
                    <w:r>
                      <w:fldChar w:fldCharType="end"/>
                    </w:r>
                  </w:p>
                </w:txbxContent>
              </v:textbox>
            </v:shape>
          </w:pict>
        </mc:Fallback>
      </mc:AlternateContent>
    </w:r>
    <w:r>
      <w:rPr>
        <w:rFonts w:hint="eastAsia"/>
      </w:rPr>
      <w:t>121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2A29F">
    <w:pPr>
      <w:pStyle w:val="25"/>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9E1A1">
                          <w:pPr>
                            <w:pStyle w:val="25"/>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119E1A1">
                    <w:pPr>
                      <w:pStyle w:val="25"/>
                    </w:pPr>
                    <w:r>
                      <w:fldChar w:fldCharType="begin"/>
                    </w:r>
                    <w:r>
                      <w:instrText xml:space="preserve"> PAGE  \* MERGEFORMAT </w:instrText>
                    </w:r>
                    <w:r>
                      <w:fldChar w:fldCharType="separate"/>
                    </w:r>
                    <w:r>
                      <w:t>78</w:t>
                    </w:r>
                    <w:r>
                      <w:fldChar w:fldCharType="end"/>
                    </w:r>
                  </w:p>
                </w:txbxContent>
              </v:textbox>
            </v:shape>
          </w:pict>
        </mc:Fallback>
      </mc:AlternateContent>
    </w:r>
  </w:p>
  <w:p w14:paraId="38E28A66">
    <w:pPr>
      <w:pStyle w:val="25"/>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42F63">
    <w:pPr>
      <w:pStyle w:val="25"/>
      <w:framePr w:wrap="around" w:vAnchor="text" w:hAnchor="margin" w:xAlign="center" w:y="1"/>
      <w:rPr>
        <w:rStyle w:val="42"/>
      </w:rPr>
    </w:pPr>
    <w:r>
      <w:fldChar w:fldCharType="begin"/>
    </w:r>
    <w:r>
      <w:rPr>
        <w:rStyle w:val="42"/>
      </w:rPr>
      <w:instrText xml:space="preserve">PAGE  </w:instrText>
    </w:r>
    <w:r>
      <w:fldChar w:fldCharType="end"/>
    </w:r>
  </w:p>
  <w:p w14:paraId="73DF2AA3">
    <w:pPr>
      <w:pStyle w:val="25"/>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CCF29">
    <w:pPr>
      <w:pStyle w:val="25"/>
      <w:framePr w:wrap="around" w:vAnchor="text" w:hAnchor="margin" w:xAlign="right" w:y="1"/>
      <w:rPr>
        <w:rStyle w:val="42"/>
      </w:rPr>
    </w:pPr>
    <w:r>
      <w:fldChar w:fldCharType="begin"/>
    </w:r>
    <w:r>
      <w:rPr>
        <w:rStyle w:val="42"/>
      </w:rPr>
      <w:instrText xml:space="preserve">PAGE  </w:instrText>
    </w:r>
    <w:r>
      <w:fldChar w:fldCharType="separate"/>
    </w:r>
    <w:r>
      <w:rPr>
        <w:rStyle w:val="42"/>
      </w:rPr>
      <w:t>122</w:t>
    </w:r>
    <w:r>
      <w:fldChar w:fldCharType="end"/>
    </w:r>
  </w:p>
  <w:p w14:paraId="31AB65B5">
    <w:pPr>
      <w:pStyle w:val="25"/>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B377C">
    <w:pPr>
      <w:pStyle w:val="25"/>
      <w:framePr w:wrap="around" w:vAnchor="text" w:hAnchor="margin" w:xAlign="center" w:y="1"/>
      <w:rPr>
        <w:rStyle w:val="42"/>
      </w:rPr>
    </w:pPr>
    <w:r>
      <w:fldChar w:fldCharType="begin"/>
    </w:r>
    <w:r>
      <w:rPr>
        <w:rStyle w:val="42"/>
      </w:rPr>
      <w:instrText xml:space="preserve">PAGE  </w:instrText>
    </w:r>
    <w:r>
      <w:fldChar w:fldCharType="end"/>
    </w:r>
  </w:p>
  <w:p w14:paraId="27A80B88">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2BB8C">
    <w:pPr>
      <w:pStyle w:val="25"/>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14503">
    <w:pPr>
      <w:pStyle w:val="25"/>
      <w:jc w:val="center"/>
    </w:pPr>
  </w:p>
  <w:p w14:paraId="1CD79FE6">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29E34">
    <w:pPr>
      <w:pStyle w:val="2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56D35">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1156D35">
                    <w:pPr>
                      <w:pStyle w:val="25"/>
                    </w:pPr>
                    <w:r>
                      <w:fldChar w:fldCharType="begin"/>
                    </w:r>
                    <w:r>
                      <w:instrText xml:space="preserve"> PAGE  \* MERGEFORMAT </w:instrText>
                    </w:r>
                    <w:r>
                      <w:fldChar w:fldCharType="separate"/>
                    </w:r>
                    <w:r>
                      <w:t>1</w:t>
                    </w:r>
                    <w:r>
                      <w:fldChar w:fldCharType="end"/>
                    </w:r>
                  </w:p>
                </w:txbxContent>
              </v:textbox>
            </v:shape>
          </w:pict>
        </mc:Fallback>
      </mc:AlternateContent>
    </w:r>
  </w:p>
  <w:p w14:paraId="030803FA">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AE90B">
    <w:pPr>
      <w:pStyle w:val="25"/>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A909C8">
                          <w:pPr>
                            <w:pStyle w:val="2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CA909C8">
                    <w:pPr>
                      <w:pStyle w:val="25"/>
                    </w:pPr>
                    <w:r>
                      <w:fldChar w:fldCharType="begin"/>
                    </w:r>
                    <w:r>
                      <w:instrText xml:space="preserve"> PAGE  \* MERGEFORMAT </w:instrText>
                    </w:r>
                    <w:r>
                      <w:fldChar w:fldCharType="separate"/>
                    </w:r>
                    <w:r>
                      <w:t>45</w:t>
                    </w:r>
                    <w:r>
                      <w:fldChar w:fldCharType="end"/>
                    </w:r>
                  </w:p>
                </w:txbxContent>
              </v:textbox>
            </v:shape>
          </w:pict>
        </mc:Fallback>
      </mc:AlternateContent>
    </w:r>
  </w:p>
  <w:p w14:paraId="6E5FB8A6">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F964">
    <w:pPr>
      <w:pStyle w:val="25"/>
      <w:ind w:right="360"/>
      <w:jc w:val="both"/>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8A332E">
                          <w:pPr>
                            <w:pStyle w:val="2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lCCcgBAACZ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pt6A0ljlsc+OX7t8uPX5efX8ky&#10;y9MHqDHrMWBeGu79gEsz+wGdmfWgos1f5EMwjuKer+LKIRGRH61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NJQgnIAQAAmQMAAA4AAAAAAAAAAQAgAAAAHgEAAGRycy9lMm9Eb2Mu&#10;eG1sUEsFBgAAAAAGAAYAWQEAAFgFAAAAAA==&#10;">
              <v:fill on="f" focussize="0,0"/>
              <v:stroke on="f"/>
              <v:imagedata o:title=""/>
              <o:lock v:ext="edit" aspectratio="f"/>
              <v:textbox inset="0mm,0mm,0mm,0mm" style="mso-fit-shape-to-text:t;">
                <w:txbxContent>
                  <w:p w14:paraId="2F8A332E">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FE2D9">
    <w:pPr>
      <w:pStyle w:val="25"/>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A4492">
                          <w:pPr>
                            <w:pStyle w:val="2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4CA4492">
                    <w:pPr>
                      <w:pStyle w:val="25"/>
                    </w:pPr>
                    <w:r>
                      <w:fldChar w:fldCharType="begin"/>
                    </w:r>
                    <w:r>
                      <w:instrText xml:space="preserve"> PAGE  \* MERGEFORMAT </w:instrText>
                    </w:r>
                    <w:r>
                      <w:fldChar w:fldCharType="separate"/>
                    </w:r>
                    <w:r>
                      <w:t>46</w:t>
                    </w:r>
                    <w:r>
                      <w:fldChar w:fldCharType="end"/>
                    </w:r>
                  </w:p>
                </w:txbxContent>
              </v:textbox>
            </v:shape>
          </w:pict>
        </mc:Fallback>
      </mc:AlternateContent>
    </w:r>
  </w:p>
  <w:p w14:paraId="28D9581D">
    <w:pPr>
      <w:pStyle w:val="2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A354B">
    <w:pPr>
      <w:pStyle w:val="25"/>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DD1BE">
                          <w:pPr>
                            <w:pStyle w:val="2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24DD1BE">
                    <w:pPr>
                      <w:pStyle w:val="25"/>
                    </w:pPr>
                    <w:r>
                      <w:fldChar w:fldCharType="begin"/>
                    </w:r>
                    <w:r>
                      <w:instrText xml:space="preserve"> PAGE  \* MERGEFORMAT </w:instrText>
                    </w:r>
                    <w:r>
                      <w:fldChar w:fldCharType="separate"/>
                    </w:r>
                    <w:r>
                      <w:t>0</w:t>
                    </w:r>
                    <w:r>
                      <w:fldChar w:fldCharType="end"/>
                    </w:r>
                  </w:p>
                </w:txbxContent>
              </v:textbox>
            </v:shape>
          </w:pict>
        </mc:Fallback>
      </mc:AlternateContent>
    </w:r>
  </w:p>
  <w:p w14:paraId="78CE45CC">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2F351">
    <w:pPr>
      <w:pStyle w:val="26"/>
      <w:pBdr>
        <w:bottom w:val="none" w:color="auto" w:sz="0" w:space="0"/>
      </w:pBdr>
      <w:tabs>
        <w:tab w:val="center" w:pos="0"/>
        <w:tab w:val="left" w:pos="8306"/>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68EA2">
    <w:pPr>
      <w:pStyle w:val="26"/>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4E7215"/>
    <w:multiLevelType w:val="singleLevel"/>
    <w:tmpl w:val="FF4E7215"/>
    <w:lvl w:ilvl="0" w:tentative="0">
      <w:start w:val="1"/>
      <w:numFmt w:val="chineseCounting"/>
      <w:suff w:val="nothing"/>
      <w:lvlText w:val="%1、"/>
      <w:lvlJc w:val="left"/>
      <w:rPr>
        <w:rFonts w:hint="eastAsia"/>
      </w:rPr>
    </w:lvl>
  </w:abstractNum>
  <w:abstractNum w:abstractNumId="1">
    <w:nsid w:val="4C601917"/>
    <w:multiLevelType w:val="singleLevel"/>
    <w:tmpl w:val="4C601917"/>
    <w:lvl w:ilvl="0" w:tentative="0">
      <w:start w:val="1"/>
      <w:numFmt w:val="decimal"/>
      <w:suff w:val="nothing"/>
      <w:lvlText w:val="（%1）"/>
      <w:lvlJc w:val="left"/>
    </w:lvl>
  </w:abstractNum>
  <w:abstractNum w:abstractNumId="2">
    <w:nsid w:val="5FABD14B"/>
    <w:multiLevelType w:val="singleLevel"/>
    <w:tmpl w:val="5FABD14B"/>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revisionView w:markup="0"/>
  <w:documentProtection w:edit="readOnly" w:formatting="1" w:enforcement="1" w:cryptProviderType="rsaFull" w:cryptAlgorithmClass="hash" w:cryptAlgorithmType="typeAny" w:cryptAlgorithmSid="4" w:cryptSpinCount="0" w:hash="3VH5wNzU6CQDKBP9ZWJRBLeXwMc=" w:salt="Lp/3o29efiZ3gzohJhFLyQ=="/>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MGM5NzNkMGFmZjdmNjdmOTliN2YyNmZmOTBjMmUifQ=="/>
    <w:docVar w:name="KSO_WPS_MARK_KEY" w:val="34a85f2c-7737-46bb-95af-ad2512184d9f"/>
  </w:docVars>
  <w:rsids>
    <w:rsidRoot w:val="674E6074"/>
    <w:rsid w:val="0000096C"/>
    <w:rsid w:val="00000CDB"/>
    <w:rsid w:val="00001CDA"/>
    <w:rsid w:val="00004344"/>
    <w:rsid w:val="00005909"/>
    <w:rsid w:val="000207D5"/>
    <w:rsid w:val="00022127"/>
    <w:rsid w:val="00024E82"/>
    <w:rsid w:val="00027659"/>
    <w:rsid w:val="00030800"/>
    <w:rsid w:val="00031652"/>
    <w:rsid w:val="00034A7D"/>
    <w:rsid w:val="00035197"/>
    <w:rsid w:val="00035F9C"/>
    <w:rsid w:val="000401CD"/>
    <w:rsid w:val="000404B0"/>
    <w:rsid w:val="0004235B"/>
    <w:rsid w:val="00044EDB"/>
    <w:rsid w:val="00051641"/>
    <w:rsid w:val="00054304"/>
    <w:rsid w:val="000553BC"/>
    <w:rsid w:val="00056551"/>
    <w:rsid w:val="0006218D"/>
    <w:rsid w:val="00063F24"/>
    <w:rsid w:val="00065AF0"/>
    <w:rsid w:val="00066EA9"/>
    <w:rsid w:val="00066FE1"/>
    <w:rsid w:val="00074D5F"/>
    <w:rsid w:val="00076A60"/>
    <w:rsid w:val="00077BF5"/>
    <w:rsid w:val="00081789"/>
    <w:rsid w:val="00085A0D"/>
    <w:rsid w:val="00092A54"/>
    <w:rsid w:val="00092F65"/>
    <w:rsid w:val="0009317E"/>
    <w:rsid w:val="00093B18"/>
    <w:rsid w:val="000946EB"/>
    <w:rsid w:val="00094E84"/>
    <w:rsid w:val="000A6432"/>
    <w:rsid w:val="000A7A4B"/>
    <w:rsid w:val="000B5A03"/>
    <w:rsid w:val="000B7B3B"/>
    <w:rsid w:val="000C1DCC"/>
    <w:rsid w:val="000C302E"/>
    <w:rsid w:val="000C5D44"/>
    <w:rsid w:val="000D5F48"/>
    <w:rsid w:val="000D7284"/>
    <w:rsid w:val="000E6783"/>
    <w:rsid w:val="000F1BBE"/>
    <w:rsid w:val="001031E7"/>
    <w:rsid w:val="00104245"/>
    <w:rsid w:val="001108AC"/>
    <w:rsid w:val="00110A97"/>
    <w:rsid w:val="00110DD2"/>
    <w:rsid w:val="00111240"/>
    <w:rsid w:val="0011187C"/>
    <w:rsid w:val="00116FC9"/>
    <w:rsid w:val="00120C46"/>
    <w:rsid w:val="001251B9"/>
    <w:rsid w:val="00125837"/>
    <w:rsid w:val="001306A8"/>
    <w:rsid w:val="00140B14"/>
    <w:rsid w:val="00140CE8"/>
    <w:rsid w:val="00141619"/>
    <w:rsid w:val="00143DA6"/>
    <w:rsid w:val="00151CEE"/>
    <w:rsid w:val="0015209C"/>
    <w:rsid w:val="001551E7"/>
    <w:rsid w:val="001552B2"/>
    <w:rsid w:val="00155890"/>
    <w:rsid w:val="00170AA7"/>
    <w:rsid w:val="00173852"/>
    <w:rsid w:val="00174F9B"/>
    <w:rsid w:val="00177D95"/>
    <w:rsid w:val="00181460"/>
    <w:rsid w:val="00182C28"/>
    <w:rsid w:val="00190F4C"/>
    <w:rsid w:val="00193D49"/>
    <w:rsid w:val="0019577E"/>
    <w:rsid w:val="001B1366"/>
    <w:rsid w:val="001B2BDE"/>
    <w:rsid w:val="001B2FAE"/>
    <w:rsid w:val="001C097E"/>
    <w:rsid w:val="001C2516"/>
    <w:rsid w:val="001C2E44"/>
    <w:rsid w:val="001D047F"/>
    <w:rsid w:val="001D758B"/>
    <w:rsid w:val="001E0216"/>
    <w:rsid w:val="001E0590"/>
    <w:rsid w:val="001E3E3A"/>
    <w:rsid w:val="001E484E"/>
    <w:rsid w:val="001E4E53"/>
    <w:rsid w:val="001E6153"/>
    <w:rsid w:val="001E6C5D"/>
    <w:rsid w:val="001E7AB6"/>
    <w:rsid w:val="001F330A"/>
    <w:rsid w:val="001F4D3C"/>
    <w:rsid w:val="001F6F77"/>
    <w:rsid w:val="00201770"/>
    <w:rsid w:val="00202F39"/>
    <w:rsid w:val="00204164"/>
    <w:rsid w:val="00204F25"/>
    <w:rsid w:val="00205999"/>
    <w:rsid w:val="00207350"/>
    <w:rsid w:val="00207DB7"/>
    <w:rsid w:val="00213B47"/>
    <w:rsid w:val="00221909"/>
    <w:rsid w:val="002230A4"/>
    <w:rsid w:val="0022698C"/>
    <w:rsid w:val="00227913"/>
    <w:rsid w:val="00231EAB"/>
    <w:rsid w:val="00232E04"/>
    <w:rsid w:val="00236055"/>
    <w:rsid w:val="00236B7D"/>
    <w:rsid w:val="00241686"/>
    <w:rsid w:val="00242C6C"/>
    <w:rsid w:val="00244627"/>
    <w:rsid w:val="002563B4"/>
    <w:rsid w:val="0025753A"/>
    <w:rsid w:val="00262C01"/>
    <w:rsid w:val="002738BD"/>
    <w:rsid w:val="0027629D"/>
    <w:rsid w:val="00281099"/>
    <w:rsid w:val="002867CF"/>
    <w:rsid w:val="00293976"/>
    <w:rsid w:val="00297271"/>
    <w:rsid w:val="002B3400"/>
    <w:rsid w:val="002B4610"/>
    <w:rsid w:val="002C0483"/>
    <w:rsid w:val="002C1328"/>
    <w:rsid w:val="002C2756"/>
    <w:rsid w:val="002C27F2"/>
    <w:rsid w:val="002C38A0"/>
    <w:rsid w:val="002C7DD7"/>
    <w:rsid w:val="002D0079"/>
    <w:rsid w:val="002D05BB"/>
    <w:rsid w:val="002D2EF2"/>
    <w:rsid w:val="002D5E57"/>
    <w:rsid w:val="002E0A18"/>
    <w:rsid w:val="002E6BA4"/>
    <w:rsid w:val="002E7EA0"/>
    <w:rsid w:val="002F320A"/>
    <w:rsid w:val="002F55FD"/>
    <w:rsid w:val="002F667D"/>
    <w:rsid w:val="003014B1"/>
    <w:rsid w:val="003051FD"/>
    <w:rsid w:val="003056DE"/>
    <w:rsid w:val="00305816"/>
    <w:rsid w:val="00315EB2"/>
    <w:rsid w:val="003162D6"/>
    <w:rsid w:val="00316994"/>
    <w:rsid w:val="0031699F"/>
    <w:rsid w:val="00320B19"/>
    <w:rsid w:val="00322C10"/>
    <w:rsid w:val="00327461"/>
    <w:rsid w:val="00330EE9"/>
    <w:rsid w:val="003331F5"/>
    <w:rsid w:val="00337A9F"/>
    <w:rsid w:val="00344631"/>
    <w:rsid w:val="00346976"/>
    <w:rsid w:val="00347950"/>
    <w:rsid w:val="00350024"/>
    <w:rsid w:val="00353905"/>
    <w:rsid w:val="00355191"/>
    <w:rsid w:val="00366E54"/>
    <w:rsid w:val="0037075A"/>
    <w:rsid w:val="00371C87"/>
    <w:rsid w:val="00380673"/>
    <w:rsid w:val="003809BA"/>
    <w:rsid w:val="00384EB6"/>
    <w:rsid w:val="003868E3"/>
    <w:rsid w:val="0039417D"/>
    <w:rsid w:val="003A3917"/>
    <w:rsid w:val="003A622A"/>
    <w:rsid w:val="003B031E"/>
    <w:rsid w:val="003B31F1"/>
    <w:rsid w:val="003B38DA"/>
    <w:rsid w:val="003B7C9A"/>
    <w:rsid w:val="003C027A"/>
    <w:rsid w:val="003C393F"/>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4023A"/>
    <w:rsid w:val="004437ED"/>
    <w:rsid w:val="00443922"/>
    <w:rsid w:val="0044600A"/>
    <w:rsid w:val="00447BDE"/>
    <w:rsid w:val="00450ADB"/>
    <w:rsid w:val="00452102"/>
    <w:rsid w:val="004531C4"/>
    <w:rsid w:val="00455C16"/>
    <w:rsid w:val="0046694A"/>
    <w:rsid w:val="0046760D"/>
    <w:rsid w:val="00467833"/>
    <w:rsid w:val="00474447"/>
    <w:rsid w:val="004771BA"/>
    <w:rsid w:val="004820E2"/>
    <w:rsid w:val="004853B6"/>
    <w:rsid w:val="004861BA"/>
    <w:rsid w:val="00486E44"/>
    <w:rsid w:val="0049027F"/>
    <w:rsid w:val="004925A4"/>
    <w:rsid w:val="004929AD"/>
    <w:rsid w:val="004A0443"/>
    <w:rsid w:val="004A0E38"/>
    <w:rsid w:val="004A5F2A"/>
    <w:rsid w:val="004A6736"/>
    <w:rsid w:val="004B49D2"/>
    <w:rsid w:val="004C5B3E"/>
    <w:rsid w:val="004C75A0"/>
    <w:rsid w:val="004D5AF4"/>
    <w:rsid w:val="004D6E99"/>
    <w:rsid w:val="004E126C"/>
    <w:rsid w:val="004F5BCD"/>
    <w:rsid w:val="004F68CF"/>
    <w:rsid w:val="00501F5C"/>
    <w:rsid w:val="005033B8"/>
    <w:rsid w:val="00503A40"/>
    <w:rsid w:val="00506840"/>
    <w:rsid w:val="00511A25"/>
    <w:rsid w:val="00516FAA"/>
    <w:rsid w:val="00517D40"/>
    <w:rsid w:val="00520861"/>
    <w:rsid w:val="00521880"/>
    <w:rsid w:val="00525C35"/>
    <w:rsid w:val="005279FB"/>
    <w:rsid w:val="00532BF5"/>
    <w:rsid w:val="0053541C"/>
    <w:rsid w:val="005458AD"/>
    <w:rsid w:val="0054778A"/>
    <w:rsid w:val="0055409E"/>
    <w:rsid w:val="00554A36"/>
    <w:rsid w:val="00562514"/>
    <w:rsid w:val="00563274"/>
    <w:rsid w:val="00564C6D"/>
    <w:rsid w:val="005707EB"/>
    <w:rsid w:val="00570DF9"/>
    <w:rsid w:val="005739CF"/>
    <w:rsid w:val="00576E04"/>
    <w:rsid w:val="0057733C"/>
    <w:rsid w:val="00581AC2"/>
    <w:rsid w:val="00583AC0"/>
    <w:rsid w:val="00584BFC"/>
    <w:rsid w:val="005873D0"/>
    <w:rsid w:val="005917A6"/>
    <w:rsid w:val="005932B6"/>
    <w:rsid w:val="00596F89"/>
    <w:rsid w:val="005B53A3"/>
    <w:rsid w:val="005C06FA"/>
    <w:rsid w:val="005C5049"/>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0567"/>
    <w:rsid w:val="00631BAB"/>
    <w:rsid w:val="006324D3"/>
    <w:rsid w:val="00636B69"/>
    <w:rsid w:val="006406A8"/>
    <w:rsid w:val="00640B4E"/>
    <w:rsid w:val="00641D5B"/>
    <w:rsid w:val="00644AAD"/>
    <w:rsid w:val="00647270"/>
    <w:rsid w:val="0065223B"/>
    <w:rsid w:val="00653CDE"/>
    <w:rsid w:val="00656442"/>
    <w:rsid w:val="00661DA0"/>
    <w:rsid w:val="006632E6"/>
    <w:rsid w:val="0066542F"/>
    <w:rsid w:val="00670E85"/>
    <w:rsid w:val="0067703D"/>
    <w:rsid w:val="00677CAF"/>
    <w:rsid w:val="006831E3"/>
    <w:rsid w:val="006867BB"/>
    <w:rsid w:val="00691B1A"/>
    <w:rsid w:val="00695425"/>
    <w:rsid w:val="006A101B"/>
    <w:rsid w:val="006A6DC8"/>
    <w:rsid w:val="006C015A"/>
    <w:rsid w:val="006C2360"/>
    <w:rsid w:val="006C55A9"/>
    <w:rsid w:val="006C5999"/>
    <w:rsid w:val="006D0A1B"/>
    <w:rsid w:val="006D6A62"/>
    <w:rsid w:val="006E4D05"/>
    <w:rsid w:val="006F0015"/>
    <w:rsid w:val="00707FF2"/>
    <w:rsid w:val="00712AF4"/>
    <w:rsid w:val="00715456"/>
    <w:rsid w:val="00717D53"/>
    <w:rsid w:val="0072351B"/>
    <w:rsid w:val="00730FBB"/>
    <w:rsid w:val="0073261C"/>
    <w:rsid w:val="00736625"/>
    <w:rsid w:val="00744B4B"/>
    <w:rsid w:val="00745BFF"/>
    <w:rsid w:val="0074683F"/>
    <w:rsid w:val="007549ED"/>
    <w:rsid w:val="0075643C"/>
    <w:rsid w:val="00756DD1"/>
    <w:rsid w:val="00757B36"/>
    <w:rsid w:val="00761289"/>
    <w:rsid w:val="00761EA6"/>
    <w:rsid w:val="00767154"/>
    <w:rsid w:val="007728DC"/>
    <w:rsid w:val="00773B6C"/>
    <w:rsid w:val="00773FEE"/>
    <w:rsid w:val="00781DF2"/>
    <w:rsid w:val="00790B95"/>
    <w:rsid w:val="007937A3"/>
    <w:rsid w:val="007B4684"/>
    <w:rsid w:val="007C09EA"/>
    <w:rsid w:val="007C2309"/>
    <w:rsid w:val="007C3B9F"/>
    <w:rsid w:val="007C4D61"/>
    <w:rsid w:val="007D5273"/>
    <w:rsid w:val="007D6581"/>
    <w:rsid w:val="007D6EBC"/>
    <w:rsid w:val="007F0A33"/>
    <w:rsid w:val="007F1D2B"/>
    <w:rsid w:val="007F4D7D"/>
    <w:rsid w:val="007F717F"/>
    <w:rsid w:val="00817450"/>
    <w:rsid w:val="008176CE"/>
    <w:rsid w:val="008204EB"/>
    <w:rsid w:val="008232D5"/>
    <w:rsid w:val="00823F88"/>
    <w:rsid w:val="0082700E"/>
    <w:rsid w:val="008300D6"/>
    <w:rsid w:val="00843D45"/>
    <w:rsid w:val="00852105"/>
    <w:rsid w:val="0085544C"/>
    <w:rsid w:val="008604A4"/>
    <w:rsid w:val="008606F1"/>
    <w:rsid w:val="00860D9E"/>
    <w:rsid w:val="00862516"/>
    <w:rsid w:val="0086784A"/>
    <w:rsid w:val="008811BB"/>
    <w:rsid w:val="00884C48"/>
    <w:rsid w:val="0089747C"/>
    <w:rsid w:val="008974F2"/>
    <w:rsid w:val="008A2903"/>
    <w:rsid w:val="008A6ED3"/>
    <w:rsid w:val="008A7438"/>
    <w:rsid w:val="008C3744"/>
    <w:rsid w:val="008C4798"/>
    <w:rsid w:val="008D3FFB"/>
    <w:rsid w:val="008D43F8"/>
    <w:rsid w:val="008D5DE5"/>
    <w:rsid w:val="008D7AB4"/>
    <w:rsid w:val="008E268A"/>
    <w:rsid w:val="008E3451"/>
    <w:rsid w:val="008E53FF"/>
    <w:rsid w:val="00904A9B"/>
    <w:rsid w:val="00905884"/>
    <w:rsid w:val="00920D6C"/>
    <w:rsid w:val="009276D5"/>
    <w:rsid w:val="0093775E"/>
    <w:rsid w:val="00942D58"/>
    <w:rsid w:val="00942FDE"/>
    <w:rsid w:val="00952863"/>
    <w:rsid w:val="009528FA"/>
    <w:rsid w:val="0096166D"/>
    <w:rsid w:val="00986C7E"/>
    <w:rsid w:val="009911B9"/>
    <w:rsid w:val="009924D4"/>
    <w:rsid w:val="009961B0"/>
    <w:rsid w:val="009963BC"/>
    <w:rsid w:val="009A6C00"/>
    <w:rsid w:val="009B644A"/>
    <w:rsid w:val="009B67C7"/>
    <w:rsid w:val="009C3D9F"/>
    <w:rsid w:val="009C60E6"/>
    <w:rsid w:val="009D594D"/>
    <w:rsid w:val="009D5E30"/>
    <w:rsid w:val="009D64B0"/>
    <w:rsid w:val="009D78FE"/>
    <w:rsid w:val="009E0DF2"/>
    <w:rsid w:val="009E2765"/>
    <w:rsid w:val="009E2C4C"/>
    <w:rsid w:val="009E509B"/>
    <w:rsid w:val="009E5F55"/>
    <w:rsid w:val="009F48CE"/>
    <w:rsid w:val="009F5431"/>
    <w:rsid w:val="009F5C57"/>
    <w:rsid w:val="00A079C6"/>
    <w:rsid w:val="00A11791"/>
    <w:rsid w:val="00A15437"/>
    <w:rsid w:val="00A207B9"/>
    <w:rsid w:val="00A317A2"/>
    <w:rsid w:val="00A31C07"/>
    <w:rsid w:val="00A31E32"/>
    <w:rsid w:val="00A35D90"/>
    <w:rsid w:val="00A36574"/>
    <w:rsid w:val="00A37DDB"/>
    <w:rsid w:val="00A37ECC"/>
    <w:rsid w:val="00A41DC7"/>
    <w:rsid w:val="00A4364F"/>
    <w:rsid w:val="00A5424F"/>
    <w:rsid w:val="00A54EBE"/>
    <w:rsid w:val="00A56CB5"/>
    <w:rsid w:val="00A64717"/>
    <w:rsid w:val="00A748C9"/>
    <w:rsid w:val="00A77398"/>
    <w:rsid w:val="00A80C51"/>
    <w:rsid w:val="00A81EDF"/>
    <w:rsid w:val="00A83A62"/>
    <w:rsid w:val="00A929CC"/>
    <w:rsid w:val="00A9536F"/>
    <w:rsid w:val="00A95495"/>
    <w:rsid w:val="00A955F2"/>
    <w:rsid w:val="00A975B7"/>
    <w:rsid w:val="00AA0FBE"/>
    <w:rsid w:val="00AA4479"/>
    <w:rsid w:val="00AA48D1"/>
    <w:rsid w:val="00AB7E31"/>
    <w:rsid w:val="00AC1E51"/>
    <w:rsid w:val="00AD2F5B"/>
    <w:rsid w:val="00AD464B"/>
    <w:rsid w:val="00AD6A4F"/>
    <w:rsid w:val="00AD7E81"/>
    <w:rsid w:val="00AE0FF5"/>
    <w:rsid w:val="00AE127D"/>
    <w:rsid w:val="00AF12E5"/>
    <w:rsid w:val="00AF1624"/>
    <w:rsid w:val="00AF7D70"/>
    <w:rsid w:val="00B017FE"/>
    <w:rsid w:val="00B05D04"/>
    <w:rsid w:val="00B17E63"/>
    <w:rsid w:val="00B17F7F"/>
    <w:rsid w:val="00B20869"/>
    <w:rsid w:val="00B211ED"/>
    <w:rsid w:val="00B319D0"/>
    <w:rsid w:val="00B31F82"/>
    <w:rsid w:val="00B33AE6"/>
    <w:rsid w:val="00B33B3B"/>
    <w:rsid w:val="00B52B37"/>
    <w:rsid w:val="00B548FD"/>
    <w:rsid w:val="00B556FB"/>
    <w:rsid w:val="00B56361"/>
    <w:rsid w:val="00B61746"/>
    <w:rsid w:val="00B62005"/>
    <w:rsid w:val="00B67234"/>
    <w:rsid w:val="00B67934"/>
    <w:rsid w:val="00B76FFB"/>
    <w:rsid w:val="00B7795B"/>
    <w:rsid w:val="00B77961"/>
    <w:rsid w:val="00B803FE"/>
    <w:rsid w:val="00B84C74"/>
    <w:rsid w:val="00B94CF1"/>
    <w:rsid w:val="00BA2379"/>
    <w:rsid w:val="00BA6F13"/>
    <w:rsid w:val="00BB3A8E"/>
    <w:rsid w:val="00BB5CD0"/>
    <w:rsid w:val="00BB7111"/>
    <w:rsid w:val="00BC0690"/>
    <w:rsid w:val="00BC2A7B"/>
    <w:rsid w:val="00BC4D83"/>
    <w:rsid w:val="00BC6D1F"/>
    <w:rsid w:val="00BD1CD3"/>
    <w:rsid w:val="00BE0F5B"/>
    <w:rsid w:val="00BE242C"/>
    <w:rsid w:val="00BF061C"/>
    <w:rsid w:val="00BF2DE4"/>
    <w:rsid w:val="00BF4E4B"/>
    <w:rsid w:val="00BF7045"/>
    <w:rsid w:val="00C03881"/>
    <w:rsid w:val="00C03EC3"/>
    <w:rsid w:val="00C051BA"/>
    <w:rsid w:val="00C052AB"/>
    <w:rsid w:val="00C114D9"/>
    <w:rsid w:val="00C115C2"/>
    <w:rsid w:val="00C12A33"/>
    <w:rsid w:val="00C20A8B"/>
    <w:rsid w:val="00C234FA"/>
    <w:rsid w:val="00C31DD3"/>
    <w:rsid w:val="00C32BEA"/>
    <w:rsid w:val="00C3405B"/>
    <w:rsid w:val="00C510B7"/>
    <w:rsid w:val="00C5115E"/>
    <w:rsid w:val="00C54574"/>
    <w:rsid w:val="00C67F26"/>
    <w:rsid w:val="00C72985"/>
    <w:rsid w:val="00C73607"/>
    <w:rsid w:val="00C7554B"/>
    <w:rsid w:val="00C7749B"/>
    <w:rsid w:val="00C806B6"/>
    <w:rsid w:val="00C82DE7"/>
    <w:rsid w:val="00C90F87"/>
    <w:rsid w:val="00C91EA9"/>
    <w:rsid w:val="00CB10A1"/>
    <w:rsid w:val="00CB1671"/>
    <w:rsid w:val="00CB3128"/>
    <w:rsid w:val="00CB582D"/>
    <w:rsid w:val="00CB63FC"/>
    <w:rsid w:val="00CB78F3"/>
    <w:rsid w:val="00CC1E96"/>
    <w:rsid w:val="00CC7527"/>
    <w:rsid w:val="00CD60E2"/>
    <w:rsid w:val="00CD79F0"/>
    <w:rsid w:val="00CE0705"/>
    <w:rsid w:val="00CF37DE"/>
    <w:rsid w:val="00CF45D0"/>
    <w:rsid w:val="00CF4883"/>
    <w:rsid w:val="00CF6FCC"/>
    <w:rsid w:val="00D06972"/>
    <w:rsid w:val="00D21461"/>
    <w:rsid w:val="00D22BE5"/>
    <w:rsid w:val="00D30B85"/>
    <w:rsid w:val="00D37A63"/>
    <w:rsid w:val="00D44310"/>
    <w:rsid w:val="00D44681"/>
    <w:rsid w:val="00D44B33"/>
    <w:rsid w:val="00D536B1"/>
    <w:rsid w:val="00D556A1"/>
    <w:rsid w:val="00D563C2"/>
    <w:rsid w:val="00D57164"/>
    <w:rsid w:val="00D57281"/>
    <w:rsid w:val="00D65967"/>
    <w:rsid w:val="00D732AF"/>
    <w:rsid w:val="00D777F1"/>
    <w:rsid w:val="00D8185B"/>
    <w:rsid w:val="00D8194A"/>
    <w:rsid w:val="00D82F3E"/>
    <w:rsid w:val="00D969A3"/>
    <w:rsid w:val="00DA584A"/>
    <w:rsid w:val="00DB6895"/>
    <w:rsid w:val="00DC4C07"/>
    <w:rsid w:val="00DC7AB8"/>
    <w:rsid w:val="00DD525D"/>
    <w:rsid w:val="00DD5508"/>
    <w:rsid w:val="00DE0E0D"/>
    <w:rsid w:val="00DE1C4D"/>
    <w:rsid w:val="00DE5E63"/>
    <w:rsid w:val="00DE675A"/>
    <w:rsid w:val="00E135DB"/>
    <w:rsid w:val="00E1452E"/>
    <w:rsid w:val="00E235C9"/>
    <w:rsid w:val="00E375E1"/>
    <w:rsid w:val="00E40A3B"/>
    <w:rsid w:val="00E42CD9"/>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2CB5"/>
    <w:rsid w:val="00F072C2"/>
    <w:rsid w:val="00F07DE8"/>
    <w:rsid w:val="00F07F4C"/>
    <w:rsid w:val="00F1066F"/>
    <w:rsid w:val="00F21207"/>
    <w:rsid w:val="00F5110A"/>
    <w:rsid w:val="00F52FF2"/>
    <w:rsid w:val="00F53FD4"/>
    <w:rsid w:val="00F56BEA"/>
    <w:rsid w:val="00F72D89"/>
    <w:rsid w:val="00F74F31"/>
    <w:rsid w:val="00F95FE2"/>
    <w:rsid w:val="00FA0D4F"/>
    <w:rsid w:val="00FA3C12"/>
    <w:rsid w:val="00FB02D1"/>
    <w:rsid w:val="00FB3A1E"/>
    <w:rsid w:val="00FB3C91"/>
    <w:rsid w:val="00FB4DCC"/>
    <w:rsid w:val="00FB6647"/>
    <w:rsid w:val="00FD3F1A"/>
    <w:rsid w:val="00FD442A"/>
    <w:rsid w:val="00FD6406"/>
    <w:rsid w:val="00FD72DA"/>
    <w:rsid w:val="00FE5FE9"/>
    <w:rsid w:val="00FE7D94"/>
    <w:rsid w:val="00FF0F02"/>
    <w:rsid w:val="00FF7F1F"/>
    <w:rsid w:val="011860F2"/>
    <w:rsid w:val="0158697D"/>
    <w:rsid w:val="01773477"/>
    <w:rsid w:val="01D029AF"/>
    <w:rsid w:val="0273010D"/>
    <w:rsid w:val="029D5DD2"/>
    <w:rsid w:val="0454399B"/>
    <w:rsid w:val="048242EB"/>
    <w:rsid w:val="049360A4"/>
    <w:rsid w:val="04E8759B"/>
    <w:rsid w:val="04FC07BA"/>
    <w:rsid w:val="054865A0"/>
    <w:rsid w:val="05C21244"/>
    <w:rsid w:val="05FC0E73"/>
    <w:rsid w:val="06023C82"/>
    <w:rsid w:val="060A00C1"/>
    <w:rsid w:val="064029FC"/>
    <w:rsid w:val="06581AF4"/>
    <w:rsid w:val="06D422E1"/>
    <w:rsid w:val="07250EAC"/>
    <w:rsid w:val="076B5857"/>
    <w:rsid w:val="078B0F5C"/>
    <w:rsid w:val="07F46FDB"/>
    <w:rsid w:val="08600EA9"/>
    <w:rsid w:val="08A53DB0"/>
    <w:rsid w:val="08AB2AB1"/>
    <w:rsid w:val="09073395"/>
    <w:rsid w:val="09774AE0"/>
    <w:rsid w:val="09CD219B"/>
    <w:rsid w:val="09E42488"/>
    <w:rsid w:val="09ED576F"/>
    <w:rsid w:val="0A2A0535"/>
    <w:rsid w:val="0D116C13"/>
    <w:rsid w:val="0F1108C5"/>
    <w:rsid w:val="0F516A6F"/>
    <w:rsid w:val="0F9D471D"/>
    <w:rsid w:val="0FC83FB9"/>
    <w:rsid w:val="0FF1073D"/>
    <w:rsid w:val="0FF3DB4C"/>
    <w:rsid w:val="10524248"/>
    <w:rsid w:val="10525806"/>
    <w:rsid w:val="11311100"/>
    <w:rsid w:val="125E0EE8"/>
    <w:rsid w:val="13B65E3E"/>
    <w:rsid w:val="141679BD"/>
    <w:rsid w:val="14583CD7"/>
    <w:rsid w:val="148126CD"/>
    <w:rsid w:val="14DE2927"/>
    <w:rsid w:val="14F267F7"/>
    <w:rsid w:val="153A3533"/>
    <w:rsid w:val="153F686E"/>
    <w:rsid w:val="16594757"/>
    <w:rsid w:val="168503A9"/>
    <w:rsid w:val="16C90EF1"/>
    <w:rsid w:val="17281EC0"/>
    <w:rsid w:val="181E6DC2"/>
    <w:rsid w:val="18673E19"/>
    <w:rsid w:val="19017059"/>
    <w:rsid w:val="1953639C"/>
    <w:rsid w:val="1A167B3A"/>
    <w:rsid w:val="1C202209"/>
    <w:rsid w:val="1EFB6726"/>
    <w:rsid w:val="1F626C6C"/>
    <w:rsid w:val="1F9D2AC7"/>
    <w:rsid w:val="1FBA5176"/>
    <w:rsid w:val="1FC529BC"/>
    <w:rsid w:val="1FD746B4"/>
    <w:rsid w:val="1FEFCCB5"/>
    <w:rsid w:val="20B117B1"/>
    <w:rsid w:val="20DD55C0"/>
    <w:rsid w:val="216750D4"/>
    <w:rsid w:val="22557C1D"/>
    <w:rsid w:val="226B7889"/>
    <w:rsid w:val="22E33BF0"/>
    <w:rsid w:val="23134263"/>
    <w:rsid w:val="23897365"/>
    <w:rsid w:val="23B858BF"/>
    <w:rsid w:val="23C120FD"/>
    <w:rsid w:val="243D3F18"/>
    <w:rsid w:val="245B3C6C"/>
    <w:rsid w:val="25100723"/>
    <w:rsid w:val="25A6165F"/>
    <w:rsid w:val="25AD0C5F"/>
    <w:rsid w:val="28A736BD"/>
    <w:rsid w:val="296BB099"/>
    <w:rsid w:val="29C64C71"/>
    <w:rsid w:val="2A377AEF"/>
    <w:rsid w:val="2A5176CA"/>
    <w:rsid w:val="2A691C72"/>
    <w:rsid w:val="2B2E2565"/>
    <w:rsid w:val="2B432221"/>
    <w:rsid w:val="2B514BE0"/>
    <w:rsid w:val="2C2E1B5B"/>
    <w:rsid w:val="2C680449"/>
    <w:rsid w:val="2CD7C151"/>
    <w:rsid w:val="2D102879"/>
    <w:rsid w:val="2DA04005"/>
    <w:rsid w:val="2DBD77FE"/>
    <w:rsid w:val="2E5B9BA0"/>
    <w:rsid w:val="2F200587"/>
    <w:rsid w:val="2F670013"/>
    <w:rsid w:val="2F8B225B"/>
    <w:rsid w:val="2FAD1A94"/>
    <w:rsid w:val="2FEFC2F3"/>
    <w:rsid w:val="314865E7"/>
    <w:rsid w:val="31EB695A"/>
    <w:rsid w:val="32422B29"/>
    <w:rsid w:val="32957E77"/>
    <w:rsid w:val="3355309F"/>
    <w:rsid w:val="33945FB2"/>
    <w:rsid w:val="340116DE"/>
    <w:rsid w:val="348E2A01"/>
    <w:rsid w:val="34931AF9"/>
    <w:rsid w:val="34997DA3"/>
    <w:rsid w:val="35A74912"/>
    <w:rsid w:val="35CB5EC9"/>
    <w:rsid w:val="35F13A8D"/>
    <w:rsid w:val="37F79384"/>
    <w:rsid w:val="3891265A"/>
    <w:rsid w:val="389E51DD"/>
    <w:rsid w:val="38E65C15"/>
    <w:rsid w:val="39A35D51"/>
    <w:rsid w:val="3A1E3E07"/>
    <w:rsid w:val="3BCE327C"/>
    <w:rsid w:val="3BE7397C"/>
    <w:rsid w:val="3BEF5521"/>
    <w:rsid w:val="3BFB1F28"/>
    <w:rsid w:val="3C345451"/>
    <w:rsid w:val="3C535D05"/>
    <w:rsid w:val="3CED6733"/>
    <w:rsid w:val="3CEDC617"/>
    <w:rsid w:val="3DD267F6"/>
    <w:rsid w:val="3DFE9ABB"/>
    <w:rsid w:val="3DFFEB30"/>
    <w:rsid w:val="3E9D7E49"/>
    <w:rsid w:val="3F283A52"/>
    <w:rsid w:val="3F73C410"/>
    <w:rsid w:val="3F9F3F3B"/>
    <w:rsid w:val="3FBF2F9F"/>
    <w:rsid w:val="3FDA1813"/>
    <w:rsid w:val="3FEF1A11"/>
    <w:rsid w:val="3FFF1064"/>
    <w:rsid w:val="402107A3"/>
    <w:rsid w:val="402E5572"/>
    <w:rsid w:val="40586E6A"/>
    <w:rsid w:val="407C4056"/>
    <w:rsid w:val="41236113"/>
    <w:rsid w:val="44CA4BFA"/>
    <w:rsid w:val="472F6562"/>
    <w:rsid w:val="47354F5E"/>
    <w:rsid w:val="47571378"/>
    <w:rsid w:val="475A67D9"/>
    <w:rsid w:val="481E2039"/>
    <w:rsid w:val="48B06FCF"/>
    <w:rsid w:val="49276B29"/>
    <w:rsid w:val="49767CBB"/>
    <w:rsid w:val="49F92A0D"/>
    <w:rsid w:val="4A2A2D74"/>
    <w:rsid w:val="4AE73BD6"/>
    <w:rsid w:val="4B3C0380"/>
    <w:rsid w:val="4B8D6ED7"/>
    <w:rsid w:val="4BBFF9D8"/>
    <w:rsid w:val="4CCF0728"/>
    <w:rsid w:val="4D083EE4"/>
    <w:rsid w:val="4D2A667E"/>
    <w:rsid w:val="4D44414D"/>
    <w:rsid w:val="4D792F09"/>
    <w:rsid w:val="4DD112ED"/>
    <w:rsid w:val="4E3C79A4"/>
    <w:rsid w:val="4E9B7A20"/>
    <w:rsid w:val="4EBA46BC"/>
    <w:rsid w:val="4F7F67F5"/>
    <w:rsid w:val="4F9C3DCC"/>
    <w:rsid w:val="502033FA"/>
    <w:rsid w:val="504970E8"/>
    <w:rsid w:val="50734954"/>
    <w:rsid w:val="51D05F5C"/>
    <w:rsid w:val="51ED5012"/>
    <w:rsid w:val="52036385"/>
    <w:rsid w:val="52EDEAE4"/>
    <w:rsid w:val="52F1442F"/>
    <w:rsid w:val="54BC0A6D"/>
    <w:rsid w:val="557FE35F"/>
    <w:rsid w:val="562C1AC3"/>
    <w:rsid w:val="56901E7C"/>
    <w:rsid w:val="56AA6DC0"/>
    <w:rsid w:val="56F4747D"/>
    <w:rsid w:val="57BF220A"/>
    <w:rsid w:val="57D06FC9"/>
    <w:rsid w:val="583059FA"/>
    <w:rsid w:val="588D1243"/>
    <w:rsid w:val="589E5842"/>
    <w:rsid w:val="59476CE1"/>
    <w:rsid w:val="5981360E"/>
    <w:rsid w:val="599A26EE"/>
    <w:rsid w:val="59A85A64"/>
    <w:rsid w:val="5A3F1E2F"/>
    <w:rsid w:val="5A3F55B1"/>
    <w:rsid w:val="5A851007"/>
    <w:rsid w:val="5B070DB8"/>
    <w:rsid w:val="5B5B53A7"/>
    <w:rsid w:val="5B860DDB"/>
    <w:rsid w:val="5C1B120C"/>
    <w:rsid w:val="5C5AE6E2"/>
    <w:rsid w:val="5CEE19DF"/>
    <w:rsid w:val="5D373670"/>
    <w:rsid w:val="5D4E7D75"/>
    <w:rsid w:val="5DD21301"/>
    <w:rsid w:val="5DFD562E"/>
    <w:rsid w:val="5E911FD2"/>
    <w:rsid w:val="5EDFCD1F"/>
    <w:rsid w:val="5EE79FA9"/>
    <w:rsid w:val="5EEFF9A4"/>
    <w:rsid w:val="5F5FD955"/>
    <w:rsid w:val="5F6298F0"/>
    <w:rsid w:val="5F730B17"/>
    <w:rsid w:val="5FE222B0"/>
    <w:rsid w:val="5FF13F50"/>
    <w:rsid w:val="5FF90DD7"/>
    <w:rsid w:val="5FFF488E"/>
    <w:rsid w:val="611449CF"/>
    <w:rsid w:val="62771C70"/>
    <w:rsid w:val="62917FA7"/>
    <w:rsid w:val="62A02B74"/>
    <w:rsid w:val="62D5FBF8"/>
    <w:rsid w:val="639255FF"/>
    <w:rsid w:val="63DF45AD"/>
    <w:rsid w:val="63FBC993"/>
    <w:rsid w:val="640F074A"/>
    <w:rsid w:val="64254EAF"/>
    <w:rsid w:val="646802C9"/>
    <w:rsid w:val="64F32289"/>
    <w:rsid w:val="65164566"/>
    <w:rsid w:val="65570298"/>
    <w:rsid w:val="668B029F"/>
    <w:rsid w:val="66FB0053"/>
    <w:rsid w:val="674E6074"/>
    <w:rsid w:val="675B5AF4"/>
    <w:rsid w:val="67FB5019"/>
    <w:rsid w:val="695BB1D4"/>
    <w:rsid w:val="69814D1C"/>
    <w:rsid w:val="6AFA4B12"/>
    <w:rsid w:val="6BA25323"/>
    <w:rsid w:val="6BF3E2F6"/>
    <w:rsid w:val="6C6E7C95"/>
    <w:rsid w:val="6CDE2F30"/>
    <w:rsid w:val="6CE1142C"/>
    <w:rsid w:val="6E7042BE"/>
    <w:rsid w:val="6ECF7BC3"/>
    <w:rsid w:val="6EFAF78D"/>
    <w:rsid w:val="6FA86B63"/>
    <w:rsid w:val="6FC6668A"/>
    <w:rsid w:val="6FDF14E9"/>
    <w:rsid w:val="6FED4D6D"/>
    <w:rsid w:val="70197D15"/>
    <w:rsid w:val="70AF02E3"/>
    <w:rsid w:val="717F3BC0"/>
    <w:rsid w:val="721750DD"/>
    <w:rsid w:val="72BF1FCE"/>
    <w:rsid w:val="72C94CF1"/>
    <w:rsid w:val="72F5356C"/>
    <w:rsid w:val="73A04113"/>
    <w:rsid w:val="73CB4618"/>
    <w:rsid w:val="7412724B"/>
    <w:rsid w:val="753B31CC"/>
    <w:rsid w:val="75457F23"/>
    <w:rsid w:val="75BE67E2"/>
    <w:rsid w:val="760477CC"/>
    <w:rsid w:val="76B40249"/>
    <w:rsid w:val="76D4775F"/>
    <w:rsid w:val="772D0330"/>
    <w:rsid w:val="77BEE305"/>
    <w:rsid w:val="77C7C393"/>
    <w:rsid w:val="78842536"/>
    <w:rsid w:val="78A02B71"/>
    <w:rsid w:val="78E421E4"/>
    <w:rsid w:val="79386064"/>
    <w:rsid w:val="796F6888"/>
    <w:rsid w:val="797FB9F1"/>
    <w:rsid w:val="7A74049B"/>
    <w:rsid w:val="7A7BEAE1"/>
    <w:rsid w:val="7ADB01BA"/>
    <w:rsid w:val="7B9D3E44"/>
    <w:rsid w:val="7BF71461"/>
    <w:rsid w:val="7BFD6527"/>
    <w:rsid w:val="7BFF9226"/>
    <w:rsid w:val="7CA64A0C"/>
    <w:rsid w:val="7D174734"/>
    <w:rsid w:val="7D5FC7AA"/>
    <w:rsid w:val="7D7F8110"/>
    <w:rsid w:val="7E8A580B"/>
    <w:rsid w:val="7EEB0868"/>
    <w:rsid w:val="7EFB5872"/>
    <w:rsid w:val="7F127358"/>
    <w:rsid w:val="7F3BC860"/>
    <w:rsid w:val="7F93278A"/>
    <w:rsid w:val="7FA724B5"/>
    <w:rsid w:val="7FAEFB36"/>
    <w:rsid w:val="7FB7099D"/>
    <w:rsid w:val="7FBF5D90"/>
    <w:rsid w:val="7FC332BE"/>
    <w:rsid w:val="7FEBFF11"/>
    <w:rsid w:val="7FEE645C"/>
    <w:rsid w:val="7FEF4FC9"/>
    <w:rsid w:val="7FFC1BA7"/>
    <w:rsid w:val="7FFD580B"/>
    <w:rsid w:val="7FFF7A26"/>
    <w:rsid w:val="91BFCEDA"/>
    <w:rsid w:val="9CDDEB6B"/>
    <w:rsid w:val="9D772ED4"/>
    <w:rsid w:val="9FD3BA3B"/>
    <w:rsid w:val="B6BD8DA3"/>
    <w:rsid w:val="BC6352AA"/>
    <w:rsid w:val="BF7B88CA"/>
    <w:rsid w:val="BFDBFA19"/>
    <w:rsid w:val="BFE32992"/>
    <w:rsid w:val="CBAF4DC6"/>
    <w:rsid w:val="CFFFF43D"/>
    <w:rsid w:val="D3EF966B"/>
    <w:rsid w:val="D77B42A5"/>
    <w:rsid w:val="D93F4E73"/>
    <w:rsid w:val="DC92937D"/>
    <w:rsid w:val="DD99576F"/>
    <w:rsid w:val="DDDD4EF9"/>
    <w:rsid w:val="DDF704E1"/>
    <w:rsid w:val="DDFF1147"/>
    <w:rsid w:val="DE6F9769"/>
    <w:rsid w:val="DEFF4A5A"/>
    <w:rsid w:val="DF63ED10"/>
    <w:rsid w:val="DF6B3423"/>
    <w:rsid w:val="DFEC5703"/>
    <w:rsid w:val="DFFBD87E"/>
    <w:rsid w:val="E3CF0FAD"/>
    <w:rsid w:val="E3CF578B"/>
    <w:rsid w:val="EAF7495B"/>
    <w:rsid w:val="EBF7B3A1"/>
    <w:rsid w:val="EDEBEE9E"/>
    <w:rsid w:val="EDED6DA0"/>
    <w:rsid w:val="EDFB16D4"/>
    <w:rsid w:val="EDFFB571"/>
    <w:rsid w:val="EEF73E40"/>
    <w:rsid w:val="EEFD3D26"/>
    <w:rsid w:val="EF5DD46A"/>
    <w:rsid w:val="EF796786"/>
    <w:rsid w:val="EFA2B110"/>
    <w:rsid w:val="EFBBCF13"/>
    <w:rsid w:val="F2DE6962"/>
    <w:rsid w:val="F37FE15C"/>
    <w:rsid w:val="F3DF0C3E"/>
    <w:rsid w:val="F3FFBFF6"/>
    <w:rsid w:val="F4777181"/>
    <w:rsid w:val="F4EB8BEE"/>
    <w:rsid w:val="F6FDE3EB"/>
    <w:rsid w:val="F72F6CAB"/>
    <w:rsid w:val="F7D9F08F"/>
    <w:rsid w:val="F7E03110"/>
    <w:rsid w:val="F7FB4D35"/>
    <w:rsid w:val="F7FDC7C3"/>
    <w:rsid w:val="F9CC0582"/>
    <w:rsid w:val="FAE78D3A"/>
    <w:rsid w:val="FAECD66A"/>
    <w:rsid w:val="FB7FAD1B"/>
    <w:rsid w:val="FB9FDF59"/>
    <w:rsid w:val="FBDB4CA7"/>
    <w:rsid w:val="FBEEC894"/>
    <w:rsid w:val="FBFFC8CA"/>
    <w:rsid w:val="FBFFEFCA"/>
    <w:rsid w:val="FD2F4865"/>
    <w:rsid w:val="FD55D02E"/>
    <w:rsid w:val="FD5F7BD3"/>
    <w:rsid w:val="FD758C57"/>
    <w:rsid w:val="FDB6F38A"/>
    <w:rsid w:val="FEDF29EB"/>
    <w:rsid w:val="FEFFF9E4"/>
    <w:rsid w:val="FFBB52C3"/>
    <w:rsid w:val="FFBD9680"/>
    <w:rsid w:val="FFC6FB57"/>
    <w:rsid w:val="FFF426A5"/>
    <w:rsid w:val="FFFB8F19"/>
    <w:rsid w:val="FFFC05FB"/>
    <w:rsid w:val="FFFD8CC8"/>
    <w:rsid w:val="FFFF03D8"/>
    <w:rsid w:val="FFFF2F42"/>
    <w:rsid w:val="FFFFA0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51"/>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2"/>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53"/>
    <w:qFormat/>
    <w:uiPriority w:val="0"/>
    <w:pPr>
      <w:keepNext/>
      <w:keepLines/>
      <w:spacing w:before="280" w:after="290" w:line="376" w:lineRule="auto"/>
      <w:outlineLvl w:val="4"/>
    </w:pPr>
    <w:rPr>
      <w:b/>
      <w:bCs/>
      <w:sz w:val="28"/>
      <w:szCs w:val="28"/>
    </w:rPr>
  </w:style>
  <w:style w:type="character" w:default="1" w:styleId="40">
    <w:name w:val="Default Paragraph Font"/>
    <w:semiHidden/>
    <w:qFormat/>
    <w:uiPriority w:val="0"/>
  </w:style>
  <w:style w:type="table" w:default="1" w:styleId="38">
    <w:name w:val="Normal Table"/>
    <w:semiHidden/>
    <w:qFormat/>
    <w:uiPriority w:val="0"/>
    <w:tblPr>
      <w:tblCellMar>
        <w:top w:w="0" w:type="dxa"/>
        <w:left w:w="108" w:type="dxa"/>
        <w:bottom w:w="0" w:type="dxa"/>
        <w:right w:w="108" w:type="dxa"/>
      </w:tblCellMar>
    </w:tblPr>
  </w:style>
  <w:style w:type="paragraph" w:styleId="7">
    <w:name w:val="toc 7"/>
    <w:basedOn w:val="1"/>
    <w:next w:val="1"/>
    <w:qFormat/>
    <w:uiPriority w:val="0"/>
    <w:pPr>
      <w:jc w:val="left"/>
    </w:pPr>
    <w:rPr>
      <w:rFonts w:ascii="Calibri" w:hAnsi="Calibri"/>
      <w:sz w:val="22"/>
      <w:szCs w:val="22"/>
    </w:rPr>
  </w:style>
  <w:style w:type="paragraph" w:styleId="8">
    <w:name w:val="index 8"/>
    <w:basedOn w:val="1"/>
    <w:next w:val="1"/>
    <w:semiHidden/>
    <w:qFormat/>
    <w:uiPriority w:val="99"/>
    <w:pPr>
      <w:adjustRightInd w:val="0"/>
      <w:spacing w:line="360" w:lineRule="atLeast"/>
      <w:ind w:left="2940"/>
      <w:textAlignment w:val="baseline"/>
    </w:pPr>
  </w:style>
  <w:style w:type="paragraph" w:styleId="9">
    <w:name w:val="Normal Indent"/>
    <w:basedOn w:val="1"/>
    <w:qFormat/>
    <w:uiPriority w:val="0"/>
    <w:pPr>
      <w:ind w:firstLine="420"/>
    </w:pPr>
    <w:rPr>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54"/>
    <w:qFormat/>
    <w:uiPriority w:val="0"/>
    <w:rPr>
      <w:rFonts w:ascii="宋体"/>
      <w:sz w:val="18"/>
      <w:szCs w:val="18"/>
    </w:rPr>
  </w:style>
  <w:style w:type="paragraph" w:styleId="12">
    <w:name w:val="annotation text"/>
    <w:basedOn w:val="1"/>
    <w:link w:val="55"/>
    <w:qFormat/>
    <w:uiPriority w:val="0"/>
    <w:pPr>
      <w:jc w:val="left"/>
    </w:pPr>
  </w:style>
  <w:style w:type="paragraph" w:styleId="13">
    <w:name w:val="index 6"/>
    <w:basedOn w:val="1"/>
    <w:next w:val="1"/>
    <w:qFormat/>
    <w:uiPriority w:val="0"/>
    <w:pPr>
      <w:ind w:left="2100"/>
    </w:pPr>
    <w:rPr>
      <w:rFonts w:ascii="Times New Roman" w:hAnsi="Times New Roman"/>
    </w:rPr>
  </w:style>
  <w:style w:type="paragraph" w:styleId="14">
    <w:name w:val="Body Text 3"/>
    <w:basedOn w:val="1"/>
    <w:link w:val="56"/>
    <w:qFormat/>
    <w:uiPriority w:val="0"/>
    <w:pPr>
      <w:spacing w:after="120"/>
    </w:pPr>
    <w:rPr>
      <w:sz w:val="16"/>
      <w:szCs w:val="16"/>
    </w:rPr>
  </w:style>
  <w:style w:type="paragraph" w:styleId="15">
    <w:name w:val="Body Text"/>
    <w:basedOn w:val="1"/>
    <w:link w:val="57"/>
    <w:qFormat/>
    <w:uiPriority w:val="0"/>
    <w:pPr>
      <w:spacing w:after="120"/>
    </w:pPr>
  </w:style>
  <w:style w:type="paragraph" w:styleId="16">
    <w:name w:val="Body Text Indent"/>
    <w:basedOn w:val="1"/>
    <w:link w:val="58"/>
    <w:qFormat/>
    <w:uiPriority w:val="0"/>
    <w:pPr>
      <w:spacing w:line="200" w:lineRule="exact"/>
      <w:ind w:firstLine="301"/>
    </w:pPr>
    <w:rPr>
      <w:rFonts w:ascii="宋体" w:hAnsi="Courier New"/>
      <w:spacing w:val="-4"/>
      <w:sz w:val="18"/>
      <w:szCs w:val="20"/>
    </w:rPr>
  </w:style>
  <w:style w:type="paragraph" w:styleId="17">
    <w:name w:val="Block Text"/>
    <w:basedOn w:val="1"/>
    <w:unhideWhenUsed/>
    <w:qFormat/>
    <w:uiPriority w:val="99"/>
    <w:pPr>
      <w:spacing w:after="120"/>
      <w:ind w:left="1440" w:leftChars="700" w:right="1440" w:rightChars="700"/>
    </w:pPr>
    <w:rPr>
      <w:rFonts w:ascii="Times New Roman" w:hAnsi="Times New Roman" w:eastAsia="宋体" w:cs="Times New Roman"/>
    </w:rPr>
  </w:style>
  <w:style w:type="paragraph" w:styleId="18">
    <w:name w:val="toc 5"/>
    <w:basedOn w:val="1"/>
    <w:next w:val="1"/>
    <w:qFormat/>
    <w:uiPriority w:val="0"/>
    <w:pPr>
      <w:jc w:val="left"/>
    </w:pPr>
    <w:rPr>
      <w:rFonts w:ascii="Calibri" w:hAnsi="Calibri"/>
      <w:sz w:val="22"/>
      <w:szCs w:val="22"/>
    </w:rPr>
  </w:style>
  <w:style w:type="paragraph" w:styleId="19">
    <w:name w:val="toc 3"/>
    <w:basedOn w:val="1"/>
    <w:next w:val="1"/>
    <w:qFormat/>
    <w:uiPriority w:val="0"/>
    <w:pPr>
      <w:jc w:val="left"/>
    </w:pPr>
    <w:rPr>
      <w:rFonts w:ascii="Calibri" w:hAnsi="Calibri"/>
      <w:smallCaps/>
      <w:sz w:val="22"/>
      <w:szCs w:val="22"/>
    </w:rPr>
  </w:style>
  <w:style w:type="paragraph" w:styleId="20">
    <w:name w:val="Plain Text"/>
    <w:basedOn w:val="1"/>
    <w:next w:val="5"/>
    <w:link w:val="59"/>
    <w:qFormat/>
    <w:uiPriority w:val="0"/>
    <w:rPr>
      <w:rFonts w:ascii="宋体" w:hAnsi="Courier New"/>
      <w:szCs w:val="20"/>
    </w:rPr>
  </w:style>
  <w:style w:type="paragraph" w:styleId="21">
    <w:name w:val="toc 8"/>
    <w:basedOn w:val="1"/>
    <w:next w:val="1"/>
    <w:qFormat/>
    <w:uiPriority w:val="0"/>
    <w:pPr>
      <w:jc w:val="left"/>
    </w:pPr>
    <w:rPr>
      <w:rFonts w:ascii="Calibri" w:hAnsi="Calibri"/>
      <w:sz w:val="22"/>
      <w:szCs w:val="22"/>
    </w:rPr>
  </w:style>
  <w:style w:type="paragraph" w:styleId="22">
    <w:name w:val="Date"/>
    <w:basedOn w:val="1"/>
    <w:next w:val="1"/>
    <w:link w:val="60"/>
    <w:qFormat/>
    <w:uiPriority w:val="0"/>
    <w:pPr>
      <w:ind w:left="100" w:leftChars="2500"/>
    </w:pPr>
  </w:style>
  <w:style w:type="paragraph" w:styleId="23">
    <w:name w:val="Body Text Indent 2"/>
    <w:basedOn w:val="1"/>
    <w:link w:val="61"/>
    <w:qFormat/>
    <w:uiPriority w:val="0"/>
    <w:pPr>
      <w:spacing w:after="120" w:afterLines="0" w:line="480" w:lineRule="auto"/>
      <w:ind w:left="420" w:leftChars="200"/>
    </w:pPr>
  </w:style>
  <w:style w:type="paragraph" w:styleId="24">
    <w:name w:val="Balloon Text"/>
    <w:basedOn w:val="1"/>
    <w:link w:val="62"/>
    <w:qFormat/>
    <w:uiPriority w:val="0"/>
    <w:rPr>
      <w:sz w:val="18"/>
      <w:szCs w:val="18"/>
    </w:rPr>
  </w:style>
  <w:style w:type="paragraph" w:styleId="25">
    <w:name w:val="footer"/>
    <w:basedOn w:val="1"/>
    <w:link w:val="63"/>
    <w:unhideWhenUsed/>
    <w:qFormat/>
    <w:uiPriority w:val="99"/>
    <w:pPr>
      <w:tabs>
        <w:tab w:val="center" w:pos="4153"/>
        <w:tab w:val="right" w:pos="8306"/>
      </w:tabs>
      <w:snapToGrid w:val="0"/>
      <w:jc w:val="left"/>
    </w:pPr>
    <w:rPr>
      <w:sz w:val="18"/>
      <w:szCs w:val="18"/>
    </w:rPr>
  </w:style>
  <w:style w:type="paragraph" w:styleId="26">
    <w:name w:val="header"/>
    <w:basedOn w:val="1"/>
    <w:link w:val="6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360" w:after="360"/>
      <w:jc w:val="left"/>
    </w:pPr>
    <w:rPr>
      <w:rFonts w:ascii="Calibri" w:hAnsi="Calibri"/>
      <w:b/>
      <w:bCs/>
      <w:caps/>
      <w:sz w:val="22"/>
      <w:szCs w:val="22"/>
      <w:u w:val="single"/>
    </w:rPr>
  </w:style>
  <w:style w:type="paragraph" w:styleId="28">
    <w:name w:val="toc 4"/>
    <w:basedOn w:val="1"/>
    <w:next w:val="1"/>
    <w:qFormat/>
    <w:uiPriority w:val="0"/>
    <w:pPr>
      <w:jc w:val="left"/>
    </w:pPr>
    <w:rPr>
      <w:rFonts w:ascii="Calibri" w:hAnsi="Calibri"/>
      <w:sz w:val="22"/>
      <w:szCs w:val="22"/>
    </w:rPr>
  </w:style>
  <w:style w:type="paragraph" w:styleId="29">
    <w:name w:val="List"/>
    <w:basedOn w:val="1"/>
    <w:qFormat/>
    <w:uiPriority w:val="0"/>
    <w:pPr>
      <w:ind w:left="200" w:hanging="200" w:hangingChars="200"/>
    </w:pPr>
    <w:rPr>
      <w:sz w:val="28"/>
    </w:rPr>
  </w:style>
  <w:style w:type="paragraph" w:styleId="30">
    <w:name w:val="toc 6"/>
    <w:basedOn w:val="1"/>
    <w:next w:val="1"/>
    <w:qFormat/>
    <w:uiPriority w:val="0"/>
    <w:pPr>
      <w:jc w:val="left"/>
    </w:pPr>
    <w:rPr>
      <w:rFonts w:ascii="Calibri" w:hAnsi="Calibri"/>
      <w:sz w:val="22"/>
      <w:szCs w:val="22"/>
    </w:rPr>
  </w:style>
  <w:style w:type="paragraph" w:styleId="31">
    <w:name w:val="toc 2"/>
    <w:basedOn w:val="1"/>
    <w:next w:val="1"/>
    <w:qFormat/>
    <w:uiPriority w:val="0"/>
    <w:pPr>
      <w:jc w:val="left"/>
    </w:pPr>
    <w:rPr>
      <w:rFonts w:ascii="Calibri" w:hAnsi="Calibri"/>
      <w:b/>
      <w:bCs/>
      <w:smallCaps/>
      <w:sz w:val="22"/>
      <w:szCs w:val="22"/>
    </w:rPr>
  </w:style>
  <w:style w:type="paragraph" w:styleId="32">
    <w:name w:val="toc 9"/>
    <w:basedOn w:val="1"/>
    <w:next w:val="1"/>
    <w:qFormat/>
    <w:uiPriority w:val="0"/>
    <w:pPr>
      <w:jc w:val="left"/>
    </w:pPr>
    <w:rPr>
      <w:rFonts w:ascii="Calibri" w:hAnsi="Calibri"/>
      <w:sz w:val="22"/>
      <w:szCs w:val="22"/>
    </w:rPr>
  </w:style>
  <w:style w:type="paragraph" w:styleId="33">
    <w:name w:val="index 1"/>
    <w:basedOn w:val="1"/>
    <w:next w:val="1"/>
    <w:semiHidden/>
    <w:qFormat/>
    <w:uiPriority w:val="0"/>
    <w:pPr>
      <w:spacing w:line="400" w:lineRule="exact"/>
      <w:ind w:firstLine="420" w:firstLineChars="200"/>
    </w:pPr>
    <w:rPr>
      <w:rFonts w:ascii="宋体" w:hAnsi="Courier New"/>
      <w:b/>
      <w:szCs w:val="20"/>
    </w:rPr>
  </w:style>
  <w:style w:type="paragraph" w:styleId="34">
    <w:name w:val="Title"/>
    <w:basedOn w:val="1"/>
    <w:next w:val="1"/>
    <w:qFormat/>
    <w:uiPriority w:val="0"/>
    <w:pPr>
      <w:widowControl w:val="0"/>
      <w:spacing w:before="240" w:after="60"/>
      <w:jc w:val="center"/>
      <w:outlineLvl w:val="0"/>
    </w:pPr>
    <w:rPr>
      <w:rFonts w:ascii="Arial" w:hAnsi="Arial" w:eastAsia="宋体" w:cs="Arial"/>
      <w:b/>
      <w:bCs/>
      <w:kern w:val="2"/>
      <w:sz w:val="32"/>
      <w:szCs w:val="32"/>
      <w:lang w:val="en-US" w:eastAsia="zh-CN" w:bidi="ar-SA"/>
    </w:rPr>
  </w:style>
  <w:style w:type="paragraph" w:styleId="35">
    <w:name w:val="annotation subject"/>
    <w:basedOn w:val="12"/>
    <w:next w:val="12"/>
    <w:link w:val="65"/>
    <w:qFormat/>
    <w:uiPriority w:val="0"/>
    <w:rPr>
      <w:b/>
      <w:bCs/>
    </w:rPr>
  </w:style>
  <w:style w:type="paragraph" w:styleId="36">
    <w:name w:val="Body Text First Indent"/>
    <w:basedOn w:val="15"/>
    <w:qFormat/>
    <w:uiPriority w:val="0"/>
    <w:pPr>
      <w:wordWrap w:val="0"/>
      <w:topLinePunct/>
      <w:spacing w:after="0" w:line="600" w:lineRule="exact"/>
      <w:ind w:firstLine="880" w:firstLineChars="200"/>
    </w:pPr>
  </w:style>
  <w:style w:type="paragraph" w:styleId="37">
    <w:name w:val="Body Text First Indent 2"/>
    <w:basedOn w:val="16"/>
    <w:qFormat/>
    <w:uiPriority w:val="0"/>
    <w:pPr>
      <w:spacing w:line="600" w:lineRule="exact"/>
      <w:ind w:firstLine="200" w:firstLineChars="200"/>
      <w:jc w:val="both"/>
    </w:pPr>
    <w:rPr>
      <w:rFonts w:ascii="Times New Roman" w:hAnsi="Times New Roman" w:eastAsia="仿宋_GB2312" w:cs="Times New Roman"/>
      <w:kern w:val="2"/>
      <w:sz w:val="32"/>
      <w:szCs w:val="21"/>
      <w:lang w:val="en-US" w:eastAsia="zh-CN" w:bidi="ar-SA"/>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0"/>
    <w:rPr>
      <w:b/>
    </w:rPr>
  </w:style>
  <w:style w:type="character" w:styleId="42">
    <w:name w:val="page number"/>
    <w:qFormat/>
    <w:uiPriority w:val="0"/>
  </w:style>
  <w:style w:type="character" w:styleId="43">
    <w:name w:val="FollowedHyperlink"/>
    <w:qFormat/>
    <w:uiPriority w:val="0"/>
    <w:rPr>
      <w:color w:val="800080"/>
      <w:u w:val="single"/>
    </w:rPr>
  </w:style>
  <w:style w:type="character" w:styleId="44">
    <w:name w:val="Emphasis"/>
    <w:basedOn w:val="40"/>
    <w:qFormat/>
    <w:uiPriority w:val="0"/>
    <w:rPr>
      <w:i/>
    </w:rPr>
  </w:style>
  <w:style w:type="character" w:styleId="45">
    <w:name w:val="Hyperlink"/>
    <w:qFormat/>
    <w:uiPriority w:val="0"/>
    <w:rPr>
      <w:color w:val="0000FF"/>
      <w:u w:val="single"/>
    </w:rPr>
  </w:style>
  <w:style w:type="character" w:styleId="46">
    <w:name w:val="annotation reference"/>
    <w:qFormat/>
    <w:uiPriority w:val="0"/>
    <w:rPr>
      <w:sz w:val="21"/>
      <w:szCs w:val="21"/>
    </w:rPr>
  </w:style>
  <w:style w:type="paragraph" w:customStyle="1" w:styleId="47">
    <w:name w:val="BodyText1I2"/>
    <w:basedOn w:val="48"/>
    <w:qFormat/>
    <w:uiPriority w:val="0"/>
    <w:pPr>
      <w:ind w:firstLine="420"/>
    </w:pPr>
  </w:style>
  <w:style w:type="paragraph" w:customStyle="1" w:styleId="48">
    <w:name w:val="BodyTextIndent"/>
    <w:basedOn w:val="1"/>
    <w:qFormat/>
    <w:uiPriority w:val="0"/>
    <w:pPr>
      <w:spacing w:after="120"/>
      <w:ind w:left="420" w:leftChars="200"/>
      <w:textAlignment w:val="baseline"/>
    </w:pPr>
  </w:style>
  <w:style w:type="character" w:customStyle="1" w:styleId="49">
    <w:name w:val="标题 1 字符1"/>
    <w:link w:val="2"/>
    <w:qFormat/>
    <w:uiPriority w:val="0"/>
    <w:rPr>
      <w:b/>
      <w:bCs/>
      <w:kern w:val="44"/>
      <w:sz w:val="44"/>
      <w:szCs w:val="44"/>
    </w:rPr>
  </w:style>
  <w:style w:type="character" w:customStyle="1" w:styleId="50">
    <w:name w:val="标题 2 字符1"/>
    <w:link w:val="3"/>
    <w:qFormat/>
    <w:uiPriority w:val="0"/>
    <w:rPr>
      <w:rFonts w:ascii="Arial" w:hAnsi="Arial" w:eastAsia="黑体"/>
      <w:b/>
      <w:bCs/>
      <w:kern w:val="2"/>
      <w:sz w:val="32"/>
      <w:szCs w:val="32"/>
    </w:rPr>
  </w:style>
  <w:style w:type="character" w:customStyle="1" w:styleId="51">
    <w:name w:val="标题 3 字符1"/>
    <w:link w:val="4"/>
    <w:qFormat/>
    <w:uiPriority w:val="0"/>
    <w:rPr>
      <w:b/>
      <w:bCs/>
      <w:kern w:val="2"/>
      <w:sz w:val="32"/>
      <w:szCs w:val="32"/>
    </w:rPr>
  </w:style>
  <w:style w:type="character" w:customStyle="1" w:styleId="52">
    <w:name w:val="标题 4 字符1"/>
    <w:link w:val="5"/>
    <w:qFormat/>
    <w:uiPriority w:val="0"/>
    <w:rPr>
      <w:rFonts w:ascii="Arial" w:eastAsia="黑体"/>
      <w:sz w:val="28"/>
    </w:rPr>
  </w:style>
  <w:style w:type="character" w:customStyle="1" w:styleId="53">
    <w:name w:val="标题 5 字符1"/>
    <w:link w:val="6"/>
    <w:qFormat/>
    <w:uiPriority w:val="9"/>
    <w:rPr>
      <w:b/>
      <w:bCs/>
      <w:kern w:val="2"/>
      <w:sz w:val="28"/>
      <w:szCs w:val="28"/>
    </w:rPr>
  </w:style>
  <w:style w:type="character" w:customStyle="1" w:styleId="54">
    <w:name w:val="文档结构图 字符1"/>
    <w:link w:val="11"/>
    <w:qFormat/>
    <w:uiPriority w:val="0"/>
    <w:rPr>
      <w:rFonts w:ascii="宋体"/>
      <w:kern w:val="2"/>
      <w:sz w:val="18"/>
      <w:szCs w:val="18"/>
    </w:rPr>
  </w:style>
  <w:style w:type="character" w:customStyle="1" w:styleId="55">
    <w:name w:val="批注文字 字符2"/>
    <w:link w:val="12"/>
    <w:qFormat/>
    <w:uiPriority w:val="0"/>
    <w:rPr>
      <w:kern w:val="2"/>
      <w:sz w:val="21"/>
      <w:szCs w:val="24"/>
    </w:rPr>
  </w:style>
  <w:style w:type="character" w:customStyle="1" w:styleId="56">
    <w:name w:val="正文文本 3 字符1"/>
    <w:link w:val="14"/>
    <w:qFormat/>
    <w:uiPriority w:val="99"/>
    <w:rPr>
      <w:kern w:val="2"/>
      <w:sz w:val="16"/>
      <w:szCs w:val="16"/>
    </w:rPr>
  </w:style>
  <w:style w:type="character" w:customStyle="1" w:styleId="57">
    <w:name w:val="正文文本 字符1"/>
    <w:link w:val="15"/>
    <w:qFormat/>
    <w:uiPriority w:val="99"/>
    <w:rPr>
      <w:kern w:val="2"/>
      <w:sz w:val="21"/>
      <w:szCs w:val="24"/>
    </w:rPr>
  </w:style>
  <w:style w:type="character" w:customStyle="1" w:styleId="58">
    <w:name w:val="正文文本缩进 字符1"/>
    <w:link w:val="16"/>
    <w:qFormat/>
    <w:uiPriority w:val="0"/>
    <w:rPr>
      <w:rFonts w:ascii="宋体" w:hAnsi="Courier New" w:eastAsia="宋体"/>
      <w:spacing w:val="-4"/>
      <w:kern w:val="2"/>
      <w:sz w:val="18"/>
      <w:lang w:val="en-US" w:eastAsia="zh-CN" w:bidi="ar-SA"/>
    </w:rPr>
  </w:style>
  <w:style w:type="character" w:customStyle="1" w:styleId="59">
    <w:name w:val="纯文本 字符3"/>
    <w:link w:val="20"/>
    <w:qFormat/>
    <w:uiPriority w:val="0"/>
    <w:rPr>
      <w:rFonts w:ascii="宋体" w:hAnsi="Courier New" w:eastAsia="宋体"/>
      <w:kern w:val="2"/>
      <w:sz w:val="21"/>
      <w:lang w:val="en-US" w:eastAsia="zh-CN" w:bidi="ar-SA"/>
    </w:rPr>
  </w:style>
  <w:style w:type="character" w:customStyle="1" w:styleId="60">
    <w:name w:val="日期 字符1"/>
    <w:link w:val="22"/>
    <w:qFormat/>
    <w:uiPriority w:val="0"/>
    <w:rPr>
      <w:kern w:val="2"/>
      <w:sz w:val="21"/>
      <w:szCs w:val="24"/>
    </w:rPr>
  </w:style>
  <w:style w:type="character" w:customStyle="1" w:styleId="61">
    <w:name w:val="正文文本缩进 2 字符1"/>
    <w:link w:val="23"/>
    <w:qFormat/>
    <w:uiPriority w:val="0"/>
    <w:rPr>
      <w:kern w:val="2"/>
      <w:sz w:val="21"/>
      <w:szCs w:val="24"/>
    </w:rPr>
  </w:style>
  <w:style w:type="character" w:customStyle="1" w:styleId="62">
    <w:name w:val="批注框文本 字符1"/>
    <w:link w:val="24"/>
    <w:qFormat/>
    <w:uiPriority w:val="0"/>
    <w:rPr>
      <w:kern w:val="2"/>
      <w:sz w:val="18"/>
      <w:szCs w:val="18"/>
    </w:rPr>
  </w:style>
  <w:style w:type="character" w:customStyle="1" w:styleId="63">
    <w:name w:val="页脚 字符2"/>
    <w:link w:val="25"/>
    <w:qFormat/>
    <w:uiPriority w:val="99"/>
    <w:rPr>
      <w:kern w:val="2"/>
      <w:sz w:val="18"/>
      <w:szCs w:val="18"/>
    </w:rPr>
  </w:style>
  <w:style w:type="character" w:customStyle="1" w:styleId="64">
    <w:name w:val="页眉 字符2"/>
    <w:link w:val="26"/>
    <w:qFormat/>
    <w:uiPriority w:val="99"/>
    <w:rPr>
      <w:kern w:val="2"/>
      <w:sz w:val="18"/>
      <w:szCs w:val="18"/>
    </w:rPr>
  </w:style>
  <w:style w:type="character" w:customStyle="1" w:styleId="65">
    <w:name w:val="批注主题 字符1"/>
    <w:link w:val="35"/>
    <w:qFormat/>
    <w:uiPriority w:val="99"/>
    <w:rPr>
      <w:b/>
      <w:bCs/>
      <w:kern w:val="2"/>
      <w:sz w:val="21"/>
      <w:szCs w:val="24"/>
    </w:rPr>
  </w:style>
  <w:style w:type="character" w:customStyle="1" w:styleId="66">
    <w:name w:val="标题 2 字符2"/>
    <w:link w:val="3"/>
    <w:qFormat/>
    <w:uiPriority w:val="0"/>
    <w:rPr>
      <w:rFonts w:ascii="Arial" w:hAnsi="Arial" w:eastAsia="黑体" w:cs="Times New Roman"/>
      <w:b/>
      <w:bCs/>
      <w:sz w:val="32"/>
      <w:szCs w:val="32"/>
    </w:rPr>
  </w:style>
  <w:style w:type="character" w:customStyle="1" w:styleId="67">
    <w:name w:val="页眉 字符"/>
    <w:qFormat/>
    <w:uiPriority w:val="99"/>
    <w:rPr>
      <w:rFonts w:ascii="Times New Roman" w:hAnsi="Times New Roman"/>
      <w:kern w:val="2"/>
      <w:sz w:val="18"/>
      <w:szCs w:val="18"/>
    </w:rPr>
  </w:style>
  <w:style w:type="character" w:customStyle="1" w:styleId="68">
    <w:name w:val="Char Char1"/>
    <w:qFormat/>
    <w:uiPriority w:val="0"/>
    <w:rPr>
      <w:rFonts w:ascii="宋体" w:hAnsi="Courier New" w:eastAsia="宋体"/>
      <w:kern w:val="2"/>
      <w:sz w:val="21"/>
      <w:lang w:val="en-US" w:eastAsia="zh-CN" w:bidi="ar-SA"/>
    </w:rPr>
  </w:style>
  <w:style w:type="character" w:customStyle="1" w:styleId="69">
    <w:name w:val="纯文本 字符2"/>
    <w:qFormat/>
    <w:uiPriority w:val="0"/>
    <w:rPr>
      <w:rFonts w:ascii="宋体" w:hAnsi="Courier New" w:eastAsia="宋体" w:cs="Courier New"/>
      <w:szCs w:val="21"/>
    </w:rPr>
  </w:style>
  <w:style w:type="character" w:customStyle="1" w:styleId="70">
    <w:name w:val="正文文本_"/>
    <w:link w:val="71"/>
    <w:qFormat/>
    <w:uiPriority w:val="0"/>
    <w:rPr>
      <w:rFonts w:ascii="MingLiU" w:hAnsi="MingLiU" w:eastAsia="MingLiU" w:cs="MingLiU"/>
      <w:spacing w:val="9"/>
      <w:sz w:val="19"/>
      <w:szCs w:val="19"/>
      <w:shd w:val="clear" w:color="auto" w:fill="FFFFFF"/>
    </w:rPr>
  </w:style>
  <w:style w:type="paragraph" w:customStyle="1" w:styleId="71">
    <w:name w:val="正文文本1"/>
    <w:basedOn w:val="1"/>
    <w:link w:val="70"/>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2">
    <w:name w:val="纯文本 Char1"/>
    <w:link w:val="73"/>
    <w:qFormat/>
    <w:uiPriority w:val="0"/>
    <w:rPr>
      <w:rFonts w:ascii="宋体" w:hAnsi="Courier New" w:eastAsia="宋体"/>
      <w:kern w:val="2"/>
      <w:sz w:val="21"/>
      <w:lang w:val="en-US" w:eastAsia="zh-CN" w:bidi="ar-SA"/>
    </w:rPr>
  </w:style>
  <w:style w:type="paragraph" w:customStyle="1" w:styleId="73">
    <w:name w:val="纯文本1"/>
    <w:basedOn w:val="1"/>
    <w:link w:val="72"/>
    <w:qFormat/>
    <w:uiPriority w:val="0"/>
    <w:rPr>
      <w:rFonts w:ascii="宋体" w:hAnsi="Courier New"/>
      <w:szCs w:val="20"/>
    </w:rPr>
  </w:style>
  <w:style w:type="character" w:customStyle="1" w:styleId="74">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6">
    <w:name w:val="页脚 字符"/>
    <w:qFormat/>
    <w:uiPriority w:val="99"/>
    <w:rPr>
      <w:sz w:val="18"/>
      <w:szCs w:val="18"/>
    </w:rPr>
  </w:style>
  <w:style w:type="character" w:customStyle="1" w:styleId="77">
    <w:name w:val="批注文字 字符1"/>
    <w:qFormat/>
    <w:uiPriority w:val="0"/>
    <w:rPr>
      <w:rFonts w:ascii="Times New Roman" w:hAnsi="Times New Roman"/>
      <w:kern w:val="2"/>
      <w:sz w:val="21"/>
      <w:szCs w:val="24"/>
    </w:rPr>
  </w:style>
  <w:style w:type="character" w:customStyle="1" w:styleId="78">
    <w:name w:val="正文2 Char Char"/>
    <w:link w:val="79"/>
    <w:qFormat/>
    <w:uiPriority w:val="0"/>
    <w:rPr>
      <w:kern w:val="2"/>
      <w:sz w:val="24"/>
    </w:rPr>
  </w:style>
  <w:style w:type="paragraph" w:customStyle="1" w:styleId="79">
    <w:name w:val="正文2"/>
    <w:basedOn w:val="1"/>
    <w:link w:val="78"/>
    <w:qFormat/>
    <w:uiPriority w:val="0"/>
    <w:pPr>
      <w:adjustRightInd w:val="0"/>
      <w:spacing w:before="156" w:line="360" w:lineRule="auto"/>
      <w:ind w:firstLine="510" w:firstLineChars="200"/>
    </w:pPr>
    <w:rPr>
      <w:sz w:val="24"/>
      <w:szCs w:val="20"/>
    </w:rPr>
  </w:style>
  <w:style w:type="character" w:customStyle="1" w:styleId="80">
    <w:name w:val="纯文本 Char_0"/>
    <w:link w:val="81"/>
    <w:qFormat/>
    <w:uiPriority w:val="0"/>
    <w:rPr>
      <w:rFonts w:ascii="宋体" w:hAnsi="Courier New"/>
      <w:kern w:val="2"/>
      <w:sz w:val="21"/>
      <w:szCs w:val="21"/>
    </w:rPr>
  </w:style>
  <w:style w:type="paragraph" w:customStyle="1" w:styleId="81">
    <w:name w:val="纯文本_0_0"/>
    <w:basedOn w:val="1"/>
    <w:link w:val="80"/>
    <w:qFormat/>
    <w:uiPriority w:val="0"/>
    <w:rPr>
      <w:rFonts w:ascii="宋体" w:hAnsi="Courier New"/>
      <w:szCs w:val="21"/>
    </w:rPr>
  </w:style>
  <w:style w:type="character" w:customStyle="1" w:styleId="82">
    <w:name w:val="批注文字 Char1"/>
    <w:qFormat/>
    <w:uiPriority w:val="0"/>
    <w:rPr>
      <w:rFonts w:ascii="Times New Roman" w:hAnsi="Times New Roman"/>
      <w:kern w:val="2"/>
      <w:sz w:val="21"/>
      <w:szCs w:val="24"/>
    </w:rPr>
  </w:style>
  <w:style w:type="paragraph" w:styleId="83">
    <w:name w:val="List Paragraph"/>
    <w:basedOn w:val="1"/>
    <w:qFormat/>
    <w:uiPriority w:val="34"/>
    <w:pPr>
      <w:ind w:firstLine="420" w:firstLineChars="200"/>
    </w:pPr>
  </w:style>
  <w:style w:type="paragraph" w:customStyle="1" w:styleId="84">
    <w:name w:val="Char Char Char1 Char Char Char Char Char Char Char"/>
    <w:basedOn w:val="1"/>
    <w:qFormat/>
    <w:uiPriority w:val="0"/>
  </w:style>
  <w:style w:type="paragraph" w:customStyle="1" w:styleId="85">
    <w:name w:val="Char Char Char"/>
    <w:basedOn w:val="1"/>
    <w:qFormat/>
    <w:uiPriority w:val="0"/>
    <w:rPr>
      <w:szCs w:val="20"/>
    </w:rPr>
  </w:style>
  <w:style w:type="paragraph" w:customStyle="1" w:styleId="86">
    <w:name w:val=" Char Char Char Char Char Char Char Char Char Char Char Char"/>
    <w:basedOn w:val="1"/>
    <w:qFormat/>
    <w:uiPriority w:val="0"/>
    <w:pPr>
      <w:widowControl/>
      <w:spacing w:after="160" w:afterLines="0" w:line="240" w:lineRule="exact"/>
      <w:jc w:val="left"/>
    </w:pPr>
  </w:style>
  <w:style w:type="paragraph" w:customStyle="1" w:styleId="87">
    <w:name w:val="列出段落1"/>
    <w:basedOn w:val="1"/>
    <w:qFormat/>
    <w:uiPriority w:val="34"/>
    <w:pPr>
      <w:spacing w:before="100" w:beforeAutospacing="1" w:after="100" w:afterAutospacing="1" w:line="360" w:lineRule="auto"/>
      <w:ind w:firstLine="420" w:firstLineChars="200"/>
    </w:pPr>
  </w:style>
  <w:style w:type="paragraph" w:customStyle="1" w:styleId="88">
    <w:name w:val="_Style 85"/>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89">
    <w:name w:val="样式 标题 2 + 非加粗 首行缩进:  2 字符"/>
    <w:basedOn w:val="3"/>
    <w:qFormat/>
    <w:uiPriority w:val="0"/>
    <w:pPr>
      <w:spacing w:before="0" w:beforeLines="0" w:after="0" w:afterLines="0" w:line="600" w:lineRule="exact"/>
      <w:ind w:firstLine="640" w:firstLineChars="200"/>
      <w:jc w:val="left"/>
    </w:pPr>
    <w:rPr>
      <w:rFonts w:cs="宋体"/>
      <w:b w:val="0"/>
      <w:bCs w:val="0"/>
      <w:szCs w:val="20"/>
    </w:rPr>
  </w:style>
  <w:style w:type="paragraph" w:customStyle="1" w:styleId="90">
    <w:name w:val="Table Paragraph"/>
    <w:basedOn w:val="1"/>
    <w:qFormat/>
    <w:uiPriority w:val="1"/>
    <w:pPr>
      <w:jc w:val="left"/>
    </w:pPr>
    <w:rPr>
      <w:rFonts w:ascii="Calibri" w:hAnsi="Calibri"/>
      <w:kern w:val="0"/>
      <w:sz w:val="22"/>
      <w:szCs w:val="22"/>
      <w:lang w:eastAsia="en-US"/>
    </w:rPr>
  </w:style>
  <w:style w:type="paragraph" w:customStyle="1" w:styleId="91">
    <w:name w:val=" Char"/>
    <w:basedOn w:val="1"/>
    <w:qFormat/>
    <w:uiPriority w:val="0"/>
    <w:rPr>
      <w:szCs w:val="21"/>
    </w:rPr>
  </w:style>
  <w:style w:type="paragraph" w:customStyle="1" w:styleId="92">
    <w:name w:val="Char Char Char Char Char Char Char"/>
    <w:basedOn w:val="1"/>
    <w:qFormat/>
    <w:uiPriority w:val="0"/>
  </w:style>
  <w:style w:type="paragraph" w:customStyle="1" w:styleId="93">
    <w:name w:val=" Char Char Char Char Char Char Char"/>
    <w:basedOn w:val="1"/>
    <w:qFormat/>
    <w:uiPriority w:val="0"/>
  </w:style>
  <w:style w:type="paragraph" w:customStyle="1" w:styleId="94">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5">
    <w:name w:val="Char Char Char Char Char Char Char Char Char Char Char Char"/>
    <w:basedOn w:val="1"/>
    <w:qFormat/>
    <w:uiPriority w:val="0"/>
    <w:pPr>
      <w:widowControl/>
      <w:spacing w:after="160" w:afterLines="0" w:line="240" w:lineRule="exact"/>
      <w:jc w:val="left"/>
    </w:pPr>
  </w:style>
  <w:style w:type="paragraph" w:customStyle="1" w:styleId="96">
    <w:name w:val="表格文字"/>
    <w:basedOn w:val="16"/>
    <w:next w:val="15"/>
    <w:qFormat/>
    <w:uiPriority w:val="0"/>
    <w:pPr>
      <w:adjustRightInd w:val="0"/>
      <w:spacing w:line="420" w:lineRule="atLeast"/>
      <w:jc w:val="left"/>
      <w:textAlignment w:val="baseline"/>
    </w:pPr>
    <w:rPr>
      <w:kern w:val="0"/>
    </w:rPr>
  </w:style>
  <w:style w:type="paragraph" w:customStyle="1" w:styleId="97">
    <w:name w:val="_Style 94"/>
    <w:qFormat/>
    <w:uiPriority w:val="0"/>
    <w:rPr>
      <w:rFonts w:ascii="Times New Roman" w:hAnsi="Times New Roman" w:eastAsia="宋体" w:cs="Times New Roman"/>
      <w:kern w:val="2"/>
      <w:sz w:val="21"/>
      <w:szCs w:val="24"/>
      <w:lang w:val="en-US" w:eastAsia="zh-CN" w:bidi="ar-SA"/>
    </w:rPr>
  </w:style>
  <w:style w:type="paragraph" w:customStyle="1" w:styleId="98">
    <w:name w:val="正文段"/>
    <w:basedOn w:val="1"/>
    <w:qFormat/>
    <w:uiPriority w:val="0"/>
    <w:pPr>
      <w:widowControl/>
      <w:snapToGrid w:val="0"/>
      <w:spacing w:after="156" w:afterLines="50"/>
      <w:ind w:firstLine="200" w:firstLineChars="200"/>
    </w:pPr>
    <w:rPr>
      <w:kern w:val="0"/>
      <w:sz w:val="24"/>
      <w:szCs w:val="20"/>
    </w:rPr>
  </w:style>
  <w:style w:type="paragraph" w:customStyle="1" w:styleId="99">
    <w:name w:val="Char Char Char Char"/>
    <w:basedOn w:val="1"/>
    <w:qFormat/>
    <w:uiPriority w:val="0"/>
    <w:pPr>
      <w:widowControl/>
      <w:spacing w:after="160" w:afterLines="0" w:line="240" w:lineRule="exact"/>
      <w:jc w:val="left"/>
    </w:pPr>
  </w:style>
  <w:style w:type="paragraph" w:customStyle="1" w:styleId="100">
    <w:name w:val="Char"/>
    <w:basedOn w:val="1"/>
    <w:qFormat/>
    <w:uiPriority w:val="0"/>
  </w:style>
  <w:style w:type="paragraph" w:customStyle="1" w:styleId="101">
    <w:name w:val=" Char Char Char Char"/>
    <w:basedOn w:val="1"/>
    <w:qFormat/>
    <w:uiPriority w:val="0"/>
    <w:pPr>
      <w:widowControl/>
      <w:spacing w:after="160" w:afterLines="0" w:line="240" w:lineRule="exact"/>
      <w:jc w:val="left"/>
    </w:pPr>
  </w:style>
  <w:style w:type="paragraph" w:customStyle="1" w:styleId="102">
    <w:name w:val="样式 标题 1 + 居中 段前: 0 磅 段后: 0 磅 行距: 固定值 30 磅"/>
    <w:basedOn w:val="2"/>
    <w:qFormat/>
    <w:uiPriority w:val="0"/>
    <w:pPr>
      <w:spacing w:before="0" w:beforeLines="0" w:after="0" w:afterLines="0" w:line="600" w:lineRule="exact"/>
      <w:jc w:val="center"/>
    </w:pPr>
    <w:rPr>
      <w:rFonts w:cs="宋体"/>
      <w:szCs w:val="20"/>
    </w:rPr>
  </w:style>
  <w:style w:type="paragraph" w:customStyle="1" w:styleId="103">
    <w:name w:val="正文缩进1"/>
    <w:basedOn w:val="1"/>
    <w:next w:val="16"/>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4">
    <w:name w:val="p0"/>
    <w:basedOn w:val="1"/>
    <w:qFormat/>
    <w:uiPriority w:val="0"/>
    <w:pPr>
      <w:widowControl/>
    </w:pPr>
    <w:rPr>
      <w:kern w:val="0"/>
      <w:szCs w:val="21"/>
    </w:rPr>
  </w:style>
  <w:style w:type="paragraph" w:customStyle="1" w:styleId="105">
    <w:name w:val="默认段落字体 Para Char Char Char Char Char Char Char Char Char1 Char Char Char Char"/>
    <w:basedOn w:val="1"/>
    <w:qFormat/>
    <w:uiPriority w:val="0"/>
    <w:rPr>
      <w:rFonts w:ascii="Tahoma" w:hAnsi="Tahoma"/>
      <w:sz w:val="24"/>
      <w:szCs w:val="20"/>
    </w:rPr>
  </w:style>
  <w:style w:type="character" w:customStyle="1" w:styleId="106">
    <w:name w:val="正文文本 字符"/>
    <w:qFormat/>
    <w:uiPriority w:val="99"/>
    <w:rPr>
      <w:kern w:val="2"/>
      <w:sz w:val="21"/>
      <w:szCs w:val="24"/>
    </w:rPr>
  </w:style>
  <w:style w:type="character" w:customStyle="1" w:styleId="107">
    <w:name w:val="纯文本 字符"/>
    <w:qFormat/>
    <w:uiPriority w:val="0"/>
    <w:rPr>
      <w:rFonts w:ascii="宋体" w:hAnsi="Courier New"/>
      <w:kern w:val="2"/>
      <w:sz w:val="21"/>
    </w:rPr>
  </w:style>
  <w:style w:type="character" w:customStyle="1" w:styleId="108">
    <w:name w:val="标题 1 字符"/>
    <w:qFormat/>
    <w:uiPriority w:val="0"/>
    <w:rPr>
      <w:b/>
      <w:bCs/>
      <w:kern w:val="44"/>
      <w:sz w:val="44"/>
      <w:szCs w:val="44"/>
    </w:rPr>
  </w:style>
  <w:style w:type="character" w:customStyle="1" w:styleId="109">
    <w:name w:val="标题 2 字符"/>
    <w:qFormat/>
    <w:uiPriority w:val="0"/>
    <w:rPr>
      <w:rFonts w:ascii="Arial" w:hAnsi="Arial" w:eastAsia="黑体"/>
      <w:b/>
      <w:bCs/>
      <w:kern w:val="2"/>
      <w:sz w:val="32"/>
      <w:szCs w:val="32"/>
    </w:rPr>
  </w:style>
  <w:style w:type="character" w:customStyle="1" w:styleId="110">
    <w:name w:val="标题 3 字符"/>
    <w:qFormat/>
    <w:uiPriority w:val="0"/>
    <w:rPr>
      <w:b/>
      <w:bCs/>
      <w:kern w:val="2"/>
      <w:sz w:val="32"/>
      <w:szCs w:val="32"/>
    </w:rPr>
  </w:style>
  <w:style w:type="character" w:customStyle="1" w:styleId="111">
    <w:name w:val="标题 4 字符"/>
    <w:qFormat/>
    <w:uiPriority w:val="0"/>
    <w:rPr>
      <w:rFonts w:ascii="Arial" w:eastAsia="黑体"/>
      <w:sz w:val="28"/>
    </w:rPr>
  </w:style>
  <w:style w:type="character" w:customStyle="1" w:styleId="112">
    <w:name w:val="标题 5 字符"/>
    <w:qFormat/>
    <w:uiPriority w:val="9"/>
    <w:rPr>
      <w:b/>
      <w:bCs/>
      <w:kern w:val="2"/>
      <w:sz w:val="28"/>
      <w:szCs w:val="28"/>
    </w:rPr>
  </w:style>
  <w:style w:type="character" w:customStyle="1" w:styleId="113">
    <w:name w:val="文档结构图 字符"/>
    <w:qFormat/>
    <w:uiPriority w:val="0"/>
    <w:rPr>
      <w:rFonts w:ascii="宋体"/>
      <w:kern w:val="2"/>
      <w:sz w:val="18"/>
      <w:szCs w:val="18"/>
    </w:rPr>
  </w:style>
  <w:style w:type="character" w:customStyle="1" w:styleId="114">
    <w:name w:val="批注文字 字符"/>
    <w:qFormat/>
    <w:uiPriority w:val="0"/>
    <w:rPr>
      <w:kern w:val="2"/>
      <w:sz w:val="21"/>
      <w:szCs w:val="24"/>
    </w:rPr>
  </w:style>
  <w:style w:type="character" w:customStyle="1" w:styleId="115">
    <w:name w:val="正文文本 3 字符"/>
    <w:qFormat/>
    <w:uiPriority w:val="99"/>
    <w:rPr>
      <w:kern w:val="2"/>
      <w:sz w:val="16"/>
      <w:szCs w:val="16"/>
    </w:rPr>
  </w:style>
  <w:style w:type="character" w:customStyle="1" w:styleId="116">
    <w:name w:val="正文文本缩进 字符"/>
    <w:qFormat/>
    <w:uiPriority w:val="0"/>
    <w:rPr>
      <w:rFonts w:ascii="宋体" w:hAnsi="Courier New"/>
      <w:spacing w:val="-4"/>
      <w:kern w:val="2"/>
      <w:sz w:val="18"/>
    </w:rPr>
  </w:style>
  <w:style w:type="character" w:customStyle="1" w:styleId="117">
    <w:name w:val="日期 字符"/>
    <w:qFormat/>
    <w:uiPriority w:val="0"/>
    <w:rPr>
      <w:kern w:val="2"/>
      <w:sz w:val="21"/>
      <w:szCs w:val="24"/>
    </w:rPr>
  </w:style>
  <w:style w:type="character" w:customStyle="1" w:styleId="118">
    <w:name w:val="正文文本缩进 2 字符"/>
    <w:qFormat/>
    <w:uiPriority w:val="0"/>
    <w:rPr>
      <w:kern w:val="2"/>
      <w:sz w:val="21"/>
      <w:szCs w:val="24"/>
    </w:rPr>
  </w:style>
  <w:style w:type="character" w:customStyle="1" w:styleId="119">
    <w:name w:val="批注框文本 字符"/>
    <w:qFormat/>
    <w:uiPriority w:val="0"/>
    <w:rPr>
      <w:kern w:val="2"/>
      <w:sz w:val="18"/>
      <w:szCs w:val="18"/>
    </w:rPr>
  </w:style>
  <w:style w:type="character" w:customStyle="1" w:styleId="120">
    <w:name w:val="页脚 字符1"/>
    <w:qFormat/>
    <w:uiPriority w:val="99"/>
    <w:rPr>
      <w:kern w:val="2"/>
      <w:sz w:val="18"/>
      <w:szCs w:val="18"/>
    </w:rPr>
  </w:style>
  <w:style w:type="character" w:customStyle="1" w:styleId="121">
    <w:name w:val="页眉 字符1"/>
    <w:qFormat/>
    <w:uiPriority w:val="99"/>
    <w:rPr>
      <w:kern w:val="2"/>
      <w:sz w:val="18"/>
      <w:szCs w:val="18"/>
    </w:rPr>
  </w:style>
  <w:style w:type="character" w:customStyle="1" w:styleId="122">
    <w:name w:val="批注主题 字符"/>
    <w:qFormat/>
    <w:uiPriority w:val="99"/>
    <w:rPr>
      <w:b/>
      <w:bCs/>
      <w:kern w:val="2"/>
      <w:sz w:val="21"/>
      <w:szCs w:val="24"/>
    </w:rPr>
  </w:style>
  <w:style w:type="paragraph" w:customStyle="1" w:styleId="123">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4">
    <w:name w:val="纯文本 字符1"/>
    <w:semiHidden/>
    <w:qFormat/>
    <w:locked/>
    <w:uiPriority w:val="0"/>
    <w:rPr>
      <w:rFonts w:ascii="宋体" w:hAnsi="Courier New"/>
      <w:kern w:val="2"/>
      <w:sz w:val="21"/>
    </w:rPr>
  </w:style>
  <w:style w:type="paragraph" w:customStyle="1" w:styleId="125">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6">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Cs w:val="21"/>
    </w:rPr>
  </w:style>
  <w:style w:type="paragraph" w:customStyle="1" w:styleId="127">
    <w:name w:val="Default"/>
    <w:basedOn w:val="73"/>
    <w:next w:val="13"/>
    <w:qFormat/>
    <w:uiPriority w:val="0"/>
    <w:pPr>
      <w:widowControl w:val="0"/>
      <w:autoSpaceDE w:val="0"/>
      <w:autoSpaceDN w:val="0"/>
      <w:adjustRightInd w:val="0"/>
    </w:pPr>
    <w:rPr>
      <w:rFonts w:hint="eastAsia" w:ascii="方正仿宋_GBK" w:hAnsi="方正仿宋_GBK" w:eastAsia="方正仿宋_GBK"/>
      <w:color w:val="000000"/>
      <w:sz w:val="24"/>
      <w:lang w:val="en-US" w:eastAsia="zh-CN" w:bidi="ar-SA"/>
    </w:rPr>
  </w:style>
  <w:style w:type="paragraph" w:customStyle="1" w:styleId="128">
    <w:name w:val="Legal_L2"/>
    <w:basedOn w:val="1"/>
    <w:qFormat/>
    <w:uiPriority w:val="0"/>
    <w:pPr>
      <w:widowControl/>
      <w:spacing w:after="240" w:line="259" w:lineRule="auto"/>
      <w:jc w:val="left"/>
      <w:outlineLvl w:val="1"/>
    </w:pPr>
    <w:rPr>
      <w:kern w:val="0"/>
      <w:sz w:val="24"/>
      <w:lang w:eastAsia="en-US"/>
    </w:rPr>
  </w:style>
  <w:style w:type="character" w:customStyle="1" w:styleId="129">
    <w:name w:val="font01"/>
    <w:qFormat/>
    <w:uiPriority w:val="0"/>
    <w:rPr>
      <w:rFonts w:hint="eastAsia" w:ascii="仿宋" w:hAnsi="仿宋" w:eastAsia="仿宋"/>
      <w:b/>
      <w:bCs/>
      <w:color w:val="000000"/>
      <w:sz w:val="24"/>
      <w:szCs w:val="24"/>
      <w:u w:val="none"/>
    </w:rPr>
  </w:style>
  <w:style w:type="paragraph" w:customStyle="1" w:styleId="130">
    <w:name w:val="Normal_1"/>
    <w:qFormat/>
    <w:uiPriority w:val="0"/>
    <w:rPr>
      <w:rFonts w:ascii="Times New Roman" w:hAnsi="Times New Roman" w:eastAsia="宋体" w:cs="Times New Roman"/>
      <w:sz w:val="24"/>
      <w:szCs w:val="24"/>
      <w:lang w:val="en-US" w:eastAsia="zh-CN" w:bidi="ar-SA"/>
    </w:rPr>
  </w:style>
  <w:style w:type="table" w:customStyle="1" w:styleId="131">
    <w:name w:val="Table Normal"/>
    <w:semiHidden/>
    <w:unhideWhenUsed/>
    <w:qFormat/>
    <w:uiPriority w:val="0"/>
    <w:tblPr>
      <w:tblCellMar>
        <w:top w:w="0" w:type="dxa"/>
        <w:left w:w="0" w:type="dxa"/>
        <w:bottom w:w="0" w:type="dxa"/>
        <w:right w:w="0" w:type="dxa"/>
      </w:tblCellMar>
    </w:tblPr>
  </w:style>
  <w:style w:type="table" w:customStyle="1" w:styleId="132">
    <w:name w:val="网格型1"/>
    <w:basedOn w:val="3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home\gxxc\D:\home\gxxc\D:\Users\langzhengyi\Library\Containers\com.kingsoft.wpsoffice.mac\Data\E:\Users\langzhengyi\Library\Containers\com.kingsoft.wpsoffice.mac\Data\E:\Users\langzhengyi\Library\Containers\com.kingsoft.wpsoffice.mac\Data\E:\Users\langzhengyi\Library\Containers\com.kingsoft.wpsoffice.mac\Data\C:\Users\langzhengyi\Library\Containers\com.kingsoft.wpsoffice.mac\Data\C:\Users\langzhengyi\Library\Containers\com.kingsoft.wpsoffice.mac\Data\C:\home\inspur\C:\home\inspur\192.168.200.66\4&#37096;&#20849;&#20139;1\2025&#24180;&#25307;&#26631;&#39033;&#30446;\11&#26376;\&#24191;&#35199;&#28041;&#38161;&#38090;&#37325;&#37329;&#23646;&#29615;&#22659;&#29616;&#29366;&#35843;&#26597;&#19982;&#39118;&#38505;&#35780;&#20272;&#39033;&#30446;\&#65288;1117&#25307;&#26631;&#25991;&#20214;&#65289;13.&#24191;&#35199;&#28041;&#38161;&#38090;&#37325;&#37329;&#23646;&#29615;&#22659;&#29616;&#29366;&#35843;&#26597;&#19982;&#39118;&#38505;&#35780;&#20272;&#39033;&#3044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（1117招标文件）13.广西涉锑铊重金属环境现状调查与风险评估项目.dotx</Template>
  <Pages>109</Pages>
  <Words>68476</Words>
  <Characters>71624</Characters>
  <Lines>396</Lines>
  <Paragraphs>111</Paragraphs>
  <TotalTime>1</TotalTime>
  <ScaleCrop>false</ScaleCrop>
  <LinksUpToDate>false</LinksUpToDate>
  <CharactersWithSpaces>78371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2025-11-24T03:46:00Z</dcterms:created>
  <dc:creator>黄艳颀</dc:creator>
  <cp:lastModifiedBy>黄艳颀</cp:lastModifiedBy>
  <cp:lastPrinted>2026-07-10T11:37:00Z</cp:lastPrinted>
  <dcterms:modified xsi:type="dcterms:W3CDTF">2026-07-20T09:56:11Z</dcterms:modified>
  <dc:title>南财采管〔2012〕3号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1659A72332AC4104918BCB6C5C3BE568_13</vt:lpwstr>
  </property>
  <property fmtid="{D5CDD505-2E9C-101B-9397-08002B2CF9AE}" pid="4" name="KSOTemplateDocerSaveRecord">
    <vt:lpwstr>eyJoZGlkIjoiNGI1ZTZlNjIwNzIyNWYyOGI1YWUwNjIyOTc5ZGFlMGIiLCJ1c2VySWQiOiIyNjM1NzM1MjYifQ==</vt:lpwstr>
  </property>
</Properties>
</file>