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8510B4">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w:t>
      </w:r>
    </w:p>
    <w:p w14:paraId="37E73B91">
      <w:pPr>
        <w:pStyle w:val="24"/>
        <w:ind w:firstLine="5"/>
        <w:jc w:val="center"/>
        <w:rPr>
          <w:rFonts w:hint="eastAsia" w:ascii="Cambria" w:hAnsi="Cambria" w:eastAsia="方正美黑简体"/>
          <w:color w:val="auto"/>
          <w:sz w:val="44"/>
          <w:szCs w:val="44"/>
          <w:highlight w:val="none"/>
          <w:lang w:eastAsia="zh-CN"/>
        </w:rPr>
      </w:pPr>
      <w:r>
        <w:rPr>
          <w:rFonts w:hint="eastAsia" w:ascii="Cambria" w:hAnsi="Cambria" w:eastAsia="方正美黑简体" w:cs="Times New Roman"/>
          <w:color w:val="auto"/>
          <w:spacing w:val="30"/>
          <w:kern w:val="52"/>
          <w:sz w:val="44"/>
          <w:szCs w:val="44"/>
          <w:highlight w:val="none"/>
          <w:lang w:eastAsia="zh-CN"/>
        </w:rPr>
        <w:t>广西建设工程机电设备招标中心有限公司</w:t>
      </w:r>
    </w:p>
    <w:p w14:paraId="7998B3C3">
      <w:pPr>
        <w:jc w:val="center"/>
        <w:rPr>
          <w:rFonts w:ascii="汉仪魏碑简" w:eastAsia="汉仪魏碑简"/>
          <w:color w:val="auto"/>
          <w:sz w:val="28"/>
          <w:szCs w:val="28"/>
          <w:highlight w:val="none"/>
        </w:rPr>
      </w:pPr>
      <w:r>
        <w:rPr>
          <w:rFonts w:hint="eastAsia" w:ascii="幼圆" w:eastAsia="幼圆"/>
          <w:b/>
          <w:color w:val="auto"/>
          <w:spacing w:val="-16"/>
          <w:sz w:val="13"/>
          <w:szCs w:val="13"/>
          <w:highlight w:val="none"/>
          <w:u w:val="single"/>
        </w:rPr>
        <mc:AlternateContent>
          <mc:Choice Requires="wps">
            <w:drawing>
              <wp:anchor distT="0" distB="0" distL="114300" distR="114300" simplePos="0" relativeHeight="251661312" behindDoc="0" locked="0" layoutInCell="1" allowOverlap="1">
                <wp:simplePos x="0" y="0"/>
                <wp:positionH relativeFrom="column">
                  <wp:posOffset>114300</wp:posOffset>
                </wp:positionH>
                <wp:positionV relativeFrom="paragraph">
                  <wp:posOffset>99060</wp:posOffset>
                </wp:positionV>
                <wp:extent cx="5829300" cy="0"/>
                <wp:effectExtent l="0" t="28575" r="7620" b="32385"/>
                <wp:wrapNone/>
                <wp:docPr id="10" name="直接连接符 10"/>
                <wp:cNvGraphicFramePr/>
                <a:graphic xmlns:a="http://schemas.openxmlformats.org/drawingml/2006/main">
                  <a:graphicData uri="http://schemas.microsoft.com/office/word/2010/wordprocessingShape">
                    <wps:wsp>
                      <wps:cNvCnPr/>
                      <wps:spPr>
                        <a:xfrm flipV="1">
                          <a:off x="0" y="0"/>
                          <a:ext cx="5829300" cy="0"/>
                        </a:xfrm>
                        <a:prstGeom prst="line">
                          <a:avLst/>
                        </a:prstGeom>
                        <a:ln w="57150" cap="flat" cmpd="thinThick">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flip:y;margin-left:9pt;margin-top:7.8pt;height:0pt;width:459pt;z-index:251661312;mso-width-relative:page;mso-height-relative:page;" filled="f" stroked="t" coordsize="21600,21600" o:gfxdata="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iGS0ctIAAAAIAQAADwAAAAAAAAABACAAAAAiAAAAZHJzL2Rvd25yZXYueG1sUEsBAhQA&#10;FAAAAAgAh07iQKUB5q34AQAA6wMAAA4AAAAAAAAAAQAgAAAAIQEAAGRycy9lMm9Eb2MueG1sUEsF&#10;BgAAAAAGAAYAWQEAAIsFAAAAAA==&#10;">
                <v:fill on="f" focussize="0,0"/>
                <v:stroke weight="4.5pt" color="#000000" linestyle="thinThick" joinstyle="round"/>
                <v:imagedata o:title=""/>
                <o:lock v:ext="edit" aspectratio="f"/>
              </v:line>
            </w:pict>
          </mc:Fallback>
        </mc:AlternateContent>
      </w:r>
    </w:p>
    <w:p w14:paraId="67985FE0">
      <w:pPr>
        <w:rPr>
          <w:rFonts w:ascii="汉仪魏碑简" w:eastAsia="汉仪魏碑简"/>
          <w:color w:val="auto"/>
          <w:sz w:val="70"/>
          <w:szCs w:val="70"/>
          <w:highlight w:val="none"/>
        </w:rPr>
      </w:pPr>
    </w:p>
    <w:p w14:paraId="6F7DB192">
      <w:pPr>
        <w:pStyle w:val="24"/>
        <w:jc w:val="center"/>
        <w:rPr>
          <w:rFonts w:hint="eastAsia" w:asciiTheme="minorEastAsia" w:hAnsiTheme="minorEastAsia" w:eastAsiaTheme="minorEastAsia" w:cstheme="minorEastAsia"/>
          <w:b/>
          <w:bCs/>
          <w:color w:val="auto"/>
          <w:spacing w:val="-18"/>
          <w:sz w:val="96"/>
          <w:szCs w:val="96"/>
          <w:highlight w:val="none"/>
        </w:rPr>
      </w:pPr>
      <w:r>
        <w:rPr>
          <w:rFonts w:hint="eastAsia" w:asciiTheme="minorEastAsia" w:hAnsiTheme="minorEastAsia" w:eastAsiaTheme="minorEastAsia" w:cstheme="minorEastAsia"/>
          <w:b/>
          <w:bCs/>
          <w:color w:val="auto"/>
          <w:spacing w:val="-18"/>
          <w:sz w:val="96"/>
          <w:szCs w:val="96"/>
          <w:highlight w:val="none"/>
        </w:rPr>
        <w:t>竞争性磋商文件</w:t>
      </w:r>
    </w:p>
    <w:p w14:paraId="2146C880">
      <w:pPr>
        <w:snapToGrid w:val="0"/>
        <w:spacing w:before="156" w:beforeLines="50" w:line="500" w:lineRule="exact"/>
        <w:rPr>
          <w:rFonts w:hint="eastAsia" w:asciiTheme="minorEastAsia" w:hAnsiTheme="minorEastAsia" w:eastAsiaTheme="minorEastAsia" w:cstheme="minorEastAsia"/>
          <w:color w:val="auto"/>
          <w:highlight w:val="none"/>
        </w:rPr>
      </w:pPr>
    </w:p>
    <w:p w14:paraId="7834DF46">
      <w:pPr>
        <w:snapToGrid w:val="0"/>
        <w:spacing w:before="156" w:beforeLines="50" w:line="500" w:lineRule="exact"/>
        <w:jc w:val="center"/>
        <w:rPr>
          <w:rFonts w:hint="eastAsia" w:asciiTheme="minorEastAsia" w:hAnsiTheme="minorEastAsia" w:eastAsiaTheme="minorEastAsia" w:cstheme="minorEastAsia"/>
          <w:b/>
          <w:bCs/>
          <w:color w:val="auto"/>
          <w:sz w:val="30"/>
          <w:szCs w:val="30"/>
          <w:highlight w:val="none"/>
        </w:rPr>
      </w:pPr>
    </w:p>
    <w:p w14:paraId="6BE16D00">
      <w:pPr>
        <w:snapToGrid w:val="0"/>
        <w:spacing w:before="156" w:beforeLines="50" w:line="500" w:lineRule="exact"/>
        <w:jc w:val="center"/>
        <w:rPr>
          <w:rFonts w:hint="eastAsia" w:asciiTheme="minorEastAsia" w:hAnsiTheme="minorEastAsia" w:eastAsiaTheme="minorEastAsia" w:cstheme="minorEastAsia"/>
          <w:b/>
          <w:bCs/>
          <w:color w:val="auto"/>
          <w:sz w:val="30"/>
          <w:szCs w:val="30"/>
          <w:highlight w:val="none"/>
        </w:rPr>
      </w:pPr>
    </w:p>
    <w:p w14:paraId="3651C4B1">
      <w:pPr>
        <w:snapToGrid w:val="0"/>
        <w:spacing w:before="156" w:beforeLines="50" w:line="500" w:lineRule="exact"/>
        <w:jc w:val="center"/>
        <w:rPr>
          <w:rFonts w:hint="eastAsia" w:asciiTheme="minorEastAsia" w:hAnsiTheme="minorEastAsia" w:eastAsiaTheme="minorEastAsia" w:cstheme="minorEastAsia"/>
          <w:b/>
          <w:bCs/>
          <w:color w:val="auto"/>
          <w:sz w:val="30"/>
          <w:szCs w:val="30"/>
          <w:highlight w:val="none"/>
        </w:rPr>
      </w:pPr>
    </w:p>
    <w:p w14:paraId="6DA03E1E">
      <w:pPr>
        <w:snapToGrid w:val="0"/>
        <w:spacing w:before="156" w:beforeLines="50" w:line="500" w:lineRule="exact"/>
        <w:ind w:firstLine="964" w:firstLineChars="300"/>
        <w:jc w:val="left"/>
        <w:rPr>
          <w:rFonts w:hint="eastAsia" w:asciiTheme="minorEastAsia" w:hAnsiTheme="minorEastAsia" w:eastAsiaTheme="minorEastAsia" w:cstheme="minorEastAsia"/>
          <w:b/>
          <w:bCs/>
          <w:color w:val="auto"/>
          <w:sz w:val="32"/>
          <w:szCs w:val="32"/>
          <w:highlight w:val="none"/>
          <w:lang w:eastAsia="zh-CN"/>
        </w:rPr>
      </w:pPr>
      <w:r>
        <w:rPr>
          <w:rFonts w:hint="eastAsia" w:asciiTheme="minorEastAsia" w:hAnsiTheme="minorEastAsia" w:eastAsiaTheme="minorEastAsia" w:cstheme="minorEastAsia"/>
          <w:b/>
          <w:bCs/>
          <w:color w:val="auto"/>
          <w:sz w:val="32"/>
          <w:szCs w:val="32"/>
          <w:highlight w:val="none"/>
        </w:rPr>
        <w:t>项目名称：</w:t>
      </w:r>
      <w:r>
        <w:rPr>
          <w:rFonts w:hint="eastAsia" w:asciiTheme="minorEastAsia" w:hAnsiTheme="minorEastAsia" w:eastAsiaTheme="minorEastAsia" w:cstheme="minorEastAsia"/>
          <w:b/>
          <w:bCs/>
          <w:color w:val="auto"/>
          <w:sz w:val="32"/>
          <w:szCs w:val="32"/>
          <w:highlight w:val="none"/>
          <w:lang w:eastAsia="zh-CN"/>
        </w:rPr>
        <w:t>西乡塘区设施果蔬标准化种植园建设项目</w:t>
      </w:r>
    </w:p>
    <w:p w14:paraId="6F2DA4C7">
      <w:pPr>
        <w:snapToGrid w:val="0"/>
        <w:spacing w:before="156" w:beforeLines="50" w:line="500" w:lineRule="exact"/>
        <w:ind w:firstLine="964" w:firstLineChars="300"/>
        <w:jc w:val="left"/>
        <w:rPr>
          <w:rFonts w:hint="eastAsia" w:asciiTheme="minorEastAsia" w:hAnsiTheme="minorEastAsia" w:eastAsiaTheme="minorEastAsia" w:cstheme="minorEastAsia"/>
          <w:b/>
          <w:bCs/>
          <w:color w:val="auto"/>
          <w:sz w:val="32"/>
          <w:szCs w:val="32"/>
          <w:highlight w:val="none"/>
          <w:lang w:eastAsia="zh-CN"/>
        </w:rPr>
      </w:pPr>
      <w:r>
        <w:rPr>
          <w:rFonts w:hint="eastAsia" w:asciiTheme="minorEastAsia" w:hAnsiTheme="minorEastAsia" w:eastAsiaTheme="minorEastAsia" w:cstheme="minorEastAsia"/>
          <w:b/>
          <w:bCs/>
          <w:color w:val="auto"/>
          <w:sz w:val="32"/>
          <w:szCs w:val="32"/>
          <w:highlight w:val="none"/>
        </w:rPr>
        <w:t>项目编号：</w:t>
      </w:r>
      <w:r>
        <w:rPr>
          <w:rFonts w:hint="eastAsia" w:asciiTheme="minorEastAsia" w:hAnsiTheme="minorEastAsia" w:eastAsiaTheme="minorEastAsia" w:cstheme="minorEastAsia"/>
          <w:b/>
          <w:bCs/>
          <w:color w:val="auto"/>
          <w:sz w:val="32"/>
          <w:szCs w:val="32"/>
          <w:highlight w:val="none"/>
          <w:lang w:eastAsia="zh-CN"/>
        </w:rPr>
        <w:t>NNZC2026-C2-070035-JGJD</w:t>
      </w:r>
    </w:p>
    <w:p w14:paraId="0F1F77AC">
      <w:pPr>
        <w:snapToGrid w:val="0"/>
        <w:spacing w:before="156" w:beforeLines="50" w:line="500" w:lineRule="exact"/>
        <w:rPr>
          <w:rFonts w:hint="eastAsia" w:asciiTheme="minorEastAsia" w:hAnsiTheme="minorEastAsia" w:eastAsiaTheme="minorEastAsia" w:cstheme="minorEastAsia"/>
          <w:color w:val="auto"/>
          <w:sz w:val="32"/>
          <w:szCs w:val="32"/>
          <w:highlight w:val="none"/>
        </w:rPr>
      </w:pPr>
    </w:p>
    <w:p w14:paraId="0912BB31">
      <w:pPr>
        <w:snapToGrid w:val="0"/>
        <w:spacing w:before="156" w:beforeLines="50" w:line="500" w:lineRule="exact"/>
        <w:rPr>
          <w:rFonts w:hint="eastAsia" w:asciiTheme="minorEastAsia" w:hAnsiTheme="minorEastAsia" w:eastAsiaTheme="minorEastAsia" w:cstheme="minorEastAsia"/>
          <w:color w:val="auto"/>
          <w:highlight w:val="none"/>
        </w:rPr>
      </w:pPr>
    </w:p>
    <w:p w14:paraId="7AB10539">
      <w:pPr>
        <w:pStyle w:val="6"/>
        <w:rPr>
          <w:rFonts w:hint="eastAsia" w:asciiTheme="minorEastAsia" w:hAnsiTheme="minorEastAsia" w:eastAsiaTheme="minorEastAsia" w:cstheme="minorEastAsia"/>
          <w:color w:val="auto"/>
          <w:highlight w:val="none"/>
        </w:rPr>
      </w:pPr>
    </w:p>
    <w:p w14:paraId="59D703AB">
      <w:pPr>
        <w:rPr>
          <w:color w:val="auto"/>
          <w:highlight w:val="none"/>
        </w:rPr>
      </w:pPr>
    </w:p>
    <w:p w14:paraId="1FF38DCA">
      <w:pPr>
        <w:snapToGrid w:val="0"/>
        <w:spacing w:before="156" w:beforeLines="50" w:line="400" w:lineRule="atLeast"/>
        <w:ind w:firstLine="1506" w:firstLineChars="500"/>
        <w:rPr>
          <w:rFonts w:hint="eastAsia" w:asciiTheme="minorEastAsia" w:hAnsiTheme="minorEastAsia" w:eastAsiaTheme="minorEastAsia" w:cstheme="minorEastAsia"/>
          <w:b/>
          <w:bCs/>
          <w:color w:val="auto"/>
          <w:sz w:val="30"/>
          <w:szCs w:val="30"/>
          <w:highlight w:val="none"/>
        </w:rPr>
      </w:pPr>
    </w:p>
    <w:p w14:paraId="0C5DA459">
      <w:pPr>
        <w:snapToGrid w:val="0"/>
        <w:spacing w:before="156" w:beforeLines="50" w:line="400" w:lineRule="atLeast"/>
        <w:ind w:firstLine="1506" w:firstLineChars="500"/>
        <w:rPr>
          <w:rFonts w:hint="eastAsia" w:asciiTheme="minorEastAsia" w:hAnsiTheme="minorEastAsia" w:eastAsiaTheme="minorEastAsia" w:cstheme="minorEastAsia"/>
          <w:b/>
          <w:bCs/>
          <w:color w:val="auto"/>
          <w:sz w:val="30"/>
          <w:szCs w:val="30"/>
          <w:highlight w:val="none"/>
          <w:lang w:eastAsia="zh-CN"/>
        </w:rPr>
      </w:pPr>
      <w:r>
        <w:rPr>
          <w:rFonts w:hint="eastAsia" w:asciiTheme="minorEastAsia" w:hAnsiTheme="minorEastAsia" w:eastAsiaTheme="minorEastAsia" w:cstheme="minorEastAsia"/>
          <w:b/>
          <w:bCs/>
          <w:color w:val="auto"/>
          <w:sz w:val="30"/>
          <w:szCs w:val="30"/>
          <w:highlight w:val="none"/>
        </w:rPr>
        <mc:AlternateContent>
          <mc:Choice Requires="wps">
            <w:drawing>
              <wp:anchor distT="0" distB="0" distL="114300" distR="114300" simplePos="0" relativeHeight="251660288" behindDoc="0" locked="0" layoutInCell="1" allowOverlap="1">
                <wp:simplePos x="0" y="0"/>
                <wp:positionH relativeFrom="column">
                  <wp:posOffset>-110490</wp:posOffset>
                </wp:positionH>
                <wp:positionV relativeFrom="paragraph">
                  <wp:posOffset>78740</wp:posOffset>
                </wp:positionV>
                <wp:extent cx="6076950" cy="0"/>
                <wp:effectExtent l="0" t="0" r="0" b="0"/>
                <wp:wrapNone/>
                <wp:docPr id="2" name="自选图形 3"/>
                <wp:cNvGraphicFramePr/>
                <a:graphic xmlns:a="http://schemas.openxmlformats.org/drawingml/2006/main">
                  <a:graphicData uri="http://schemas.microsoft.com/office/word/2010/wordprocessingShape">
                    <wps:wsp>
                      <wps:cNvCnPr/>
                      <wps:spPr>
                        <a:xfrm>
                          <a:off x="0" y="0"/>
                          <a:ext cx="607695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3" o:spid="_x0000_s1026" o:spt="32" type="#_x0000_t32" style="position:absolute;left:0pt;margin-left:-8.7pt;margin-top:6.2pt;height:0pt;width:478.5pt;z-index:251660288;mso-width-relative:page;mso-height-relative:page;" filled="f" stroked="t" coordsize="21600,21600" o:gfxdata="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bMywj1wAAAAkBAAAPAAAAAAAAAAEAIAAAACIAAABkcnMvZG93bnJldi54bWxQSwEC&#10;FAAUAAAACACHTuJAlDlLd/UBAADjAwAADgAAAAAAAAABACAAAAAmAQAAZHJzL2Uyb0RvYy54bWxQ&#10;SwUGAAAAAAYABgBZAQAAjQUAAAAA&#10;">
                <v:fill on="f" focussize="0,0"/>
                <v:stroke color="#000000" joinstyle="round"/>
                <v:imagedata o:title=""/>
                <o:lock v:ext="edit" aspectratio="f"/>
              </v:shape>
            </w:pict>
          </mc:Fallback>
        </mc:AlternateContent>
      </w:r>
      <w:r>
        <w:rPr>
          <w:rFonts w:hint="eastAsia" w:asciiTheme="minorEastAsia" w:hAnsiTheme="minorEastAsia" w:eastAsiaTheme="minorEastAsia" w:cstheme="minorEastAsia"/>
          <w:b/>
          <w:bCs/>
          <w:color w:val="auto"/>
          <w:sz w:val="30"/>
          <w:szCs w:val="30"/>
          <w:highlight w:val="none"/>
        </w:rPr>
        <w:t>采购单位：</w:t>
      </w:r>
      <w:r>
        <w:rPr>
          <w:rFonts w:hint="eastAsia" w:asciiTheme="minorEastAsia" w:hAnsiTheme="minorEastAsia" w:eastAsiaTheme="minorEastAsia" w:cstheme="minorEastAsia"/>
          <w:b/>
          <w:bCs/>
          <w:color w:val="auto"/>
          <w:sz w:val="30"/>
          <w:szCs w:val="30"/>
          <w:highlight w:val="none"/>
          <w:lang w:eastAsia="zh-CN"/>
        </w:rPr>
        <w:t>南宁市西乡塘区农业农村局</w:t>
      </w:r>
    </w:p>
    <w:p w14:paraId="20744D72">
      <w:pPr>
        <w:snapToGrid w:val="0"/>
        <w:spacing w:before="156" w:beforeLines="50" w:line="400" w:lineRule="atLeast"/>
        <w:ind w:firstLine="1506" w:firstLineChars="500"/>
        <w:rPr>
          <w:rFonts w:hint="eastAsia" w:asciiTheme="minorEastAsia" w:hAnsiTheme="minorEastAsia" w:eastAsiaTheme="minorEastAsia" w:cstheme="minorEastAsia"/>
          <w:b/>
          <w:bCs/>
          <w:color w:val="auto"/>
          <w:sz w:val="30"/>
          <w:szCs w:val="30"/>
          <w:highlight w:val="none"/>
          <w:lang w:eastAsia="zh-CN"/>
        </w:rPr>
      </w:pPr>
      <w:r>
        <w:rPr>
          <w:rFonts w:hint="eastAsia" w:asciiTheme="minorEastAsia" w:hAnsiTheme="minorEastAsia" w:eastAsiaTheme="minorEastAsia" w:cstheme="minorEastAsia"/>
          <w:b/>
          <w:bCs/>
          <w:color w:val="auto"/>
          <w:sz w:val="30"/>
          <w:szCs w:val="30"/>
          <w:highlight w:val="none"/>
        </w:rPr>
        <w:t>采购代理机构：</w:t>
      </w:r>
      <w:r>
        <w:rPr>
          <w:rFonts w:hint="eastAsia" w:asciiTheme="minorEastAsia" w:hAnsiTheme="minorEastAsia" w:eastAsiaTheme="minorEastAsia" w:cstheme="minorEastAsia"/>
          <w:b/>
          <w:bCs/>
          <w:color w:val="auto"/>
          <w:sz w:val="30"/>
          <w:szCs w:val="30"/>
          <w:highlight w:val="none"/>
          <w:lang w:eastAsia="zh-CN"/>
        </w:rPr>
        <w:t>广西建设工程机电设备招标中心有限公司</w:t>
      </w:r>
    </w:p>
    <w:p w14:paraId="747AA961">
      <w:pPr>
        <w:snapToGrid w:val="0"/>
        <w:spacing w:before="156" w:beforeLines="50" w:line="400" w:lineRule="atLeast"/>
        <w:jc w:val="center"/>
        <w:rPr>
          <w:rFonts w:hint="eastAsia" w:asciiTheme="minorEastAsia" w:hAnsiTheme="minorEastAsia" w:eastAsiaTheme="minorEastAsia" w:cstheme="minorEastAsia"/>
          <w:b/>
          <w:bCs/>
          <w:color w:val="auto"/>
          <w:sz w:val="30"/>
          <w:szCs w:val="30"/>
          <w:highlight w:val="none"/>
        </w:rPr>
      </w:pPr>
    </w:p>
    <w:p w14:paraId="48E2953E">
      <w:pPr>
        <w:snapToGrid w:val="0"/>
        <w:spacing w:before="156" w:beforeLines="50" w:line="400" w:lineRule="atLeast"/>
        <w:jc w:val="center"/>
        <w:rPr>
          <w:rFonts w:hint="eastAsia" w:asciiTheme="minorEastAsia" w:hAnsiTheme="minorEastAsia" w:eastAsiaTheme="minorEastAsia" w:cstheme="minorEastAsia"/>
          <w:b/>
          <w:bCs/>
          <w:color w:val="auto"/>
          <w:sz w:val="30"/>
          <w:szCs w:val="30"/>
          <w:highlight w:val="none"/>
        </w:rPr>
        <w:sectPr>
          <w:footerReference r:id="rId3" w:type="default"/>
          <w:pgSz w:w="11906" w:h="16838"/>
          <w:pgMar w:top="1134" w:right="1134" w:bottom="1134" w:left="1134" w:header="851" w:footer="567" w:gutter="0"/>
          <w:pgNumType w:start="0"/>
          <w:cols w:space="720" w:num="1"/>
          <w:titlePg/>
          <w:docGrid w:type="lines" w:linePitch="312" w:charSpace="0"/>
        </w:sectPr>
      </w:pPr>
      <w:r>
        <w:rPr>
          <w:rFonts w:hint="eastAsia" w:asciiTheme="minorEastAsia" w:hAnsiTheme="minorEastAsia" w:eastAsiaTheme="minorEastAsia" w:cstheme="minorEastAsia"/>
          <w:b/>
          <w:bCs/>
          <w:color w:val="auto"/>
          <w:sz w:val="30"/>
          <w:szCs w:val="30"/>
          <w:highlight w:val="none"/>
          <w:lang w:eastAsia="zh-CN"/>
        </w:rPr>
        <w:t>2026年</w:t>
      </w:r>
      <w:r>
        <w:rPr>
          <w:rFonts w:hint="eastAsia" w:asciiTheme="minorEastAsia" w:hAnsiTheme="minorEastAsia" w:eastAsiaTheme="minorEastAsia" w:cstheme="minorEastAsia"/>
          <w:b/>
          <w:bCs/>
          <w:color w:val="auto"/>
          <w:sz w:val="30"/>
          <w:szCs w:val="30"/>
          <w:highlight w:val="none"/>
          <w:lang w:val="en-US" w:eastAsia="zh-CN"/>
        </w:rPr>
        <w:t>7月30</w:t>
      </w:r>
      <w:r>
        <w:rPr>
          <w:rFonts w:hint="eastAsia" w:asciiTheme="minorEastAsia" w:hAnsiTheme="minorEastAsia" w:eastAsiaTheme="minorEastAsia" w:cstheme="minorEastAsia"/>
          <w:b/>
          <w:bCs/>
          <w:color w:val="auto"/>
          <w:sz w:val="30"/>
          <w:szCs w:val="30"/>
          <w:highlight w:val="none"/>
        </w:rPr>
        <w:t>日</w:t>
      </w:r>
    </w:p>
    <w:p w14:paraId="5D5F9F90">
      <w:pPr>
        <w:jc w:val="center"/>
        <w:rPr>
          <w:rFonts w:hint="eastAsia" w:ascii="宋体" w:hAnsi="宋体"/>
          <w:color w:val="auto"/>
          <w:sz w:val="44"/>
          <w:szCs w:val="44"/>
          <w:highlight w:val="none"/>
        </w:rPr>
      </w:pPr>
      <w:r>
        <w:rPr>
          <w:rFonts w:hint="eastAsia" w:ascii="宋体" w:hAnsi="宋体"/>
          <w:color w:val="auto"/>
          <w:sz w:val="44"/>
          <w:szCs w:val="44"/>
          <w:highlight w:val="none"/>
        </w:rPr>
        <w:t xml:space="preserve"> </w:t>
      </w:r>
    </w:p>
    <w:sdt>
      <w:sdtPr>
        <w:rPr>
          <w:rFonts w:ascii="宋体" w:hAnsi="宋体"/>
          <w:b/>
          <w:bCs/>
          <w:color w:val="auto"/>
          <w:sz w:val="44"/>
          <w:szCs w:val="44"/>
          <w:highlight w:val="none"/>
        </w:rPr>
        <w:id w:val="147460414"/>
        <w15:color w:val="DBDBDB"/>
        <w:docPartObj>
          <w:docPartGallery w:val="Table of Contents"/>
          <w:docPartUnique/>
        </w:docPartObj>
      </w:sdtPr>
      <w:sdtEndPr>
        <w:rPr>
          <w:rFonts w:ascii="宋体" w:hAnsi="宋体"/>
          <w:b/>
          <w:bCs/>
          <w:color w:val="auto"/>
          <w:sz w:val="44"/>
          <w:szCs w:val="44"/>
          <w:highlight w:val="none"/>
        </w:rPr>
      </w:sdtEndPr>
      <w:sdtContent>
        <w:p w14:paraId="31516FD1">
          <w:pPr>
            <w:jc w:val="center"/>
            <w:rPr>
              <w:rFonts w:hint="eastAsia" w:ascii="宋体" w:hAnsi="宋体"/>
              <w:b/>
              <w:bCs/>
              <w:color w:val="auto"/>
              <w:sz w:val="44"/>
              <w:szCs w:val="44"/>
              <w:highlight w:val="none"/>
            </w:rPr>
          </w:pPr>
          <w:r>
            <w:rPr>
              <w:rFonts w:ascii="宋体" w:hAnsi="宋体"/>
              <w:b/>
              <w:bCs/>
              <w:color w:val="auto"/>
              <w:sz w:val="44"/>
              <w:szCs w:val="44"/>
              <w:highlight w:val="none"/>
            </w:rPr>
            <w:t>目</w:t>
          </w:r>
          <w:r>
            <w:rPr>
              <w:rFonts w:hint="eastAsia" w:ascii="宋体" w:hAnsi="宋体"/>
              <w:b/>
              <w:bCs/>
              <w:color w:val="auto"/>
              <w:sz w:val="44"/>
              <w:szCs w:val="44"/>
              <w:highlight w:val="none"/>
            </w:rPr>
            <w:t xml:space="preserve">    </w:t>
          </w:r>
          <w:r>
            <w:rPr>
              <w:rFonts w:ascii="宋体" w:hAnsi="宋体"/>
              <w:b/>
              <w:bCs/>
              <w:color w:val="auto"/>
              <w:sz w:val="44"/>
              <w:szCs w:val="44"/>
              <w:highlight w:val="none"/>
            </w:rPr>
            <w:t>录</w:t>
          </w:r>
          <w:r>
            <w:rPr>
              <w:rFonts w:hint="eastAsia" w:ascii="宋体" w:hAnsi="宋体"/>
              <w:b/>
              <w:bCs/>
              <w:color w:val="auto"/>
              <w:sz w:val="44"/>
              <w:szCs w:val="44"/>
              <w:highlight w:val="none"/>
            </w:rPr>
            <w:t xml:space="preserve">     </w:t>
          </w:r>
        </w:p>
        <w:p w14:paraId="2785D747">
          <w:pPr>
            <w:pStyle w:val="27"/>
            <w:spacing w:line="360" w:lineRule="auto"/>
            <w:rPr>
              <w:rFonts w:hint="eastAsia" w:ascii="宋体" w:hAnsi="宋体"/>
              <w:b/>
              <w:bCs/>
              <w:color w:val="auto"/>
              <w:sz w:val="28"/>
              <w:szCs w:val="28"/>
              <w:highlight w:val="none"/>
            </w:rPr>
          </w:pPr>
        </w:p>
        <w:p w14:paraId="1BFA73A4">
          <w:pPr>
            <w:pStyle w:val="31"/>
            <w:tabs>
              <w:tab w:val="right" w:leader="dot" w:pos="8730"/>
            </w:tabs>
            <w:spacing w:line="480" w:lineRule="auto"/>
            <w:rPr>
              <w:rFonts w:hint="eastAsia" w:ascii="宋体" w:hAnsi="宋体" w:cs="宋体"/>
              <w:b w:val="0"/>
              <w:bCs w:val="0"/>
              <w:color w:val="auto"/>
              <w:sz w:val="32"/>
              <w:szCs w:val="32"/>
              <w:highlight w:val="none"/>
            </w:rPr>
          </w:pPr>
          <w:r>
            <w:rPr>
              <w:rFonts w:hint="eastAsia" w:ascii="宋体" w:hAnsi="宋体" w:cs="宋体"/>
              <w:color w:val="auto"/>
              <w:sz w:val="32"/>
              <w:szCs w:val="32"/>
              <w:highlight w:val="none"/>
            </w:rPr>
            <w:fldChar w:fldCharType="begin"/>
          </w:r>
          <w:r>
            <w:rPr>
              <w:rFonts w:hint="eastAsia" w:ascii="宋体" w:hAnsi="宋体" w:cs="宋体"/>
              <w:color w:val="auto"/>
              <w:sz w:val="32"/>
              <w:szCs w:val="32"/>
              <w:highlight w:val="none"/>
            </w:rPr>
            <w:instrText xml:space="preserve">TOC \o "1-1" \h \u </w:instrText>
          </w:r>
          <w:r>
            <w:rPr>
              <w:rFonts w:hint="eastAsia" w:ascii="宋体" w:hAnsi="宋体" w:cs="宋体"/>
              <w:color w:val="auto"/>
              <w:sz w:val="32"/>
              <w:szCs w:val="32"/>
              <w:highlight w:val="none"/>
            </w:rPr>
            <w:fldChar w:fldCharType="separate"/>
          </w:r>
          <w:r>
            <w:rPr>
              <w:color w:val="auto"/>
              <w:highlight w:val="none"/>
            </w:rPr>
            <w:fldChar w:fldCharType="begin"/>
          </w:r>
          <w:r>
            <w:rPr>
              <w:color w:val="auto"/>
              <w:highlight w:val="none"/>
            </w:rPr>
            <w:instrText xml:space="preserve"> HYPERLINK \l "_Toc2307" </w:instrText>
          </w:r>
          <w:r>
            <w:rPr>
              <w:color w:val="auto"/>
              <w:highlight w:val="none"/>
            </w:rPr>
            <w:fldChar w:fldCharType="separate"/>
          </w:r>
          <w:r>
            <w:rPr>
              <w:rFonts w:hint="eastAsia" w:ascii="宋体" w:hAnsi="宋体" w:cs="宋体"/>
              <w:b w:val="0"/>
              <w:bCs w:val="0"/>
              <w:color w:val="auto"/>
              <w:sz w:val="32"/>
              <w:szCs w:val="32"/>
              <w:highlight w:val="none"/>
            </w:rPr>
            <w:t>第一章  竞争性磋商公告</w:t>
          </w:r>
          <w:r>
            <w:rPr>
              <w:rFonts w:hint="eastAsia" w:ascii="宋体" w:hAnsi="宋体" w:cs="宋体"/>
              <w:b w:val="0"/>
              <w:bCs w:val="0"/>
              <w:color w:val="auto"/>
              <w:sz w:val="32"/>
              <w:szCs w:val="32"/>
              <w:highlight w:val="none"/>
            </w:rPr>
            <w:tab/>
          </w:r>
          <w:r>
            <w:rPr>
              <w:rFonts w:hint="eastAsia" w:ascii="宋体" w:hAnsi="宋体" w:cs="宋体"/>
              <w:b w:val="0"/>
              <w:bCs w:val="0"/>
              <w:color w:val="auto"/>
              <w:sz w:val="32"/>
              <w:szCs w:val="32"/>
              <w:highlight w:val="none"/>
            </w:rPr>
            <w:fldChar w:fldCharType="begin"/>
          </w:r>
          <w:r>
            <w:rPr>
              <w:rFonts w:hint="eastAsia" w:ascii="宋体" w:hAnsi="宋体" w:cs="宋体"/>
              <w:b w:val="0"/>
              <w:bCs w:val="0"/>
              <w:color w:val="auto"/>
              <w:sz w:val="32"/>
              <w:szCs w:val="32"/>
              <w:highlight w:val="none"/>
            </w:rPr>
            <w:instrText xml:space="preserve"> PAGEREF _Toc2307 \h </w:instrText>
          </w:r>
          <w:r>
            <w:rPr>
              <w:rFonts w:hint="eastAsia" w:ascii="宋体" w:hAnsi="宋体" w:cs="宋体"/>
              <w:b w:val="0"/>
              <w:bCs w:val="0"/>
              <w:color w:val="auto"/>
              <w:sz w:val="32"/>
              <w:szCs w:val="32"/>
              <w:highlight w:val="none"/>
            </w:rPr>
            <w:fldChar w:fldCharType="separate"/>
          </w:r>
          <w:r>
            <w:rPr>
              <w:rFonts w:hint="eastAsia" w:ascii="宋体" w:hAnsi="宋体" w:cs="宋体"/>
              <w:b w:val="0"/>
              <w:bCs w:val="0"/>
              <w:color w:val="auto"/>
              <w:sz w:val="32"/>
              <w:szCs w:val="32"/>
              <w:highlight w:val="none"/>
            </w:rPr>
            <w:t>2</w:t>
          </w:r>
          <w:r>
            <w:rPr>
              <w:rFonts w:hint="eastAsia" w:ascii="宋体" w:hAnsi="宋体" w:cs="宋体"/>
              <w:b w:val="0"/>
              <w:bCs w:val="0"/>
              <w:color w:val="auto"/>
              <w:sz w:val="32"/>
              <w:szCs w:val="32"/>
              <w:highlight w:val="none"/>
            </w:rPr>
            <w:fldChar w:fldCharType="end"/>
          </w:r>
          <w:r>
            <w:rPr>
              <w:rFonts w:hint="eastAsia" w:ascii="宋体" w:hAnsi="宋体" w:cs="宋体"/>
              <w:b w:val="0"/>
              <w:bCs w:val="0"/>
              <w:color w:val="auto"/>
              <w:sz w:val="32"/>
              <w:szCs w:val="32"/>
              <w:highlight w:val="none"/>
            </w:rPr>
            <w:fldChar w:fldCharType="end"/>
          </w:r>
        </w:p>
        <w:p w14:paraId="134F3B1B">
          <w:pPr>
            <w:pStyle w:val="31"/>
            <w:tabs>
              <w:tab w:val="right" w:leader="dot" w:pos="8730"/>
            </w:tabs>
            <w:spacing w:line="480" w:lineRule="auto"/>
            <w:rPr>
              <w:rFonts w:hint="eastAsia" w:ascii="宋体" w:hAnsi="宋体" w:cs="宋体"/>
              <w:b w:val="0"/>
              <w:bCs w:val="0"/>
              <w:color w:val="auto"/>
              <w:sz w:val="32"/>
              <w:szCs w:val="32"/>
              <w:highlight w:val="none"/>
            </w:rPr>
          </w:pPr>
          <w:r>
            <w:rPr>
              <w:color w:val="auto"/>
              <w:highlight w:val="none"/>
            </w:rPr>
            <w:fldChar w:fldCharType="begin"/>
          </w:r>
          <w:r>
            <w:rPr>
              <w:color w:val="auto"/>
              <w:highlight w:val="none"/>
            </w:rPr>
            <w:instrText xml:space="preserve"> HYPERLINK \l "_Toc26580" </w:instrText>
          </w:r>
          <w:r>
            <w:rPr>
              <w:color w:val="auto"/>
              <w:highlight w:val="none"/>
            </w:rPr>
            <w:fldChar w:fldCharType="separate"/>
          </w:r>
          <w:r>
            <w:rPr>
              <w:rFonts w:hint="eastAsia" w:ascii="宋体" w:hAnsi="宋体" w:cs="宋体"/>
              <w:b w:val="0"/>
              <w:bCs w:val="0"/>
              <w:color w:val="auto"/>
              <w:sz w:val="32"/>
              <w:szCs w:val="32"/>
              <w:highlight w:val="none"/>
            </w:rPr>
            <w:t>第二章  磋商须知前附表及磋商须知</w:t>
          </w:r>
          <w:r>
            <w:rPr>
              <w:rFonts w:hint="eastAsia" w:ascii="宋体" w:hAnsi="宋体" w:cs="宋体"/>
              <w:b w:val="0"/>
              <w:bCs w:val="0"/>
              <w:color w:val="auto"/>
              <w:sz w:val="32"/>
              <w:szCs w:val="32"/>
              <w:highlight w:val="none"/>
            </w:rPr>
            <w:tab/>
          </w:r>
          <w:r>
            <w:rPr>
              <w:rFonts w:hint="eastAsia" w:ascii="宋体" w:hAnsi="宋体" w:cs="宋体"/>
              <w:b w:val="0"/>
              <w:bCs w:val="0"/>
              <w:color w:val="auto"/>
              <w:sz w:val="32"/>
              <w:szCs w:val="32"/>
              <w:highlight w:val="none"/>
            </w:rPr>
            <w:fldChar w:fldCharType="begin"/>
          </w:r>
          <w:r>
            <w:rPr>
              <w:rFonts w:hint="eastAsia" w:ascii="宋体" w:hAnsi="宋体" w:cs="宋体"/>
              <w:b w:val="0"/>
              <w:bCs w:val="0"/>
              <w:color w:val="auto"/>
              <w:sz w:val="32"/>
              <w:szCs w:val="32"/>
              <w:highlight w:val="none"/>
            </w:rPr>
            <w:instrText xml:space="preserve"> PAGEREF _Toc26580 \h </w:instrText>
          </w:r>
          <w:r>
            <w:rPr>
              <w:rFonts w:hint="eastAsia" w:ascii="宋体" w:hAnsi="宋体" w:cs="宋体"/>
              <w:b w:val="0"/>
              <w:bCs w:val="0"/>
              <w:color w:val="auto"/>
              <w:sz w:val="32"/>
              <w:szCs w:val="32"/>
              <w:highlight w:val="none"/>
            </w:rPr>
            <w:fldChar w:fldCharType="separate"/>
          </w:r>
          <w:r>
            <w:rPr>
              <w:rFonts w:hint="eastAsia" w:ascii="宋体" w:hAnsi="宋体" w:cs="宋体"/>
              <w:b w:val="0"/>
              <w:bCs w:val="0"/>
              <w:color w:val="auto"/>
              <w:sz w:val="32"/>
              <w:szCs w:val="32"/>
              <w:highlight w:val="none"/>
            </w:rPr>
            <w:t>8</w:t>
          </w:r>
          <w:r>
            <w:rPr>
              <w:rFonts w:hint="eastAsia" w:ascii="宋体" w:hAnsi="宋体" w:cs="宋体"/>
              <w:b w:val="0"/>
              <w:bCs w:val="0"/>
              <w:color w:val="auto"/>
              <w:sz w:val="32"/>
              <w:szCs w:val="32"/>
              <w:highlight w:val="none"/>
            </w:rPr>
            <w:fldChar w:fldCharType="end"/>
          </w:r>
          <w:r>
            <w:rPr>
              <w:rFonts w:hint="eastAsia" w:ascii="宋体" w:hAnsi="宋体" w:cs="宋体"/>
              <w:b w:val="0"/>
              <w:bCs w:val="0"/>
              <w:color w:val="auto"/>
              <w:sz w:val="32"/>
              <w:szCs w:val="32"/>
              <w:highlight w:val="none"/>
            </w:rPr>
            <w:fldChar w:fldCharType="end"/>
          </w:r>
        </w:p>
        <w:p w14:paraId="37435CB9">
          <w:pPr>
            <w:pStyle w:val="31"/>
            <w:tabs>
              <w:tab w:val="right" w:leader="dot" w:pos="8730"/>
            </w:tabs>
            <w:spacing w:line="480" w:lineRule="auto"/>
            <w:rPr>
              <w:rFonts w:hint="eastAsia" w:ascii="宋体" w:hAnsi="宋体" w:cs="宋体"/>
              <w:b w:val="0"/>
              <w:bCs w:val="0"/>
              <w:color w:val="auto"/>
              <w:sz w:val="32"/>
              <w:szCs w:val="32"/>
              <w:highlight w:val="none"/>
            </w:rPr>
          </w:pPr>
          <w:r>
            <w:rPr>
              <w:color w:val="auto"/>
              <w:highlight w:val="none"/>
            </w:rPr>
            <w:fldChar w:fldCharType="begin"/>
          </w:r>
          <w:r>
            <w:rPr>
              <w:color w:val="auto"/>
              <w:highlight w:val="none"/>
            </w:rPr>
            <w:instrText xml:space="preserve"> HYPERLINK \l "_Toc3413" </w:instrText>
          </w:r>
          <w:r>
            <w:rPr>
              <w:color w:val="auto"/>
              <w:highlight w:val="none"/>
            </w:rPr>
            <w:fldChar w:fldCharType="separate"/>
          </w:r>
          <w:r>
            <w:rPr>
              <w:rFonts w:hint="eastAsia" w:ascii="宋体" w:hAnsi="宋体" w:cs="宋体"/>
              <w:b w:val="0"/>
              <w:bCs w:val="0"/>
              <w:color w:val="auto"/>
              <w:sz w:val="32"/>
              <w:szCs w:val="32"/>
              <w:highlight w:val="none"/>
            </w:rPr>
            <w:t>第三章  技术规范</w:t>
          </w:r>
          <w:r>
            <w:rPr>
              <w:rFonts w:hint="eastAsia" w:ascii="宋体" w:hAnsi="宋体" w:cs="宋体"/>
              <w:b w:val="0"/>
              <w:bCs w:val="0"/>
              <w:color w:val="auto"/>
              <w:sz w:val="32"/>
              <w:szCs w:val="32"/>
              <w:highlight w:val="none"/>
            </w:rPr>
            <w:tab/>
          </w:r>
          <w:r>
            <w:rPr>
              <w:rFonts w:hint="eastAsia" w:ascii="宋体" w:hAnsi="宋体" w:cs="宋体"/>
              <w:b w:val="0"/>
              <w:bCs w:val="0"/>
              <w:color w:val="auto"/>
              <w:sz w:val="32"/>
              <w:szCs w:val="32"/>
              <w:highlight w:val="none"/>
            </w:rPr>
            <w:fldChar w:fldCharType="begin"/>
          </w:r>
          <w:r>
            <w:rPr>
              <w:rFonts w:hint="eastAsia" w:ascii="宋体" w:hAnsi="宋体" w:cs="宋体"/>
              <w:b w:val="0"/>
              <w:bCs w:val="0"/>
              <w:color w:val="auto"/>
              <w:sz w:val="32"/>
              <w:szCs w:val="32"/>
              <w:highlight w:val="none"/>
            </w:rPr>
            <w:instrText xml:space="preserve"> PAGEREF _Toc3413 \h </w:instrText>
          </w:r>
          <w:r>
            <w:rPr>
              <w:rFonts w:hint="eastAsia" w:ascii="宋体" w:hAnsi="宋体" w:cs="宋体"/>
              <w:b w:val="0"/>
              <w:bCs w:val="0"/>
              <w:color w:val="auto"/>
              <w:sz w:val="32"/>
              <w:szCs w:val="32"/>
              <w:highlight w:val="none"/>
            </w:rPr>
            <w:fldChar w:fldCharType="separate"/>
          </w:r>
          <w:r>
            <w:rPr>
              <w:rFonts w:hint="eastAsia" w:ascii="宋体" w:hAnsi="宋体" w:cs="宋体"/>
              <w:b w:val="0"/>
              <w:bCs w:val="0"/>
              <w:color w:val="auto"/>
              <w:sz w:val="32"/>
              <w:szCs w:val="32"/>
              <w:highlight w:val="none"/>
            </w:rPr>
            <w:t>29</w:t>
          </w:r>
          <w:r>
            <w:rPr>
              <w:rFonts w:hint="eastAsia" w:ascii="宋体" w:hAnsi="宋体" w:cs="宋体"/>
              <w:b w:val="0"/>
              <w:bCs w:val="0"/>
              <w:color w:val="auto"/>
              <w:sz w:val="32"/>
              <w:szCs w:val="32"/>
              <w:highlight w:val="none"/>
            </w:rPr>
            <w:fldChar w:fldCharType="end"/>
          </w:r>
          <w:r>
            <w:rPr>
              <w:rFonts w:hint="eastAsia" w:ascii="宋体" w:hAnsi="宋体" w:cs="宋体"/>
              <w:b w:val="0"/>
              <w:bCs w:val="0"/>
              <w:color w:val="auto"/>
              <w:sz w:val="32"/>
              <w:szCs w:val="32"/>
              <w:highlight w:val="none"/>
            </w:rPr>
            <w:fldChar w:fldCharType="end"/>
          </w:r>
        </w:p>
        <w:p w14:paraId="425392E4">
          <w:pPr>
            <w:pStyle w:val="31"/>
            <w:tabs>
              <w:tab w:val="right" w:leader="dot" w:pos="8730"/>
            </w:tabs>
            <w:spacing w:line="480" w:lineRule="auto"/>
            <w:rPr>
              <w:rFonts w:hint="eastAsia" w:ascii="宋体" w:hAnsi="宋体" w:cs="宋体"/>
              <w:b w:val="0"/>
              <w:bCs w:val="0"/>
              <w:color w:val="auto"/>
              <w:sz w:val="32"/>
              <w:szCs w:val="32"/>
              <w:highlight w:val="none"/>
            </w:rPr>
          </w:pPr>
          <w:r>
            <w:rPr>
              <w:color w:val="auto"/>
              <w:highlight w:val="none"/>
            </w:rPr>
            <w:fldChar w:fldCharType="begin"/>
          </w:r>
          <w:r>
            <w:rPr>
              <w:color w:val="auto"/>
              <w:highlight w:val="none"/>
            </w:rPr>
            <w:instrText xml:space="preserve"> HYPERLINK \l "_Toc1957" </w:instrText>
          </w:r>
          <w:r>
            <w:rPr>
              <w:color w:val="auto"/>
              <w:highlight w:val="none"/>
            </w:rPr>
            <w:fldChar w:fldCharType="separate"/>
          </w:r>
          <w:r>
            <w:rPr>
              <w:rFonts w:hint="eastAsia" w:ascii="宋体" w:hAnsi="宋体" w:cs="宋体"/>
              <w:b w:val="0"/>
              <w:bCs w:val="0"/>
              <w:color w:val="auto"/>
              <w:sz w:val="32"/>
              <w:szCs w:val="32"/>
              <w:highlight w:val="none"/>
            </w:rPr>
            <w:t>第四章  评审程序、评审方法和评审标准</w:t>
          </w:r>
          <w:r>
            <w:rPr>
              <w:rFonts w:hint="eastAsia" w:ascii="宋体" w:hAnsi="宋体" w:cs="宋体"/>
              <w:b w:val="0"/>
              <w:bCs w:val="0"/>
              <w:color w:val="auto"/>
              <w:sz w:val="32"/>
              <w:szCs w:val="32"/>
              <w:highlight w:val="none"/>
            </w:rPr>
            <w:tab/>
          </w:r>
          <w:r>
            <w:rPr>
              <w:rFonts w:hint="eastAsia" w:ascii="宋体" w:hAnsi="宋体" w:cs="宋体"/>
              <w:b w:val="0"/>
              <w:bCs w:val="0"/>
              <w:color w:val="auto"/>
              <w:sz w:val="32"/>
              <w:szCs w:val="32"/>
              <w:highlight w:val="none"/>
            </w:rPr>
            <w:fldChar w:fldCharType="begin"/>
          </w:r>
          <w:r>
            <w:rPr>
              <w:rFonts w:hint="eastAsia" w:ascii="宋体" w:hAnsi="宋体" w:cs="宋体"/>
              <w:b w:val="0"/>
              <w:bCs w:val="0"/>
              <w:color w:val="auto"/>
              <w:sz w:val="32"/>
              <w:szCs w:val="32"/>
              <w:highlight w:val="none"/>
            </w:rPr>
            <w:instrText xml:space="preserve"> PAGEREF _Toc1957 \h </w:instrText>
          </w:r>
          <w:r>
            <w:rPr>
              <w:rFonts w:hint="eastAsia" w:ascii="宋体" w:hAnsi="宋体" w:cs="宋体"/>
              <w:b w:val="0"/>
              <w:bCs w:val="0"/>
              <w:color w:val="auto"/>
              <w:sz w:val="32"/>
              <w:szCs w:val="32"/>
              <w:highlight w:val="none"/>
            </w:rPr>
            <w:fldChar w:fldCharType="separate"/>
          </w:r>
          <w:r>
            <w:rPr>
              <w:rFonts w:hint="eastAsia" w:ascii="宋体" w:hAnsi="宋体" w:cs="宋体"/>
              <w:b w:val="0"/>
              <w:bCs w:val="0"/>
              <w:color w:val="auto"/>
              <w:sz w:val="32"/>
              <w:szCs w:val="32"/>
              <w:highlight w:val="none"/>
            </w:rPr>
            <w:t>30</w:t>
          </w:r>
          <w:r>
            <w:rPr>
              <w:rFonts w:hint="eastAsia" w:ascii="宋体" w:hAnsi="宋体" w:cs="宋体"/>
              <w:b w:val="0"/>
              <w:bCs w:val="0"/>
              <w:color w:val="auto"/>
              <w:sz w:val="32"/>
              <w:szCs w:val="32"/>
              <w:highlight w:val="none"/>
            </w:rPr>
            <w:fldChar w:fldCharType="end"/>
          </w:r>
          <w:r>
            <w:rPr>
              <w:rFonts w:hint="eastAsia" w:ascii="宋体" w:hAnsi="宋体" w:cs="宋体"/>
              <w:b w:val="0"/>
              <w:bCs w:val="0"/>
              <w:color w:val="auto"/>
              <w:sz w:val="32"/>
              <w:szCs w:val="32"/>
              <w:highlight w:val="none"/>
            </w:rPr>
            <w:fldChar w:fldCharType="end"/>
          </w:r>
        </w:p>
        <w:p w14:paraId="5EC5D6E7">
          <w:pPr>
            <w:pStyle w:val="31"/>
            <w:tabs>
              <w:tab w:val="right" w:leader="dot" w:pos="8730"/>
            </w:tabs>
            <w:spacing w:line="480" w:lineRule="auto"/>
            <w:rPr>
              <w:rFonts w:hint="eastAsia" w:ascii="宋体" w:hAnsi="宋体" w:cs="宋体"/>
              <w:b w:val="0"/>
              <w:bCs w:val="0"/>
              <w:color w:val="auto"/>
              <w:sz w:val="32"/>
              <w:szCs w:val="32"/>
              <w:highlight w:val="none"/>
            </w:rPr>
          </w:pPr>
          <w:r>
            <w:rPr>
              <w:color w:val="auto"/>
              <w:highlight w:val="none"/>
            </w:rPr>
            <w:fldChar w:fldCharType="begin"/>
          </w:r>
          <w:r>
            <w:rPr>
              <w:color w:val="auto"/>
              <w:highlight w:val="none"/>
            </w:rPr>
            <w:instrText xml:space="preserve"> HYPERLINK \l "_Toc1580" </w:instrText>
          </w:r>
          <w:r>
            <w:rPr>
              <w:color w:val="auto"/>
              <w:highlight w:val="none"/>
            </w:rPr>
            <w:fldChar w:fldCharType="separate"/>
          </w:r>
          <w:r>
            <w:rPr>
              <w:rFonts w:hint="eastAsia" w:ascii="宋体" w:hAnsi="宋体" w:cs="宋体"/>
              <w:b w:val="0"/>
              <w:bCs w:val="0"/>
              <w:color w:val="auto"/>
              <w:sz w:val="32"/>
              <w:szCs w:val="32"/>
              <w:highlight w:val="none"/>
            </w:rPr>
            <w:t>第五章  工程量清单、最高限价及图纸</w:t>
          </w:r>
          <w:r>
            <w:rPr>
              <w:rFonts w:hint="eastAsia" w:ascii="宋体" w:hAnsi="宋体" w:cs="宋体"/>
              <w:b w:val="0"/>
              <w:bCs w:val="0"/>
              <w:color w:val="auto"/>
              <w:sz w:val="32"/>
              <w:szCs w:val="32"/>
              <w:highlight w:val="none"/>
            </w:rPr>
            <w:tab/>
          </w:r>
          <w:r>
            <w:rPr>
              <w:rFonts w:hint="eastAsia" w:ascii="宋体" w:hAnsi="宋体" w:cs="宋体"/>
              <w:b w:val="0"/>
              <w:bCs w:val="0"/>
              <w:color w:val="auto"/>
              <w:sz w:val="32"/>
              <w:szCs w:val="32"/>
              <w:highlight w:val="none"/>
            </w:rPr>
            <w:fldChar w:fldCharType="begin"/>
          </w:r>
          <w:r>
            <w:rPr>
              <w:rFonts w:hint="eastAsia" w:ascii="宋体" w:hAnsi="宋体" w:cs="宋体"/>
              <w:b w:val="0"/>
              <w:bCs w:val="0"/>
              <w:color w:val="auto"/>
              <w:sz w:val="32"/>
              <w:szCs w:val="32"/>
              <w:highlight w:val="none"/>
            </w:rPr>
            <w:instrText xml:space="preserve"> PAGEREF _Toc1580 \h </w:instrText>
          </w:r>
          <w:r>
            <w:rPr>
              <w:rFonts w:hint="eastAsia" w:ascii="宋体" w:hAnsi="宋体" w:cs="宋体"/>
              <w:b w:val="0"/>
              <w:bCs w:val="0"/>
              <w:color w:val="auto"/>
              <w:sz w:val="32"/>
              <w:szCs w:val="32"/>
              <w:highlight w:val="none"/>
            </w:rPr>
            <w:fldChar w:fldCharType="separate"/>
          </w:r>
          <w:r>
            <w:rPr>
              <w:rFonts w:hint="eastAsia" w:ascii="宋体" w:hAnsi="宋体" w:cs="宋体"/>
              <w:b w:val="0"/>
              <w:bCs w:val="0"/>
              <w:color w:val="auto"/>
              <w:sz w:val="32"/>
              <w:szCs w:val="32"/>
              <w:highlight w:val="none"/>
            </w:rPr>
            <w:t>41</w:t>
          </w:r>
          <w:r>
            <w:rPr>
              <w:rFonts w:hint="eastAsia" w:ascii="宋体" w:hAnsi="宋体" w:cs="宋体"/>
              <w:b w:val="0"/>
              <w:bCs w:val="0"/>
              <w:color w:val="auto"/>
              <w:sz w:val="32"/>
              <w:szCs w:val="32"/>
              <w:highlight w:val="none"/>
            </w:rPr>
            <w:fldChar w:fldCharType="end"/>
          </w:r>
          <w:r>
            <w:rPr>
              <w:rFonts w:hint="eastAsia" w:ascii="宋体" w:hAnsi="宋体" w:cs="宋体"/>
              <w:b w:val="0"/>
              <w:bCs w:val="0"/>
              <w:color w:val="auto"/>
              <w:sz w:val="32"/>
              <w:szCs w:val="32"/>
              <w:highlight w:val="none"/>
            </w:rPr>
            <w:fldChar w:fldCharType="end"/>
          </w:r>
        </w:p>
        <w:p w14:paraId="60BBBAB1">
          <w:pPr>
            <w:pStyle w:val="31"/>
            <w:tabs>
              <w:tab w:val="right" w:leader="dot" w:pos="8730"/>
            </w:tabs>
            <w:spacing w:line="480" w:lineRule="auto"/>
            <w:rPr>
              <w:rFonts w:hint="eastAsia" w:ascii="宋体" w:hAnsi="宋体" w:cs="宋体"/>
              <w:b w:val="0"/>
              <w:bCs w:val="0"/>
              <w:color w:val="auto"/>
              <w:sz w:val="32"/>
              <w:szCs w:val="32"/>
              <w:highlight w:val="none"/>
            </w:rPr>
          </w:pPr>
          <w:r>
            <w:rPr>
              <w:color w:val="auto"/>
              <w:highlight w:val="none"/>
            </w:rPr>
            <w:fldChar w:fldCharType="begin"/>
          </w:r>
          <w:r>
            <w:rPr>
              <w:color w:val="auto"/>
              <w:highlight w:val="none"/>
            </w:rPr>
            <w:instrText xml:space="preserve"> HYPERLINK \l "_Toc30166" </w:instrText>
          </w:r>
          <w:r>
            <w:rPr>
              <w:color w:val="auto"/>
              <w:highlight w:val="none"/>
            </w:rPr>
            <w:fldChar w:fldCharType="separate"/>
          </w:r>
          <w:r>
            <w:rPr>
              <w:rFonts w:hint="eastAsia" w:ascii="宋体" w:hAnsi="宋体" w:cs="宋体"/>
              <w:b w:val="0"/>
              <w:bCs w:val="0"/>
              <w:color w:val="auto"/>
              <w:sz w:val="32"/>
              <w:szCs w:val="32"/>
              <w:highlight w:val="none"/>
            </w:rPr>
            <w:t>第六章  响应文件格式</w:t>
          </w:r>
          <w:r>
            <w:rPr>
              <w:rFonts w:hint="eastAsia" w:ascii="宋体" w:hAnsi="宋体" w:cs="宋体"/>
              <w:b w:val="0"/>
              <w:bCs w:val="0"/>
              <w:color w:val="auto"/>
              <w:sz w:val="32"/>
              <w:szCs w:val="32"/>
              <w:highlight w:val="none"/>
            </w:rPr>
            <w:tab/>
          </w:r>
          <w:r>
            <w:rPr>
              <w:rFonts w:hint="eastAsia" w:ascii="宋体" w:hAnsi="宋体" w:cs="宋体"/>
              <w:b w:val="0"/>
              <w:bCs w:val="0"/>
              <w:color w:val="auto"/>
              <w:sz w:val="32"/>
              <w:szCs w:val="32"/>
              <w:highlight w:val="none"/>
            </w:rPr>
            <w:fldChar w:fldCharType="begin"/>
          </w:r>
          <w:r>
            <w:rPr>
              <w:rFonts w:hint="eastAsia" w:ascii="宋体" w:hAnsi="宋体" w:cs="宋体"/>
              <w:b w:val="0"/>
              <w:bCs w:val="0"/>
              <w:color w:val="auto"/>
              <w:sz w:val="32"/>
              <w:szCs w:val="32"/>
              <w:highlight w:val="none"/>
            </w:rPr>
            <w:instrText xml:space="preserve"> PAGEREF _Toc30166 \h </w:instrText>
          </w:r>
          <w:r>
            <w:rPr>
              <w:rFonts w:hint="eastAsia" w:ascii="宋体" w:hAnsi="宋体" w:cs="宋体"/>
              <w:b w:val="0"/>
              <w:bCs w:val="0"/>
              <w:color w:val="auto"/>
              <w:sz w:val="32"/>
              <w:szCs w:val="32"/>
              <w:highlight w:val="none"/>
            </w:rPr>
            <w:fldChar w:fldCharType="separate"/>
          </w:r>
          <w:r>
            <w:rPr>
              <w:rFonts w:hint="eastAsia" w:ascii="宋体" w:hAnsi="宋体" w:cs="宋体"/>
              <w:b w:val="0"/>
              <w:bCs w:val="0"/>
              <w:color w:val="auto"/>
              <w:sz w:val="32"/>
              <w:szCs w:val="32"/>
              <w:highlight w:val="none"/>
            </w:rPr>
            <w:t>45</w:t>
          </w:r>
          <w:r>
            <w:rPr>
              <w:rFonts w:hint="eastAsia" w:ascii="宋体" w:hAnsi="宋体" w:cs="宋体"/>
              <w:b w:val="0"/>
              <w:bCs w:val="0"/>
              <w:color w:val="auto"/>
              <w:sz w:val="32"/>
              <w:szCs w:val="32"/>
              <w:highlight w:val="none"/>
            </w:rPr>
            <w:fldChar w:fldCharType="end"/>
          </w:r>
          <w:r>
            <w:rPr>
              <w:rFonts w:hint="eastAsia" w:ascii="宋体" w:hAnsi="宋体" w:cs="宋体"/>
              <w:b w:val="0"/>
              <w:bCs w:val="0"/>
              <w:color w:val="auto"/>
              <w:sz w:val="32"/>
              <w:szCs w:val="32"/>
              <w:highlight w:val="none"/>
            </w:rPr>
            <w:fldChar w:fldCharType="end"/>
          </w:r>
        </w:p>
        <w:p w14:paraId="66C54D54">
          <w:pPr>
            <w:pStyle w:val="31"/>
            <w:tabs>
              <w:tab w:val="right" w:leader="dot" w:pos="8730"/>
            </w:tabs>
            <w:spacing w:line="480" w:lineRule="auto"/>
            <w:rPr>
              <w:rFonts w:hint="eastAsia" w:ascii="宋体" w:hAnsi="宋体" w:cs="宋体"/>
              <w:b w:val="0"/>
              <w:bCs w:val="0"/>
              <w:color w:val="auto"/>
              <w:sz w:val="32"/>
              <w:szCs w:val="32"/>
              <w:highlight w:val="none"/>
            </w:rPr>
          </w:pPr>
          <w:r>
            <w:rPr>
              <w:color w:val="auto"/>
              <w:highlight w:val="none"/>
            </w:rPr>
            <w:fldChar w:fldCharType="begin"/>
          </w:r>
          <w:r>
            <w:rPr>
              <w:color w:val="auto"/>
              <w:highlight w:val="none"/>
            </w:rPr>
            <w:instrText xml:space="preserve"> HYPERLINK \l "_Toc26854" </w:instrText>
          </w:r>
          <w:r>
            <w:rPr>
              <w:color w:val="auto"/>
              <w:highlight w:val="none"/>
            </w:rPr>
            <w:fldChar w:fldCharType="separate"/>
          </w:r>
          <w:r>
            <w:rPr>
              <w:rFonts w:hint="eastAsia" w:ascii="宋体" w:hAnsi="宋体" w:cs="宋体"/>
              <w:b w:val="0"/>
              <w:bCs w:val="0"/>
              <w:color w:val="auto"/>
              <w:sz w:val="32"/>
              <w:szCs w:val="32"/>
              <w:highlight w:val="none"/>
            </w:rPr>
            <w:t>第七章  二次报价格式</w:t>
          </w:r>
          <w:r>
            <w:rPr>
              <w:rFonts w:hint="eastAsia" w:ascii="宋体" w:hAnsi="宋体" w:cs="宋体"/>
              <w:b w:val="0"/>
              <w:bCs w:val="0"/>
              <w:color w:val="auto"/>
              <w:sz w:val="32"/>
              <w:szCs w:val="32"/>
              <w:highlight w:val="none"/>
            </w:rPr>
            <w:tab/>
          </w:r>
          <w:r>
            <w:rPr>
              <w:rFonts w:hint="eastAsia" w:ascii="宋体" w:hAnsi="宋体" w:cs="宋体"/>
              <w:b w:val="0"/>
              <w:bCs w:val="0"/>
              <w:color w:val="auto"/>
              <w:sz w:val="32"/>
              <w:szCs w:val="32"/>
              <w:highlight w:val="none"/>
            </w:rPr>
            <w:fldChar w:fldCharType="begin"/>
          </w:r>
          <w:r>
            <w:rPr>
              <w:rFonts w:hint="eastAsia" w:ascii="宋体" w:hAnsi="宋体" w:cs="宋体"/>
              <w:b w:val="0"/>
              <w:bCs w:val="0"/>
              <w:color w:val="auto"/>
              <w:sz w:val="32"/>
              <w:szCs w:val="32"/>
              <w:highlight w:val="none"/>
            </w:rPr>
            <w:instrText xml:space="preserve"> PAGEREF _Toc26854 \h </w:instrText>
          </w:r>
          <w:r>
            <w:rPr>
              <w:rFonts w:hint="eastAsia" w:ascii="宋体" w:hAnsi="宋体" w:cs="宋体"/>
              <w:b w:val="0"/>
              <w:bCs w:val="0"/>
              <w:color w:val="auto"/>
              <w:sz w:val="32"/>
              <w:szCs w:val="32"/>
              <w:highlight w:val="none"/>
            </w:rPr>
            <w:fldChar w:fldCharType="separate"/>
          </w:r>
          <w:r>
            <w:rPr>
              <w:rFonts w:hint="eastAsia" w:ascii="宋体" w:hAnsi="宋体" w:cs="宋体"/>
              <w:b w:val="0"/>
              <w:bCs w:val="0"/>
              <w:color w:val="auto"/>
              <w:sz w:val="32"/>
              <w:szCs w:val="32"/>
              <w:highlight w:val="none"/>
            </w:rPr>
            <w:t>75</w:t>
          </w:r>
          <w:r>
            <w:rPr>
              <w:rFonts w:hint="eastAsia" w:ascii="宋体" w:hAnsi="宋体" w:cs="宋体"/>
              <w:b w:val="0"/>
              <w:bCs w:val="0"/>
              <w:color w:val="auto"/>
              <w:sz w:val="32"/>
              <w:szCs w:val="32"/>
              <w:highlight w:val="none"/>
            </w:rPr>
            <w:fldChar w:fldCharType="end"/>
          </w:r>
          <w:r>
            <w:rPr>
              <w:rFonts w:hint="eastAsia" w:ascii="宋体" w:hAnsi="宋体" w:cs="宋体"/>
              <w:b w:val="0"/>
              <w:bCs w:val="0"/>
              <w:color w:val="auto"/>
              <w:sz w:val="32"/>
              <w:szCs w:val="32"/>
              <w:highlight w:val="none"/>
            </w:rPr>
            <w:fldChar w:fldCharType="end"/>
          </w:r>
        </w:p>
        <w:p w14:paraId="355BC9F9">
          <w:pPr>
            <w:pStyle w:val="31"/>
            <w:tabs>
              <w:tab w:val="right" w:leader="dot" w:pos="8730"/>
            </w:tabs>
            <w:spacing w:line="480" w:lineRule="auto"/>
            <w:rPr>
              <w:rFonts w:hint="eastAsia" w:ascii="宋体" w:hAnsi="宋体" w:cs="宋体"/>
              <w:b w:val="0"/>
              <w:bCs w:val="0"/>
              <w:color w:val="auto"/>
              <w:sz w:val="32"/>
              <w:szCs w:val="32"/>
              <w:highlight w:val="none"/>
            </w:rPr>
          </w:pPr>
          <w:r>
            <w:rPr>
              <w:color w:val="auto"/>
              <w:highlight w:val="none"/>
            </w:rPr>
            <w:fldChar w:fldCharType="begin"/>
          </w:r>
          <w:r>
            <w:rPr>
              <w:color w:val="auto"/>
              <w:highlight w:val="none"/>
            </w:rPr>
            <w:instrText xml:space="preserve"> HYPERLINK \l "_Toc22111" </w:instrText>
          </w:r>
          <w:r>
            <w:rPr>
              <w:color w:val="auto"/>
              <w:highlight w:val="none"/>
            </w:rPr>
            <w:fldChar w:fldCharType="separate"/>
          </w:r>
          <w:r>
            <w:rPr>
              <w:rFonts w:hint="eastAsia" w:ascii="宋体" w:hAnsi="宋体" w:cs="宋体"/>
              <w:b w:val="0"/>
              <w:bCs w:val="0"/>
              <w:color w:val="auto"/>
              <w:sz w:val="32"/>
              <w:szCs w:val="32"/>
              <w:highlight w:val="none"/>
            </w:rPr>
            <w:t>第八章  合同书格式</w:t>
          </w:r>
          <w:r>
            <w:rPr>
              <w:rFonts w:hint="eastAsia" w:ascii="宋体" w:hAnsi="宋体" w:cs="宋体"/>
              <w:b w:val="0"/>
              <w:bCs w:val="0"/>
              <w:color w:val="auto"/>
              <w:sz w:val="32"/>
              <w:szCs w:val="32"/>
              <w:highlight w:val="none"/>
            </w:rPr>
            <w:tab/>
          </w:r>
          <w:r>
            <w:rPr>
              <w:rFonts w:hint="eastAsia" w:ascii="宋体" w:hAnsi="宋体" w:cs="宋体"/>
              <w:b w:val="0"/>
              <w:bCs w:val="0"/>
              <w:color w:val="auto"/>
              <w:sz w:val="32"/>
              <w:szCs w:val="32"/>
              <w:highlight w:val="none"/>
            </w:rPr>
            <w:fldChar w:fldCharType="begin"/>
          </w:r>
          <w:r>
            <w:rPr>
              <w:rFonts w:hint="eastAsia" w:ascii="宋体" w:hAnsi="宋体" w:cs="宋体"/>
              <w:b w:val="0"/>
              <w:bCs w:val="0"/>
              <w:color w:val="auto"/>
              <w:sz w:val="32"/>
              <w:szCs w:val="32"/>
              <w:highlight w:val="none"/>
            </w:rPr>
            <w:instrText xml:space="preserve"> PAGEREF _Toc22111 \h </w:instrText>
          </w:r>
          <w:r>
            <w:rPr>
              <w:rFonts w:hint="eastAsia" w:ascii="宋体" w:hAnsi="宋体" w:cs="宋体"/>
              <w:b w:val="0"/>
              <w:bCs w:val="0"/>
              <w:color w:val="auto"/>
              <w:sz w:val="32"/>
              <w:szCs w:val="32"/>
              <w:highlight w:val="none"/>
            </w:rPr>
            <w:fldChar w:fldCharType="separate"/>
          </w:r>
          <w:r>
            <w:rPr>
              <w:rFonts w:hint="eastAsia" w:ascii="宋体" w:hAnsi="宋体" w:cs="宋体"/>
              <w:b w:val="0"/>
              <w:bCs w:val="0"/>
              <w:color w:val="auto"/>
              <w:sz w:val="32"/>
              <w:szCs w:val="32"/>
              <w:highlight w:val="none"/>
            </w:rPr>
            <w:t>78</w:t>
          </w:r>
          <w:r>
            <w:rPr>
              <w:rFonts w:hint="eastAsia" w:ascii="宋体" w:hAnsi="宋体" w:cs="宋体"/>
              <w:b w:val="0"/>
              <w:bCs w:val="0"/>
              <w:color w:val="auto"/>
              <w:sz w:val="32"/>
              <w:szCs w:val="32"/>
              <w:highlight w:val="none"/>
            </w:rPr>
            <w:fldChar w:fldCharType="end"/>
          </w:r>
          <w:r>
            <w:rPr>
              <w:rFonts w:hint="eastAsia" w:ascii="宋体" w:hAnsi="宋体" w:cs="宋体"/>
              <w:b w:val="0"/>
              <w:bCs w:val="0"/>
              <w:color w:val="auto"/>
              <w:sz w:val="32"/>
              <w:szCs w:val="32"/>
              <w:highlight w:val="none"/>
            </w:rPr>
            <w:fldChar w:fldCharType="end"/>
          </w:r>
        </w:p>
        <w:p w14:paraId="44DE47D3">
          <w:pPr>
            <w:pStyle w:val="31"/>
            <w:tabs>
              <w:tab w:val="right" w:leader="dot" w:pos="8730"/>
            </w:tabs>
            <w:spacing w:line="480" w:lineRule="auto"/>
            <w:rPr>
              <w:rFonts w:hint="eastAsia" w:ascii="宋体" w:hAnsi="宋体" w:cs="宋体"/>
              <w:color w:val="auto"/>
              <w:sz w:val="32"/>
              <w:szCs w:val="32"/>
              <w:highlight w:val="none"/>
            </w:rPr>
          </w:pPr>
          <w:r>
            <w:rPr>
              <w:color w:val="auto"/>
              <w:highlight w:val="none"/>
            </w:rPr>
            <w:fldChar w:fldCharType="begin"/>
          </w:r>
          <w:r>
            <w:rPr>
              <w:color w:val="auto"/>
              <w:highlight w:val="none"/>
            </w:rPr>
            <w:instrText xml:space="preserve"> HYPERLINK \l "_Toc27024" </w:instrText>
          </w:r>
          <w:r>
            <w:rPr>
              <w:color w:val="auto"/>
              <w:highlight w:val="none"/>
            </w:rPr>
            <w:fldChar w:fldCharType="separate"/>
          </w:r>
          <w:r>
            <w:rPr>
              <w:rFonts w:hint="eastAsia" w:ascii="宋体" w:hAnsi="宋体" w:cs="宋体"/>
              <w:b w:val="0"/>
              <w:bCs w:val="0"/>
              <w:color w:val="auto"/>
              <w:sz w:val="32"/>
              <w:szCs w:val="32"/>
              <w:highlight w:val="none"/>
            </w:rPr>
            <w:t>第九章  质疑、投诉材料格式</w:t>
          </w:r>
          <w:r>
            <w:rPr>
              <w:rFonts w:hint="eastAsia" w:ascii="宋体" w:hAnsi="宋体" w:cs="宋体"/>
              <w:b w:val="0"/>
              <w:bCs w:val="0"/>
              <w:color w:val="auto"/>
              <w:sz w:val="32"/>
              <w:szCs w:val="32"/>
              <w:highlight w:val="none"/>
            </w:rPr>
            <w:tab/>
          </w:r>
          <w:r>
            <w:rPr>
              <w:rFonts w:hint="eastAsia" w:ascii="宋体" w:hAnsi="宋体" w:cs="宋体"/>
              <w:b w:val="0"/>
              <w:bCs w:val="0"/>
              <w:color w:val="auto"/>
              <w:sz w:val="32"/>
              <w:szCs w:val="32"/>
              <w:highlight w:val="none"/>
            </w:rPr>
            <w:fldChar w:fldCharType="begin"/>
          </w:r>
          <w:r>
            <w:rPr>
              <w:rFonts w:hint="eastAsia" w:ascii="宋体" w:hAnsi="宋体" w:cs="宋体"/>
              <w:b w:val="0"/>
              <w:bCs w:val="0"/>
              <w:color w:val="auto"/>
              <w:sz w:val="32"/>
              <w:szCs w:val="32"/>
              <w:highlight w:val="none"/>
            </w:rPr>
            <w:instrText xml:space="preserve"> PAGEREF _Toc27024 \h </w:instrText>
          </w:r>
          <w:r>
            <w:rPr>
              <w:rFonts w:hint="eastAsia" w:ascii="宋体" w:hAnsi="宋体" w:cs="宋体"/>
              <w:b w:val="0"/>
              <w:bCs w:val="0"/>
              <w:color w:val="auto"/>
              <w:sz w:val="32"/>
              <w:szCs w:val="32"/>
              <w:highlight w:val="none"/>
            </w:rPr>
            <w:fldChar w:fldCharType="separate"/>
          </w:r>
          <w:r>
            <w:rPr>
              <w:rFonts w:hint="eastAsia" w:ascii="宋体" w:hAnsi="宋体" w:cs="宋体"/>
              <w:b w:val="0"/>
              <w:bCs w:val="0"/>
              <w:color w:val="auto"/>
              <w:sz w:val="32"/>
              <w:szCs w:val="32"/>
              <w:highlight w:val="none"/>
            </w:rPr>
            <w:t>82</w:t>
          </w:r>
          <w:r>
            <w:rPr>
              <w:rFonts w:hint="eastAsia" w:ascii="宋体" w:hAnsi="宋体" w:cs="宋体"/>
              <w:b w:val="0"/>
              <w:bCs w:val="0"/>
              <w:color w:val="auto"/>
              <w:sz w:val="32"/>
              <w:szCs w:val="32"/>
              <w:highlight w:val="none"/>
            </w:rPr>
            <w:fldChar w:fldCharType="end"/>
          </w:r>
          <w:r>
            <w:rPr>
              <w:rFonts w:hint="eastAsia" w:ascii="宋体" w:hAnsi="宋体" w:cs="宋体"/>
              <w:b w:val="0"/>
              <w:bCs w:val="0"/>
              <w:color w:val="auto"/>
              <w:sz w:val="32"/>
              <w:szCs w:val="32"/>
              <w:highlight w:val="none"/>
            </w:rPr>
            <w:fldChar w:fldCharType="end"/>
          </w:r>
        </w:p>
        <w:p w14:paraId="773DDFB8">
          <w:pPr>
            <w:spacing w:line="360" w:lineRule="auto"/>
            <w:rPr>
              <w:color w:val="auto"/>
              <w:highlight w:val="none"/>
            </w:rPr>
          </w:pPr>
          <w:r>
            <w:rPr>
              <w:rFonts w:hint="eastAsia" w:ascii="宋体" w:hAnsi="宋体" w:cs="宋体"/>
              <w:color w:val="auto"/>
              <w:sz w:val="32"/>
              <w:szCs w:val="32"/>
              <w:highlight w:val="none"/>
            </w:rPr>
            <w:fldChar w:fldCharType="end"/>
          </w:r>
        </w:p>
      </w:sdtContent>
    </w:sdt>
    <w:p w14:paraId="2581EC3D">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w:t>
      </w:r>
    </w:p>
    <w:p w14:paraId="41E81910">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w:t>
      </w:r>
    </w:p>
    <w:p w14:paraId="6BB1DE57">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w:t>
      </w:r>
    </w:p>
    <w:p w14:paraId="15672849">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w:t>
      </w:r>
    </w:p>
    <w:p w14:paraId="7AC7E20D">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w:t>
      </w:r>
    </w:p>
    <w:p w14:paraId="1CB88990">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w:t>
      </w:r>
    </w:p>
    <w:p w14:paraId="2CB3F5D1">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w:t>
      </w:r>
    </w:p>
    <w:p w14:paraId="1D8D6598">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w:t>
      </w:r>
    </w:p>
    <w:p w14:paraId="59B59431">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w:t>
      </w:r>
    </w:p>
    <w:p w14:paraId="0326D822">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w:t>
      </w:r>
    </w:p>
    <w:p w14:paraId="691BDDCB">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w:t>
      </w:r>
    </w:p>
    <w:p w14:paraId="341EA2D4">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w:t>
      </w:r>
    </w:p>
    <w:p w14:paraId="73594C03">
      <w:pPr>
        <w:pStyle w:val="4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w:t>
      </w:r>
      <w:bookmarkStart w:id="0" w:name="_Toc2307"/>
      <w:bookmarkStart w:id="1" w:name="_Toc22939"/>
      <w:r>
        <w:rPr>
          <w:rFonts w:hint="eastAsia" w:asciiTheme="minorEastAsia" w:hAnsiTheme="minorEastAsia" w:eastAsiaTheme="minorEastAsia" w:cstheme="minorEastAsia"/>
          <w:color w:val="auto"/>
          <w:highlight w:val="none"/>
        </w:rPr>
        <w:t>第一章  竞争性磋商公告</w:t>
      </w:r>
      <w:bookmarkEnd w:id="0"/>
    </w:p>
    <w:p w14:paraId="42197E61">
      <w:pPr>
        <w:spacing w:line="540" w:lineRule="exact"/>
        <w:jc w:val="center"/>
        <w:rPr>
          <w:rFonts w:hint="eastAsia" w:asciiTheme="minorEastAsia" w:hAnsiTheme="minorEastAsia" w:eastAsiaTheme="minorEastAsia" w:cstheme="minorEastAsia"/>
          <w:b/>
          <w:color w:val="auto"/>
          <w:sz w:val="28"/>
          <w:szCs w:val="28"/>
          <w:highlight w:val="none"/>
          <w:lang w:eastAsia="zh-CN"/>
        </w:rPr>
      </w:pPr>
      <w:r>
        <w:rPr>
          <w:rFonts w:hint="eastAsia" w:asciiTheme="minorEastAsia" w:hAnsiTheme="minorEastAsia" w:eastAsiaTheme="minorEastAsia" w:cstheme="minorEastAsia"/>
          <w:b/>
          <w:color w:val="auto"/>
          <w:sz w:val="28"/>
          <w:szCs w:val="28"/>
          <w:highlight w:val="none"/>
          <w:lang w:eastAsia="zh-CN"/>
        </w:rPr>
        <w:t>广西建设工程机电设备招标中心有限公司</w:t>
      </w:r>
    </w:p>
    <w:p w14:paraId="14B78836">
      <w:pPr>
        <w:spacing w:line="540" w:lineRule="exact"/>
        <w:jc w:val="center"/>
        <w:rPr>
          <w:rFonts w:hint="eastAsia" w:asciiTheme="minorEastAsia" w:hAnsiTheme="minorEastAsia" w:eastAsiaTheme="minorEastAsia" w:cstheme="minorEastAsia"/>
          <w:b/>
          <w:color w:val="auto"/>
          <w:sz w:val="28"/>
          <w:szCs w:val="28"/>
          <w:highlight w:val="none"/>
          <w:lang w:eastAsia="zh-CN"/>
        </w:rPr>
      </w:pPr>
      <w:r>
        <w:rPr>
          <w:rFonts w:hint="eastAsia" w:asciiTheme="minorEastAsia" w:hAnsiTheme="minorEastAsia" w:eastAsiaTheme="minorEastAsia" w:cstheme="minorEastAsia"/>
          <w:b/>
          <w:color w:val="auto"/>
          <w:sz w:val="28"/>
          <w:szCs w:val="28"/>
          <w:highlight w:val="none"/>
          <w:lang w:eastAsia="zh-CN"/>
        </w:rPr>
        <w:t>西乡塘区设施果蔬标准化种植园建设项目</w:t>
      </w:r>
    </w:p>
    <w:p w14:paraId="691085EF">
      <w:pPr>
        <w:spacing w:line="540" w:lineRule="exact"/>
        <w:jc w:val="center"/>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rPr>
        <w:t>（项目编号：</w:t>
      </w:r>
      <w:r>
        <w:rPr>
          <w:rFonts w:hint="eastAsia" w:asciiTheme="minorEastAsia" w:hAnsiTheme="minorEastAsia" w:eastAsiaTheme="minorEastAsia" w:cstheme="minorEastAsia"/>
          <w:b/>
          <w:color w:val="auto"/>
          <w:sz w:val="28"/>
          <w:szCs w:val="28"/>
          <w:highlight w:val="none"/>
          <w:lang w:eastAsia="zh-CN"/>
        </w:rPr>
        <w:t>NNZC2026-C2-070035-JGJD</w:t>
      </w:r>
      <w:r>
        <w:rPr>
          <w:rFonts w:hint="eastAsia" w:asciiTheme="minorEastAsia" w:hAnsiTheme="minorEastAsia" w:eastAsiaTheme="minorEastAsia" w:cstheme="minorEastAsia"/>
          <w:b/>
          <w:color w:val="auto"/>
          <w:sz w:val="28"/>
          <w:szCs w:val="28"/>
          <w:highlight w:val="none"/>
        </w:rPr>
        <w:t>）</w:t>
      </w:r>
    </w:p>
    <w:p w14:paraId="4F06DBC8">
      <w:pPr>
        <w:spacing w:line="540" w:lineRule="exact"/>
        <w:jc w:val="center"/>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rPr>
        <w:t>竞争性磋商公告</w:t>
      </w:r>
    </w:p>
    <w:p w14:paraId="1A009DA6">
      <w:pPr>
        <w:rPr>
          <w:rFonts w:hint="eastAsia" w:asciiTheme="minorEastAsia" w:hAnsiTheme="minorEastAsia" w:eastAsiaTheme="minorEastAsia" w:cstheme="minorEastAsia"/>
          <w:color w:val="auto"/>
          <w:highlight w:val="none"/>
        </w:rPr>
      </w:pPr>
    </w:p>
    <w:p w14:paraId="37F1C23C">
      <w:pPr>
        <w:pBdr>
          <w:top w:val="single" w:color="auto" w:sz="4" w:space="1"/>
          <w:left w:val="single" w:color="auto" w:sz="4" w:space="4"/>
          <w:bottom w:val="single" w:color="auto" w:sz="4" w:space="1"/>
          <w:right w:val="single" w:color="auto" w:sz="4" w:space="4"/>
        </w:pBdr>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项目概况</w:t>
      </w:r>
    </w:p>
    <w:p w14:paraId="4301B661">
      <w:pPr>
        <w:pBdr>
          <w:top w:val="single" w:color="auto" w:sz="4" w:space="1"/>
          <w:left w:val="single" w:color="auto" w:sz="4" w:space="4"/>
          <w:bottom w:val="single" w:color="auto" w:sz="4" w:space="1"/>
          <w:right w:val="single" w:color="auto" w:sz="4" w:space="4"/>
        </w:pBdr>
        <w:ind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u w:val="single"/>
          <w:lang w:eastAsia="zh-CN"/>
        </w:rPr>
        <w:t>西乡塘区设施果蔬标准化种植园建设项目</w:t>
      </w:r>
      <w:r>
        <w:rPr>
          <w:rFonts w:hint="eastAsia" w:asciiTheme="minorEastAsia" w:hAnsiTheme="minorEastAsia" w:eastAsiaTheme="minorEastAsia" w:cstheme="minorEastAsia"/>
          <w:color w:val="auto"/>
          <w:sz w:val="24"/>
          <w:szCs w:val="28"/>
          <w:highlight w:val="none"/>
        </w:rPr>
        <w:t>（</w:t>
      </w:r>
      <w:r>
        <w:rPr>
          <w:rFonts w:hint="eastAsia" w:asciiTheme="minorEastAsia" w:hAnsiTheme="minorEastAsia" w:eastAsiaTheme="minorEastAsia" w:cstheme="minorEastAsia"/>
          <w:color w:val="auto"/>
          <w:sz w:val="24"/>
          <w:szCs w:val="28"/>
          <w:highlight w:val="none"/>
          <w:lang w:eastAsia="zh-CN"/>
        </w:rPr>
        <w:t>NNZC2026-C2-070035-JGJD</w:t>
      </w:r>
      <w:r>
        <w:rPr>
          <w:rFonts w:hint="eastAsia" w:asciiTheme="minorEastAsia" w:hAnsiTheme="minorEastAsia" w:eastAsiaTheme="minorEastAsia" w:cstheme="minorEastAsia"/>
          <w:color w:val="auto"/>
          <w:sz w:val="24"/>
          <w:szCs w:val="28"/>
          <w:highlight w:val="none"/>
        </w:rPr>
        <w:t>）采 购 项 目 的 潜 在 供 应 商 应 在广西政府采购云平台（https://www.gcy.zfcg.gxzf.gov.cn/）获取(下载) 获取竞争性磋商文件，并于</w:t>
      </w:r>
      <w:r>
        <w:rPr>
          <w:rFonts w:hint="eastAsia" w:asciiTheme="minorEastAsia" w:hAnsiTheme="minorEastAsia" w:eastAsiaTheme="minorEastAsia" w:cstheme="minorEastAsia"/>
          <w:color w:val="auto"/>
          <w:sz w:val="24"/>
          <w:szCs w:val="28"/>
          <w:highlight w:val="none"/>
          <w:lang w:eastAsia="zh-CN"/>
        </w:rPr>
        <w:t>2026年</w:t>
      </w:r>
      <w:r>
        <w:rPr>
          <w:rFonts w:hint="eastAsia" w:asciiTheme="minorEastAsia" w:hAnsiTheme="minorEastAsia" w:eastAsiaTheme="minorEastAsia" w:cstheme="minorEastAsia"/>
          <w:color w:val="auto"/>
          <w:sz w:val="24"/>
          <w:szCs w:val="28"/>
          <w:highlight w:val="none"/>
          <w:lang w:val="en-US" w:eastAsia="zh-CN"/>
        </w:rPr>
        <w:t>8月11日</w:t>
      </w:r>
      <w:r>
        <w:rPr>
          <w:rFonts w:hint="eastAsia" w:asciiTheme="minorEastAsia" w:hAnsiTheme="minorEastAsia" w:eastAsiaTheme="minorEastAsia" w:cstheme="minorEastAsia"/>
          <w:color w:val="auto"/>
          <w:sz w:val="24"/>
          <w:szCs w:val="28"/>
          <w:highlight w:val="none"/>
        </w:rPr>
        <w:t>09点30分(北京时间)前提交响应文件。</w:t>
      </w:r>
    </w:p>
    <w:p w14:paraId="5554F861">
      <w:pPr>
        <w:spacing w:line="360" w:lineRule="auto"/>
        <w:ind w:firstLine="482" w:firstLineChars="200"/>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一、项目基本情况</w:t>
      </w:r>
    </w:p>
    <w:p w14:paraId="34ABEA26">
      <w:pPr>
        <w:spacing w:line="360" w:lineRule="auto"/>
        <w:ind w:firstLine="480" w:firstLineChars="200"/>
        <w:rPr>
          <w:rFonts w:hint="eastAsia" w:ascii="微软雅黑" w:hAnsi="微软雅黑" w:cs="微软雅黑" w:eastAsiaTheme="minorEastAsia"/>
          <w:color w:val="auto"/>
          <w:highlight w:val="none"/>
          <w:shd w:val="clear" w:color="auto" w:fill="FFFFFF"/>
          <w:lang w:eastAsia="zh-CN"/>
        </w:rPr>
      </w:pPr>
      <w:r>
        <w:rPr>
          <w:rFonts w:hint="eastAsia" w:asciiTheme="minorEastAsia" w:hAnsiTheme="minorEastAsia" w:eastAsiaTheme="minorEastAsia" w:cstheme="minorEastAsia"/>
          <w:color w:val="auto"/>
          <w:sz w:val="24"/>
          <w:highlight w:val="none"/>
        </w:rPr>
        <w:t>项目名称：</w:t>
      </w:r>
      <w:r>
        <w:rPr>
          <w:rFonts w:hint="eastAsia" w:asciiTheme="minorEastAsia" w:hAnsiTheme="minorEastAsia" w:eastAsiaTheme="minorEastAsia" w:cstheme="minorEastAsia"/>
          <w:color w:val="auto"/>
          <w:sz w:val="24"/>
          <w:szCs w:val="28"/>
          <w:highlight w:val="none"/>
          <w:u w:val="single"/>
          <w:lang w:eastAsia="zh-CN"/>
        </w:rPr>
        <w:t>西乡塘区设施果蔬标准化种植园建设项目</w:t>
      </w:r>
    </w:p>
    <w:p w14:paraId="4A9D721E">
      <w:pPr>
        <w:spacing w:line="360" w:lineRule="auto"/>
        <w:ind w:firstLine="480" w:firstLineChars="200"/>
        <w:rPr>
          <w:rFonts w:hint="eastAsia" w:asciiTheme="minorEastAsia" w:hAnsiTheme="minorEastAsia" w:eastAsiaTheme="minorEastAsia" w:cstheme="minorEastAsia"/>
          <w:color w:val="auto"/>
          <w:sz w:val="24"/>
          <w:highlight w:val="none"/>
          <w:u w:val="single"/>
          <w:lang w:val="en-US" w:eastAsia="zh-CN"/>
        </w:rPr>
      </w:pPr>
      <w:r>
        <w:rPr>
          <w:rFonts w:hint="eastAsia" w:asciiTheme="minorEastAsia" w:hAnsiTheme="minorEastAsia" w:eastAsiaTheme="minorEastAsia" w:cstheme="minorEastAsia"/>
          <w:color w:val="auto"/>
          <w:sz w:val="24"/>
          <w:highlight w:val="none"/>
        </w:rPr>
        <w:t>项目编号：</w:t>
      </w:r>
      <w:r>
        <w:rPr>
          <w:rFonts w:hint="eastAsia" w:asciiTheme="minorEastAsia" w:hAnsiTheme="minorEastAsia" w:eastAsiaTheme="minorEastAsia" w:cstheme="minorEastAsia"/>
          <w:color w:val="auto"/>
          <w:sz w:val="24"/>
          <w:highlight w:val="none"/>
          <w:lang w:eastAsia="zh-CN"/>
        </w:rPr>
        <w:t>NNZC2026-C2-070035-JGJD</w:t>
      </w:r>
    </w:p>
    <w:p w14:paraId="11FBE348">
      <w:pPr>
        <w:spacing w:line="360" w:lineRule="auto"/>
        <w:ind w:firstLine="480" w:firstLineChars="200"/>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采购计划备案文号</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u w:val="single"/>
          <w:lang w:eastAsia="zh-CN"/>
        </w:rPr>
        <w:t>XXTZC[2026]</w:t>
      </w:r>
      <w:r>
        <w:rPr>
          <w:rFonts w:hint="eastAsia" w:asciiTheme="minorEastAsia" w:hAnsiTheme="minorEastAsia" w:eastAsiaTheme="minorEastAsia" w:cstheme="minorEastAsia"/>
          <w:color w:val="auto"/>
          <w:sz w:val="24"/>
          <w:highlight w:val="none"/>
          <w:u w:val="single"/>
          <w:lang w:val="en-US" w:eastAsia="zh-CN"/>
        </w:rPr>
        <w:t>1259</w:t>
      </w:r>
      <w:r>
        <w:rPr>
          <w:rFonts w:hint="eastAsia" w:asciiTheme="minorEastAsia" w:hAnsiTheme="minorEastAsia" w:eastAsiaTheme="minorEastAsia" w:cstheme="minorEastAsia"/>
          <w:color w:val="auto"/>
          <w:sz w:val="24"/>
          <w:highlight w:val="none"/>
          <w:u w:val="single"/>
          <w:lang w:eastAsia="zh-CN"/>
        </w:rPr>
        <w:t>号</w:t>
      </w:r>
    </w:p>
    <w:p w14:paraId="6641C3D0">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采购方式：</w:t>
      </w:r>
      <w:r>
        <w:rPr>
          <w:rFonts w:hint="eastAsia" w:asciiTheme="minorEastAsia" w:hAnsiTheme="minorEastAsia" w:eastAsiaTheme="minorEastAsia" w:cstheme="minorEastAsia"/>
          <w:color w:val="auto"/>
          <w:sz w:val="24"/>
          <w:highlight w:val="none"/>
          <w:u w:val="single"/>
        </w:rPr>
        <w:t>竞争性磋商</w:t>
      </w:r>
    </w:p>
    <w:p w14:paraId="40FCE7D9">
      <w:pPr>
        <w:spacing w:line="360" w:lineRule="auto"/>
        <w:ind w:firstLine="480" w:firstLineChars="200"/>
        <w:rPr>
          <w:rFonts w:hint="eastAsia" w:asciiTheme="minorEastAsia" w:hAnsiTheme="minorEastAsia" w:eastAsiaTheme="minorEastAsia" w:cstheme="minorEastAsia"/>
          <w:color w:val="auto"/>
          <w:sz w:val="24"/>
          <w:highlight w:val="none"/>
          <w:u w:val="single"/>
          <w:lang w:eastAsia="zh-CN"/>
        </w:rPr>
      </w:pPr>
      <w:r>
        <w:rPr>
          <w:rFonts w:hint="eastAsia" w:asciiTheme="minorEastAsia" w:hAnsiTheme="minorEastAsia" w:eastAsiaTheme="minorEastAsia" w:cstheme="minorEastAsia"/>
          <w:color w:val="auto"/>
          <w:sz w:val="24"/>
          <w:highlight w:val="none"/>
        </w:rPr>
        <w:t>采购预算价：</w:t>
      </w:r>
      <w:r>
        <w:rPr>
          <w:rFonts w:hint="eastAsia" w:asciiTheme="minorEastAsia" w:hAnsiTheme="minorEastAsia" w:eastAsiaTheme="minorEastAsia" w:cstheme="minorEastAsia"/>
          <w:color w:val="auto"/>
          <w:sz w:val="24"/>
          <w:highlight w:val="none"/>
          <w:u w:val="single"/>
          <w:lang w:eastAsia="zh-CN"/>
        </w:rPr>
        <w:t>人民币</w:t>
      </w:r>
      <w:r>
        <w:rPr>
          <w:rFonts w:hint="eastAsia" w:asciiTheme="minorEastAsia" w:hAnsiTheme="minorEastAsia" w:eastAsiaTheme="minorEastAsia" w:cstheme="minorEastAsia"/>
          <w:color w:val="auto"/>
          <w:sz w:val="24"/>
          <w:highlight w:val="none"/>
          <w:u w:val="single"/>
          <w:lang w:val="en-US" w:eastAsia="zh-CN"/>
        </w:rPr>
        <w:t>叁佰玖拾万零陆仟伍佰捌拾叁元壹角壹分（¥3906583.11元）</w:t>
      </w:r>
    </w:p>
    <w:p w14:paraId="6112D717">
      <w:pPr>
        <w:spacing w:line="360" w:lineRule="auto"/>
        <w:ind w:firstLine="480" w:firstLineChars="200"/>
        <w:rPr>
          <w:rFonts w:hint="eastAsia" w:asciiTheme="minorEastAsia" w:hAnsiTheme="minorEastAsia" w:eastAsiaTheme="minorEastAsia" w:cstheme="minorEastAsia"/>
          <w:color w:val="auto"/>
          <w:sz w:val="24"/>
          <w:highlight w:val="none"/>
          <w:u w:val="single"/>
          <w:lang w:eastAsia="zh-CN"/>
        </w:rPr>
      </w:pPr>
      <w:r>
        <w:rPr>
          <w:rFonts w:hint="eastAsia" w:asciiTheme="minorEastAsia" w:hAnsiTheme="minorEastAsia" w:eastAsiaTheme="minorEastAsia" w:cstheme="minorEastAsia"/>
          <w:color w:val="auto"/>
          <w:sz w:val="24"/>
          <w:highlight w:val="none"/>
        </w:rPr>
        <w:t>最高限价：</w:t>
      </w:r>
      <w:r>
        <w:rPr>
          <w:rFonts w:hint="eastAsia" w:asciiTheme="minorEastAsia" w:hAnsiTheme="minorEastAsia" w:eastAsiaTheme="minorEastAsia" w:cstheme="minorEastAsia"/>
          <w:color w:val="auto"/>
          <w:sz w:val="24"/>
          <w:highlight w:val="none"/>
          <w:u w:val="single"/>
          <w:lang w:eastAsia="zh-CN"/>
        </w:rPr>
        <w:t>人民币</w:t>
      </w:r>
      <w:r>
        <w:rPr>
          <w:rFonts w:hint="eastAsia" w:asciiTheme="minorEastAsia" w:hAnsiTheme="minorEastAsia" w:eastAsiaTheme="minorEastAsia" w:cstheme="minorEastAsia"/>
          <w:color w:val="auto"/>
          <w:sz w:val="24"/>
          <w:highlight w:val="none"/>
          <w:u w:val="single"/>
          <w:lang w:val="en-US" w:eastAsia="zh-CN"/>
        </w:rPr>
        <w:t>叁佰玖拾万零陆仟伍佰捌拾叁元壹角壹分（¥3906583.11元）</w:t>
      </w:r>
    </w:p>
    <w:p w14:paraId="07E65103">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采购需求：</w:t>
      </w:r>
    </w:p>
    <w:p w14:paraId="47FCE02A">
      <w:pPr>
        <w:spacing w:line="360" w:lineRule="auto"/>
        <w:ind w:firstLine="480" w:firstLineChars="200"/>
        <w:rPr>
          <w:rFonts w:hint="eastAsia" w:asciiTheme="minorEastAsia" w:hAnsiTheme="minorEastAsia" w:eastAsiaTheme="minorEastAsia" w:cstheme="minorEastAsia"/>
          <w:color w:val="auto"/>
          <w:sz w:val="24"/>
          <w:highlight w:val="none"/>
          <w:u w:val="single"/>
          <w:lang w:eastAsia="zh-CN"/>
        </w:rPr>
      </w:pPr>
      <w:r>
        <w:rPr>
          <w:rFonts w:hint="eastAsia" w:asciiTheme="minorEastAsia" w:hAnsiTheme="minorEastAsia" w:eastAsiaTheme="minorEastAsia" w:cstheme="minorEastAsia"/>
          <w:color w:val="auto"/>
          <w:sz w:val="24"/>
          <w:highlight w:val="none"/>
          <w:u w:val="single"/>
        </w:rPr>
        <w:t>标项名称:</w:t>
      </w:r>
      <w:r>
        <w:rPr>
          <w:rFonts w:hint="eastAsia" w:asciiTheme="minorEastAsia" w:hAnsiTheme="minorEastAsia" w:eastAsiaTheme="minorEastAsia" w:cstheme="minorEastAsia"/>
          <w:color w:val="auto"/>
          <w:sz w:val="24"/>
          <w:highlight w:val="none"/>
          <w:u w:val="single"/>
          <w:lang w:eastAsia="zh-CN"/>
        </w:rPr>
        <w:t>西乡塘区设施果蔬标准化种植园建设项目</w:t>
      </w:r>
    </w:p>
    <w:p w14:paraId="398510E4">
      <w:pPr>
        <w:spacing w:line="360" w:lineRule="auto"/>
        <w:ind w:firstLine="480" w:firstLineChars="200"/>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u w:val="single"/>
        </w:rPr>
        <w:t>数量:1</w:t>
      </w:r>
    </w:p>
    <w:p w14:paraId="690B64B6">
      <w:pPr>
        <w:spacing w:line="360" w:lineRule="auto"/>
        <w:ind w:firstLine="480" w:firstLineChars="200"/>
        <w:rPr>
          <w:rFonts w:hint="default" w:asciiTheme="minorEastAsia" w:hAnsiTheme="minorEastAsia" w:eastAsiaTheme="minorEastAsia" w:cstheme="minorEastAsia"/>
          <w:color w:val="auto"/>
          <w:sz w:val="24"/>
          <w:highlight w:val="none"/>
          <w:u w:val="single"/>
          <w:lang w:val="en-US" w:eastAsia="zh-CN"/>
        </w:rPr>
      </w:pPr>
      <w:r>
        <w:rPr>
          <w:rFonts w:hint="eastAsia" w:asciiTheme="minorEastAsia" w:hAnsiTheme="minorEastAsia" w:eastAsiaTheme="minorEastAsia" w:cstheme="minorEastAsia"/>
          <w:color w:val="auto"/>
          <w:sz w:val="24"/>
          <w:highlight w:val="none"/>
          <w:u w:val="single"/>
        </w:rPr>
        <w:t>预算金额（元）:</w:t>
      </w:r>
      <w:r>
        <w:rPr>
          <w:rFonts w:hint="eastAsia" w:asciiTheme="minorEastAsia" w:hAnsiTheme="minorEastAsia" w:eastAsiaTheme="minorEastAsia" w:cstheme="minorEastAsia"/>
          <w:color w:val="auto"/>
          <w:sz w:val="24"/>
          <w:highlight w:val="none"/>
          <w:u w:val="single"/>
          <w:lang w:val="en-US" w:eastAsia="zh-CN"/>
        </w:rPr>
        <w:t>3906583.11</w:t>
      </w:r>
    </w:p>
    <w:p w14:paraId="3FF41FA3">
      <w:pPr>
        <w:spacing w:line="360" w:lineRule="auto"/>
        <w:ind w:firstLine="480" w:firstLineChars="200"/>
        <w:rPr>
          <w:rFonts w:hint="default" w:asciiTheme="minorEastAsia" w:hAnsiTheme="minorEastAsia" w:eastAsiaTheme="minorEastAsia" w:cstheme="minorEastAsia"/>
          <w:color w:val="auto"/>
          <w:sz w:val="24"/>
          <w:highlight w:val="none"/>
          <w:u w:val="single"/>
          <w:lang w:val="en-US" w:eastAsia="zh-CN"/>
        </w:rPr>
      </w:pPr>
      <w:r>
        <w:rPr>
          <w:rFonts w:hint="eastAsia" w:asciiTheme="minorEastAsia" w:hAnsiTheme="minorEastAsia" w:eastAsiaTheme="minorEastAsia" w:cstheme="minorEastAsia"/>
          <w:color w:val="auto"/>
          <w:sz w:val="24"/>
          <w:highlight w:val="none"/>
          <w:u w:val="single"/>
        </w:rPr>
        <w:t>简要规格描述或项目基本概况介绍、用途：本工程为西乡塘区设施果蔬标准化种植园建设项目，建设内容是新建3栋大棚、DP1建筑面积8784.00m2,建筑肩高3.2m,顶高6.0m，DP2建筑面积8856.00m2,建筑肩高3.2m,顶高6.0m，DP1建筑面积5184.00m2,建筑肩高3.2m,顶高6.0m，总建筑面积22824.00m2，大棚供水管道、供电线路、在大棚内设滴灌设备、灌溉智能控制系统等，具体详见</w:t>
      </w:r>
      <w:r>
        <w:rPr>
          <w:rFonts w:hint="eastAsia" w:asciiTheme="minorEastAsia" w:hAnsiTheme="minorEastAsia" w:eastAsiaTheme="minorEastAsia" w:cstheme="minorEastAsia"/>
          <w:color w:val="auto"/>
          <w:sz w:val="24"/>
          <w:highlight w:val="none"/>
          <w:u w:val="single"/>
          <w:lang w:val="en-US" w:eastAsia="zh-CN"/>
        </w:rPr>
        <w:t>工程量清单及</w:t>
      </w:r>
      <w:r>
        <w:rPr>
          <w:rFonts w:hint="eastAsia" w:asciiTheme="minorEastAsia" w:hAnsiTheme="minorEastAsia" w:eastAsiaTheme="minorEastAsia" w:cstheme="minorEastAsia"/>
          <w:color w:val="auto"/>
          <w:sz w:val="24"/>
          <w:highlight w:val="none"/>
          <w:u w:val="single"/>
        </w:rPr>
        <w:t>图纸。</w:t>
      </w:r>
    </w:p>
    <w:p w14:paraId="0F2E2DFD">
      <w:pPr>
        <w:spacing w:line="360" w:lineRule="auto"/>
        <w:ind w:firstLine="480" w:firstLineChars="200"/>
        <w:rPr>
          <w:rFonts w:hint="eastAsia" w:asciiTheme="minorEastAsia" w:hAnsiTheme="minorEastAsia" w:eastAsiaTheme="minorEastAsia" w:cstheme="minorEastAsia"/>
          <w:color w:val="auto"/>
          <w:sz w:val="24"/>
          <w:highlight w:val="none"/>
          <w:u w:val="single"/>
          <w:lang w:val="en-US" w:eastAsia="zh-CN"/>
        </w:rPr>
      </w:pPr>
      <w:r>
        <w:rPr>
          <w:rFonts w:hint="eastAsia" w:asciiTheme="minorEastAsia" w:hAnsiTheme="minorEastAsia" w:eastAsiaTheme="minorEastAsia" w:cstheme="minorEastAsia"/>
          <w:color w:val="auto"/>
          <w:sz w:val="24"/>
          <w:highlight w:val="none"/>
          <w:u w:val="single"/>
        </w:rPr>
        <w:t>最高限价（元）（如有）：</w:t>
      </w:r>
      <w:r>
        <w:rPr>
          <w:rFonts w:hint="eastAsia" w:asciiTheme="minorEastAsia" w:hAnsiTheme="minorEastAsia" w:eastAsiaTheme="minorEastAsia" w:cstheme="minorEastAsia"/>
          <w:color w:val="auto"/>
          <w:sz w:val="24"/>
          <w:highlight w:val="none"/>
          <w:u w:val="single"/>
          <w:lang w:val="en-US" w:eastAsia="zh-CN"/>
        </w:rPr>
        <w:t>3906583.11</w:t>
      </w:r>
    </w:p>
    <w:p w14:paraId="7B3F1A4D">
      <w:pPr>
        <w:spacing w:line="360" w:lineRule="auto"/>
        <w:ind w:firstLine="480" w:firstLineChars="200"/>
        <w:rPr>
          <w:rFonts w:hint="eastAsia" w:asciiTheme="minorEastAsia" w:hAnsiTheme="minorEastAsia" w:eastAsiaTheme="minorEastAsia" w:cstheme="minorEastAsia"/>
          <w:color w:val="auto"/>
          <w:sz w:val="24"/>
          <w:highlight w:val="none"/>
          <w:u w:val="single"/>
          <w:lang w:eastAsia="zh-CN"/>
        </w:rPr>
      </w:pPr>
      <w:r>
        <w:rPr>
          <w:rFonts w:hint="eastAsia" w:asciiTheme="minorEastAsia" w:hAnsiTheme="minorEastAsia" w:eastAsiaTheme="minorEastAsia" w:cstheme="minorEastAsia"/>
          <w:color w:val="auto"/>
          <w:sz w:val="24"/>
          <w:highlight w:val="none"/>
          <w:u w:val="single"/>
        </w:rPr>
        <w:t>合同履约期限：</w:t>
      </w:r>
      <w:r>
        <w:rPr>
          <w:rFonts w:hint="eastAsia" w:asciiTheme="minorEastAsia" w:hAnsiTheme="minorEastAsia" w:eastAsiaTheme="minorEastAsia" w:cstheme="minorEastAsia"/>
          <w:color w:val="auto"/>
          <w:sz w:val="24"/>
          <w:highlight w:val="none"/>
          <w:u w:val="single"/>
          <w:lang w:val="en-US" w:eastAsia="zh-CN"/>
        </w:rPr>
        <w:t>120日历</w:t>
      </w:r>
      <w:r>
        <w:rPr>
          <w:rFonts w:hint="eastAsia" w:asciiTheme="minorEastAsia" w:hAnsiTheme="minorEastAsia" w:eastAsiaTheme="minorEastAsia" w:cstheme="minorEastAsia"/>
          <w:color w:val="auto"/>
          <w:sz w:val="24"/>
          <w:highlight w:val="none"/>
          <w:u w:val="single"/>
        </w:rPr>
        <w:t>天（自合同签</w:t>
      </w:r>
      <w:r>
        <w:rPr>
          <w:rFonts w:hint="eastAsia" w:asciiTheme="minorEastAsia" w:hAnsiTheme="minorEastAsia" w:eastAsiaTheme="minorEastAsia" w:cstheme="minorEastAsia"/>
          <w:color w:val="auto"/>
          <w:sz w:val="24"/>
          <w:highlight w:val="none"/>
          <w:u w:val="single"/>
          <w:lang w:eastAsia="zh-CN"/>
        </w:rPr>
        <w:t>订之</w:t>
      </w:r>
      <w:r>
        <w:rPr>
          <w:rFonts w:hint="eastAsia" w:asciiTheme="minorEastAsia" w:hAnsiTheme="minorEastAsia" w:eastAsiaTheme="minorEastAsia" w:cstheme="minorEastAsia"/>
          <w:color w:val="auto"/>
          <w:sz w:val="24"/>
          <w:highlight w:val="none"/>
          <w:u w:val="single"/>
        </w:rPr>
        <w:t>日起至</w:t>
      </w:r>
      <w:r>
        <w:rPr>
          <w:rFonts w:hint="eastAsia" w:asciiTheme="minorEastAsia" w:hAnsiTheme="minorEastAsia" w:eastAsiaTheme="minorEastAsia" w:cstheme="minorEastAsia"/>
          <w:color w:val="auto"/>
          <w:sz w:val="24"/>
          <w:highlight w:val="none"/>
          <w:u w:val="single"/>
          <w:lang w:val="en-US" w:eastAsia="zh-CN"/>
        </w:rPr>
        <w:t>本项目</w:t>
      </w:r>
      <w:r>
        <w:rPr>
          <w:rFonts w:hint="eastAsia" w:asciiTheme="minorEastAsia" w:hAnsiTheme="minorEastAsia" w:eastAsiaTheme="minorEastAsia" w:cstheme="minorEastAsia"/>
          <w:color w:val="auto"/>
          <w:sz w:val="24"/>
          <w:highlight w:val="none"/>
          <w:u w:val="single"/>
        </w:rPr>
        <w:t>工程通过正式验收之日止）</w:t>
      </w:r>
      <w:r>
        <w:rPr>
          <w:rFonts w:hint="eastAsia" w:asciiTheme="minorEastAsia" w:hAnsiTheme="minorEastAsia" w:eastAsiaTheme="minorEastAsia" w:cstheme="minorEastAsia"/>
          <w:color w:val="auto"/>
          <w:sz w:val="24"/>
          <w:highlight w:val="none"/>
          <w:u w:val="single"/>
          <w:lang w:eastAsia="zh-CN"/>
        </w:rPr>
        <w:t>。</w:t>
      </w:r>
    </w:p>
    <w:p w14:paraId="25A9F71B">
      <w:pPr>
        <w:spacing w:line="360" w:lineRule="auto"/>
        <w:ind w:firstLine="480" w:firstLineChars="200"/>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u w:val="single"/>
        </w:rPr>
        <w:t>本标项（否）接受联合体投标</w:t>
      </w:r>
    </w:p>
    <w:p w14:paraId="4F14A4E4">
      <w:pPr>
        <w:spacing w:line="360" w:lineRule="auto"/>
        <w:ind w:firstLine="480" w:firstLineChars="200"/>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u w:val="single"/>
        </w:rPr>
        <w:t>备注：</w:t>
      </w:r>
      <w:r>
        <w:rPr>
          <w:rFonts w:hint="eastAsia" w:asciiTheme="minorEastAsia" w:hAnsiTheme="minorEastAsia" w:eastAsiaTheme="minorEastAsia" w:cstheme="minorEastAsia"/>
          <w:color w:val="auto"/>
          <w:sz w:val="24"/>
          <w:highlight w:val="none"/>
          <w:u w:val="single"/>
          <w:lang w:val="en-US" w:eastAsia="zh-CN"/>
        </w:rPr>
        <w:t>/</w:t>
      </w:r>
    </w:p>
    <w:p w14:paraId="67973D40">
      <w:pPr>
        <w:spacing w:line="360" w:lineRule="auto"/>
        <w:ind w:firstLine="482" w:firstLineChars="200"/>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二、申请人的资格要求：</w:t>
      </w:r>
    </w:p>
    <w:p w14:paraId="131043ED">
      <w:pPr>
        <w:spacing w:line="360" w:lineRule="auto"/>
        <w:ind w:firstLine="480" w:firstLineChars="200"/>
        <w:rPr>
          <w:rFonts w:hint="eastAsia" w:ascii="宋体" w:hAnsi="宋体"/>
          <w:color w:val="auto"/>
          <w:sz w:val="24"/>
          <w:szCs w:val="24"/>
          <w:highlight w:val="none"/>
        </w:rPr>
      </w:pPr>
      <w:r>
        <w:rPr>
          <w:rFonts w:ascii="宋体" w:hAnsi="宋体" w:cs="仿宋"/>
          <w:color w:val="auto"/>
          <w:sz w:val="24"/>
          <w:szCs w:val="24"/>
          <w:highlight w:val="none"/>
        </w:rPr>
        <w:t>1.</w:t>
      </w:r>
      <w:r>
        <w:rPr>
          <w:rFonts w:hint="eastAsia" w:ascii="宋体" w:hAnsi="宋体" w:cs="仿宋"/>
          <w:color w:val="auto"/>
          <w:sz w:val="24"/>
          <w:szCs w:val="24"/>
          <w:highlight w:val="none"/>
        </w:rPr>
        <w:t>满足《中华人民共和国政府采购法》第二十二条规定；</w:t>
      </w:r>
    </w:p>
    <w:p w14:paraId="7EFCAA09">
      <w:pPr>
        <w:spacing w:line="360" w:lineRule="auto"/>
        <w:ind w:firstLine="480" w:firstLineChars="200"/>
        <w:rPr>
          <w:rFonts w:hint="eastAsia" w:ascii="宋体" w:hAnsi="宋体" w:cs="仿宋"/>
          <w:color w:val="auto"/>
          <w:sz w:val="24"/>
          <w:szCs w:val="24"/>
          <w:highlight w:val="none"/>
        </w:rPr>
      </w:pPr>
      <w:r>
        <w:rPr>
          <w:rFonts w:hint="eastAsia" w:ascii="宋体" w:hAnsi="宋体" w:cs="仿宋"/>
          <w:color w:val="auto"/>
          <w:sz w:val="24"/>
          <w:szCs w:val="24"/>
          <w:highlight w:val="none"/>
        </w:rPr>
        <w:t>2.落实政府采购政策需满足的资格要求</w:t>
      </w:r>
    </w:p>
    <w:p w14:paraId="3A99C066">
      <w:pPr>
        <w:spacing w:line="360" w:lineRule="auto"/>
        <w:ind w:firstLine="480" w:firstLineChars="200"/>
        <w:rPr>
          <w:rFonts w:hint="eastAsia" w:ascii="宋体" w:hAnsi="宋体" w:cs="仿宋"/>
          <w:color w:val="auto"/>
          <w:sz w:val="24"/>
          <w:szCs w:val="24"/>
          <w:highlight w:val="none"/>
        </w:rPr>
      </w:pPr>
      <w:r>
        <w:rPr>
          <w:rFonts w:hint="eastAsia" w:ascii="宋体" w:hAnsi="宋体" w:cs="仿宋"/>
          <w:color w:val="auto"/>
          <w:sz w:val="24"/>
          <w:szCs w:val="24"/>
          <w:highlight w:val="none"/>
          <w:lang w:eastAsia="zh-CN"/>
        </w:rPr>
        <w:t>☑</w:t>
      </w:r>
      <w:r>
        <w:rPr>
          <w:rFonts w:hint="eastAsia" w:ascii="宋体" w:hAnsi="宋体" w:cs="仿宋"/>
          <w:color w:val="auto"/>
          <w:sz w:val="24"/>
          <w:szCs w:val="24"/>
          <w:highlight w:val="none"/>
        </w:rPr>
        <w:t>专门面向中小企业采购的项目（供应商应为中小微企业或监狱企业或残疾人福利性单位，大型企业不得参加。)</w:t>
      </w:r>
    </w:p>
    <w:p w14:paraId="672C5623">
      <w:pPr>
        <w:spacing w:line="360" w:lineRule="auto"/>
        <w:ind w:firstLine="480" w:firstLineChars="200"/>
        <w:rPr>
          <w:rFonts w:hint="eastAsia" w:ascii="宋体" w:hAnsi="宋体" w:cs="仿宋"/>
          <w:color w:val="auto"/>
          <w:sz w:val="24"/>
          <w:szCs w:val="24"/>
          <w:highlight w:val="none"/>
        </w:rPr>
      </w:pPr>
      <w:r>
        <w:rPr>
          <w:rFonts w:hint="eastAsia" w:ascii="宋体" w:hAnsi="宋体" w:cs="仿宋"/>
          <w:color w:val="auto"/>
          <w:sz w:val="24"/>
          <w:szCs w:val="24"/>
          <w:highlight w:val="none"/>
          <w:lang w:eastAsia="zh-CN"/>
        </w:rPr>
        <w:t>□</w:t>
      </w:r>
      <w:r>
        <w:rPr>
          <w:rFonts w:hint="eastAsia" w:ascii="宋体" w:hAnsi="宋体" w:cs="仿宋"/>
          <w:color w:val="auto"/>
          <w:sz w:val="24"/>
          <w:szCs w:val="24"/>
          <w:highlight w:val="none"/>
        </w:rPr>
        <w:t>非专门面向中小企业采购的项目</w:t>
      </w:r>
    </w:p>
    <w:p w14:paraId="20CFD4F8">
      <w:pPr>
        <w:spacing w:line="360" w:lineRule="auto"/>
        <w:ind w:firstLine="480" w:firstLineChars="200"/>
        <w:rPr>
          <w:rFonts w:hint="eastAsia" w:ascii="宋体" w:hAnsi="宋体" w:cs="仿宋"/>
          <w:color w:val="auto"/>
          <w:sz w:val="24"/>
          <w:szCs w:val="24"/>
          <w:highlight w:val="none"/>
        </w:rPr>
      </w:pPr>
      <w:r>
        <w:rPr>
          <w:rFonts w:hint="eastAsia" w:ascii="宋体" w:hAnsi="宋体" w:cs="仿宋"/>
          <w:color w:val="auto"/>
          <w:sz w:val="24"/>
          <w:szCs w:val="24"/>
          <w:highlight w:val="none"/>
        </w:rPr>
        <w:t>其他要求：</w:t>
      </w:r>
      <w:r>
        <w:rPr>
          <w:rFonts w:hint="eastAsia" w:ascii="宋体" w:hAnsi="宋体" w:cs="仿宋"/>
          <w:color w:val="auto"/>
          <w:sz w:val="24"/>
          <w:szCs w:val="24"/>
          <w:highlight w:val="none"/>
          <w:u w:val="single"/>
        </w:rPr>
        <w:t>无</w:t>
      </w:r>
    </w:p>
    <w:p w14:paraId="7A70BE54">
      <w:pPr>
        <w:spacing w:line="360" w:lineRule="auto"/>
        <w:ind w:firstLine="480" w:firstLineChars="200"/>
        <w:rPr>
          <w:rFonts w:hint="eastAsia" w:ascii="宋体" w:hAnsi="宋体" w:cs="仿宋"/>
          <w:color w:val="auto"/>
          <w:sz w:val="24"/>
          <w:szCs w:val="24"/>
          <w:highlight w:val="none"/>
        </w:rPr>
      </w:pPr>
      <w:r>
        <w:rPr>
          <w:rFonts w:ascii="宋体" w:hAnsi="宋体" w:cs="仿宋"/>
          <w:color w:val="auto"/>
          <w:sz w:val="24"/>
          <w:szCs w:val="24"/>
          <w:highlight w:val="none"/>
        </w:rPr>
        <w:t>3.</w:t>
      </w:r>
      <w:r>
        <w:rPr>
          <w:rFonts w:hint="eastAsia" w:ascii="宋体" w:hAnsi="宋体" w:cs="仿宋"/>
          <w:color w:val="auto"/>
          <w:sz w:val="24"/>
          <w:szCs w:val="24"/>
          <w:highlight w:val="none"/>
        </w:rPr>
        <w:t>本项目的特定资格要求：</w:t>
      </w:r>
    </w:p>
    <w:p w14:paraId="71493FE3">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zh-CN"/>
        </w:rPr>
        <w:t>（</w:t>
      </w: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val="zh-CN"/>
        </w:rPr>
        <w:t>）本次</w:t>
      </w:r>
      <w:r>
        <w:rPr>
          <w:rFonts w:hint="eastAsia" w:asciiTheme="minorEastAsia" w:hAnsiTheme="minorEastAsia" w:eastAsiaTheme="minorEastAsia" w:cstheme="minorEastAsia"/>
          <w:color w:val="auto"/>
          <w:sz w:val="24"/>
          <w:szCs w:val="24"/>
          <w:highlight w:val="none"/>
        </w:rPr>
        <w:t>采购</w:t>
      </w:r>
      <w:r>
        <w:rPr>
          <w:rFonts w:hint="eastAsia" w:asciiTheme="minorEastAsia" w:hAnsiTheme="minorEastAsia" w:eastAsiaTheme="minorEastAsia" w:cstheme="minorEastAsia"/>
          <w:color w:val="auto"/>
          <w:sz w:val="24"/>
          <w:szCs w:val="24"/>
          <w:highlight w:val="none"/>
          <w:lang w:val="zh-CN"/>
        </w:rPr>
        <w:t>要求供应商</w:t>
      </w:r>
      <w:r>
        <w:rPr>
          <w:rFonts w:hint="eastAsia" w:asciiTheme="minorEastAsia" w:hAnsiTheme="minorEastAsia" w:eastAsiaTheme="minorEastAsia" w:cstheme="minorEastAsia"/>
          <w:color w:val="auto"/>
          <w:sz w:val="24"/>
          <w:szCs w:val="24"/>
          <w:highlight w:val="none"/>
        </w:rPr>
        <w:t>须</w:t>
      </w:r>
      <w:r>
        <w:rPr>
          <w:rFonts w:hint="eastAsia" w:asciiTheme="minorEastAsia" w:hAnsiTheme="minorEastAsia" w:eastAsiaTheme="minorEastAsia" w:cstheme="minorEastAsia"/>
          <w:color w:val="auto"/>
          <w:sz w:val="24"/>
          <w:szCs w:val="24"/>
          <w:highlight w:val="none"/>
          <w:lang w:val="en-US" w:eastAsia="zh-CN"/>
        </w:rPr>
        <w:t>具备</w:t>
      </w:r>
      <w:r>
        <w:rPr>
          <w:rFonts w:hint="eastAsia" w:asciiTheme="minorEastAsia" w:hAnsiTheme="minorEastAsia" w:eastAsiaTheme="minorEastAsia" w:cstheme="minorEastAsia"/>
          <w:b/>
          <w:bCs/>
          <w:color w:val="auto"/>
          <w:sz w:val="24"/>
          <w:szCs w:val="24"/>
          <w:highlight w:val="none"/>
        </w:rPr>
        <w:t>建筑工程施工总承包三级以上（含三级）资质</w:t>
      </w:r>
      <w:r>
        <w:rPr>
          <w:rFonts w:hint="eastAsia" w:asciiTheme="minorEastAsia" w:hAnsiTheme="minorEastAsia" w:eastAsiaTheme="minorEastAsia" w:cstheme="minorEastAsia"/>
          <w:color w:val="auto"/>
          <w:sz w:val="24"/>
          <w:szCs w:val="24"/>
          <w:highlight w:val="none"/>
        </w:rPr>
        <w:t>，且同时具有《安全生产许可证》，并在人员、设备、资金等方面具备相应的施工能力。</w:t>
      </w:r>
    </w:p>
    <w:p w14:paraId="77634FCB">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（2）项目经理：供应商拟派项目经理须具备</w:t>
      </w:r>
      <w:r>
        <w:rPr>
          <w:rFonts w:hint="eastAsia" w:asciiTheme="minorEastAsia" w:hAnsiTheme="minorEastAsia" w:eastAsiaTheme="minorEastAsia" w:cstheme="minorEastAsia"/>
          <w:b/>
          <w:bCs/>
          <w:color w:val="auto"/>
          <w:sz w:val="24"/>
          <w:szCs w:val="24"/>
          <w:highlight w:val="none"/>
          <w:u w:val="single"/>
          <w:lang w:val="zh-CN"/>
        </w:rPr>
        <w:t>建筑工程专业二级以上（含二级）</w:t>
      </w:r>
      <w:r>
        <w:rPr>
          <w:rFonts w:hint="eastAsia" w:asciiTheme="minorEastAsia" w:hAnsiTheme="minorEastAsia" w:eastAsiaTheme="minorEastAsia" w:cstheme="minorEastAsia"/>
          <w:color w:val="auto"/>
          <w:sz w:val="24"/>
          <w:szCs w:val="24"/>
          <w:highlight w:val="none"/>
        </w:rPr>
        <w:t>注册建造师执业资格，具备有效的安全生产考核合格证书（B类）。本项目不接受有在建、已中标未开工或已列为其他项目中标候选人第一名的建造师作为项目经理</w:t>
      </w:r>
      <w:r>
        <w:rPr>
          <w:rFonts w:hint="eastAsia" w:asciiTheme="minorEastAsia" w:hAnsiTheme="minorEastAsia" w:eastAsiaTheme="minorEastAsia" w:cstheme="minorEastAsia"/>
          <w:color w:val="auto"/>
          <w:kern w:val="0"/>
          <w:sz w:val="24"/>
          <w:szCs w:val="24"/>
          <w:highlight w:val="none"/>
        </w:rPr>
        <w:t>（</w:t>
      </w:r>
      <w:r>
        <w:rPr>
          <w:rFonts w:hint="eastAsia" w:asciiTheme="minorEastAsia" w:hAnsiTheme="minorEastAsia" w:eastAsiaTheme="minorEastAsia" w:cstheme="minorEastAsia"/>
          <w:color w:val="auto"/>
          <w:sz w:val="24"/>
          <w:szCs w:val="24"/>
          <w:highlight w:val="none"/>
        </w:rPr>
        <w:t>符合《广西壮族自治区建筑市场诚信卡管理暂行办法》第十六条第一款及桂建管﹝</w:t>
      </w:r>
      <w:r>
        <w:rPr>
          <w:rFonts w:hint="eastAsia" w:asciiTheme="minorEastAsia" w:hAnsiTheme="minorEastAsia" w:eastAsiaTheme="minorEastAsia" w:cstheme="minorEastAsia"/>
          <w:color w:val="auto"/>
          <w:kern w:val="0"/>
          <w:sz w:val="24"/>
          <w:szCs w:val="24"/>
          <w:highlight w:val="none"/>
        </w:rPr>
        <w:t>2016</w:t>
      </w:r>
      <w:r>
        <w:rPr>
          <w:rFonts w:hint="eastAsia" w:asciiTheme="minorEastAsia" w:hAnsiTheme="minorEastAsia" w:eastAsiaTheme="minorEastAsia" w:cstheme="minorEastAsia"/>
          <w:color w:val="auto"/>
          <w:sz w:val="24"/>
          <w:szCs w:val="24"/>
          <w:highlight w:val="none"/>
        </w:rPr>
        <w:t>﹞70号</w:t>
      </w:r>
      <w:r>
        <w:rPr>
          <w:rFonts w:hint="eastAsia" w:asciiTheme="minorEastAsia" w:hAnsiTheme="minorEastAsia" w:eastAsiaTheme="minorEastAsia" w:cstheme="minorEastAsia"/>
          <w:color w:val="auto"/>
          <w:kern w:val="0"/>
          <w:sz w:val="24"/>
          <w:szCs w:val="24"/>
          <w:highlight w:val="none"/>
        </w:rPr>
        <w:t>、桂建管〔2020〕11号文除</w:t>
      </w:r>
      <w:r>
        <w:rPr>
          <w:rFonts w:hint="eastAsia" w:asciiTheme="minorEastAsia" w:hAnsiTheme="minorEastAsia" w:eastAsiaTheme="minorEastAsia" w:cstheme="minorEastAsia"/>
          <w:color w:val="auto"/>
          <w:sz w:val="24"/>
          <w:szCs w:val="24"/>
          <w:highlight w:val="none"/>
        </w:rPr>
        <w:t>外）。</w:t>
      </w:r>
    </w:p>
    <w:p w14:paraId="43899963">
      <w:pPr>
        <w:spacing w:line="360" w:lineRule="auto"/>
        <w:ind w:firstLine="480" w:firstLineChars="200"/>
        <w:rPr>
          <w:rFonts w:hint="eastAsia" w:ascii="宋体" w:hAnsi="宋体" w:cs="仿宋"/>
          <w:color w:val="auto"/>
          <w:sz w:val="24"/>
          <w:szCs w:val="24"/>
          <w:highlight w:val="none"/>
        </w:rPr>
      </w:pPr>
      <w:r>
        <w:rPr>
          <w:rFonts w:hint="eastAsia" w:ascii="宋体" w:hAnsi="宋体" w:cs="仿宋"/>
          <w:color w:val="auto"/>
          <w:sz w:val="24"/>
          <w:szCs w:val="24"/>
          <w:highlight w:val="none"/>
        </w:rPr>
        <w:t>（3）专职安全生产管理人员要求：专职安全生产管理人员须具备有效的安全生产考核合格证书（C类），人数符合住房城乡建设部《建筑施工企业、工程项目安全生产管理机构设置及安全生产管理人员配备办法》（建质规〔2025〕3号</w:t>
      </w:r>
      <w:r>
        <w:rPr>
          <w:rFonts w:hint="eastAsia" w:ascii="宋体" w:hAnsi="宋体" w:cs="仿宋"/>
          <w:color w:val="auto"/>
          <w:sz w:val="24"/>
          <w:szCs w:val="24"/>
          <w:highlight w:val="none"/>
          <w:lang w:eastAsia="zh-CN"/>
        </w:rPr>
        <w:t>）</w:t>
      </w:r>
      <w:r>
        <w:rPr>
          <w:rFonts w:hint="eastAsia" w:ascii="宋体" w:hAnsi="宋体" w:cs="仿宋"/>
          <w:color w:val="auto"/>
          <w:sz w:val="24"/>
          <w:szCs w:val="24"/>
          <w:highlight w:val="none"/>
        </w:rPr>
        <w:t>的规定不少于</w:t>
      </w:r>
      <w:r>
        <w:rPr>
          <w:rFonts w:hint="eastAsia" w:ascii="宋体" w:hAnsi="宋体" w:cs="仿宋"/>
          <w:color w:val="auto"/>
          <w:sz w:val="24"/>
          <w:szCs w:val="24"/>
          <w:highlight w:val="none"/>
          <w:lang w:val="en-US" w:eastAsia="zh-CN"/>
        </w:rPr>
        <w:t>1</w:t>
      </w:r>
      <w:r>
        <w:rPr>
          <w:rFonts w:hint="eastAsia" w:ascii="宋体" w:hAnsi="宋体" w:cs="仿宋"/>
          <w:color w:val="auto"/>
          <w:sz w:val="24"/>
          <w:szCs w:val="24"/>
          <w:highlight w:val="none"/>
        </w:rPr>
        <w:t>人。</w:t>
      </w:r>
    </w:p>
    <w:p w14:paraId="6F611899">
      <w:pPr>
        <w:spacing w:line="360" w:lineRule="auto"/>
        <w:ind w:firstLine="480" w:firstLineChars="200"/>
        <w:rPr>
          <w:rFonts w:hint="eastAsia" w:ascii="宋体" w:hAnsi="宋体" w:cs="仿宋"/>
          <w:color w:val="auto"/>
          <w:sz w:val="24"/>
          <w:szCs w:val="24"/>
          <w:highlight w:val="none"/>
        </w:rPr>
      </w:pPr>
      <w:r>
        <w:rPr>
          <w:rFonts w:hint="eastAsia" w:ascii="宋体" w:hAnsi="宋体" w:cs="仿宋"/>
          <w:color w:val="auto"/>
          <w:sz w:val="24"/>
          <w:szCs w:val="24"/>
          <w:highlight w:val="none"/>
        </w:rPr>
        <w:t>4. 本项目的特定条件：无</w:t>
      </w:r>
    </w:p>
    <w:p w14:paraId="3C20B7DD">
      <w:pPr>
        <w:spacing w:line="360" w:lineRule="auto"/>
        <w:ind w:firstLine="482"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三、获取采购文件</w:t>
      </w:r>
    </w:p>
    <w:p w14:paraId="24C99790">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时间：</w:t>
      </w:r>
      <w:r>
        <w:rPr>
          <w:rFonts w:hint="eastAsia" w:asciiTheme="minorEastAsia" w:hAnsiTheme="minorEastAsia" w:eastAsiaTheme="minorEastAsia" w:cstheme="minorEastAsia"/>
          <w:color w:val="auto"/>
          <w:sz w:val="24"/>
          <w:szCs w:val="24"/>
          <w:highlight w:val="none"/>
          <w:lang w:eastAsia="zh-CN"/>
        </w:rPr>
        <w:t>2026年</w:t>
      </w:r>
      <w:r>
        <w:rPr>
          <w:rFonts w:hint="eastAsia" w:asciiTheme="minorEastAsia" w:hAnsiTheme="minorEastAsia" w:eastAsiaTheme="minorEastAsia" w:cstheme="minorEastAsia"/>
          <w:color w:val="auto"/>
          <w:sz w:val="24"/>
          <w:szCs w:val="24"/>
          <w:highlight w:val="none"/>
          <w:lang w:val="en-US" w:eastAsia="zh-CN"/>
        </w:rPr>
        <w:t>7月30</w:t>
      </w:r>
      <w:r>
        <w:rPr>
          <w:rFonts w:hint="eastAsia" w:asciiTheme="minorEastAsia" w:hAnsiTheme="minorEastAsia" w:eastAsiaTheme="minorEastAsia" w:cstheme="minorEastAsia"/>
          <w:color w:val="auto"/>
          <w:sz w:val="24"/>
          <w:szCs w:val="24"/>
          <w:highlight w:val="none"/>
        </w:rPr>
        <w:t>日</w:t>
      </w:r>
      <w:r>
        <w:rPr>
          <w:rFonts w:hint="eastAsia" w:ascii="宋体" w:hAnsi="宋体" w:cs="宋体"/>
          <w:color w:val="auto"/>
          <w:sz w:val="24"/>
          <w:szCs w:val="24"/>
          <w:highlight w:val="none"/>
        </w:rPr>
        <w:t>至</w:t>
      </w:r>
      <w:r>
        <w:rPr>
          <w:rFonts w:hint="eastAsia" w:asciiTheme="minorEastAsia" w:hAnsiTheme="minorEastAsia" w:eastAsiaTheme="minorEastAsia" w:cstheme="minorEastAsia"/>
          <w:color w:val="auto"/>
          <w:sz w:val="24"/>
          <w:szCs w:val="24"/>
          <w:highlight w:val="none"/>
          <w:lang w:eastAsia="zh-CN"/>
        </w:rPr>
        <w:t>2026年</w:t>
      </w:r>
      <w:r>
        <w:rPr>
          <w:rFonts w:hint="eastAsia" w:asciiTheme="minorEastAsia" w:hAnsiTheme="minorEastAsia" w:eastAsiaTheme="minorEastAsia" w:cstheme="minorEastAsia"/>
          <w:color w:val="auto"/>
          <w:sz w:val="24"/>
          <w:szCs w:val="24"/>
          <w:highlight w:val="none"/>
          <w:lang w:val="en-US" w:eastAsia="zh-CN"/>
        </w:rPr>
        <w:t>8月11</w:t>
      </w:r>
      <w:r>
        <w:rPr>
          <w:rFonts w:hint="eastAsia" w:asciiTheme="minorEastAsia" w:hAnsiTheme="minorEastAsia" w:eastAsiaTheme="minorEastAsia" w:cstheme="minorEastAsia"/>
          <w:color w:val="auto"/>
          <w:sz w:val="24"/>
          <w:szCs w:val="24"/>
          <w:highlight w:val="none"/>
        </w:rPr>
        <w:t>日（磋商文件的发售期限自开始之日起不得少于5个工作日），每天上午00:00至11:59，下午12:00至23:59（北京时间，法定节假日除外）</w:t>
      </w:r>
    </w:p>
    <w:p w14:paraId="2560F8E8">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地点：</w:t>
      </w:r>
      <w:r>
        <w:rPr>
          <w:rFonts w:hint="eastAsia" w:asciiTheme="minorEastAsia" w:hAnsiTheme="minorEastAsia" w:eastAsiaTheme="minorEastAsia" w:cstheme="minorEastAsia"/>
          <w:color w:val="auto"/>
          <w:sz w:val="24"/>
          <w:szCs w:val="24"/>
          <w:highlight w:val="none"/>
        </w:rPr>
        <w:t>广西政府采购云平台</w:t>
      </w:r>
    </w:p>
    <w:p w14:paraId="0B4E6D83">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方式：</w:t>
      </w:r>
      <w:r>
        <w:rPr>
          <w:rFonts w:hint="eastAsia" w:asciiTheme="minorEastAsia" w:hAnsiTheme="minorEastAsia" w:eastAsiaTheme="minorEastAsia" w:cstheme="minorEastAsia"/>
          <w:color w:val="auto"/>
          <w:sz w:val="24"/>
          <w:szCs w:val="24"/>
          <w:highlight w:val="none"/>
        </w:rPr>
        <w:t>网上下载。本项目不提供纸质文件，潜在供应商需使用账号登录或者使用CA登录“广西政府采购云平台”（https://www.gcy.zfcg.gxzf.gov.cn/）-进入“项目采购”应用，在获取采购文件菜单中选择项目并获取招标文件（或在“广西政府采购云平台电子投标客户端-获取采购文件”跳转到广西政府采购云平台系统获取）。各供应商需下载使用新版客户端，新版客户端下载路径：广西政府采购网（访问地址http://zfcg.gxzf.gov.cn/）—办事服务—下载专区。原在政采云注册的临时供应商需在新平台启用后重新注册登记。电子</w:t>
      </w:r>
      <w:r>
        <w:rPr>
          <w:rFonts w:hint="eastAsia" w:asciiTheme="minorEastAsia" w:hAnsiTheme="minorEastAsia" w:eastAsiaTheme="minorEastAsia" w:cstheme="minorEastAsia"/>
          <w:color w:val="auto"/>
          <w:sz w:val="24"/>
          <w:szCs w:val="24"/>
          <w:highlight w:val="none"/>
          <w:lang w:eastAsia="zh-CN"/>
        </w:rPr>
        <w:t>响应文件</w:t>
      </w:r>
      <w:r>
        <w:rPr>
          <w:rFonts w:hint="eastAsia" w:asciiTheme="minorEastAsia" w:hAnsiTheme="minorEastAsia" w:eastAsiaTheme="minorEastAsia" w:cstheme="minorEastAsia"/>
          <w:color w:val="auto"/>
          <w:sz w:val="24"/>
          <w:szCs w:val="24"/>
          <w:highlight w:val="none"/>
        </w:rPr>
        <w:t>制作需要基于“广西政府采购云平台”获取的招标文件编制，通过其他方式获取招标文件的，将有可能导致供应商无法在广西政府采购云平台编制及上传</w:t>
      </w:r>
      <w:r>
        <w:rPr>
          <w:rFonts w:hint="eastAsia" w:asciiTheme="minorEastAsia" w:hAnsiTheme="minorEastAsia" w:eastAsiaTheme="minorEastAsia" w:cstheme="minorEastAsia"/>
          <w:color w:val="auto"/>
          <w:sz w:val="24"/>
          <w:szCs w:val="24"/>
          <w:highlight w:val="none"/>
          <w:lang w:eastAsia="zh-CN"/>
        </w:rPr>
        <w:t>响应文件</w:t>
      </w:r>
      <w:r>
        <w:rPr>
          <w:rFonts w:hint="eastAsia" w:asciiTheme="minorEastAsia" w:hAnsiTheme="minorEastAsia" w:eastAsiaTheme="minorEastAsia" w:cstheme="minorEastAsia"/>
          <w:color w:val="auto"/>
          <w:sz w:val="24"/>
          <w:szCs w:val="24"/>
          <w:highlight w:val="none"/>
        </w:rPr>
        <w:t>。</w:t>
      </w:r>
    </w:p>
    <w:p w14:paraId="18E7194B">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售价：0元 </w:t>
      </w:r>
    </w:p>
    <w:p w14:paraId="19E8899F">
      <w:pPr>
        <w:spacing w:line="360" w:lineRule="auto"/>
        <w:ind w:firstLine="482"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z w:val="24"/>
          <w:szCs w:val="24"/>
          <w:highlight w:val="none"/>
        </w:rPr>
        <w:t>四、响应文件提交</w:t>
      </w:r>
    </w:p>
    <w:p w14:paraId="7BC2A847">
      <w:pPr>
        <w:spacing w:line="360" w:lineRule="auto"/>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1、首次响应文件提交截止时间</w:t>
      </w:r>
      <w:r>
        <w:rPr>
          <w:rFonts w:hint="eastAsia" w:ascii="宋体" w:hAnsi="宋体" w:cs="宋体"/>
          <w:bCs/>
          <w:color w:val="auto"/>
          <w:sz w:val="24"/>
          <w:szCs w:val="24"/>
          <w:highlight w:val="none"/>
        </w:rPr>
        <w:t>（北京时间）：</w:t>
      </w:r>
      <w:r>
        <w:rPr>
          <w:rFonts w:hint="eastAsia" w:ascii="宋体" w:hAnsi="宋体" w:cs="宋体"/>
          <w:bCs/>
          <w:color w:val="auto"/>
          <w:sz w:val="24"/>
          <w:szCs w:val="24"/>
          <w:highlight w:val="none"/>
          <w:lang w:eastAsia="zh-CN"/>
        </w:rPr>
        <w:t>2026年</w:t>
      </w:r>
      <w:r>
        <w:rPr>
          <w:rFonts w:hint="eastAsia" w:ascii="宋体" w:hAnsi="宋体" w:cs="宋体"/>
          <w:bCs/>
          <w:color w:val="auto"/>
          <w:sz w:val="24"/>
          <w:szCs w:val="24"/>
          <w:highlight w:val="none"/>
          <w:lang w:val="en-US" w:eastAsia="zh-CN"/>
        </w:rPr>
        <w:t>8月11日</w:t>
      </w:r>
      <w:r>
        <w:rPr>
          <w:rFonts w:hint="eastAsia" w:ascii="宋体" w:hAnsi="宋体" w:cs="宋体"/>
          <w:bCs/>
          <w:color w:val="auto"/>
          <w:sz w:val="24"/>
          <w:szCs w:val="24"/>
          <w:highlight w:val="none"/>
        </w:rPr>
        <w:t>0</w:t>
      </w:r>
      <w:r>
        <w:rPr>
          <w:rFonts w:hint="eastAsia" w:asciiTheme="minorEastAsia" w:hAnsiTheme="minorEastAsia" w:eastAsiaTheme="minorEastAsia" w:cstheme="minorEastAsia"/>
          <w:color w:val="auto"/>
          <w:sz w:val="24"/>
          <w:szCs w:val="24"/>
          <w:highlight w:val="none"/>
        </w:rPr>
        <w:t>9</w:t>
      </w:r>
      <w:r>
        <w:rPr>
          <w:rFonts w:hint="eastAsia" w:ascii="宋体" w:hAnsi="宋体" w:cs="宋体"/>
          <w:color w:val="auto"/>
          <w:sz w:val="24"/>
          <w:szCs w:val="24"/>
          <w:highlight w:val="none"/>
        </w:rPr>
        <w:t>时30分</w:t>
      </w:r>
      <w:r>
        <w:rPr>
          <w:rFonts w:hint="eastAsia" w:asciiTheme="minorEastAsia" w:hAnsiTheme="minorEastAsia" w:eastAsiaTheme="minorEastAsia" w:cstheme="minorEastAsia"/>
          <w:color w:val="auto"/>
          <w:sz w:val="24"/>
          <w:highlight w:val="none"/>
        </w:rPr>
        <w:t>（北京时间）</w:t>
      </w:r>
      <w:r>
        <w:rPr>
          <w:rFonts w:hint="eastAsia" w:ascii="宋体" w:hAnsi="宋体" w:cs="宋体"/>
          <w:color w:val="auto"/>
          <w:sz w:val="24"/>
          <w:szCs w:val="24"/>
          <w:highlight w:val="none"/>
          <w:u w:val="single"/>
        </w:rPr>
        <w:t>（从磋商文件开始发出之日起至供应商提交首次响应文件截止之日止不得少于10日）。</w:t>
      </w:r>
    </w:p>
    <w:p w14:paraId="489A9F3B">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2、首次响应文件提交地点：</w:t>
      </w:r>
      <w:r>
        <w:rPr>
          <w:rFonts w:hint="eastAsia" w:ascii="宋体" w:hAnsi="宋体" w:cs="宋体"/>
          <w:color w:val="auto"/>
          <w:sz w:val="24"/>
          <w:szCs w:val="24"/>
          <w:highlight w:val="none"/>
          <w:u w:val="single"/>
        </w:rPr>
        <w:t>通过广西政府采购云平台实行在线投标响应。</w:t>
      </w:r>
    </w:p>
    <w:p w14:paraId="4B99D72B">
      <w:pPr>
        <w:widowControl/>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Theme="minorEastAsia" w:hAnsiTheme="minorEastAsia" w:eastAsiaTheme="minorEastAsia" w:cstheme="minorEastAsia"/>
          <w:color w:val="auto"/>
          <w:sz w:val="24"/>
          <w:szCs w:val="24"/>
          <w:highlight w:val="none"/>
        </w:rPr>
        <w:t>响应文件提交方式：本项目为全流程电子化项目，通过“广西政府采购云”平台（https://www.gcy.zfcg.gxzf.gov.cn/）实行在线电子响应，供应商应先安装“政采云电子交易客户端”（请自行前往“广西政府采购云”平台进行下载），并按照本项目采购文件和“广西政府采购云”平台的要求编制、加密后在投标截止时间前通过网络上传至“广西政府采购云”平台，</w:t>
      </w:r>
      <w:r>
        <w:rPr>
          <w:rFonts w:hint="eastAsia" w:ascii="宋体" w:hAnsi="宋体" w:cs="宋体"/>
          <w:b/>
          <w:color w:val="auto"/>
          <w:sz w:val="24"/>
          <w:szCs w:val="24"/>
          <w:highlight w:val="none"/>
        </w:rPr>
        <w:t>供应商在“广西政府采购云”平台提交电子版响应文件时，请填写参加远程采购活动经办人联系方式</w:t>
      </w:r>
      <w:r>
        <w:rPr>
          <w:rFonts w:hint="eastAsia" w:ascii="宋体" w:hAnsi="宋体" w:cs="宋体"/>
          <w:color w:val="auto"/>
          <w:sz w:val="24"/>
          <w:szCs w:val="24"/>
          <w:highlight w:val="none"/>
        </w:rPr>
        <w:t>。</w:t>
      </w:r>
    </w:p>
    <w:p w14:paraId="30186DED">
      <w:pPr>
        <w:widowControl/>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2）未进行网上注册并办理数字证书（CA认证）的供应商将无法参与本项目政府采购活动，潜在供应商应当在投标截止时间前，完成电子交易平台上的CA数字证书办理及响应文件的提交。完成CA数字证书办理预计需要7日左右，供应商只需办理其中一家CA数字证书及签章即可。</w:t>
      </w:r>
    </w:p>
    <w:p w14:paraId="63C97E00">
      <w:pPr>
        <w:widowControl/>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（3）为确保网上操作合法、有效和安全，请供应商确保在电子响应过程中能够对相关数据电文进行加密和使用电子签章，妥善保管CA数字证书并使用有效的CA数字证书参与整个采购活动。</w:t>
      </w:r>
    </w:p>
    <w:p w14:paraId="2D0C5041">
      <w:pPr>
        <w:spacing w:line="360" w:lineRule="auto"/>
        <w:ind w:firstLine="480" w:firstLineChars="200"/>
        <w:rPr>
          <w:rFonts w:hint="eastAsia" w:ascii="宋体" w:hAnsi="宋体" w:cs="宋体"/>
          <w:bCs/>
          <w:color w:val="auto"/>
          <w:sz w:val="24"/>
          <w:szCs w:val="24"/>
          <w:highlight w:val="none"/>
          <w:u w:val="single"/>
        </w:rPr>
      </w:pPr>
      <w:r>
        <w:rPr>
          <w:rFonts w:hint="eastAsia" w:ascii="宋体" w:hAnsi="宋体" w:cs="宋体"/>
          <w:bCs/>
          <w:color w:val="auto"/>
          <w:sz w:val="24"/>
          <w:szCs w:val="24"/>
          <w:highlight w:val="none"/>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14:paraId="7B7AC899">
      <w:pPr>
        <w:snapToGrid w:val="0"/>
        <w:spacing w:line="360" w:lineRule="auto"/>
        <w:ind w:firstLine="456" w:firstLineChars="200"/>
        <w:rPr>
          <w:rFonts w:hint="eastAsia" w:ascii="宋体" w:hAnsi="宋体" w:cs="宋体"/>
          <w:color w:val="auto"/>
          <w:spacing w:val="-6"/>
          <w:kern w:val="0"/>
          <w:sz w:val="24"/>
          <w:szCs w:val="24"/>
          <w:highlight w:val="none"/>
        </w:rPr>
      </w:pPr>
      <w:r>
        <w:rPr>
          <w:rFonts w:hint="eastAsia" w:ascii="宋体" w:hAnsi="宋体" w:cs="宋体"/>
          <w:color w:val="auto"/>
          <w:spacing w:val="-6"/>
          <w:kern w:val="0"/>
          <w:sz w:val="24"/>
          <w:szCs w:val="24"/>
          <w:highlight w:val="none"/>
        </w:rPr>
        <w:t>3、CA证书在线解密：首次响应文件开启时，须要供应商携带制作响应文件时用来加密的有效数字证书（CA认证）登录“广西政府采购云”平台电子开标大厅现场按规定时间对加密的响应文件进行解密，否则后果自负。</w:t>
      </w:r>
    </w:p>
    <w:p w14:paraId="5EF8F831">
      <w:pPr>
        <w:spacing w:line="360" w:lineRule="auto"/>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4、供应商需要在具备有摄像头及语音功能且互联网网络状况良好的电脑登录“广西政府采购云”平台远程开标大厅参与本次磋商，否则后果自负。</w:t>
      </w:r>
    </w:p>
    <w:p w14:paraId="0ED75BC5">
      <w:pPr>
        <w:spacing w:line="360" w:lineRule="auto"/>
        <w:ind w:firstLine="482"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五、开启</w:t>
      </w:r>
    </w:p>
    <w:p w14:paraId="18F5F789">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时间：</w:t>
      </w:r>
      <w:r>
        <w:rPr>
          <w:rFonts w:hint="eastAsia" w:ascii="宋体" w:hAnsi="宋体" w:cs="宋体" w:eastAsiaTheme="minorEastAsia"/>
          <w:bCs/>
          <w:color w:val="auto"/>
          <w:sz w:val="24"/>
          <w:szCs w:val="24"/>
          <w:highlight w:val="none"/>
          <w:lang w:eastAsia="zh-CN"/>
        </w:rPr>
        <w:t>2026年</w:t>
      </w:r>
      <w:r>
        <w:rPr>
          <w:rFonts w:hint="eastAsia" w:ascii="宋体" w:hAnsi="宋体" w:cs="宋体"/>
          <w:bCs/>
          <w:color w:val="auto"/>
          <w:sz w:val="24"/>
          <w:szCs w:val="24"/>
          <w:highlight w:val="none"/>
          <w:lang w:val="en-US" w:eastAsia="zh-CN"/>
        </w:rPr>
        <w:t>8月11日</w:t>
      </w:r>
      <w:r>
        <w:rPr>
          <w:rFonts w:hint="eastAsia" w:asciiTheme="minorEastAsia" w:hAnsiTheme="minorEastAsia" w:eastAsiaTheme="minorEastAsia" w:cstheme="minorEastAsia"/>
          <w:color w:val="auto"/>
          <w:sz w:val="24"/>
          <w:szCs w:val="24"/>
          <w:highlight w:val="none"/>
        </w:rPr>
        <w:t>09</w:t>
      </w:r>
      <w:r>
        <w:rPr>
          <w:rFonts w:hint="eastAsia" w:ascii="宋体" w:hAnsi="宋体" w:cs="宋体"/>
          <w:color w:val="auto"/>
          <w:sz w:val="24"/>
          <w:szCs w:val="24"/>
          <w:highlight w:val="none"/>
        </w:rPr>
        <w:t>时30分</w:t>
      </w:r>
      <w:r>
        <w:rPr>
          <w:rFonts w:hint="eastAsia" w:asciiTheme="minorEastAsia" w:hAnsiTheme="minorEastAsia" w:eastAsiaTheme="minorEastAsia" w:cstheme="minorEastAsia"/>
          <w:color w:val="auto"/>
          <w:sz w:val="24"/>
          <w:highlight w:val="none"/>
        </w:rPr>
        <w:t>（北京时间）</w:t>
      </w:r>
    </w:p>
    <w:p w14:paraId="4CCD94BE">
      <w:pPr>
        <w:spacing w:line="360" w:lineRule="auto"/>
        <w:ind w:firstLine="480" w:firstLineChars="200"/>
        <w:rPr>
          <w:rFonts w:hint="eastAsia" w:ascii="宋体" w:hAnsi="宋体"/>
          <w:bCs/>
          <w:color w:val="auto"/>
          <w:highlight w:val="none"/>
        </w:rPr>
      </w:pPr>
      <w:r>
        <w:rPr>
          <w:rFonts w:hint="eastAsia" w:asciiTheme="minorEastAsia" w:hAnsiTheme="minorEastAsia" w:eastAsiaTheme="minorEastAsia" w:cstheme="minorEastAsia"/>
          <w:color w:val="auto"/>
          <w:sz w:val="24"/>
          <w:highlight w:val="none"/>
        </w:rPr>
        <w:t>地点：通过广西政府采购云平台实行在线解密开启。（本项目不要求供应商到达开标现场，但供应商应派法定代表人（负责人）或委托代理人准时在线出席电子开评标会议，随时关注开评标进度，如在开评标过程中有电子询标，应在规定的时间内对电子询标函进行澄清回复）</w:t>
      </w:r>
    </w:p>
    <w:p w14:paraId="1E15AB8D">
      <w:pPr>
        <w:spacing w:line="360" w:lineRule="auto"/>
        <w:ind w:firstLine="482"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六、公告期限</w:t>
      </w:r>
    </w:p>
    <w:p w14:paraId="40504571">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自本公告发布之日起</w:t>
      </w:r>
      <w:r>
        <w:rPr>
          <w:rFonts w:hint="eastAsia" w:asciiTheme="minorEastAsia" w:hAnsiTheme="minorEastAsia" w:eastAsiaTheme="minorEastAsia" w:cstheme="minorEastAsia"/>
          <w:color w:val="auto"/>
          <w:sz w:val="24"/>
          <w:highlight w:val="none"/>
          <w:lang w:val="en-US" w:eastAsia="zh-CN"/>
        </w:rPr>
        <w:t>5</w:t>
      </w:r>
      <w:r>
        <w:rPr>
          <w:rFonts w:hint="eastAsia" w:asciiTheme="minorEastAsia" w:hAnsiTheme="minorEastAsia" w:eastAsiaTheme="minorEastAsia" w:cstheme="minorEastAsia"/>
          <w:color w:val="auto"/>
          <w:sz w:val="24"/>
          <w:highlight w:val="none"/>
        </w:rPr>
        <w:t>个工作日。</w:t>
      </w:r>
    </w:p>
    <w:p w14:paraId="546E67A7">
      <w:pPr>
        <w:numPr>
          <w:ilvl w:val="0"/>
          <w:numId w:val="6"/>
        </w:numPr>
        <w:spacing w:line="360" w:lineRule="auto"/>
        <w:ind w:firstLine="482" w:firstLineChars="200"/>
        <w:rPr>
          <w:rFonts w:hint="eastAsia" w:asciiTheme="minorEastAsia" w:hAnsiTheme="minorEastAsia" w:eastAsiaTheme="minorEastAsia" w:cstheme="minorEastAsia"/>
          <w:b/>
          <w:bCs/>
          <w:color w:val="auto"/>
          <w:sz w:val="24"/>
          <w:highlight w:val="none"/>
        </w:rPr>
      </w:pPr>
      <w:bookmarkStart w:id="2" w:name="_Toc35393626"/>
      <w:bookmarkStart w:id="3" w:name="_Toc35393795"/>
      <w:r>
        <w:rPr>
          <w:rFonts w:hint="eastAsia" w:asciiTheme="minorEastAsia" w:hAnsiTheme="minorEastAsia" w:eastAsiaTheme="minorEastAsia" w:cstheme="minorEastAsia"/>
          <w:b/>
          <w:bCs/>
          <w:color w:val="auto"/>
          <w:sz w:val="24"/>
          <w:highlight w:val="none"/>
        </w:rPr>
        <w:t>其他补充事宜</w:t>
      </w:r>
      <w:bookmarkEnd w:id="2"/>
      <w:bookmarkEnd w:id="3"/>
    </w:p>
    <w:p w14:paraId="1C7EEFBB">
      <w:pPr>
        <w:spacing w:line="360" w:lineRule="auto"/>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1.磋商保证金：</w:t>
      </w:r>
      <w:r>
        <w:rPr>
          <w:rFonts w:hint="eastAsia" w:ascii="宋体" w:hAnsi="宋体" w:cs="宋体"/>
          <w:color w:val="auto"/>
          <w:kern w:val="0"/>
          <w:sz w:val="24"/>
          <w:szCs w:val="24"/>
          <w:highlight w:val="none"/>
          <w:lang w:val="en-US" w:eastAsia="zh-CN"/>
        </w:rPr>
        <w:t>不收取磋商保证金</w:t>
      </w:r>
      <w:r>
        <w:rPr>
          <w:rFonts w:hint="eastAsia" w:ascii="宋体" w:hAnsi="宋体" w:cs="宋体"/>
          <w:color w:val="auto"/>
          <w:kern w:val="0"/>
          <w:sz w:val="24"/>
          <w:szCs w:val="24"/>
          <w:highlight w:val="none"/>
        </w:rPr>
        <w:t>。</w:t>
      </w:r>
    </w:p>
    <w:p w14:paraId="225B87EC">
      <w:pPr>
        <w:spacing w:line="360" w:lineRule="auto"/>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2.采购意向公开链接：https://zfcg.gxzf.gov.cn/luban/detail?parentId=66485&amp;articleId=ann_hEPEeh3Dreabb5LUYFeVH9D5ndTMr3NGt5TILBJnhQo=&amp;utm=web-micro-app-back-front.4996c985.0.0.aac8e2c04e9d11f19c470da82c8b6fb7</w:t>
      </w:r>
    </w:p>
    <w:p w14:paraId="1B20F609">
      <w:pPr>
        <w:spacing w:line="360" w:lineRule="auto"/>
        <w:ind w:firstLine="480" w:firstLineChars="200"/>
        <w:rPr>
          <w:rFonts w:hint="eastAsia" w:ascii="宋体" w:hAnsi="宋体" w:cs="宋体"/>
          <w:color w:val="auto"/>
          <w:kern w:val="0"/>
          <w:sz w:val="24"/>
          <w:szCs w:val="24"/>
          <w:highlight w:val="none"/>
        </w:rPr>
      </w:pPr>
      <w:bookmarkStart w:id="4" w:name="_Hlk37429585"/>
      <w:r>
        <w:rPr>
          <w:rFonts w:hint="eastAsia" w:ascii="宋体" w:hAnsi="宋体" w:cs="宋体"/>
          <w:color w:val="auto"/>
          <w:kern w:val="0"/>
          <w:sz w:val="24"/>
          <w:szCs w:val="24"/>
          <w:highlight w:val="none"/>
        </w:rPr>
        <w:t>3.</w:t>
      </w:r>
      <w:bookmarkStart w:id="5" w:name="_Hlk37429595"/>
      <w:r>
        <w:rPr>
          <w:rFonts w:hint="eastAsia" w:ascii="宋体" w:hAnsi="宋体" w:cs="宋体"/>
          <w:color w:val="auto"/>
          <w:kern w:val="0"/>
          <w:sz w:val="24"/>
          <w:szCs w:val="24"/>
          <w:highlight w:val="none"/>
        </w:rPr>
        <w:t>网上查询地址</w:t>
      </w:r>
    </w:p>
    <w:bookmarkEnd w:id="4"/>
    <w:bookmarkEnd w:id="5"/>
    <w:p w14:paraId="4C8A6808">
      <w:pPr>
        <w:spacing w:line="360" w:lineRule="auto"/>
        <w:ind w:firstLine="480" w:firstLineChars="200"/>
        <w:rPr>
          <w:rFonts w:hint="eastAsia" w:ascii="宋体" w:hAnsi="宋体" w:eastAsia="宋体" w:cs="宋体"/>
          <w:color w:val="auto"/>
          <w:kern w:val="0"/>
          <w:sz w:val="24"/>
          <w:szCs w:val="24"/>
          <w:highlight w:val="none"/>
          <w:lang w:eastAsia="zh-CN"/>
        </w:rPr>
      </w:pPr>
      <w:bookmarkStart w:id="6" w:name="_Hlk37429674"/>
      <w:r>
        <w:rPr>
          <w:rFonts w:hint="eastAsia" w:ascii="宋体" w:hAnsi="宋体" w:cs="宋体"/>
          <w:color w:val="auto"/>
          <w:kern w:val="0"/>
          <w:sz w:val="24"/>
          <w:szCs w:val="24"/>
          <w:highlight w:val="none"/>
        </w:rPr>
        <w:t>中国政府采购网（http://www.ccgp.gov.cn）、广西壮族自治区政府采购网（http://www.gxzfcg.gov.cn）</w:t>
      </w:r>
      <w:r>
        <w:rPr>
          <w:rFonts w:hint="eastAsia" w:ascii="宋体" w:hAnsi="宋体" w:cs="宋体"/>
          <w:color w:val="auto"/>
          <w:kern w:val="0"/>
          <w:sz w:val="24"/>
          <w:szCs w:val="24"/>
          <w:highlight w:val="none"/>
          <w:lang w:eastAsia="zh-CN"/>
        </w:rPr>
        <w:t>。</w:t>
      </w:r>
    </w:p>
    <w:p w14:paraId="13AB7B29">
      <w:pPr>
        <w:spacing w:line="360" w:lineRule="auto"/>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4</w:t>
      </w:r>
      <w:r>
        <w:rPr>
          <w:rFonts w:hint="eastAsia" w:ascii="宋体" w:hAnsi="宋体" w:cs="宋体"/>
          <w:color w:val="auto"/>
          <w:sz w:val="24"/>
          <w:szCs w:val="24"/>
          <w:highlight w:val="none"/>
        </w:rPr>
        <w:t xml:space="preserve">. </w:t>
      </w:r>
      <w:r>
        <w:rPr>
          <w:rFonts w:hint="eastAsia" w:ascii="宋体" w:hAnsi="宋体" w:cs="宋体"/>
          <w:color w:val="auto"/>
          <w:kern w:val="0"/>
          <w:sz w:val="24"/>
          <w:szCs w:val="24"/>
          <w:highlight w:val="none"/>
        </w:rPr>
        <w:t>本项目需要落实的政府采购政策</w:t>
      </w:r>
    </w:p>
    <w:bookmarkEnd w:id="6"/>
    <w:p w14:paraId="338295F1">
      <w:pPr>
        <w:spacing w:line="360" w:lineRule="auto"/>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（1）政府采购促进中小企业发展【</w:t>
      </w:r>
      <w:r>
        <w:rPr>
          <w:rFonts w:hint="eastAsia" w:ascii="宋体" w:hAnsi="宋体" w:cs="宋体"/>
          <w:b/>
          <w:bCs/>
          <w:color w:val="auto"/>
          <w:kern w:val="0"/>
          <w:sz w:val="24"/>
          <w:szCs w:val="24"/>
          <w:highlight w:val="none"/>
        </w:rPr>
        <w:t>本项目所属行业：建筑业</w:t>
      </w:r>
      <w:r>
        <w:rPr>
          <w:rFonts w:hint="eastAsia" w:ascii="宋体" w:hAnsi="宋体" w:cs="宋体"/>
          <w:color w:val="auto"/>
          <w:kern w:val="0"/>
          <w:sz w:val="24"/>
          <w:szCs w:val="24"/>
          <w:highlight w:val="none"/>
        </w:rPr>
        <w:t>】；</w:t>
      </w:r>
    </w:p>
    <w:p w14:paraId="5CA1A7C6">
      <w:pPr>
        <w:spacing w:line="360" w:lineRule="auto"/>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（2）政府采购促进残疾人就业政策；</w:t>
      </w:r>
    </w:p>
    <w:p w14:paraId="45725606">
      <w:pPr>
        <w:spacing w:line="360" w:lineRule="auto"/>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（3）政府采购支持监狱企业发展；</w:t>
      </w:r>
    </w:p>
    <w:p w14:paraId="7C65DDC4">
      <w:pPr>
        <w:spacing w:line="360" w:lineRule="auto"/>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（4）政府采购竞争性磋商采购方式管理暂行办法。</w:t>
      </w:r>
    </w:p>
    <w:p w14:paraId="6B67A520">
      <w:pPr>
        <w:spacing w:line="360" w:lineRule="auto"/>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5.供应商认为采购文件使自己的权益受到损害的，可以自获取采购文件之日或者采购文件公告期限届满之日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442D07A6">
      <w:pPr>
        <w:spacing w:line="360" w:lineRule="auto"/>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6. 若对项目采购电子交易系统操作有疑问，可登录“</w:t>
      </w:r>
      <w:r>
        <w:rPr>
          <w:rFonts w:hint="eastAsia" w:asciiTheme="minorEastAsia" w:hAnsiTheme="minorEastAsia" w:eastAsiaTheme="minorEastAsia" w:cstheme="minorEastAsia"/>
          <w:color w:val="auto"/>
          <w:sz w:val="24"/>
          <w:highlight w:val="none"/>
        </w:rPr>
        <w:t>广西政府采购云</w:t>
      </w:r>
      <w:r>
        <w:rPr>
          <w:rFonts w:hint="eastAsia" w:ascii="宋体" w:hAnsi="宋体" w:cs="宋体"/>
          <w:color w:val="auto"/>
          <w:kern w:val="0"/>
          <w:sz w:val="24"/>
          <w:szCs w:val="24"/>
          <w:highlight w:val="none"/>
        </w:rPr>
        <w:t>”平台</w:t>
      </w:r>
      <w:r>
        <w:rPr>
          <w:rFonts w:hint="eastAsia" w:asciiTheme="minorEastAsia" w:hAnsiTheme="minorEastAsia" w:eastAsiaTheme="minorEastAsia" w:cstheme="minorEastAsia"/>
          <w:color w:val="auto"/>
          <w:sz w:val="24"/>
          <w:szCs w:val="24"/>
          <w:highlight w:val="none"/>
        </w:rPr>
        <w:t>（https://www.gcy.zfcg.gxzf.gov.cn/）</w:t>
      </w:r>
      <w:r>
        <w:rPr>
          <w:rFonts w:hint="eastAsia" w:ascii="宋体" w:hAnsi="宋体" w:cs="宋体"/>
          <w:color w:val="auto"/>
          <w:kern w:val="0"/>
          <w:sz w:val="24"/>
          <w:szCs w:val="24"/>
          <w:highlight w:val="none"/>
        </w:rPr>
        <w:t>，点击右侧咨询小采，获取采小蜜智能服务管家帮助，或拨打</w:t>
      </w:r>
      <w:r>
        <w:rPr>
          <w:rFonts w:hint="eastAsia" w:asciiTheme="minorEastAsia" w:hAnsiTheme="minorEastAsia" w:eastAsiaTheme="minorEastAsia" w:cstheme="minorEastAsia"/>
          <w:color w:val="auto"/>
          <w:sz w:val="24"/>
          <w:highlight w:val="none"/>
        </w:rPr>
        <w:t>广西政府采购云</w:t>
      </w:r>
      <w:r>
        <w:rPr>
          <w:rFonts w:hint="eastAsia" w:ascii="宋体" w:hAnsi="宋体" w:cs="宋体"/>
          <w:color w:val="auto"/>
          <w:kern w:val="0"/>
          <w:sz w:val="24"/>
          <w:szCs w:val="24"/>
          <w:highlight w:val="none"/>
        </w:rPr>
        <w:t>服务热线95763获取热线服务帮助。</w:t>
      </w:r>
    </w:p>
    <w:p w14:paraId="6F6FD05C">
      <w:pPr>
        <w:spacing w:line="360" w:lineRule="auto"/>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7、在线投标响应（电子投标）说明</w:t>
      </w:r>
    </w:p>
    <w:p w14:paraId="3E52F321">
      <w:pPr>
        <w:spacing w:line="360" w:lineRule="auto"/>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（1）本项目通过</w:t>
      </w:r>
      <w:r>
        <w:rPr>
          <w:rFonts w:hint="eastAsia" w:asciiTheme="minorEastAsia" w:hAnsiTheme="minorEastAsia" w:eastAsiaTheme="minorEastAsia" w:cstheme="minorEastAsia"/>
          <w:color w:val="auto"/>
          <w:sz w:val="24"/>
          <w:highlight w:val="none"/>
        </w:rPr>
        <w:t>广西政府采购云</w:t>
      </w:r>
      <w:r>
        <w:rPr>
          <w:rFonts w:hint="eastAsia" w:ascii="宋体" w:hAnsi="宋体" w:cs="宋体"/>
          <w:color w:val="auto"/>
          <w:kern w:val="0"/>
          <w:sz w:val="24"/>
          <w:szCs w:val="24"/>
          <w:highlight w:val="none"/>
        </w:rPr>
        <w:t>平台实行在线投标响应（电子投标），供应商需要先安装“</w:t>
      </w:r>
      <w:r>
        <w:rPr>
          <w:rFonts w:hint="eastAsia" w:asciiTheme="minorEastAsia" w:hAnsiTheme="minorEastAsia" w:eastAsiaTheme="minorEastAsia" w:cstheme="minorEastAsia"/>
          <w:color w:val="auto"/>
          <w:sz w:val="24"/>
          <w:highlight w:val="none"/>
        </w:rPr>
        <w:t>广西政府采购云</w:t>
      </w:r>
      <w:r>
        <w:rPr>
          <w:rFonts w:hint="eastAsia" w:ascii="宋体" w:hAnsi="宋体" w:cs="宋体"/>
          <w:color w:val="auto"/>
          <w:kern w:val="0"/>
          <w:sz w:val="24"/>
          <w:szCs w:val="24"/>
          <w:highlight w:val="none"/>
        </w:rPr>
        <w:t>电子交易客户端”，并按照本竞争性磋商采购文件和政采云平台的要求，通过“</w:t>
      </w:r>
      <w:r>
        <w:rPr>
          <w:rFonts w:hint="eastAsia" w:asciiTheme="minorEastAsia" w:hAnsiTheme="minorEastAsia" w:eastAsiaTheme="minorEastAsia" w:cstheme="minorEastAsia"/>
          <w:color w:val="auto"/>
          <w:sz w:val="24"/>
          <w:highlight w:val="none"/>
        </w:rPr>
        <w:t>广西政府采购云</w:t>
      </w:r>
      <w:r>
        <w:rPr>
          <w:rFonts w:hint="eastAsia" w:ascii="宋体" w:hAnsi="宋体" w:cs="宋体"/>
          <w:color w:val="auto"/>
          <w:kern w:val="0"/>
          <w:sz w:val="24"/>
          <w:szCs w:val="24"/>
          <w:highlight w:val="none"/>
        </w:rPr>
        <w:t>电子交易客户端”编制并加密响应文件。供应商未按规定编制并加密的响应文件，政采云平台将予以拒收。</w:t>
      </w:r>
    </w:p>
    <w:p w14:paraId="1B778950">
      <w:pPr>
        <w:spacing w:line="360" w:lineRule="auto"/>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w:t>
      </w:r>
      <w:r>
        <w:rPr>
          <w:rFonts w:hint="eastAsia" w:asciiTheme="minorEastAsia" w:hAnsiTheme="minorEastAsia" w:eastAsiaTheme="minorEastAsia" w:cstheme="minorEastAsia"/>
          <w:color w:val="auto"/>
          <w:sz w:val="24"/>
          <w:highlight w:val="none"/>
        </w:rPr>
        <w:t>广西政府采购云</w:t>
      </w:r>
      <w:r>
        <w:rPr>
          <w:rFonts w:hint="eastAsia" w:ascii="宋体" w:hAnsi="宋体" w:cs="宋体"/>
          <w:color w:val="auto"/>
          <w:kern w:val="0"/>
          <w:sz w:val="24"/>
          <w:szCs w:val="24"/>
          <w:highlight w:val="none"/>
        </w:rPr>
        <w:t>电子交易客户端”请自行前往广西政府采购网下载并安装；电子投标具体操作流程参考《政府采购项目电子交易管理操作指南-供应商》；在使用</w:t>
      </w:r>
      <w:r>
        <w:rPr>
          <w:rFonts w:hint="eastAsia" w:asciiTheme="minorEastAsia" w:hAnsiTheme="minorEastAsia" w:eastAsiaTheme="minorEastAsia" w:cstheme="minorEastAsia"/>
          <w:color w:val="auto"/>
          <w:sz w:val="24"/>
          <w:highlight w:val="none"/>
        </w:rPr>
        <w:t>广西政府采购云</w:t>
      </w:r>
      <w:r>
        <w:rPr>
          <w:rFonts w:hint="eastAsia" w:ascii="宋体" w:hAnsi="宋体" w:cs="宋体"/>
          <w:color w:val="auto"/>
          <w:kern w:val="0"/>
          <w:sz w:val="24"/>
          <w:szCs w:val="24"/>
          <w:highlight w:val="none"/>
        </w:rPr>
        <w:t>投标客户端时，建议使用WIN7及以上操作系统，通过</w:t>
      </w:r>
      <w:r>
        <w:rPr>
          <w:rFonts w:hint="eastAsia" w:asciiTheme="minorEastAsia" w:hAnsiTheme="minorEastAsia" w:eastAsiaTheme="minorEastAsia" w:cstheme="minorEastAsia"/>
          <w:color w:val="auto"/>
          <w:sz w:val="24"/>
          <w:highlight w:val="none"/>
        </w:rPr>
        <w:t>广西政府采购云</w:t>
      </w:r>
      <w:r>
        <w:rPr>
          <w:rFonts w:hint="eastAsia" w:ascii="宋体" w:hAnsi="宋体" w:cs="宋体"/>
          <w:color w:val="auto"/>
          <w:kern w:val="0"/>
          <w:sz w:val="24"/>
          <w:szCs w:val="24"/>
          <w:highlight w:val="none"/>
        </w:rPr>
        <w:t>平台参与在线投标时如遇平台技术问题详询95763。</w:t>
      </w:r>
    </w:p>
    <w:p w14:paraId="47B3FB8A">
      <w:pPr>
        <w:spacing w:line="360" w:lineRule="auto"/>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（3）为确保网上操作合法、有效和安全，磋商供应商应当在响应文件提交截止时间前完成在“</w:t>
      </w:r>
      <w:r>
        <w:rPr>
          <w:rFonts w:hint="eastAsia" w:asciiTheme="minorEastAsia" w:hAnsiTheme="minorEastAsia" w:eastAsiaTheme="minorEastAsia" w:cstheme="minorEastAsia"/>
          <w:color w:val="auto"/>
          <w:sz w:val="24"/>
          <w:highlight w:val="none"/>
        </w:rPr>
        <w:t>广西政府采购云</w:t>
      </w:r>
      <w:r>
        <w:rPr>
          <w:rFonts w:hint="eastAsia" w:ascii="宋体" w:hAnsi="宋体" w:cs="宋体"/>
          <w:color w:val="auto"/>
          <w:kern w:val="0"/>
          <w:sz w:val="24"/>
          <w:szCs w:val="24"/>
          <w:highlight w:val="none"/>
        </w:rPr>
        <w:t>平台”的身份认证，确保在电子投标过程中能够对相关数据电文进行加密和使用电子签章。使用“</w:t>
      </w:r>
      <w:r>
        <w:rPr>
          <w:rFonts w:hint="eastAsia" w:asciiTheme="minorEastAsia" w:hAnsiTheme="minorEastAsia" w:eastAsiaTheme="minorEastAsia" w:cstheme="minorEastAsia"/>
          <w:color w:val="auto"/>
          <w:sz w:val="24"/>
          <w:highlight w:val="none"/>
        </w:rPr>
        <w:t>广西政府采购云</w:t>
      </w:r>
      <w:r>
        <w:rPr>
          <w:rFonts w:hint="eastAsia" w:ascii="宋体" w:hAnsi="宋体" w:cs="宋体"/>
          <w:color w:val="auto"/>
          <w:kern w:val="0"/>
          <w:sz w:val="24"/>
          <w:szCs w:val="24"/>
          <w:highlight w:val="none"/>
        </w:rPr>
        <w:t>电子交易客户端”需要提前申领CA数字证书，申领流程请自行前往相关网站进行查阅（完成CA数字证书办理预计一周左右，建议供应商获取竞争性磋商采购文件后立即办理）。</w:t>
      </w:r>
    </w:p>
    <w:p w14:paraId="6D5EB093">
      <w:pPr>
        <w:spacing w:line="360" w:lineRule="auto"/>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4）磋商供应商应当在响应文件提交截止时间前，将生成的“电子加密响应文件”上传提交至政采云平台。响应文件提交截止时间前可以补充、修改或者撤回电子磋商响应文件。补充或者修改电子磋商响应文件的，应当先行撤回原文件，补充、修改后重新传输递交，响应文件提交截止时间前未完成传输的，视为撤回响应文件。</w:t>
      </w:r>
    </w:p>
    <w:p w14:paraId="3BBE6209">
      <w:pPr>
        <w:spacing w:line="360" w:lineRule="auto"/>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（5）响应文件提交截止时间后，</w:t>
      </w:r>
      <w:r>
        <w:rPr>
          <w:rFonts w:hint="eastAsia" w:asciiTheme="minorEastAsia" w:hAnsiTheme="minorEastAsia" w:eastAsiaTheme="minorEastAsia" w:cstheme="minorEastAsia"/>
          <w:color w:val="auto"/>
          <w:sz w:val="24"/>
          <w:highlight w:val="none"/>
        </w:rPr>
        <w:t>广西政府采购云</w:t>
      </w:r>
      <w:r>
        <w:rPr>
          <w:rFonts w:hint="eastAsia" w:ascii="宋体" w:hAnsi="宋体" w:cs="宋体"/>
          <w:color w:val="auto"/>
          <w:kern w:val="0"/>
          <w:sz w:val="24"/>
          <w:szCs w:val="24"/>
          <w:highlight w:val="none"/>
        </w:rPr>
        <w:t>（电子交易平台）自动提取所有响应文件，各供应商须在提交响应文件截止后30分钟内对上传政采云的响应文件进行解密，所有供应商在规定的解密时限内解密完成或解密时限到后，采购代理机构开启响应文件；供应商超过解密时限的，系统默认自动放弃。</w:t>
      </w:r>
    </w:p>
    <w:p w14:paraId="0703B02C">
      <w:pPr>
        <w:spacing w:line="360" w:lineRule="auto"/>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2、相关业务联系单位及联系电话</w:t>
      </w:r>
    </w:p>
    <w:p w14:paraId="66B641E1">
      <w:pPr>
        <w:spacing w:line="360" w:lineRule="auto"/>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CA咨询(汇信公司)客服热线：400-888-4636；“广西政府采购云”平台客服电话：95763</w:t>
      </w:r>
    </w:p>
    <w:p w14:paraId="3023AD7C">
      <w:pPr>
        <w:spacing w:line="360" w:lineRule="auto"/>
        <w:ind w:firstLine="482"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八、凡对本次采购提出询问，请按以下方式联系：</w:t>
      </w:r>
    </w:p>
    <w:p w14:paraId="0D8DA74F">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1.采购人信息</w:t>
      </w:r>
    </w:p>
    <w:p w14:paraId="683881EF">
      <w:pPr>
        <w:spacing w:line="360" w:lineRule="auto"/>
        <w:ind w:firstLine="480" w:firstLineChars="200"/>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名  称：</w:t>
      </w:r>
      <w:r>
        <w:rPr>
          <w:rFonts w:hint="eastAsia" w:ascii="宋体" w:hAnsi="宋体"/>
          <w:color w:val="auto"/>
          <w:sz w:val="24"/>
          <w:highlight w:val="none"/>
        </w:rPr>
        <w:t>南宁市西乡塘区农业农村局</w:t>
      </w:r>
    </w:p>
    <w:p w14:paraId="201C610A">
      <w:pPr>
        <w:spacing w:line="360" w:lineRule="auto"/>
        <w:ind w:firstLine="480" w:firstLineChars="200"/>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地  址：南宁市西乡塘区秀灵路东三里30号</w:t>
      </w:r>
    </w:p>
    <w:p w14:paraId="1AE17719">
      <w:pPr>
        <w:spacing w:line="360" w:lineRule="auto"/>
        <w:ind w:firstLine="480" w:firstLineChars="200"/>
        <w:rPr>
          <w:rFonts w:hint="default"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0000FF"/>
          <w:sz w:val="24"/>
          <w:highlight w:val="none"/>
        </w:rPr>
        <w:t>联系</w:t>
      </w:r>
      <w:r>
        <w:rPr>
          <w:rFonts w:hint="eastAsia" w:asciiTheme="minorEastAsia" w:hAnsiTheme="minorEastAsia" w:eastAsiaTheme="minorEastAsia" w:cstheme="minorEastAsia"/>
          <w:color w:val="0000FF"/>
          <w:sz w:val="24"/>
          <w:highlight w:val="none"/>
          <w:lang w:val="en-US" w:eastAsia="zh-CN"/>
        </w:rPr>
        <w:t>人</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lang w:val="en-US" w:eastAsia="zh-CN"/>
        </w:rPr>
        <w:t>杨工</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lang w:val="en-US" w:eastAsia="zh-CN"/>
        </w:rPr>
        <w:t>联系方式：0771-2318691</w:t>
      </w:r>
    </w:p>
    <w:p w14:paraId="1590A2B3">
      <w:pPr>
        <w:keepNext w:val="0"/>
        <w:keepLines w:val="0"/>
        <w:pageBreakBefore w:val="0"/>
        <w:widowControl w:val="0"/>
        <w:shd w:val="clear"/>
        <w:kinsoku/>
        <w:wordWrap/>
        <w:overflowPunct/>
        <w:topLinePunct w:val="0"/>
        <w:autoSpaceDE/>
        <w:autoSpaceDN/>
        <w:bidi w:val="0"/>
        <w:snapToGrid/>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2.采购代理机构信息</w:t>
      </w:r>
    </w:p>
    <w:p w14:paraId="480D1397">
      <w:pPr>
        <w:keepNext w:val="0"/>
        <w:keepLines w:val="0"/>
        <w:pageBreakBefore w:val="0"/>
        <w:widowControl w:val="0"/>
        <w:shd w:val="clear"/>
        <w:kinsoku/>
        <w:wordWrap/>
        <w:overflowPunct/>
        <w:topLinePunct w:val="0"/>
        <w:autoSpaceDE/>
        <w:autoSpaceDN/>
        <w:bidi w:val="0"/>
        <w:snapToGrid/>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名   称：</w:t>
      </w:r>
      <w:r>
        <w:rPr>
          <w:rFonts w:hint="eastAsia" w:asciiTheme="minorEastAsia" w:hAnsiTheme="minorEastAsia" w:eastAsiaTheme="minorEastAsia" w:cstheme="minorEastAsia"/>
          <w:color w:val="auto"/>
          <w:sz w:val="24"/>
          <w:highlight w:val="none"/>
          <w:lang w:eastAsia="zh-CN"/>
        </w:rPr>
        <w:t>广西建设工程机电设备招标中心有限公司</w:t>
      </w:r>
    </w:p>
    <w:p w14:paraId="4717B9E9">
      <w:pPr>
        <w:keepNext w:val="0"/>
        <w:keepLines w:val="0"/>
        <w:pageBreakBefore w:val="0"/>
        <w:widowControl w:val="0"/>
        <w:shd w:val="clear"/>
        <w:kinsoku/>
        <w:wordWrap/>
        <w:overflowPunct/>
        <w:topLinePunct w:val="0"/>
        <w:autoSpaceDE/>
        <w:autoSpaceDN/>
        <w:bidi w:val="0"/>
        <w:snapToGrid/>
        <w:spacing w:line="360" w:lineRule="auto"/>
        <w:ind w:firstLine="480" w:firstLineChars="200"/>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地　　址：</w:t>
      </w:r>
      <w:r>
        <w:rPr>
          <w:rFonts w:hint="eastAsia" w:asciiTheme="minorEastAsia" w:hAnsiTheme="minorEastAsia" w:eastAsiaTheme="minorEastAsia" w:cstheme="minorEastAsia"/>
          <w:color w:val="auto"/>
          <w:sz w:val="24"/>
          <w:highlight w:val="none"/>
          <w:lang w:eastAsia="zh-CN"/>
        </w:rPr>
        <w:t>广西壮族自治区南宁市青秀区枫林路18号广西国控大厦裙楼三层</w:t>
      </w:r>
    </w:p>
    <w:p w14:paraId="2C16BF70">
      <w:pPr>
        <w:keepNext w:val="0"/>
        <w:keepLines w:val="0"/>
        <w:pageBreakBefore w:val="0"/>
        <w:widowControl w:val="0"/>
        <w:shd w:val="clear"/>
        <w:kinsoku/>
        <w:wordWrap/>
        <w:overflowPunct/>
        <w:topLinePunct w:val="0"/>
        <w:autoSpaceDE/>
        <w:autoSpaceDN/>
        <w:bidi w:val="0"/>
        <w:snapToGrid/>
        <w:spacing w:line="360" w:lineRule="auto"/>
        <w:ind w:firstLine="480" w:firstLineChars="200"/>
        <w:rPr>
          <w:rFonts w:hint="default"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rPr>
        <w:t>联系方式：</w:t>
      </w:r>
      <w:r>
        <w:rPr>
          <w:rFonts w:hint="eastAsia" w:asciiTheme="minorEastAsia" w:hAnsiTheme="minorEastAsia" w:eastAsiaTheme="minorEastAsia" w:cstheme="minorEastAsia"/>
          <w:color w:val="auto"/>
          <w:sz w:val="24"/>
          <w:highlight w:val="none"/>
          <w:lang w:eastAsia="zh-CN"/>
        </w:rPr>
        <w:t>0771-</w:t>
      </w:r>
      <w:r>
        <w:rPr>
          <w:rFonts w:hint="eastAsia" w:asciiTheme="minorEastAsia" w:hAnsiTheme="minorEastAsia" w:eastAsiaTheme="minorEastAsia" w:cstheme="minorEastAsia"/>
          <w:color w:val="auto"/>
          <w:sz w:val="24"/>
          <w:highlight w:val="none"/>
          <w:lang w:val="en-US" w:eastAsia="zh-CN"/>
        </w:rPr>
        <w:t>2825810</w:t>
      </w:r>
    </w:p>
    <w:p w14:paraId="41355AA0">
      <w:pPr>
        <w:keepNext w:val="0"/>
        <w:keepLines w:val="0"/>
        <w:pageBreakBefore w:val="0"/>
        <w:widowControl w:val="0"/>
        <w:shd w:val="clear"/>
        <w:kinsoku/>
        <w:wordWrap/>
        <w:overflowPunct/>
        <w:topLinePunct w:val="0"/>
        <w:autoSpaceDE/>
        <w:autoSpaceDN/>
        <w:bidi w:val="0"/>
        <w:snapToGrid/>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3.项目联系方式</w:t>
      </w:r>
    </w:p>
    <w:p w14:paraId="5BDBABCF">
      <w:pPr>
        <w:keepNext w:val="0"/>
        <w:keepLines w:val="0"/>
        <w:pageBreakBefore w:val="0"/>
        <w:widowControl w:val="0"/>
        <w:shd w:val="clear"/>
        <w:kinsoku/>
        <w:wordWrap/>
        <w:overflowPunct/>
        <w:topLinePunct w:val="0"/>
        <w:autoSpaceDE/>
        <w:autoSpaceDN/>
        <w:bidi w:val="0"/>
        <w:snapToGrid/>
        <w:spacing w:line="360" w:lineRule="auto"/>
        <w:ind w:firstLine="480" w:firstLineChars="200"/>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项目联系人</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鞠丰泽</w:t>
      </w:r>
    </w:p>
    <w:p w14:paraId="48322C6C">
      <w:pPr>
        <w:keepNext w:val="0"/>
        <w:keepLines w:val="0"/>
        <w:pageBreakBefore w:val="0"/>
        <w:widowControl w:val="0"/>
        <w:shd w:val="clear"/>
        <w:kinsoku/>
        <w:wordWrap/>
        <w:overflowPunct/>
        <w:topLinePunct w:val="0"/>
        <w:autoSpaceDE/>
        <w:autoSpaceDN/>
        <w:bidi w:val="0"/>
        <w:snapToGrid/>
        <w:spacing w:line="360" w:lineRule="auto"/>
        <w:ind w:firstLine="480" w:firstLineChars="200"/>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电　</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　 话：</w:t>
      </w:r>
      <w:r>
        <w:rPr>
          <w:rFonts w:hint="eastAsia" w:asciiTheme="minorEastAsia" w:hAnsiTheme="minorEastAsia" w:eastAsiaTheme="minorEastAsia" w:cstheme="minorEastAsia"/>
          <w:color w:val="auto"/>
          <w:sz w:val="24"/>
          <w:highlight w:val="none"/>
          <w:lang w:eastAsia="zh-CN"/>
        </w:rPr>
        <w:t>0771-</w:t>
      </w:r>
      <w:r>
        <w:rPr>
          <w:rFonts w:hint="eastAsia" w:asciiTheme="minorEastAsia" w:hAnsiTheme="minorEastAsia" w:eastAsiaTheme="minorEastAsia" w:cstheme="minorEastAsia"/>
          <w:color w:val="auto"/>
          <w:sz w:val="24"/>
          <w:highlight w:val="none"/>
          <w:lang w:val="en-US" w:eastAsia="zh-CN"/>
        </w:rPr>
        <w:t>2825810</w:t>
      </w:r>
    </w:p>
    <w:p w14:paraId="17170863">
      <w:pPr>
        <w:spacing w:line="360" w:lineRule="auto"/>
        <w:ind w:firstLine="720" w:firstLineChars="300"/>
        <w:jc w:val="righ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w:t>
      </w:r>
    </w:p>
    <w:p w14:paraId="30506E12">
      <w:pPr>
        <w:spacing w:line="360" w:lineRule="auto"/>
        <w:ind w:firstLine="720" w:firstLineChars="300"/>
        <w:jc w:val="right"/>
        <w:rPr>
          <w:rFonts w:hint="eastAsia" w:asciiTheme="minorEastAsia" w:hAnsiTheme="minorEastAsia" w:eastAsiaTheme="minorEastAsia" w:cstheme="minorEastAsia"/>
          <w:color w:val="auto"/>
          <w:sz w:val="24"/>
          <w:highlight w:val="none"/>
        </w:rPr>
      </w:pPr>
    </w:p>
    <w:p w14:paraId="75512DA1">
      <w:pPr>
        <w:keepNext w:val="0"/>
        <w:keepLines w:val="0"/>
        <w:pageBreakBefore w:val="0"/>
        <w:widowControl w:val="0"/>
        <w:shd w:val="clear"/>
        <w:kinsoku/>
        <w:wordWrap/>
        <w:overflowPunct/>
        <w:topLinePunct w:val="0"/>
        <w:autoSpaceDE/>
        <w:autoSpaceDN/>
        <w:bidi w:val="0"/>
        <w:snapToGrid/>
        <w:spacing w:line="360" w:lineRule="auto"/>
        <w:ind w:firstLine="480" w:firstLineChars="200"/>
        <w:jc w:val="righ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采购代理单位：</w:t>
      </w:r>
      <w:r>
        <w:rPr>
          <w:rFonts w:hint="eastAsia" w:asciiTheme="minorEastAsia" w:hAnsiTheme="minorEastAsia" w:eastAsiaTheme="minorEastAsia" w:cstheme="minorEastAsia"/>
          <w:color w:val="auto"/>
          <w:sz w:val="24"/>
          <w:highlight w:val="none"/>
          <w:lang w:eastAsia="zh-CN"/>
        </w:rPr>
        <w:t>广西建设工程机电设备招标中心有限公司</w:t>
      </w:r>
    </w:p>
    <w:p w14:paraId="0B756921">
      <w:pPr>
        <w:spacing w:line="360" w:lineRule="auto"/>
        <w:ind w:firstLine="480" w:firstLineChars="200"/>
        <w:jc w:val="righ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highlight w:val="none"/>
        </w:rPr>
        <w:t xml:space="preserve">                            </w:t>
      </w:r>
      <w:r>
        <w:rPr>
          <w:rFonts w:hint="eastAsia" w:asciiTheme="minorEastAsia" w:hAnsiTheme="minorEastAsia" w:eastAsiaTheme="minorEastAsia" w:cstheme="minorEastAsia"/>
          <w:color w:val="auto"/>
          <w:sz w:val="24"/>
          <w:szCs w:val="24"/>
          <w:highlight w:val="none"/>
          <w:lang w:eastAsia="zh-CN"/>
        </w:rPr>
        <w:t>2026年</w:t>
      </w:r>
      <w:r>
        <w:rPr>
          <w:rFonts w:hint="eastAsia" w:asciiTheme="minorEastAsia" w:hAnsiTheme="minorEastAsia" w:eastAsiaTheme="minorEastAsia" w:cstheme="minorEastAsia"/>
          <w:color w:val="auto"/>
          <w:sz w:val="24"/>
          <w:szCs w:val="24"/>
          <w:highlight w:val="none"/>
          <w:lang w:val="en-US" w:eastAsia="zh-CN"/>
        </w:rPr>
        <w:t>7月30</w:t>
      </w:r>
      <w:r>
        <w:rPr>
          <w:rFonts w:hint="eastAsia" w:asciiTheme="minorEastAsia" w:hAnsiTheme="minorEastAsia" w:eastAsiaTheme="minorEastAsia" w:cstheme="minorEastAsia"/>
          <w:color w:val="auto"/>
          <w:sz w:val="24"/>
          <w:szCs w:val="24"/>
          <w:highlight w:val="none"/>
        </w:rPr>
        <w:t>日</w:t>
      </w:r>
    </w:p>
    <w:p w14:paraId="6CCEEAE6">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p>
    <w:p w14:paraId="3082CF71">
      <w:pPr>
        <w:pStyle w:val="40"/>
        <w:rPr>
          <w:rFonts w:hint="eastAsia" w:asciiTheme="minorEastAsia" w:hAnsiTheme="minorEastAsia" w:eastAsiaTheme="minorEastAsia" w:cstheme="minorEastAsia"/>
          <w:color w:val="auto"/>
          <w:highlight w:val="none"/>
        </w:rPr>
      </w:pPr>
      <w:bookmarkStart w:id="7" w:name="_Toc26580"/>
      <w:r>
        <w:rPr>
          <w:rFonts w:hint="eastAsia" w:asciiTheme="minorEastAsia" w:hAnsiTheme="minorEastAsia" w:eastAsiaTheme="minorEastAsia" w:cstheme="minorEastAsia"/>
          <w:color w:val="auto"/>
          <w:highlight w:val="none"/>
        </w:rPr>
        <w:t>第二章  磋商须知前附表及</w:t>
      </w:r>
      <w:bookmarkEnd w:id="1"/>
      <w:r>
        <w:rPr>
          <w:rFonts w:hint="eastAsia" w:asciiTheme="minorEastAsia" w:hAnsiTheme="minorEastAsia" w:eastAsiaTheme="minorEastAsia" w:cstheme="minorEastAsia"/>
          <w:color w:val="auto"/>
          <w:highlight w:val="none"/>
        </w:rPr>
        <w:t>磋商须知</w:t>
      </w:r>
      <w:bookmarkEnd w:id="7"/>
    </w:p>
    <w:p w14:paraId="65D63D53">
      <w:pPr>
        <w:jc w:val="center"/>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磋商须知前附表</w:t>
      </w:r>
    </w:p>
    <w:tbl>
      <w:tblPr>
        <w:tblStyle w:val="44"/>
        <w:tblW w:w="99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3"/>
        <w:gridCol w:w="8813"/>
      </w:tblGrid>
      <w:tr w14:paraId="59149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tcPr>
          <w:p w14:paraId="0AF6FCF2">
            <w:pPr>
              <w:spacing w:line="400" w:lineRule="exact"/>
              <w:jc w:val="center"/>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color w:val="auto"/>
                <w:spacing w:val="2"/>
                <w:highlight w:val="none"/>
              </w:rPr>
              <w:t>项号</w:t>
            </w:r>
          </w:p>
        </w:tc>
        <w:tc>
          <w:tcPr>
            <w:tcW w:w="8813" w:type="dxa"/>
          </w:tcPr>
          <w:p w14:paraId="523E1437">
            <w:pPr>
              <w:spacing w:line="400" w:lineRule="exact"/>
              <w:jc w:val="center"/>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color w:val="auto"/>
                <w:spacing w:val="2"/>
                <w:highlight w:val="none"/>
              </w:rPr>
              <w:t>内   容    规   定</w:t>
            </w:r>
          </w:p>
        </w:tc>
      </w:tr>
      <w:tr w14:paraId="5CFB9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6" w:hRule="atLeast"/>
          <w:jc w:val="center"/>
        </w:trPr>
        <w:tc>
          <w:tcPr>
            <w:tcW w:w="1093" w:type="dxa"/>
            <w:vAlign w:val="center"/>
          </w:tcPr>
          <w:p w14:paraId="77AA061B">
            <w:pPr>
              <w:spacing w:line="400" w:lineRule="exact"/>
              <w:jc w:val="center"/>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color w:val="auto"/>
                <w:spacing w:val="2"/>
                <w:highlight w:val="none"/>
              </w:rPr>
              <w:t>1</w:t>
            </w:r>
          </w:p>
        </w:tc>
        <w:tc>
          <w:tcPr>
            <w:tcW w:w="8813" w:type="dxa"/>
          </w:tcPr>
          <w:p w14:paraId="3E830381">
            <w:pPr>
              <w:spacing w:line="400" w:lineRule="exact"/>
              <w:rPr>
                <w:rFonts w:hint="eastAsia" w:asciiTheme="minorEastAsia" w:hAnsiTheme="minorEastAsia" w:eastAsiaTheme="minorEastAsia" w:cstheme="minorEastAsia"/>
                <w:bCs/>
                <w:color w:val="auto"/>
                <w:spacing w:val="2"/>
                <w:highlight w:val="none"/>
                <w:lang w:eastAsia="zh-CN"/>
              </w:rPr>
            </w:pPr>
            <w:r>
              <w:rPr>
                <w:rFonts w:hint="eastAsia" w:asciiTheme="minorEastAsia" w:hAnsiTheme="minorEastAsia" w:eastAsiaTheme="minorEastAsia" w:cstheme="minorEastAsia"/>
                <w:b/>
                <w:color w:val="auto"/>
                <w:spacing w:val="2"/>
                <w:highlight w:val="none"/>
              </w:rPr>
              <w:t>项目名称：</w:t>
            </w:r>
            <w:r>
              <w:rPr>
                <w:rFonts w:hint="eastAsia" w:asciiTheme="minorEastAsia" w:hAnsiTheme="minorEastAsia" w:eastAsiaTheme="minorEastAsia" w:cstheme="minorEastAsia"/>
                <w:color w:val="auto"/>
                <w:spacing w:val="2"/>
                <w:highlight w:val="none"/>
                <w:lang w:eastAsia="zh-CN"/>
              </w:rPr>
              <w:t>西乡塘区设施果蔬标准化种植园建设项目</w:t>
            </w:r>
          </w:p>
          <w:p w14:paraId="22BC80D6">
            <w:pPr>
              <w:spacing w:line="400" w:lineRule="exact"/>
              <w:rPr>
                <w:rFonts w:hint="eastAsia" w:asciiTheme="minorEastAsia" w:hAnsiTheme="minorEastAsia" w:eastAsiaTheme="minorEastAsia" w:cstheme="minorEastAsia"/>
                <w:color w:val="auto"/>
                <w:sz w:val="24"/>
                <w:szCs w:val="28"/>
                <w:highlight w:val="none"/>
                <w:u w:val="single"/>
                <w:lang w:eastAsia="zh-CN"/>
              </w:rPr>
            </w:pPr>
            <w:r>
              <w:rPr>
                <w:rFonts w:hint="eastAsia" w:asciiTheme="minorEastAsia" w:hAnsiTheme="minorEastAsia" w:eastAsiaTheme="minorEastAsia" w:cstheme="minorEastAsia"/>
                <w:b/>
                <w:color w:val="auto"/>
                <w:spacing w:val="2"/>
                <w:highlight w:val="none"/>
              </w:rPr>
              <w:t>项目编号：</w:t>
            </w:r>
            <w:r>
              <w:rPr>
                <w:rFonts w:hint="eastAsia" w:asciiTheme="minorEastAsia" w:hAnsiTheme="minorEastAsia" w:eastAsiaTheme="minorEastAsia" w:cstheme="minorEastAsia"/>
                <w:b/>
                <w:color w:val="auto"/>
                <w:spacing w:val="2"/>
                <w:highlight w:val="none"/>
                <w:u w:val="single"/>
                <w:lang w:eastAsia="zh-CN"/>
              </w:rPr>
              <w:t>NNZC2026-C2-070035-JGJD</w:t>
            </w:r>
          </w:p>
          <w:p w14:paraId="7CA8C485">
            <w:pPr>
              <w:spacing w:line="400" w:lineRule="exact"/>
              <w:rPr>
                <w:rFonts w:hint="eastAsia" w:asciiTheme="minorEastAsia" w:hAnsiTheme="minorEastAsia" w:eastAsiaTheme="minorEastAsia" w:cstheme="minorEastAsia"/>
                <w:b/>
                <w:color w:val="auto"/>
                <w:spacing w:val="2"/>
                <w:highlight w:val="none"/>
                <w:lang w:eastAsia="zh-CN"/>
              </w:rPr>
            </w:pPr>
            <w:r>
              <w:rPr>
                <w:rFonts w:hint="eastAsia" w:asciiTheme="minorEastAsia" w:hAnsiTheme="minorEastAsia" w:eastAsiaTheme="minorEastAsia" w:cstheme="minorEastAsia"/>
                <w:b/>
                <w:color w:val="auto"/>
                <w:spacing w:val="2"/>
                <w:highlight w:val="none"/>
              </w:rPr>
              <w:t>采购计划备案文号</w:t>
            </w:r>
            <w:r>
              <w:rPr>
                <w:rFonts w:hint="eastAsia" w:asciiTheme="minorEastAsia" w:hAnsiTheme="minorEastAsia" w:eastAsiaTheme="minorEastAsia" w:cstheme="minorEastAsia"/>
                <w:b w:val="0"/>
                <w:bCs/>
                <w:color w:val="auto"/>
                <w:spacing w:val="2"/>
                <w:highlight w:val="none"/>
              </w:rPr>
              <w:t>：</w:t>
            </w:r>
            <w:r>
              <w:rPr>
                <w:rFonts w:hint="eastAsia" w:asciiTheme="minorEastAsia" w:hAnsiTheme="minorEastAsia" w:eastAsiaTheme="minorEastAsia" w:cstheme="minorEastAsia"/>
                <w:b w:val="0"/>
                <w:bCs/>
                <w:color w:val="auto"/>
                <w:spacing w:val="2"/>
                <w:highlight w:val="none"/>
                <w:lang w:eastAsia="zh-CN"/>
              </w:rPr>
              <w:t>XXTZC[2026]</w:t>
            </w:r>
            <w:r>
              <w:rPr>
                <w:rFonts w:hint="eastAsia" w:asciiTheme="minorEastAsia" w:hAnsiTheme="minorEastAsia" w:eastAsiaTheme="minorEastAsia" w:cstheme="minorEastAsia"/>
                <w:b w:val="0"/>
                <w:bCs/>
                <w:color w:val="auto"/>
                <w:spacing w:val="2"/>
                <w:highlight w:val="none"/>
                <w:lang w:val="en-US" w:eastAsia="zh-CN"/>
              </w:rPr>
              <w:t>1259</w:t>
            </w:r>
            <w:r>
              <w:rPr>
                <w:rFonts w:hint="eastAsia" w:asciiTheme="minorEastAsia" w:hAnsiTheme="minorEastAsia" w:eastAsiaTheme="minorEastAsia" w:cstheme="minorEastAsia"/>
                <w:b w:val="0"/>
                <w:bCs/>
                <w:color w:val="auto"/>
                <w:spacing w:val="2"/>
                <w:highlight w:val="none"/>
                <w:lang w:eastAsia="zh-CN"/>
              </w:rPr>
              <w:t>号</w:t>
            </w:r>
          </w:p>
          <w:p w14:paraId="54130663">
            <w:pPr>
              <w:spacing w:line="400" w:lineRule="exact"/>
              <w:rPr>
                <w:rFonts w:hint="eastAsia" w:asciiTheme="minorEastAsia" w:hAnsiTheme="minorEastAsia" w:eastAsiaTheme="minorEastAsia" w:cstheme="minorEastAsia"/>
                <w:color w:val="auto"/>
                <w:spacing w:val="2"/>
                <w:highlight w:val="none"/>
                <w:lang w:eastAsia="zh-CN"/>
              </w:rPr>
            </w:pPr>
            <w:r>
              <w:rPr>
                <w:rFonts w:hint="eastAsia" w:asciiTheme="minorEastAsia" w:hAnsiTheme="minorEastAsia" w:eastAsiaTheme="minorEastAsia" w:cstheme="minorEastAsia"/>
                <w:b/>
                <w:color w:val="auto"/>
                <w:spacing w:val="2"/>
                <w:highlight w:val="none"/>
              </w:rPr>
              <w:t>标段划分：</w:t>
            </w:r>
            <w:r>
              <w:rPr>
                <w:rFonts w:hint="eastAsia" w:asciiTheme="minorEastAsia" w:hAnsiTheme="minorEastAsia" w:eastAsiaTheme="minorEastAsia" w:cstheme="minorEastAsia"/>
                <w:bCs/>
                <w:color w:val="auto"/>
                <w:spacing w:val="2"/>
                <w:highlight w:val="none"/>
              </w:rPr>
              <w:t>本项目划</w:t>
            </w:r>
            <w:r>
              <w:rPr>
                <w:rFonts w:hint="eastAsia" w:asciiTheme="minorEastAsia" w:hAnsiTheme="minorEastAsia" w:eastAsiaTheme="minorEastAsia" w:cstheme="minorEastAsia"/>
                <w:color w:val="auto"/>
                <w:spacing w:val="2"/>
                <w:highlight w:val="none"/>
              </w:rPr>
              <w:t>分为一个标段，</w:t>
            </w:r>
            <w:r>
              <w:rPr>
                <w:rFonts w:hint="eastAsia" w:asciiTheme="minorEastAsia" w:hAnsiTheme="minorEastAsia" w:eastAsiaTheme="minorEastAsia" w:cstheme="minorEastAsia"/>
                <w:color w:val="auto"/>
                <w:spacing w:val="2"/>
                <w:highlight w:val="none"/>
                <w:lang w:eastAsia="zh-CN"/>
              </w:rPr>
              <w:t>西乡塘区设施果蔬标准化种植园建设项目</w:t>
            </w:r>
          </w:p>
          <w:p w14:paraId="73304B79">
            <w:pPr>
              <w:spacing w:line="400" w:lineRule="exact"/>
              <w:rPr>
                <w:rFonts w:hint="eastAsia" w:asciiTheme="minorEastAsia" w:hAnsiTheme="minorEastAsia" w:eastAsiaTheme="minorEastAsia" w:cstheme="minorEastAsia"/>
                <w:color w:val="auto"/>
                <w:spacing w:val="2"/>
                <w:highlight w:val="none"/>
                <w:lang w:eastAsia="zh-CN"/>
              </w:rPr>
            </w:pPr>
            <w:r>
              <w:rPr>
                <w:rFonts w:hint="eastAsia" w:asciiTheme="minorEastAsia" w:hAnsiTheme="minorEastAsia" w:eastAsiaTheme="minorEastAsia" w:cstheme="minorEastAsia"/>
                <w:b/>
                <w:color w:val="auto"/>
                <w:highlight w:val="none"/>
              </w:rPr>
              <w:t>建设单位：</w:t>
            </w:r>
            <w:r>
              <w:rPr>
                <w:rFonts w:hint="eastAsia" w:asciiTheme="minorEastAsia" w:hAnsiTheme="minorEastAsia" w:eastAsiaTheme="minorEastAsia" w:cstheme="minorEastAsia"/>
                <w:color w:val="auto"/>
                <w:spacing w:val="2"/>
                <w:highlight w:val="none"/>
                <w:lang w:eastAsia="zh-CN"/>
              </w:rPr>
              <w:t>南宁市西乡塘区农业农村局</w:t>
            </w:r>
          </w:p>
          <w:p w14:paraId="37736F95">
            <w:pPr>
              <w:spacing w:line="400" w:lineRule="exact"/>
              <w:rPr>
                <w:rFonts w:hint="eastAsia" w:ascii="宋体" w:hAnsi="宋体"/>
                <w:color w:val="auto"/>
                <w:highlight w:val="none"/>
              </w:rPr>
            </w:pPr>
            <w:r>
              <w:rPr>
                <w:rFonts w:hint="eastAsia" w:ascii="宋体" w:hAnsi="宋体"/>
                <w:b/>
                <w:bCs/>
                <w:color w:val="auto"/>
                <w:highlight w:val="none"/>
              </w:rPr>
              <w:t>资金来源：</w:t>
            </w:r>
            <w:r>
              <w:rPr>
                <w:rFonts w:hint="eastAsia" w:ascii="宋体" w:hAnsi="宋体"/>
                <w:color w:val="auto"/>
                <w:highlight w:val="none"/>
              </w:rPr>
              <w:t>财政资金</w:t>
            </w:r>
          </w:p>
          <w:p w14:paraId="28D3F7EA">
            <w:pPr>
              <w:spacing w:line="400" w:lineRule="exact"/>
              <w:rPr>
                <w:rFonts w:hint="eastAsia" w:ascii="宋体" w:hAnsi="宋体" w:eastAsiaTheme="minorEastAsia"/>
                <w:b/>
                <w:bCs/>
                <w:color w:val="auto"/>
                <w:highlight w:val="none"/>
                <w:lang w:eastAsia="zh-CN"/>
              </w:rPr>
            </w:pPr>
            <w:r>
              <w:rPr>
                <w:rFonts w:hint="eastAsia" w:asciiTheme="minorEastAsia" w:hAnsiTheme="minorEastAsia" w:eastAsiaTheme="minorEastAsia" w:cstheme="minorEastAsia"/>
                <w:b/>
                <w:color w:val="auto"/>
                <w:highlight w:val="none"/>
              </w:rPr>
              <w:t>工程控制价：</w:t>
            </w:r>
            <w:r>
              <w:rPr>
                <w:rFonts w:hint="eastAsia" w:asciiTheme="minorEastAsia" w:hAnsiTheme="minorEastAsia" w:eastAsiaTheme="minorEastAsia" w:cstheme="minorEastAsia"/>
                <w:bCs/>
                <w:color w:val="auto"/>
                <w:highlight w:val="none"/>
                <w:lang w:eastAsia="zh-CN"/>
              </w:rPr>
              <w:t>人民币</w:t>
            </w:r>
            <w:r>
              <w:rPr>
                <w:rFonts w:hint="eastAsia" w:asciiTheme="minorEastAsia" w:hAnsiTheme="minorEastAsia" w:eastAsiaTheme="minorEastAsia" w:cstheme="minorEastAsia"/>
                <w:bCs/>
                <w:color w:val="auto"/>
                <w:highlight w:val="none"/>
                <w:lang w:val="en-US" w:eastAsia="zh-CN"/>
              </w:rPr>
              <w:t>叁佰玖拾万零陆仟伍佰捌拾叁元壹角壹分（¥3906583.11元）</w:t>
            </w:r>
          </w:p>
          <w:p w14:paraId="5C86F0A8">
            <w:pPr>
              <w:spacing w:line="400" w:lineRule="exact"/>
              <w:rPr>
                <w:rFonts w:hint="eastAsia" w:ascii="宋体" w:hAnsi="宋体" w:eastAsia="宋体"/>
                <w:color w:val="auto"/>
                <w:highlight w:val="none"/>
                <w:lang w:eastAsia="zh-CN"/>
              </w:rPr>
            </w:pPr>
            <w:r>
              <w:rPr>
                <w:rFonts w:hint="eastAsia" w:ascii="宋体" w:hAnsi="宋体"/>
                <w:b/>
                <w:bCs/>
                <w:color w:val="auto"/>
                <w:highlight w:val="none"/>
              </w:rPr>
              <w:t>建设地点：南宁市西乡塘区</w:t>
            </w:r>
            <w:r>
              <w:rPr>
                <w:rFonts w:hint="default" w:ascii="宋体" w:hAnsi="宋体"/>
                <w:b/>
                <w:bCs/>
                <w:color w:val="auto"/>
                <w:highlight w:val="none"/>
              </w:rPr>
              <w:t>石埠街道和安村</w:t>
            </w:r>
            <w:r>
              <w:rPr>
                <w:rFonts w:hint="eastAsia" w:ascii="宋体" w:hAnsi="宋体"/>
                <w:b/>
                <w:bCs/>
                <w:color w:val="auto"/>
                <w:highlight w:val="none"/>
                <w:lang w:eastAsia="zh-CN"/>
              </w:rPr>
              <w:t>。</w:t>
            </w:r>
          </w:p>
          <w:p w14:paraId="5E780C44">
            <w:pPr>
              <w:pStyle w:val="61"/>
              <w:spacing w:line="360" w:lineRule="auto"/>
              <w:ind w:left="0" w:firstLine="0"/>
              <w:rPr>
                <w:rFonts w:hint="eastAsia" w:ascii="宋体" w:hAnsi="宋体"/>
                <w:bCs/>
                <w:color w:val="auto"/>
                <w:highlight w:val="none"/>
              </w:rPr>
            </w:pPr>
            <w:r>
              <w:rPr>
                <w:rFonts w:hint="eastAsia" w:ascii="宋体" w:hAnsi="宋体"/>
                <w:b/>
                <w:color w:val="auto"/>
                <w:highlight w:val="none"/>
              </w:rPr>
              <w:t>工程建设规模与内容：</w:t>
            </w:r>
            <w:r>
              <w:rPr>
                <w:rFonts w:hint="eastAsia" w:ascii="宋体" w:hAnsi="宋体"/>
                <w:b w:val="0"/>
                <w:bCs/>
                <w:color w:val="auto"/>
                <w:highlight w:val="none"/>
              </w:rPr>
              <w:t>本工程为西乡塘区设施果蔬标准化种植园建设项目，建设内容是新建3栋大棚、DP1建筑面积8784.00m2,建筑肩高3.2m,顶高6.0m，DP2建筑面积8856.00m2,建筑肩高3.2m,顶高6.0m，DP1建筑面积5184.00m2,建筑肩高3.2m,顶高6.0m，总建筑面积22824.00m2，大棚供水管道、供电线路、在大棚内设滴灌设备、灌溉智能控制系统等，具体详见设计图纸。</w:t>
            </w:r>
          </w:p>
          <w:p w14:paraId="1F02BD4A">
            <w:pPr>
              <w:spacing w:line="400" w:lineRule="exact"/>
              <w:rPr>
                <w:rFonts w:hint="eastAsia" w:ascii="宋体" w:hAnsi="宋体"/>
                <w:color w:val="auto"/>
                <w:highlight w:val="none"/>
              </w:rPr>
            </w:pPr>
            <w:r>
              <w:rPr>
                <w:rFonts w:hint="eastAsia" w:asciiTheme="minorEastAsia" w:hAnsiTheme="minorEastAsia" w:eastAsiaTheme="minorEastAsia" w:cstheme="minorEastAsia"/>
                <w:b/>
                <w:bCs/>
                <w:color w:val="auto"/>
                <w:highlight w:val="none"/>
              </w:rPr>
              <w:t>工期</w:t>
            </w:r>
            <w:r>
              <w:rPr>
                <w:rFonts w:hint="eastAsia" w:ascii="宋体" w:hAnsi="宋体"/>
                <w:b/>
                <w:bCs/>
                <w:color w:val="auto"/>
                <w:highlight w:val="none"/>
              </w:rPr>
              <w:t>：</w:t>
            </w:r>
            <w:r>
              <w:rPr>
                <w:rFonts w:hint="eastAsia" w:asciiTheme="minorEastAsia" w:hAnsiTheme="minorEastAsia" w:eastAsiaTheme="minorEastAsia" w:cstheme="minorEastAsia"/>
                <w:color w:val="auto"/>
                <w:highlight w:val="none"/>
                <w:lang w:val="en-US" w:eastAsia="zh-CN"/>
              </w:rPr>
              <w:t>120日历</w:t>
            </w:r>
            <w:r>
              <w:rPr>
                <w:rFonts w:hint="eastAsia" w:asciiTheme="minorEastAsia" w:hAnsiTheme="minorEastAsia" w:eastAsiaTheme="minorEastAsia" w:cstheme="minorEastAsia"/>
                <w:color w:val="auto"/>
                <w:highlight w:val="none"/>
              </w:rPr>
              <w:t>天（自合同签</w:t>
            </w:r>
            <w:r>
              <w:rPr>
                <w:rFonts w:hint="eastAsia" w:asciiTheme="minorEastAsia" w:hAnsiTheme="minorEastAsia" w:eastAsiaTheme="minorEastAsia" w:cstheme="minorEastAsia"/>
                <w:color w:val="auto"/>
                <w:highlight w:val="none"/>
                <w:lang w:eastAsia="zh-CN"/>
              </w:rPr>
              <w:t>订之</w:t>
            </w:r>
            <w:r>
              <w:rPr>
                <w:rFonts w:hint="eastAsia" w:asciiTheme="minorEastAsia" w:hAnsiTheme="minorEastAsia" w:eastAsiaTheme="minorEastAsia" w:cstheme="minorEastAsia"/>
                <w:color w:val="auto"/>
                <w:highlight w:val="none"/>
              </w:rPr>
              <w:t>日起至</w:t>
            </w:r>
            <w:r>
              <w:rPr>
                <w:rFonts w:hint="eastAsia" w:asciiTheme="minorEastAsia" w:hAnsiTheme="minorEastAsia" w:eastAsiaTheme="minorEastAsia" w:cstheme="minorEastAsia"/>
                <w:color w:val="auto"/>
                <w:highlight w:val="none"/>
                <w:lang w:val="en-US" w:eastAsia="zh-CN"/>
              </w:rPr>
              <w:t>本项目</w:t>
            </w:r>
            <w:r>
              <w:rPr>
                <w:rFonts w:hint="eastAsia" w:asciiTheme="minorEastAsia" w:hAnsiTheme="minorEastAsia" w:eastAsiaTheme="minorEastAsia" w:cstheme="minorEastAsia"/>
                <w:color w:val="auto"/>
                <w:highlight w:val="none"/>
              </w:rPr>
              <w:t>工程通过正式验收之日止）。</w:t>
            </w:r>
          </w:p>
          <w:p w14:paraId="41320899">
            <w:pPr>
              <w:spacing w:line="400" w:lineRule="exact"/>
              <w:rPr>
                <w:rFonts w:hint="eastAsia" w:asciiTheme="minorEastAsia" w:hAnsiTheme="minorEastAsia" w:cstheme="minorEastAsia"/>
                <w:color w:val="auto"/>
                <w:spacing w:val="2"/>
                <w:highlight w:val="none"/>
              </w:rPr>
            </w:pPr>
            <w:r>
              <w:rPr>
                <w:rFonts w:hint="eastAsia" w:ascii="宋体" w:hAnsi="宋体"/>
                <w:b/>
                <w:bCs/>
                <w:color w:val="auto"/>
                <w:highlight w:val="none"/>
              </w:rPr>
              <w:t>质量要求：</w:t>
            </w:r>
            <w:r>
              <w:rPr>
                <w:rFonts w:hint="eastAsia" w:ascii="宋体" w:hAnsi="宋体"/>
                <w:color w:val="auto"/>
                <w:highlight w:val="none"/>
              </w:rPr>
              <w:t>达到国家工程施工验收规范合格标准。</w:t>
            </w:r>
          </w:p>
        </w:tc>
      </w:tr>
      <w:tr w14:paraId="6984C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093" w:type="dxa"/>
            <w:vAlign w:val="center"/>
          </w:tcPr>
          <w:p w14:paraId="0B806CC0">
            <w:pPr>
              <w:spacing w:line="40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w:t>
            </w:r>
          </w:p>
        </w:tc>
        <w:tc>
          <w:tcPr>
            <w:tcW w:w="8813" w:type="dxa"/>
            <w:vAlign w:val="center"/>
          </w:tcPr>
          <w:p w14:paraId="54CC48EB">
            <w:pPr>
              <w:spacing w:line="400" w:lineRule="exact"/>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供应商资格要求：</w:t>
            </w:r>
          </w:p>
          <w:p w14:paraId="724CF93B">
            <w:pPr>
              <w:spacing w:line="400" w:lineRule="exact"/>
              <w:ind w:firstLine="420" w:firstLineChars="200"/>
              <w:rPr>
                <w:rFonts w:hint="eastAsia" w:ascii="宋体" w:hAnsi="宋体" w:cs="仿宋"/>
                <w:color w:val="auto"/>
                <w:highlight w:val="none"/>
              </w:rPr>
            </w:pPr>
            <w:r>
              <w:rPr>
                <w:rFonts w:hint="eastAsia" w:ascii="宋体" w:hAnsi="宋体" w:cs="仿宋"/>
                <w:color w:val="auto"/>
                <w:highlight w:val="none"/>
              </w:rPr>
              <w:t>1.满足《中华人民共和国政府采购法》第二十二条规定；</w:t>
            </w:r>
          </w:p>
          <w:p w14:paraId="2E0829E5">
            <w:pPr>
              <w:spacing w:line="400" w:lineRule="exact"/>
              <w:ind w:firstLine="420" w:firstLineChars="200"/>
              <w:rPr>
                <w:rFonts w:hint="eastAsia" w:ascii="宋体" w:hAnsi="宋体" w:cs="仿宋"/>
                <w:color w:val="auto"/>
                <w:highlight w:val="none"/>
              </w:rPr>
            </w:pPr>
            <w:r>
              <w:rPr>
                <w:rFonts w:hint="eastAsia" w:ascii="宋体" w:hAnsi="宋体" w:cs="仿宋"/>
                <w:color w:val="auto"/>
                <w:highlight w:val="none"/>
              </w:rPr>
              <w:t>2.落实政府采购政策需满足的资格要求</w:t>
            </w:r>
          </w:p>
          <w:p w14:paraId="31C79287">
            <w:pPr>
              <w:spacing w:line="400" w:lineRule="exact"/>
              <w:ind w:firstLine="420" w:firstLineChars="200"/>
              <w:rPr>
                <w:rFonts w:hint="eastAsia" w:ascii="宋体" w:hAnsi="宋体" w:cs="仿宋"/>
                <w:color w:val="auto"/>
                <w:highlight w:val="none"/>
              </w:rPr>
            </w:pPr>
            <w:r>
              <w:rPr>
                <w:rFonts w:hint="eastAsia" w:ascii="宋体" w:hAnsi="宋体" w:cs="仿宋"/>
                <w:color w:val="auto"/>
                <w:highlight w:val="none"/>
                <w:lang w:eastAsia="zh-CN"/>
              </w:rPr>
              <w:t>☑</w:t>
            </w:r>
            <w:r>
              <w:rPr>
                <w:rFonts w:hint="eastAsia" w:ascii="宋体" w:hAnsi="宋体" w:cs="仿宋"/>
                <w:color w:val="auto"/>
                <w:highlight w:val="none"/>
              </w:rPr>
              <w:t>专门面向中小企业采购的项目（供应商应为中小微企业或监狱企业或残疾人福利性单位，大型企业不得参加。)</w:t>
            </w:r>
          </w:p>
          <w:p w14:paraId="3F6F51F3">
            <w:pPr>
              <w:spacing w:line="400" w:lineRule="exact"/>
              <w:ind w:firstLine="420" w:firstLineChars="200"/>
              <w:rPr>
                <w:rFonts w:hint="eastAsia" w:ascii="宋体" w:hAnsi="宋体" w:cs="仿宋"/>
                <w:color w:val="auto"/>
                <w:highlight w:val="none"/>
              </w:rPr>
            </w:pPr>
            <w:r>
              <w:rPr>
                <w:rFonts w:hint="eastAsia" w:ascii="宋体" w:hAnsi="宋体" w:cs="仿宋"/>
                <w:color w:val="auto"/>
                <w:highlight w:val="none"/>
                <w:lang w:eastAsia="zh-CN"/>
              </w:rPr>
              <w:t>□</w:t>
            </w:r>
            <w:r>
              <w:rPr>
                <w:rFonts w:hint="eastAsia" w:ascii="宋体" w:hAnsi="宋体" w:cs="仿宋"/>
                <w:color w:val="auto"/>
                <w:highlight w:val="none"/>
              </w:rPr>
              <w:t>非专门面向中小企业采购的项目</w:t>
            </w:r>
          </w:p>
          <w:p w14:paraId="2F8C5758">
            <w:pPr>
              <w:spacing w:line="400" w:lineRule="exact"/>
              <w:ind w:firstLine="420" w:firstLineChars="200"/>
              <w:rPr>
                <w:rFonts w:hint="eastAsia" w:ascii="宋体" w:hAnsi="宋体" w:cs="仿宋"/>
                <w:color w:val="auto"/>
                <w:highlight w:val="none"/>
              </w:rPr>
            </w:pPr>
            <w:r>
              <w:rPr>
                <w:rFonts w:hint="eastAsia" w:ascii="宋体" w:hAnsi="宋体" w:cs="仿宋"/>
                <w:color w:val="auto"/>
                <w:highlight w:val="none"/>
              </w:rPr>
              <w:t>其他要求：无</w:t>
            </w:r>
          </w:p>
          <w:p w14:paraId="56718F3C">
            <w:pPr>
              <w:spacing w:line="400" w:lineRule="exact"/>
              <w:ind w:firstLine="420" w:firstLineChars="200"/>
              <w:rPr>
                <w:rFonts w:hint="eastAsia" w:ascii="宋体" w:hAnsi="宋体" w:cs="仿宋"/>
                <w:color w:val="auto"/>
                <w:highlight w:val="none"/>
              </w:rPr>
            </w:pPr>
            <w:r>
              <w:rPr>
                <w:rFonts w:hint="eastAsia" w:ascii="宋体" w:hAnsi="宋体" w:cs="仿宋"/>
                <w:color w:val="auto"/>
                <w:highlight w:val="none"/>
              </w:rPr>
              <w:t>3.本项目的特定资格要求：</w:t>
            </w:r>
          </w:p>
          <w:p w14:paraId="4E7C02AC">
            <w:pPr>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lang w:val="zh-CN"/>
              </w:rPr>
              <w:t>（</w:t>
            </w:r>
            <w:r>
              <w:rPr>
                <w:rFonts w:hint="eastAsia" w:ascii="宋体" w:hAnsi="宋体" w:cs="宋体"/>
                <w:color w:val="auto"/>
                <w:highlight w:val="none"/>
              </w:rPr>
              <w:t>1</w:t>
            </w:r>
            <w:r>
              <w:rPr>
                <w:rFonts w:hint="eastAsia" w:ascii="宋体" w:hAnsi="宋体" w:cs="宋体"/>
                <w:color w:val="auto"/>
                <w:highlight w:val="none"/>
                <w:lang w:val="zh-CN"/>
              </w:rPr>
              <w:t>）本次</w:t>
            </w:r>
            <w:r>
              <w:rPr>
                <w:rFonts w:hint="eastAsia" w:ascii="宋体" w:hAnsi="宋体" w:cs="宋体"/>
                <w:color w:val="auto"/>
                <w:highlight w:val="none"/>
              </w:rPr>
              <w:t>采购</w:t>
            </w:r>
            <w:r>
              <w:rPr>
                <w:rFonts w:hint="eastAsia" w:ascii="宋体" w:hAnsi="宋体" w:cs="宋体"/>
                <w:color w:val="auto"/>
                <w:highlight w:val="none"/>
                <w:lang w:val="zh-CN"/>
              </w:rPr>
              <w:t>要求</w:t>
            </w:r>
            <w:r>
              <w:rPr>
                <w:rFonts w:hint="eastAsia" w:asciiTheme="minorEastAsia" w:hAnsiTheme="minorEastAsia" w:eastAsiaTheme="minorEastAsia" w:cstheme="minorEastAsia"/>
                <w:color w:val="auto"/>
                <w:highlight w:val="none"/>
              </w:rPr>
              <w:t>供应商</w:t>
            </w:r>
            <w:r>
              <w:rPr>
                <w:rFonts w:hint="eastAsia" w:ascii="宋体" w:hAnsi="宋体" w:cs="宋体"/>
                <w:color w:val="auto"/>
                <w:highlight w:val="none"/>
              </w:rPr>
              <w:t>须具备</w:t>
            </w:r>
            <w:r>
              <w:rPr>
                <w:rFonts w:hint="eastAsia" w:ascii="宋体" w:hAnsi="宋体" w:cs="宋体"/>
                <w:b/>
                <w:bCs/>
                <w:color w:val="auto"/>
                <w:highlight w:val="none"/>
                <w:u w:val="single"/>
              </w:rPr>
              <w:t>建筑工程施工总承包三级以上（含三级）资质</w:t>
            </w:r>
            <w:r>
              <w:rPr>
                <w:rFonts w:hint="eastAsia" w:ascii="宋体" w:hAnsi="宋体" w:cs="宋体"/>
                <w:color w:val="auto"/>
                <w:highlight w:val="none"/>
              </w:rPr>
              <w:t>，且同时具有《安全生产许可证》，并在人员、设备、资金等方面具备相应的施工能力。</w:t>
            </w:r>
          </w:p>
          <w:p w14:paraId="0B243B18">
            <w:pPr>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（2）项目经理：</w:t>
            </w:r>
            <w:r>
              <w:rPr>
                <w:rFonts w:hint="eastAsia" w:asciiTheme="minorEastAsia" w:hAnsiTheme="minorEastAsia" w:eastAsiaTheme="minorEastAsia" w:cstheme="minorEastAsia"/>
                <w:color w:val="auto"/>
                <w:highlight w:val="none"/>
              </w:rPr>
              <w:t>供应商</w:t>
            </w:r>
            <w:r>
              <w:rPr>
                <w:rFonts w:hint="eastAsia" w:ascii="宋体" w:hAnsi="宋体" w:cs="宋体"/>
                <w:color w:val="auto"/>
                <w:highlight w:val="none"/>
              </w:rPr>
              <w:t>拟派项目经理须具备</w:t>
            </w:r>
            <w:r>
              <w:rPr>
                <w:rFonts w:hint="eastAsia" w:ascii="宋体" w:hAnsi="宋体" w:cs="宋体"/>
                <w:b/>
                <w:bCs/>
                <w:color w:val="auto"/>
                <w:highlight w:val="none"/>
                <w:u w:val="single"/>
              </w:rPr>
              <w:t>建筑工程专业二级以上（含二级）</w:t>
            </w:r>
            <w:r>
              <w:rPr>
                <w:rFonts w:hint="eastAsia" w:ascii="宋体" w:hAnsi="宋体" w:cs="宋体"/>
                <w:color w:val="auto"/>
                <w:highlight w:val="none"/>
              </w:rPr>
              <w:t>注册建造师执业资格，具备有效的安全生产考核合格证书（B类）。本项目不接受有在建、已中标未开工或已列为其他项目中标候选人第一名的建造师作为项目经理</w:t>
            </w:r>
            <w:r>
              <w:rPr>
                <w:rFonts w:hint="eastAsia" w:ascii="宋体" w:hAnsi="宋体" w:cs="宋体"/>
                <w:color w:val="auto"/>
                <w:kern w:val="0"/>
                <w:highlight w:val="none"/>
              </w:rPr>
              <w:t>（</w:t>
            </w:r>
            <w:r>
              <w:rPr>
                <w:rFonts w:hint="eastAsia" w:ascii="宋体" w:hAnsi="宋体" w:cs="宋体"/>
                <w:color w:val="auto"/>
                <w:highlight w:val="none"/>
              </w:rPr>
              <w:t>符合《广西壮族自治区建筑市场诚信卡管理暂行办法》第十六条第一款及桂建管﹝</w:t>
            </w:r>
            <w:r>
              <w:rPr>
                <w:rFonts w:hint="eastAsia" w:ascii="宋体" w:hAnsi="宋体" w:cs="宋体"/>
                <w:color w:val="auto"/>
                <w:kern w:val="0"/>
                <w:highlight w:val="none"/>
              </w:rPr>
              <w:t>2016</w:t>
            </w:r>
            <w:r>
              <w:rPr>
                <w:rFonts w:hint="eastAsia" w:ascii="宋体" w:hAnsi="宋体" w:cs="宋体"/>
                <w:color w:val="auto"/>
                <w:highlight w:val="none"/>
              </w:rPr>
              <w:t>﹞70号</w:t>
            </w:r>
            <w:r>
              <w:rPr>
                <w:rFonts w:hint="eastAsia" w:ascii="宋体" w:hAnsi="宋体" w:cs="宋体"/>
                <w:color w:val="auto"/>
                <w:kern w:val="0"/>
                <w:highlight w:val="none"/>
              </w:rPr>
              <w:t>、桂建管〔2020〕11号文除</w:t>
            </w:r>
            <w:r>
              <w:rPr>
                <w:rFonts w:hint="eastAsia" w:ascii="宋体" w:hAnsi="宋体" w:cs="宋体"/>
                <w:color w:val="auto"/>
                <w:highlight w:val="none"/>
              </w:rPr>
              <w:t>外）。</w:t>
            </w:r>
          </w:p>
          <w:p w14:paraId="6D064190">
            <w:pPr>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3）专职安全生产管理人员要求：专职安全生产管理人员须具备有效的安全生产考核合格证书（C类），人数符合住房城乡建设部《建筑施工企业、工程项目安全生产管理机构设置及安全生产管理人员配备办法》（建质规〔2025〕3号</w:t>
            </w:r>
            <w:r>
              <w:rPr>
                <w:rFonts w:hint="eastAsia" w:ascii="宋体" w:hAnsi="宋体" w:cs="宋体"/>
                <w:color w:val="auto"/>
                <w:highlight w:val="none"/>
                <w:lang w:eastAsia="zh-CN"/>
              </w:rPr>
              <w:t>）</w:t>
            </w:r>
            <w:r>
              <w:rPr>
                <w:rFonts w:hint="eastAsia" w:ascii="宋体" w:hAnsi="宋体" w:cs="宋体"/>
                <w:color w:val="auto"/>
                <w:highlight w:val="none"/>
              </w:rPr>
              <w:t>的规定不少于</w:t>
            </w:r>
            <w:r>
              <w:rPr>
                <w:rFonts w:hint="eastAsia" w:ascii="宋体" w:hAnsi="宋体" w:cs="宋体"/>
                <w:color w:val="auto"/>
                <w:highlight w:val="none"/>
                <w:lang w:val="en-US" w:eastAsia="zh-CN"/>
              </w:rPr>
              <w:t>1</w:t>
            </w:r>
            <w:r>
              <w:rPr>
                <w:rFonts w:hint="eastAsia" w:ascii="宋体" w:hAnsi="宋体" w:cs="宋体"/>
                <w:color w:val="auto"/>
                <w:highlight w:val="none"/>
              </w:rPr>
              <w:t>人。</w:t>
            </w:r>
          </w:p>
          <w:p w14:paraId="1664C395">
            <w:pPr>
              <w:spacing w:line="400" w:lineRule="exact"/>
              <w:ind w:firstLine="420" w:firstLineChars="200"/>
              <w:rPr>
                <w:rFonts w:hint="eastAsia" w:asciiTheme="minorEastAsia" w:hAnsiTheme="minorEastAsia" w:eastAsiaTheme="minorEastAsia" w:cstheme="minorEastAsia"/>
                <w:color w:val="auto"/>
                <w:highlight w:val="none"/>
              </w:rPr>
            </w:pPr>
            <w:r>
              <w:rPr>
                <w:rFonts w:hint="eastAsia" w:ascii="宋体" w:hAnsi="宋体" w:cs="仿宋"/>
                <w:color w:val="auto"/>
                <w:highlight w:val="none"/>
              </w:rPr>
              <w:t>4. 联合体：本项目不接受联合体竞标。</w:t>
            </w:r>
          </w:p>
        </w:tc>
      </w:tr>
      <w:tr w14:paraId="4E4E8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093" w:type="dxa"/>
            <w:vAlign w:val="center"/>
          </w:tcPr>
          <w:p w14:paraId="4B9A6CEE">
            <w:pPr>
              <w:spacing w:line="40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w:t>
            </w:r>
          </w:p>
        </w:tc>
        <w:tc>
          <w:tcPr>
            <w:tcW w:w="8813" w:type="dxa"/>
            <w:vAlign w:val="center"/>
          </w:tcPr>
          <w:p w14:paraId="629C5B80">
            <w:pPr>
              <w:spacing w:line="400" w:lineRule="exact"/>
              <w:rPr>
                <w:rFonts w:hint="eastAsia" w:ascii="宋体" w:hAnsi="宋体" w:cs="仿宋"/>
                <w:color w:val="auto"/>
                <w:highlight w:val="none"/>
              </w:rPr>
            </w:pPr>
            <w:r>
              <w:rPr>
                <w:rFonts w:hint="eastAsia" w:ascii="宋体" w:hAnsi="宋体" w:cs="宋体"/>
                <w:color w:val="auto"/>
                <w:highlight w:val="none"/>
              </w:rPr>
              <w:t>是否允许分包：不允许</w:t>
            </w:r>
          </w:p>
        </w:tc>
      </w:tr>
      <w:tr w14:paraId="018D6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3" w:hRule="atLeast"/>
          <w:jc w:val="center"/>
        </w:trPr>
        <w:tc>
          <w:tcPr>
            <w:tcW w:w="1093" w:type="dxa"/>
            <w:vAlign w:val="center"/>
          </w:tcPr>
          <w:p w14:paraId="1468FD72">
            <w:pPr>
              <w:spacing w:line="40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w:t>
            </w:r>
          </w:p>
        </w:tc>
        <w:tc>
          <w:tcPr>
            <w:tcW w:w="8813" w:type="dxa"/>
            <w:vAlign w:val="center"/>
          </w:tcPr>
          <w:p w14:paraId="379AA349">
            <w:pPr>
              <w:snapToGrid w:val="0"/>
              <w:spacing w:line="400" w:lineRule="exact"/>
              <w:jc w:val="left"/>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资格证明文件</w:t>
            </w:r>
          </w:p>
          <w:p w14:paraId="16BD60CB">
            <w:pPr>
              <w:pStyle w:val="17"/>
              <w:spacing w:line="4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1.磋商公告资格要求</w:t>
            </w:r>
            <w:r>
              <w:rPr>
                <w:rFonts w:hint="eastAsia" w:asciiTheme="minorEastAsia" w:hAnsiTheme="minorEastAsia" w:eastAsiaTheme="minorEastAsia" w:cstheme="minorEastAsia"/>
                <w:b/>
                <w:bCs/>
                <w:color w:val="auto"/>
                <w:highlight w:val="none"/>
              </w:rPr>
              <w:t>（必须提供承诺函，格式自拟）</w:t>
            </w:r>
          </w:p>
          <w:p w14:paraId="19BEE627">
            <w:pPr>
              <w:pStyle w:val="17"/>
              <w:spacing w:line="4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（1）满足《中华人民共和国政府采购法》第二十二条的规定；</w:t>
            </w:r>
          </w:p>
          <w:p w14:paraId="0B26DEE3">
            <w:pPr>
              <w:pStyle w:val="17"/>
              <w:spacing w:line="4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 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4B446798">
            <w:pPr>
              <w:pStyle w:val="17"/>
              <w:spacing w:line="4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30DF9721">
            <w:pPr>
              <w:pStyle w:val="17"/>
              <w:spacing w:line="400" w:lineRule="exact"/>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rPr>
              <w:t>供应商为法人或者其他组织的提供其营业执照等证明文件（如营业执照或者事业单位法人证书或者执业许可证等），供应商为自然人的提供其身份证复印件；</w:t>
            </w:r>
            <w:r>
              <w:rPr>
                <w:rFonts w:hint="eastAsia" w:asciiTheme="minorEastAsia" w:hAnsiTheme="minorEastAsia" w:eastAsiaTheme="minorEastAsia" w:cstheme="minorEastAsia"/>
                <w:b/>
                <w:bCs/>
                <w:color w:val="auto"/>
                <w:highlight w:val="none"/>
              </w:rPr>
              <w:t>（必须提供，否则响应文件按无效响应处理）</w:t>
            </w:r>
          </w:p>
          <w:p w14:paraId="479CF914">
            <w:pPr>
              <w:pStyle w:val="17"/>
              <w:spacing w:line="4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3.</w:t>
            </w:r>
            <w:r>
              <w:rPr>
                <w:rFonts w:hint="eastAsia" w:asciiTheme="minorEastAsia" w:hAnsiTheme="minorEastAsia" w:eastAsiaTheme="minorEastAsia" w:cstheme="minorEastAsia"/>
                <w:color w:val="auto"/>
                <w:highlight w:val="none"/>
              </w:rPr>
              <w:t>供应商有效的资质证书、安全生产许可证复印件；</w:t>
            </w:r>
            <w:r>
              <w:rPr>
                <w:rFonts w:hint="eastAsia" w:asciiTheme="minorEastAsia" w:hAnsiTheme="minorEastAsia" w:eastAsiaTheme="minorEastAsia" w:cstheme="minorEastAsia"/>
                <w:b/>
                <w:bCs/>
                <w:color w:val="auto"/>
                <w:highlight w:val="none"/>
              </w:rPr>
              <w:t>（必须提供，否则响应文件按无效响应处理）</w:t>
            </w:r>
          </w:p>
          <w:p w14:paraId="419E5B33">
            <w:pPr>
              <w:pStyle w:val="17"/>
              <w:spacing w:line="400" w:lineRule="exact"/>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color w:val="auto"/>
                <w:highlight w:val="none"/>
                <w:lang w:val="en-US" w:eastAsia="zh-CN"/>
              </w:rPr>
              <w:t>4.</w:t>
            </w:r>
            <w:r>
              <w:rPr>
                <w:rFonts w:hint="eastAsia" w:asciiTheme="minorEastAsia" w:hAnsiTheme="minorEastAsia" w:eastAsiaTheme="minorEastAsia" w:cstheme="minorEastAsia"/>
                <w:color w:val="auto"/>
                <w:highlight w:val="none"/>
              </w:rPr>
              <w:t>项目经理:有效的注册建造师资质证书、安全生产考核合格证书（B类）复印件；</w:t>
            </w:r>
            <w:r>
              <w:rPr>
                <w:rFonts w:hint="eastAsia" w:asciiTheme="minorEastAsia" w:hAnsiTheme="minorEastAsia" w:eastAsiaTheme="minorEastAsia" w:cstheme="minorEastAsia"/>
                <w:b/>
                <w:bCs/>
                <w:color w:val="auto"/>
                <w:highlight w:val="none"/>
              </w:rPr>
              <w:t>（必须提供，否则响应文件按无效响应处理）</w:t>
            </w:r>
          </w:p>
          <w:p w14:paraId="059D571C">
            <w:pPr>
              <w:pStyle w:val="17"/>
              <w:spacing w:line="400" w:lineRule="exact"/>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color w:val="auto"/>
                <w:highlight w:val="none"/>
                <w:lang w:val="en-US" w:eastAsia="zh-CN"/>
              </w:rPr>
              <w:t>5.</w:t>
            </w:r>
            <w:r>
              <w:rPr>
                <w:rFonts w:hint="eastAsia" w:asciiTheme="minorEastAsia" w:hAnsiTheme="minorEastAsia" w:eastAsiaTheme="minorEastAsia" w:cstheme="minorEastAsia"/>
                <w:color w:val="auto"/>
                <w:highlight w:val="none"/>
              </w:rPr>
              <w:t>专职安全生产管理人员：有效的安全员证书及安全生产考核合格证书(C类)复印件；</w:t>
            </w:r>
            <w:r>
              <w:rPr>
                <w:rFonts w:hint="eastAsia" w:asciiTheme="minorEastAsia" w:hAnsiTheme="minorEastAsia" w:eastAsiaTheme="minorEastAsia" w:cstheme="minorEastAsia"/>
                <w:b/>
                <w:bCs/>
                <w:color w:val="auto"/>
                <w:highlight w:val="none"/>
              </w:rPr>
              <w:t>（必须提供，否则响应文件按无效响应处理）</w:t>
            </w:r>
          </w:p>
          <w:p w14:paraId="14A45F96">
            <w:pPr>
              <w:pStyle w:val="17"/>
              <w:spacing w:line="4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6.供应商</w:t>
            </w:r>
            <w:r>
              <w:rPr>
                <w:rFonts w:hint="eastAsia" w:asciiTheme="minorEastAsia" w:hAnsiTheme="minorEastAsia" w:eastAsiaTheme="minorEastAsia" w:cstheme="minorEastAsia"/>
                <w:color w:val="auto"/>
                <w:highlight w:val="none"/>
              </w:rPr>
              <w:t>依法缴纳税收的相关材料（开标截止之日</w:t>
            </w:r>
            <w:r>
              <w:rPr>
                <w:rFonts w:hint="eastAsia" w:asciiTheme="minorEastAsia" w:hAnsiTheme="minorEastAsia" w:eastAsiaTheme="minorEastAsia" w:cstheme="minorEastAsia"/>
                <w:color w:val="auto"/>
                <w:highlight w:val="none"/>
                <w:lang w:val="en-US" w:eastAsia="zh-CN"/>
              </w:rPr>
              <w:t>前</w:t>
            </w:r>
            <w:r>
              <w:rPr>
                <w:rFonts w:hint="eastAsia" w:asciiTheme="minorEastAsia" w:hAnsiTheme="minorEastAsia" w:eastAsiaTheme="minorEastAsia" w:cstheme="minorEastAsia"/>
                <w:color w:val="auto"/>
                <w:highlight w:val="none"/>
              </w:rPr>
              <w:t>半年内任意</w:t>
            </w:r>
            <w:r>
              <w:rPr>
                <w:rFonts w:hint="eastAsia" w:asciiTheme="minorEastAsia" w:hAnsiTheme="minorEastAsia" w:eastAsiaTheme="minorEastAsia" w:cstheme="minorEastAsia"/>
                <w:color w:val="auto"/>
                <w:highlight w:val="none"/>
                <w:lang w:val="en-US" w:eastAsia="zh-CN"/>
              </w:rPr>
              <w:t>1</w:t>
            </w:r>
            <w:r>
              <w:rPr>
                <w:rFonts w:hint="eastAsia" w:asciiTheme="minorEastAsia" w:hAnsiTheme="minorEastAsia" w:eastAsiaTheme="minorEastAsia" w:cstheme="minorEastAsia"/>
                <w:color w:val="auto"/>
                <w:highlight w:val="none"/>
              </w:rPr>
              <w:t>个月的依法缴纳税收的凭据复印件；依法免税的供应商，必须提供相应文件证明其依法免税。从成立之日起到</w:t>
            </w:r>
            <w:r>
              <w:rPr>
                <w:rFonts w:hint="eastAsia" w:asciiTheme="minorEastAsia" w:hAnsiTheme="minorEastAsia" w:eastAsiaTheme="minorEastAsia" w:cstheme="minorEastAsia"/>
                <w:color w:val="auto"/>
                <w:highlight w:val="none"/>
                <w:lang w:val="en-US" w:eastAsia="zh-CN"/>
              </w:rPr>
              <w:t>响应</w:t>
            </w:r>
            <w:r>
              <w:rPr>
                <w:rFonts w:hint="eastAsia" w:asciiTheme="minorEastAsia" w:hAnsiTheme="minorEastAsia" w:eastAsiaTheme="minorEastAsia" w:cstheme="minorEastAsia"/>
                <w:color w:val="auto"/>
                <w:highlight w:val="none"/>
              </w:rPr>
              <w:t>文件提交截止时间止不足要求月数的，只需提供从成立之日起的依法缴纳税收相应证明文件）；</w:t>
            </w:r>
            <w:r>
              <w:rPr>
                <w:rFonts w:hint="eastAsia" w:asciiTheme="minorEastAsia" w:hAnsiTheme="minorEastAsia" w:eastAsiaTheme="minorEastAsia" w:cstheme="minorEastAsia"/>
                <w:b/>
                <w:bCs/>
                <w:color w:val="auto"/>
                <w:highlight w:val="none"/>
              </w:rPr>
              <w:t>（必须提供，否则按无效响应处理）</w:t>
            </w:r>
          </w:p>
          <w:p w14:paraId="06860A9D">
            <w:pPr>
              <w:pStyle w:val="17"/>
              <w:spacing w:line="4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7.供应商</w:t>
            </w:r>
            <w:r>
              <w:rPr>
                <w:rFonts w:hint="eastAsia" w:asciiTheme="minorEastAsia" w:hAnsiTheme="minorEastAsia" w:eastAsiaTheme="minorEastAsia" w:cstheme="minorEastAsia"/>
                <w:color w:val="auto"/>
                <w:highlight w:val="none"/>
              </w:rPr>
              <w:t>依法缴纳社会保障资金的相关材料[开标截止之日</w:t>
            </w:r>
            <w:r>
              <w:rPr>
                <w:rFonts w:hint="eastAsia" w:asciiTheme="minorEastAsia" w:hAnsiTheme="minorEastAsia" w:eastAsiaTheme="minorEastAsia" w:cstheme="minorEastAsia"/>
                <w:color w:val="auto"/>
                <w:highlight w:val="none"/>
                <w:lang w:val="en-US" w:eastAsia="zh-CN"/>
              </w:rPr>
              <w:t>前</w:t>
            </w:r>
            <w:r>
              <w:rPr>
                <w:rFonts w:hint="eastAsia" w:asciiTheme="minorEastAsia" w:hAnsiTheme="minorEastAsia" w:eastAsiaTheme="minorEastAsia" w:cstheme="minorEastAsia"/>
                <w:color w:val="auto"/>
                <w:highlight w:val="none"/>
              </w:rPr>
              <w:t>半年内任意</w:t>
            </w:r>
            <w:r>
              <w:rPr>
                <w:rFonts w:hint="eastAsia" w:asciiTheme="minorEastAsia" w:hAnsiTheme="minorEastAsia" w:eastAsiaTheme="minorEastAsia" w:cstheme="minorEastAsia"/>
                <w:color w:val="auto"/>
                <w:highlight w:val="none"/>
                <w:lang w:val="en-US" w:eastAsia="zh-CN"/>
              </w:rPr>
              <w:t>1</w:t>
            </w:r>
            <w:r>
              <w:rPr>
                <w:rFonts w:hint="eastAsia" w:asciiTheme="minorEastAsia" w:hAnsiTheme="minorEastAsia" w:eastAsiaTheme="minorEastAsia" w:cstheme="minorEastAsia"/>
                <w:color w:val="auto"/>
                <w:highlight w:val="none"/>
              </w:rPr>
              <w:t>个月的依法缴纳社会保障资金的缴费凭证（专用收据或者社会保险缴纳清单）复印件；依法不需要缴纳社会保障资金的供应商，必须提供相应文件证明不需要缴纳社会保障资金。从成立之日起到</w:t>
            </w:r>
            <w:r>
              <w:rPr>
                <w:rFonts w:hint="eastAsia" w:asciiTheme="minorEastAsia" w:hAnsiTheme="minorEastAsia" w:eastAsiaTheme="minorEastAsia" w:cstheme="minorEastAsia"/>
                <w:color w:val="auto"/>
                <w:highlight w:val="none"/>
                <w:lang w:val="en-US" w:eastAsia="zh-CN"/>
              </w:rPr>
              <w:t>响应</w:t>
            </w:r>
            <w:r>
              <w:rPr>
                <w:rFonts w:hint="eastAsia" w:asciiTheme="minorEastAsia" w:hAnsiTheme="minorEastAsia" w:eastAsiaTheme="minorEastAsia" w:cstheme="minorEastAsia"/>
                <w:color w:val="auto"/>
                <w:highlight w:val="none"/>
              </w:rPr>
              <w:t>文件提交截止时间止不足要求月数的只需提供从成立之日起的依法缴纳社会保障资金的相应证明文件]；</w:t>
            </w:r>
            <w:r>
              <w:rPr>
                <w:rFonts w:hint="eastAsia" w:asciiTheme="minorEastAsia" w:hAnsiTheme="minorEastAsia" w:eastAsiaTheme="minorEastAsia" w:cstheme="minorEastAsia"/>
                <w:b/>
                <w:bCs/>
                <w:color w:val="auto"/>
                <w:highlight w:val="none"/>
              </w:rPr>
              <w:t>（必须提供，否则按无效</w:t>
            </w:r>
            <w:r>
              <w:rPr>
                <w:rFonts w:hint="eastAsia" w:asciiTheme="minorEastAsia" w:hAnsiTheme="minorEastAsia" w:eastAsiaTheme="minorEastAsia" w:cstheme="minorEastAsia"/>
                <w:b/>
                <w:bCs/>
                <w:color w:val="auto"/>
                <w:highlight w:val="none"/>
                <w:lang w:val="en-US" w:eastAsia="zh-CN"/>
              </w:rPr>
              <w:t>响应</w:t>
            </w:r>
            <w:r>
              <w:rPr>
                <w:rFonts w:hint="eastAsia" w:asciiTheme="minorEastAsia" w:hAnsiTheme="minorEastAsia" w:eastAsiaTheme="minorEastAsia" w:cstheme="minorEastAsia"/>
                <w:b/>
                <w:bCs/>
                <w:color w:val="auto"/>
                <w:highlight w:val="none"/>
              </w:rPr>
              <w:t>处理）</w:t>
            </w:r>
          </w:p>
          <w:p w14:paraId="0A4B6F39">
            <w:pPr>
              <w:pStyle w:val="17"/>
              <w:spacing w:line="4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8.供应商</w:t>
            </w:r>
            <w:r>
              <w:rPr>
                <w:rFonts w:hint="eastAsia" w:asciiTheme="minorEastAsia" w:hAnsiTheme="minorEastAsia" w:eastAsiaTheme="minorEastAsia" w:cstheme="minorEastAsia"/>
                <w:color w:val="auto"/>
                <w:highlight w:val="none"/>
              </w:rPr>
              <w:t>财务状况报告（202</w:t>
            </w:r>
            <w:r>
              <w:rPr>
                <w:rFonts w:hint="eastAsia" w:asciiTheme="minorEastAsia" w:hAnsiTheme="minorEastAsia" w:eastAsiaTheme="minorEastAsia" w:cstheme="minorEastAsia"/>
                <w:color w:val="auto"/>
                <w:highlight w:val="none"/>
                <w:lang w:val="en-US" w:eastAsia="zh-CN"/>
              </w:rPr>
              <w:t>4</w:t>
            </w:r>
            <w:r>
              <w:rPr>
                <w:rFonts w:hint="eastAsia" w:asciiTheme="minorEastAsia" w:hAnsiTheme="minorEastAsia" w:eastAsiaTheme="minorEastAsia" w:cstheme="minorEastAsia"/>
                <w:color w:val="auto"/>
                <w:highlight w:val="none"/>
              </w:rPr>
              <w:t>年度</w:t>
            </w:r>
            <w:r>
              <w:rPr>
                <w:rFonts w:hint="eastAsia" w:asciiTheme="minorEastAsia" w:hAnsiTheme="minorEastAsia" w:eastAsiaTheme="minorEastAsia" w:cstheme="minorEastAsia"/>
                <w:color w:val="auto"/>
                <w:highlight w:val="none"/>
                <w:lang w:val="en-US" w:eastAsia="zh-CN"/>
              </w:rPr>
              <w:t>或2025年度</w:t>
            </w:r>
            <w:r>
              <w:rPr>
                <w:rFonts w:hint="eastAsia" w:asciiTheme="minorEastAsia" w:hAnsiTheme="minorEastAsia" w:eastAsiaTheme="minorEastAsia" w:cstheme="minorEastAsia"/>
                <w:color w:val="auto"/>
                <w:highlight w:val="none"/>
              </w:rPr>
              <w:t>财务报表复印件或者银行出具的资信证明；</w:t>
            </w:r>
            <w:r>
              <w:rPr>
                <w:rFonts w:hint="eastAsia" w:asciiTheme="minorEastAsia" w:hAnsiTheme="minorEastAsia" w:eastAsiaTheme="minorEastAsia" w:cstheme="minorEastAsia"/>
                <w:color w:val="auto"/>
                <w:highlight w:val="none"/>
                <w:lang w:val="en-US" w:eastAsia="zh-CN"/>
              </w:rPr>
              <w:t>供应商</w:t>
            </w:r>
            <w:r>
              <w:rPr>
                <w:rFonts w:hint="eastAsia" w:asciiTheme="minorEastAsia" w:hAnsiTheme="minorEastAsia" w:eastAsiaTheme="minorEastAsia" w:cstheme="minorEastAsia"/>
                <w:color w:val="auto"/>
                <w:highlight w:val="none"/>
              </w:rPr>
              <w:t>属于成立时间在规定年度之后的法人或其他组织，需提供成立之日起至投标截止时间前的月报表或银行出具的资信证明；资信证明应在有效期内，未注明有效期的，银行出具时间至投标截止时间不超过一年）；</w:t>
            </w:r>
            <w:r>
              <w:rPr>
                <w:rFonts w:hint="eastAsia" w:asciiTheme="minorEastAsia" w:hAnsiTheme="minorEastAsia" w:eastAsiaTheme="minorEastAsia" w:cstheme="minorEastAsia"/>
                <w:b/>
                <w:bCs/>
                <w:color w:val="auto"/>
                <w:highlight w:val="none"/>
              </w:rPr>
              <w:t>（必须提供，否则按无效</w:t>
            </w:r>
            <w:r>
              <w:rPr>
                <w:rFonts w:hint="eastAsia" w:asciiTheme="minorEastAsia" w:hAnsiTheme="minorEastAsia" w:eastAsiaTheme="minorEastAsia" w:cstheme="minorEastAsia"/>
                <w:b/>
                <w:bCs/>
                <w:color w:val="auto"/>
                <w:highlight w:val="none"/>
                <w:lang w:val="en-US" w:eastAsia="zh-CN"/>
              </w:rPr>
              <w:t>响应</w:t>
            </w:r>
            <w:r>
              <w:rPr>
                <w:rFonts w:hint="eastAsia" w:asciiTheme="minorEastAsia" w:hAnsiTheme="minorEastAsia" w:eastAsiaTheme="minorEastAsia" w:cstheme="minorEastAsia"/>
                <w:b/>
                <w:bCs/>
                <w:color w:val="auto"/>
                <w:highlight w:val="none"/>
              </w:rPr>
              <w:t>处理）</w:t>
            </w:r>
          </w:p>
          <w:p w14:paraId="4D4556E1">
            <w:pPr>
              <w:pStyle w:val="129"/>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val="0"/>
                <w:bCs/>
                <w:color w:val="auto"/>
                <w:sz w:val="21"/>
                <w:szCs w:val="21"/>
                <w:highlight w:val="none"/>
                <w:lang w:val="en-US" w:eastAsia="zh-CN"/>
              </w:rPr>
              <w:t>9.</w:t>
            </w:r>
            <w:bookmarkStart w:id="1156" w:name="_GoBack"/>
            <w:bookmarkEnd w:id="1156"/>
            <w:r>
              <w:rPr>
                <w:rFonts w:hint="eastAsia" w:asciiTheme="minorEastAsia" w:hAnsiTheme="minorEastAsia" w:eastAsiaTheme="minorEastAsia" w:cstheme="minorEastAsia"/>
                <w:bCs/>
                <w:color w:val="auto"/>
                <w:sz w:val="21"/>
                <w:szCs w:val="21"/>
                <w:highlight w:val="none"/>
              </w:rPr>
              <w:t>供应商如为中小微企业或监狱企业或残疾人福利性单位</w:t>
            </w:r>
            <w:r>
              <w:rPr>
                <w:rFonts w:hint="eastAsia" w:ascii="宋体" w:hAnsi="宋体" w:eastAsia="宋体" w:cs="宋体"/>
                <w:b/>
                <w:bCs w:val="0"/>
                <w:i w:val="0"/>
                <w:iCs w:val="0"/>
                <w:caps w:val="0"/>
                <w:color w:val="000000"/>
                <w:spacing w:val="0"/>
                <w:sz w:val="21"/>
                <w:szCs w:val="21"/>
                <w:highlight w:val="none"/>
                <w:shd w:val="clear" w:fill="FFFFFF"/>
              </w:rPr>
              <w:t>（格式后附，必须提供，否则响应文件按无效响应处理）</w:t>
            </w:r>
            <w:r>
              <w:rPr>
                <w:rFonts w:hint="eastAsia" w:asciiTheme="minorEastAsia" w:hAnsiTheme="minorEastAsia" w:eastAsiaTheme="minorEastAsia" w:cstheme="minorEastAsia"/>
                <w:b/>
                <w:bCs w:val="0"/>
                <w:color w:val="auto"/>
                <w:highlight w:val="none"/>
              </w:rPr>
              <w:t>：</w:t>
            </w:r>
          </w:p>
          <w:p w14:paraId="204CFC43">
            <w:pPr>
              <w:pStyle w:val="17"/>
              <w:spacing w:line="400" w:lineRule="exact"/>
              <w:ind w:firstLine="420" w:firstLineChars="200"/>
              <w:rPr>
                <w:rFonts w:hint="eastAsia" w:asciiTheme="minorEastAsia" w:hAnsiTheme="minorEastAsia" w:eastAsiaTheme="minorEastAsia" w:cstheme="minorEastAsia"/>
                <w:color w:val="auto"/>
                <w:highlight w:val="none"/>
              </w:rPr>
            </w:pPr>
            <w:r>
              <w:rPr>
                <w:rFonts w:eastAsiaTheme="minorEastAsia"/>
                <w:color w:val="auto"/>
                <w:highlight w:val="none"/>
              </w:rPr>
              <w:t>①</w:t>
            </w:r>
            <w:r>
              <w:rPr>
                <w:rFonts w:hint="eastAsia" w:asciiTheme="minorEastAsia" w:hAnsiTheme="minorEastAsia" w:eastAsiaTheme="minorEastAsia" w:cstheme="minorEastAsia"/>
                <w:color w:val="auto"/>
                <w:highlight w:val="none"/>
              </w:rPr>
              <w:t>《中小企业声明函》；</w:t>
            </w:r>
          </w:p>
          <w:p w14:paraId="6122C9C4">
            <w:pPr>
              <w:pStyle w:val="17"/>
              <w:spacing w:line="400" w:lineRule="exact"/>
              <w:ind w:firstLine="420" w:firstLineChars="200"/>
              <w:rPr>
                <w:rFonts w:hint="eastAsia" w:asciiTheme="minorEastAsia" w:hAnsiTheme="minorEastAsia" w:eastAsiaTheme="minorEastAsia" w:cstheme="minorEastAsia"/>
                <w:color w:val="auto"/>
                <w:highlight w:val="none"/>
              </w:rPr>
            </w:pPr>
            <w:r>
              <w:rPr>
                <w:rFonts w:eastAsiaTheme="minorEastAsia"/>
                <w:color w:val="auto"/>
                <w:highlight w:val="none"/>
              </w:rPr>
              <w:t>②</w:t>
            </w:r>
            <w:r>
              <w:rPr>
                <w:rFonts w:hint="eastAsia" w:asciiTheme="minorEastAsia" w:hAnsiTheme="minorEastAsia" w:eastAsiaTheme="minorEastAsia" w:cstheme="minorEastAsia"/>
                <w:color w:val="auto"/>
                <w:highlight w:val="none"/>
              </w:rPr>
              <w:t>供应商属于监狱企业的，应当提供由省级以上监狱管理局、戒毒管理局等（含新疆生产建设兵团）出具的属于监狱企业的证明文件；</w:t>
            </w:r>
          </w:p>
          <w:p w14:paraId="36022D53">
            <w:pPr>
              <w:pStyle w:val="129"/>
              <w:spacing w:line="400" w:lineRule="exact"/>
              <w:ind w:firstLine="420" w:firstLineChars="200"/>
              <w:rPr>
                <w:rFonts w:hint="eastAsia" w:asciiTheme="minorEastAsia" w:hAnsiTheme="minorEastAsia" w:eastAsiaTheme="minorEastAsia" w:cstheme="minorEastAsia"/>
                <w:color w:val="auto"/>
                <w:highlight w:val="none"/>
              </w:rPr>
            </w:pPr>
            <w:r>
              <w:rPr>
                <w:rFonts w:eastAsiaTheme="minorEastAsia"/>
                <w:color w:val="auto"/>
                <w:sz w:val="21"/>
                <w:szCs w:val="21"/>
                <w:highlight w:val="none"/>
              </w:rPr>
              <w:t>③</w:t>
            </w:r>
            <w:r>
              <w:rPr>
                <w:rFonts w:hint="eastAsia" w:asciiTheme="minorEastAsia" w:hAnsiTheme="minorEastAsia" w:eastAsiaTheme="minorEastAsia" w:cstheme="minorEastAsia"/>
                <w:color w:val="auto"/>
                <w:sz w:val="21"/>
                <w:szCs w:val="21"/>
                <w:highlight w:val="none"/>
              </w:rPr>
              <w:t>符合条件的残疾人福利性单位在参加政府采购活动时，应当提供《残疾人福利性单位声明函》。</w:t>
            </w:r>
          </w:p>
          <w:p w14:paraId="4101C938">
            <w:pPr>
              <w:pStyle w:val="129"/>
              <w:spacing w:line="400" w:lineRule="exact"/>
              <w:ind w:firstLine="422" w:firstLineChars="200"/>
              <w:rPr>
                <w:rFonts w:hint="eastAsia" w:asciiTheme="minorEastAsia" w:hAnsiTheme="minorEastAsia" w:eastAsiaTheme="minorEastAsia" w:cstheme="minorEastAsia"/>
                <w:b/>
                <w:color w:val="auto"/>
                <w:sz w:val="21"/>
                <w:szCs w:val="21"/>
                <w:highlight w:val="none"/>
                <w:lang w:eastAsia="zh-CN"/>
              </w:rPr>
            </w:pPr>
            <w:r>
              <w:rPr>
                <w:rFonts w:hint="eastAsia" w:asciiTheme="minorEastAsia" w:hAnsiTheme="minorEastAsia" w:eastAsiaTheme="minorEastAsia" w:cstheme="minorEastAsia"/>
                <w:b/>
                <w:color w:val="auto"/>
                <w:sz w:val="21"/>
                <w:szCs w:val="21"/>
                <w:highlight w:val="none"/>
              </w:rPr>
              <w:t>注：以上标明“必须提供”的材料属于复印件的扫描件的，必须加盖供应商电子公章，否则响应文件按无效响应处理。</w:t>
            </w:r>
          </w:p>
        </w:tc>
      </w:tr>
      <w:tr w14:paraId="129E2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8" w:hRule="atLeast"/>
          <w:jc w:val="center"/>
        </w:trPr>
        <w:tc>
          <w:tcPr>
            <w:tcW w:w="1093" w:type="dxa"/>
            <w:vAlign w:val="center"/>
          </w:tcPr>
          <w:p w14:paraId="438B51C5">
            <w:pPr>
              <w:spacing w:line="40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w:t>
            </w:r>
          </w:p>
        </w:tc>
        <w:tc>
          <w:tcPr>
            <w:tcW w:w="8813" w:type="dxa"/>
            <w:vAlign w:val="center"/>
          </w:tcPr>
          <w:p w14:paraId="0BC3AE88">
            <w:pPr>
              <w:pStyle w:val="129"/>
              <w:tabs>
                <w:tab w:val="left" w:pos="733"/>
              </w:tabs>
              <w:spacing w:before="45" w:line="400" w:lineRule="exact"/>
              <w:ind w:right="240"/>
              <w:rPr>
                <w:rFonts w:ascii="Times New Roman" w:eastAsia="宋体" w:cs="Times New Roman"/>
                <w:b/>
                <w:bCs/>
                <w:color w:val="auto"/>
                <w:kern w:val="2"/>
                <w:sz w:val="21"/>
                <w:szCs w:val="21"/>
                <w:highlight w:val="none"/>
              </w:rPr>
            </w:pPr>
            <w:r>
              <w:rPr>
                <w:rFonts w:hint="eastAsia" w:ascii="Times New Roman" w:eastAsia="宋体" w:cs="Times New Roman"/>
                <w:b/>
                <w:bCs/>
                <w:color w:val="auto"/>
                <w:kern w:val="2"/>
                <w:sz w:val="21"/>
                <w:szCs w:val="21"/>
                <w:highlight w:val="none"/>
              </w:rPr>
              <w:t>商务文件</w:t>
            </w:r>
          </w:p>
          <w:p w14:paraId="4380FBC2">
            <w:pPr>
              <w:numPr>
                <w:ilvl w:val="0"/>
                <w:numId w:val="7"/>
              </w:numPr>
              <w:spacing w:line="400" w:lineRule="exact"/>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color w:val="auto"/>
                <w:highlight w:val="none"/>
              </w:rPr>
              <w:t>法定代表人身份证明书；</w:t>
            </w:r>
            <w:r>
              <w:rPr>
                <w:rFonts w:hint="eastAsia" w:asciiTheme="minorEastAsia" w:hAnsiTheme="minorEastAsia" w:eastAsiaTheme="minorEastAsia" w:cstheme="minorEastAsia"/>
                <w:b/>
                <w:bCs/>
                <w:color w:val="auto"/>
                <w:highlight w:val="none"/>
              </w:rPr>
              <w:t>（格式后附，必须提供，否则响应文件按无效响应处理）</w:t>
            </w:r>
          </w:p>
          <w:p w14:paraId="3BE7D38F">
            <w:pPr>
              <w:numPr>
                <w:ilvl w:val="0"/>
                <w:numId w:val="7"/>
              </w:numPr>
              <w:spacing w:line="4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响应文件签署授权委托书原件及委托代理人身份证正反面复印件；</w:t>
            </w:r>
            <w:r>
              <w:rPr>
                <w:rFonts w:hint="eastAsia" w:asciiTheme="minorEastAsia" w:hAnsiTheme="minorEastAsia" w:eastAsiaTheme="minorEastAsia" w:cstheme="minorEastAsia"/>
                <w:b/>
                <w:bCs/>
                <w:color w:val="auto"/>
                <w:highlight w:val="none"/>
              </w:rPr>
              <w:t>（格式后附，</w:t>
            </w:r>
            <w:r>
              <w:rPr>
                <w:rFonts w:hint="eastAsia" w:asciiTheme="minorEastAsia" w:hAnsiTheme="minorEastAsia" w:eastAsiaTheme="minorEastAsia" w:cstheme="minorEastAsia"/>
                <w:b/>
                <w:bCs/>
                <w:color w:val="auto"/>
                <w:highlight w:val="none"/>
                <w:lang w:val="en-US" w:eastAsia="zh-CN"/>
              </w:rPr>
              <w:t>委托时</w:t>
            </w:r>
            <w:r>
              <w:rPr>
                <w:rFonts w:hint="eastAsia" w:asciiTheme="minorEastAsia" w:hAnsiTheme="minorEastAsia" w:eastAsiaTheme="minorEastAsia" w:cstheme="minorEastAsia"/>
                <w:b/>
                <w:bCs/>
                <w:color w:val="auto"/>
                <w:highlight w:val="none"/>
              </w:rPr>
              <w:t>必须提供，否则响应文件按无效响应处理）</w:t>
            </w:r>
          </w:p>
          <w:p w14:paraId="1736C833">
            <w:pPr>
              <w:numPr>
                <w:ilvl w:val="0"/>
                <w:numId w:val="7"/>
              </w:numPr>
              <w:spacing w:line="400" w:lineRule="exact"/>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color w:val="auto"/>
                <w:highlight w:val="none"/>
              </w:rPr>
              <w:t>农民工工资保障金的交纳与使用承诺书；</w:t>
            </w:r>
            <w:r>
              <w:rPr>
                <w:rFonts w:hint="eastAsia" w:asciiTheme="minorEastAsia" w:hAnsiTheme="minorEastAsia" w:eastAsiaTheme="minorEastAsia" w:cstheme="minorEastAsia"/>
                <w:b/>
                <w:bCs/>
                <w:color w:val="auto"/>
                <w:highlight w:val="none"/>
              </w:rPr>
              <w:t>（格式后附，必须提供，否则响应文件按无效响应处理）</w:t>
            </w:r>
          </w:p>
          <w:p w14:paraId="3E551BB8">
            <w:pPr>
              <w:numPr>
                <w:ilvl w:val="0"/>
                <w:numId w:val="7"/>
              </w:numPr>
              <w:spacing w:line="400" w:lineRule="exact"/>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color w:val="auto"/>
                <w:highlight w:val="none"/>
              </w:rPr>
              <w:t>建设工程项目管理承诺书；</w:t>
            </w:r>
            <w:r>
              <w:rPr>
                <w:rFonts w:hint="eastAsia" w:asciiTheme="minorEastAsia" w:hAnsiTheme="minorEastAsia" w:eastAsiaTheme="minorEastAsia" w:cstheme="minorEastAsia"/>
                <w:b/>
                <w:bCs/>
                <w:color w:val="auto"/>
                <w:highlight w:val="none"/>
              </w:rPr>
              <w:t>（格式后附，必须提供，否则响应文件按无效响应处理）</w:t>
            </w:r>
          </w:p>
          <w:p w14:paraId="2B63689D">
            <w:pPr>
              <w:numPr>
                <w:ilvl w:val="0"/>
                <w:numId w:val="7"/>
              </w:numPr>
              <w:spacing w:line="4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供应商认为需要提供的其他有关资料。（如有请提供）</w:t>
            </w:r>
          </w:p>
          <w:p w14:paraId="475037B1">
            <w:pPr>
              <w:spacing w:line="400" w:lineRule="exact"/>
              <w:ind w:firstLine="422" w:firstLineChars="200"/>
              <w:rPr>
                <w:color w:val="auto"/>
                <w:highlight w:val="none"/>
              </w:rPr>
            </w:pPr>
            <w:r>
              <w:rPr>
                <w:rFonts w:hint="eastAsia" w:asciiTheme="minorEastAsia" w:hAnsiTheme="minorEastAsia" w:eastAsiaTheme="minorEastAsia" w:cstheme="minorEastAsia"/>
                <w:b/>
                <w:bCs/>
                <w:color w:val="auto"/>
                <w:highlight w:val="none"/>
              </w:rPr>
              <w:t>注：以上标明“必须提供”的材料属于复印件的扫描件的，必须加盖供应商电子公章，否则响应文件按无效响应处理。</w:t>
            </w:r>
          </w:p>
        </w:tc>
      </w:tr>
      <w:tr w14:paraId="594FB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3" w:hRule="atLeast"/>
          <w:jc w:val="center"/>
        </w:trPr>
        <w:tc>
          <w:tcPr>
            <w:tcW w:w="1093" w:type="dxa"/>
            <w:vAlign w:val="center"/>
          </w:tcPr>
          <w:p w14:paraId="604E1F44">
            <w:pPr>
              <w:spacing w:line="40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w:t>
            </w:r>
          </w:p>
        </w:tc>
        <w:tc>
          <w:tcPr>
            <w:tcW w:w="8813" w:type="dxa"/>
            <w:vAlign w:val="center"/>
          </w:tcPr>
          <w:p w14:paraId="1EC38878">
            <w:pPr>
              <w:spacing w:line="400" w:lineRule="exact"/>
              <w:rPr>
                <w:b/>
                <w:bCs/>
                <w:color w:val="auto"/>
                <w:highlight w:val="none"/>
              </w:rPr>
            </w:pPr>
            <w:r>
              <w:rPr>
                <w:rFonts w:hint="eastAsia"/>
                <w:b/>
                <w:bCs/>
                <w:color w:val="auto"/>
                <w:highlight w:val="none"/>
              </w:rPr>
              <w:t>技术文件</w:t>
            </w:r>
          </w:p>
          <w:p w14:paraId="3F80EAD0">
            <w:pPr>
              <w:spacing w:line="400" w:lineRule="exact"/>
              <w:rPr>
                <w:color w:val="auto"/>
                <w:highlight w:val="none"/>
              </w:rPr>
            </w:pPr>
            <w:r>
              <w:rPr>
                <w:rFonts w:hint="eastAsia"/>
                <w:color w:val="auto"/>
                <w:highlight w:val="none"/>
              </w:rPr>
              <w:t>（1）施工组织设计；</w:t>
            </w:r>
            <w:r>
              <w:rPr>
                <w:rFonts w:hint="eastAsia" w:asciiTheme="minorEastAsia" w:hAnsiTheme="minorEastAsia" w:eastAsiaTheme="minorEastAsia" w:cstheme="minorEastAsia"/>
                <w:color w:val="auto"/>
                <w:spacing w:val="2"/>
                <w:highlight w:val="none"/>
              </w:rPr>
              <w:t>(</w:t>
            </w:r>
            <w:r>
              <w:rPr>
                <w:rFonts w:hint="eastAsia" w:asciiTheme="minorEastAsia" w:hAnsiTheme="minorEastAsia" w:eastAsiaTheme="minorEastAsia" w:cstheme="minorEastAsia"/>
                <w:color w:val="auto"/>
                <w:highlight w:val="none"/>
              </w:rPr>
              <w:t>格式自拟，</w:t>
            </w:r>
            <w:r>
              <w:rPr>
                <w:rFonts w:hint="eastAsia" w:asciiTheme="minorEastAsia" w:hAnsiTheme="minorEastAsia" w:eastAsiaTheme="minorEastAsia" w:cstheme="minorEastAsia"/>
                <w:color w:val="auto"/>
                <w:spacing w:val="2"/>
                <w:highlight w:val="none"/>
              </w:rPr>
              <w:t>如有请提供)</w:t>
            </w:r>
          </w:p>
          <w:p w14:paraId="3255D59B">
            <w:pPr>
              <w:spacing w:line="400" w:lineRule="exact"/>
              <w:rPr>
                <w:color w:val="auto"/>
                <w:highlight w:val="none"/>
              </w:rPr>
            </w:pPr>
            <w:r>
              <w:rPr>
                <w:rFonts w:hint="eastAsia"/>
                <w:color w:val="auto"/>
                <w:highlight w:val="none"/>
              </w:rPr>
              <w:t>（2）项目管理机构；</w:t>
            </w:r>
          </w:p>
          <w:p w14:paraId="6BB3F0FC">
            <w:pPr>
              <w:spacing w:line="400" w:lineRule="exact"/>
              <w:ind w:firstLine="210" w:firstLineChars="100"/>
              <w:rPr>
                <w:color w:val="auto"/>
                <w:highlight w:val="none"/>
              </w:rPr>
            </w:pPr>
            <w:r>
              <w:rPr>
                <w:rFonts w:hint="eastAsia"/>
                <w:color w:val="auto"/>
                <w:highlight w:val="none"/>
              </w:rPr>
              <w:fldChar w:fldCharType="begin"/>
            </w:r>
            <w:r>
              <w:rPr>
                <w:rFonts w:hint="eastAsia"/>
                <w:color w:val="auto"/>
                <w:highlight w:val="none"/>
              </w:rPr>
              <w:instrText xml:space="preserve"> = 1 \* GB3 </w:instrText>
            </w:r>
            <w:r>
              <w:rPr>
                <w:rFonts w:hint="eastAsia"/>
                <w:color w:val="auto"/>
                <w:highlight w:val="none"/>
              </w:rPr>
              <w:fldChar w:fldCharType="separate"/>
            </w:r>
            <w:r>
              <w:rPr>
                <w:rFonts w:hint="eastAsia"/>
                <w:color w:val="auto"/>
                <w:highlight w:val="none"/>
              </w:rPr>
              <w:t>①</w:t>
            </w:r>
            <w:r>
              <w:rPr>
                <w:rFonts w:hint="eastAsia"/>
                <w:color w:val="auto"/>
                <w:highlight w:val="none"/>
              </w:rPr>
              <w:fldChar w:fldCharType="end"/>
            </w:r>
            <w:r>
              <w:rPr>
                <w:rFonts w:hint="eastAsia"/>
                <w:color w:val="auto"/>
                <w:highlight w:val="none"/>
              </w:rPr>
              <w:t>项目管理机构配备情况表；</w:t>
            </w:r>
            <w:r>
              <w:rPr>
                <w:rFonts w:hint="eastAsia" w:asciiTheme="minorEastAsia" w:hAnsiTheme="minorEastAsia" w:eastAsiaTheme="minorEastAsia" w:cstheme="minorEastAsia"/>
                <w:color w:val="auto"/>
                <w:spacing w:val="2"/>
                <w:highlight w:val="none"/>
              </w:rPr>
              <w:t>(</w:t>
            </w:r>
            <w:r>
              <w:rPr>
                <w:rFonts w:hint="eastAsia" w:asciiTheme="minorEastAsia" w:hAnsiTheme="minorEastAsia" w:eastAsiaTheme="minorEastAsia" w:cstheme="minorEastAsia"/>
                <w:color w:val="auto"/>
                <w:highlight w:val="none"/>
              </w:rPr>
              <w:t>格式后附，</w:t>
            </w:r>
            <w:r>
              <w:rPr>
                <w:rFonts w:hint="eastAsia" w:asciiTheme="minorEastAsia" w:hAnsiTheme="minorEastAsia" w:eastAsiaTheme="minorEastAsia" w:cstheme="minorEastAsia"/>
                <w:color w:val="auto"/>
                <w:spacing w:val="2"/>
                <w:highlight w:val="none"/>
              </w:rPr>
              <w:t>如有请提供)</w:t>
            </w:r>
          </w:p>
          <w:p w14:paraId="4A1BEC9B">
            <w:pPr>
              <w:spacing w:line="400" w:lineRule="exact"/>
              <w:ind w:firstLine="210" w:firstLineChars="100"/>
              <w:rPr>
                <w:color w:val="auto"/>
                <w:highlight w:val="none"/>
              </w:rPr>
            </w:pPr>
            <w:r>
              <w:rPr>
                <w:rFonts w:hint="eastAsia"/>
                <w:color w:val="auto"/>
                <w:highlight w:val="none"/>
              </w:rPr>
              <w:fldChar w:fldCharType="begin"/>
            </w:r>
            <w:r>
              <w:rPr>
                <w:rFonts w:hint="eastAsia"/>
                <w:color w:val="auto"/>
                <w:highlight w:val="none"/>
              </w:rPr>
              <w:instrText xml:space="preserve"> = 2 \* GB3 </w:instrText>
            </w:r>
            <w:r>
              <w:rPr>
                <w:rFonts w:hint="eastAsia"/>
                <w:color w:val="auto"/>
                <w:highlight w:val="none"/>
              </w:rPr>
              <w:fldChar w:fldCharType="separate"/>
            </w:r>
            <w:r>
              <w:rPr>
                <w:rFonts w:hint="eastAsia"/>
                <w:color w:val="auto"/>
                <w:highlight w:val="none"/>
              </w:rPr>
              <w:t>②</w:t>
            </w:r>
            <w:r>
              <w:rPr>
                <w:rFonts w:hint="eastAsia"/>
                <w:color w:val="auto"/>
                <w:highlight w:val="none"/>
              </w:rPr>
              <w:fldChar w:fldCharType="end"/>
            </w:r>
            <w:r>
              <w:rPr>
                <w:rFonts w:hint="eastAsia"/>
                <w:color w:val="auto"/>
                <w:highlight w:val="none"/>
              </w:rPr>
              <w:t>项目经理（注册建造师）简历表；</w:t>
            </w:r>
            <w:r>
              <w:rPr>
                <w:rFonts w:hint="eastAsia" w:asciiTheme="minorEastAsia" w:hAnsiTheme="minorEastAsia" w:eastAsiaTheme="minorEastAsia" w:cstheme="minorEastAsia"/>
                <w:color w:val="auto"/>
                <w:spacing w:val="2"/>
                <w:highlight w:val="none"/>
              </w:rPr>
              <w:t>(</w:t>
            </w:r>
            <w:r>
              <w:rPr>
                <w:rFonts w:hint="eastAsia" w:asciiTheme="minorEastAsia" w:hAnsiTheme="minorEastAsia" w:eastAsiaTheme="minorEastAsia" w:cstheme="minorEastAsia"/>
                <w:color w:val="auto"/>
                <w:highlight w:val="none"/>
              </w:rPr>
              <w:t>格式后附，</w:t>
            </w:r>
            <w:r>
              <w:rPr>
                <w:rFonts w:hint="eastAsia" w:asciiTheme="minorEastAsia" w:hAnsiTheme="minorEastAsia" w:eastAsiaTheme="minorEastAsia" w:cstheme="minorEastAsia"/>
                <w:color w:val="auto"/>
                <w:spacing w:val="2"/>
                <w:highlight w:val="none"/>
              </w:rPr>
              <w:t>如有请提供)</w:t>
            </w:r>
          </w:p>
          <w:p w14:paraId="4685A586">
            <w:pPr>
              <w:spacing w:line="400" w:lineRule="exact"/>
              <w:ind w:firstLine="210" w:firstLineChars="100"/>
              <w:rPr>
                <w:rFonts w:hint="eastAsia" w:asciiTheme="minorEastAsia" w:hAnsiTheme="minorEastAsia" w:eastAsiaTheme="minorEastAsia" w:cstheme="minorEastAsia"/>
                <w:color w:val="auto"/>
                <w:spacing w:val="2"/>
                <w:highlight w:val="none"/>
              </w:rPr>
            </w:pPr>
            <w:r>
              <w:rPr>
                <w:rFonts w:hint="eastAsia"/>
                <w:color w:val="auto"/>
                <w:highlight w:val="none"/>
              </w:rPr>
              <w:fldChar w:fldCharType="begin"/>
            </w:r>
            <w:r>
              <w:rPr>
                <w:rFonts w:hint="eastAsia"/>
                <w:color w:val="auto"/>
                <w:highlight w:val="none"/>
              </w:rPr>
              <w:instrText xml:space="preserve"> = 3 \* GB3 </w:instrText>
            </w:r>
            <w:r>
              <w:rPr>
                <w:rFonts w:hint="eastAsia"/>
                <w:color w:val="auto"/>
                <w:highlight w:val="none"/>
              </w:rPr>
              <w:fldChar w:fldCharType="separate"/>
            </w:r>
            <w:r>
              <w:rPr>
                <w:rFonts w:hint="eastAsia"/>
                <w:color w:val="auto"/>
                <w:highlight w:val="none"/>
              </w:rPr>
              <w:t>③</w:t>
            </w:r>
            <w:r>
              <w:rPr>
                <w:rFonts w:hint="eastAsia"/>
                <w:color w:val="auto"/>
                <w:highlight w:val="none"/>
              </w:rPr>
              <w:fldChar w:fldCharType="end"/>
            </w:r>
            <w:r>
              <w:rPr>
                <w:rFonts w:hint="eastAsia"/>
                <w:color w:val="auto"/>
                <w:highlight w:val="none"/>
              </w:rPr>
              <w:t>项目技术负责人简历表；</w:t>
            </w:r>
            <w:r>
              <w:rPr>
                <w:rFonts w:hint="eastAsia" w:asciiTheme="minorEastAsia" w:hAnsiTheme="minorEastAsia" w:eastAsiaTheme="minorEastAsia" w:cstheme="minorEastAsia"/>
                <w:color w:val="auto"/>
                <w:spacing w:val="2"/>
                <w:highlight w:val="none"/>
              </w:rPr>
              <w:t>(</w:t>
            </w:r>
            <w:r>
              <w:rPr>
                <w:rFonts w:hint="eastAsia" w:asciiTheme="minorEastAsia" w:hAnsiTheme="minorEastAsia" w:eastAsiaTheme="minorEastAsia" w:cstheme="minorEastAsia"/>
                <w:color w:val="auto"/>
                <w:highlight w:val="none"/>
              </w:rPr>
              <w:t>格式后附，</w:t>
            </w:r>
            <w:r>
              <w:rPr>
                <w:rFonts w:hint="eastAsia" w:asciiTheme="minorEastAsia" w:hAnsiTheme="minorEastAsia" w:eastAsiaTheme="minorEastAsia" w:cstheme="minorEastAsia"/>
                <w:color w:val="auto"/>
                <w:spacing w:val="2"/>
                <w:highlight w:val="none"/>
              </w:rPr>
              <w:t>如有请提供)</w:t>
            </w:r>
          </w:p>
          <w:p w14:paraId="10C2922B">
            <w:pPr>
              <w:spacing w:line="400" w:lineRule="exact"/>
              <w:rPr>
                <w:color w:val="auto"/>
                <w:highlight w:val="none"/>
              </w:rPr>
            </w:pPr>
            <w:r>
              <w:rPr>
                <w:rFonts w:hint="eastAsia"/>
                <w:color w:val="auto"/>
                <w:highlight w:val="none"/>
              </w:rPr>
              <w:t>（3）企业业绩。</w:t>
            </w:r>
            <w:r>
              <w:rPr>
                <w:rFonts w:hint="eastAsia" w:asciiTheme="minorEastAsia" w:hAnsiTheme="minorEastAsia" w:eastAsiaTheme="minorEastAsia" w:cstheme="minorEastAsia"/>
                <w:color w:val="auto"/>
                <w:spacing w:val="2"/>
                <w:highlight w:val="none"/>
              </w:rPr>
              <w:t>(</w:t>
            </w:r>
            <w:r>
              <w:rPr>
                <w:rFonts w:hint="eastAsia" w:asciiTheme="minorEastAsia" w:hAnsiTheme="minorEastAsia" w:eastAsiaTheme="minorEastAsia" w:cstheme="minorEastAsia"/>
                <w:color w:val="auto"/>
                <w:highlight w:val="none"/>
              </w:rPr>
              <w:t>格式后附，</w:t>
            </w:r>
            <w:r>
              <w:rPr>
                <w:rFonts w:hint="eastAsia" w:asciiTheme="minorEastAsia" w:hAnsiTheme="minorEastAsia" w:eastAsiaTheme="minorEastAsia" w:cstheme="minorEastAsia"/>
                <w:color w:val="auto"/>
                <w:spacing w:val="2"/>
                <w:highlight w:val="none"/>
              </w:rPr>
              <w:t>如有请提供)</w:t>
            </w:r>
          </w:p>
        </w:tc>
      </w:tr>
      <w:tr w14:paraId="5BBB4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2" w:hRule="atLeast"/>
          <w:jc w:val="center"/>
        </w:trPr>
        <w:tc>
          <w:tcPr>
            <w:tcW w:w="1093" w:type="dxa"/>
            <w:vAlign w:val="center"/>
          </w:tcPr>
          <w:p w14:paraId="60E3BB79">
            <w:pPr>
              <w:spacing w:line="40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7</w:t>
            </w:r>
          </w:p>
        </w:tc>
        <w:tc>
          <w:tcPr>
            <w:tcW w:w="8813" w:type="dxa"/>
            <w:vAlign w:val="center"/>
          </w:tcPr>
          <w:p w14:paraId="4A13A275">
            <w:pPr>
              <w:spacing w:line="400" w:lineRule="exact"/>
              <w:rPr>
                <w:b/>
                <w:bCs/>
                <w:color w:val="auto"/>
                <w:highlight w:val="none"/>
              </w:rPr>
            </w:pPr>
            <w:r>
              <w:rPr>
                <w:rFonts w:hint="eastAsia"/>
                <w:b/>
                <w:bCs/>
                <w:color w:val="auto"/>
                <w:highlight w:val="none"/>
              </w:rPr>
              <w:t>报价文件</w:t>
            </w:r>
          </w:p>
          <w:p w14:paraId="21790EA6">
            <w:pPr>
              <w:spacing w:line="400" w:lineRule="exact"/>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color w:val="auto"/>
                <w:spacing w:val="2"/>
                <w:highlight w:val="none"/>
              </w:rPr>
              <w:t>（1）磋商函；</w:t>
            </w:r>
            <w:r>
              <w:rPr>
                <w:rFonts w:hint="eastAsia" w:asciiTheme="minorEastAsia" w:hAnsiTheme="minorEastAsia" w:eastAsiaTheme="minorEastAsia" w:cstheme="minorEastAsia"/>
                <w:b/>
                <w:bCs/>
                <w:color w:val="auto"/>
                <w:spacing w:val="2"/>
                <w:highlight w:val="none"/>
              </w:rPr>
              <w:t>（格式后附，必须提供，否则响应文件按无效响应处理）</w:t>
            </w:r>
          </w:p>
          <w:p w14:paraId="26EB19FE">
            <w:pPr>
              <w:spacing w:line="400" w:lineRule="exact"/>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color w:val="auto"/>
                <w:spacing w:val="2"/>
                <w:highlight w:val="none"/>
              </w:rPr>
              <w:t>（2）磋商函附表；</w:t>
            </w:r>
            <w:r>
              <w:rPr>
                <w:rFonts w:hint="eastAsia" w:asciiTheme="minorEastAsia" w:hAnsiTheme="minorEastAsia" w:eastAsiaTheme="minorEastAsia" w:cstheme="minorEastAsia"/>
                <w:b/>
                <w:bCs/>
                <w:color w:val="auto"/>
                <w:spacing w:val="2"/>
                <w:highlight w:val="none"/>
              </w:rPr>
              <w:t>（格式后附，必须提供，否则响应文件按无效响应处理）</w:t>
            </w:r>
          </w:p>
          <w:p w14:paraId="69A62CF0">
            <w:pPr>
              <w:spacing w:line="400" w:lineRule="exact"/>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color w:val="auto"/>
                <w:spacing w:val="2"/>
                <w:highlight w:val="none"/>
              </w:rPr>
              <w:t>（3）磋商报价表；</w:t>
            </w:r>
            <w:r>
              <w:rPr>
                <w:rFonts w:hint="eastAsia" w:asciiTheme="minorEastAsia" w:hAnsiTheme="minorEastAsia" w:eastAsiaTheme="minorEastAsia" w:cstheme="minorEastAsia"/>
                <w:b/>
                <w:bCs/>
                <w:color w:val="auto"/>
                <w:spacing w:val="2"/>
                <w:highlight w:val="none"/>
              </w:rPr>
              <w:t>（格式后附，必须提供，否则响应文件按无效响应处理）</w:t>
            </w:r>
          </w:p>
          <w:p w14:paraId="1BD15974">
            <w:pPr>
              <w:spacing w:line="400" w:lineRule="exact"/>
              <w:rPr>
                <w:rFonts w:hint="eastAsia" w:asciiTheme="minorEastAsia" w:hAnsiTheme="minorEastAsia" w:eastAsiaTheme="minorEastAsia" w:cstheme="minorEastAsia"/>
                <w:b/>
                <w:bCs/>
                <w:color w:val="auto"/>
                <w:spacing w:val="2"/>
                <w:highlight w:val="none"/>
              </w:rPr>
            </w:pPr>
            <w:r>
              <w:rPr>
                <w:rFonts w:hint="eastAsia" w:asciiTheme="minorEastAsia" w:hAnsiTheme="minorEastAsia" w:eastAsiaTheme="minorEastAsia" w:cstheme="minorEastAsia"/>
                <w:color w:val="auto"/>
                <w:spacing w:val="2"/>
                <w:highlight w:val="none"/>
              </w:rPr>
              <w:t>（4）已标价的工程量清单报价有关材料。</w:t>
            </w:r>
            <w:r>
              <w:rPr>
                <w:rFonts w:hint="eastAsia" w:asciiTheme="minorEastAsia" w:hAnsiTheme="minorEastAsia" w:eastAsiaTheme="minorEastAsia" w:cstheme="minorEastAsia"/>
                <w:b/>
                <w:bCs/>
                <w:color w:val="auto"/>
                <w:spacing w:val="2"/>
                <w:highlight w:val="none"/>
              </w:rPr>
              <w:t>(</w:t>
            </w:r>
            <w:r>
              <w:rPr>
                <w:rFonts w:hint="eastAsia" w:asciiTheme="minorEastAsia" w:hAnsiTheme="minorEastAsia" w:eastAsiaTheme="minorEastAsia" w:cstheme="minorEastAsia"/>
                <w:b/>
                <w:bCs/>
                <w:color w:val="auto"/>
                <w:highlight w:val="none"/>
              </w:rPr>
              <w:t>格式自拟，</w:t>
            </w:r>
            <w:r>
              <w:rPr>
                <w:rFonts w:hint="eastAsia" w:asciiTheme="minorEastAsia" w:hAnsiTheme="minorEastAsia" w:eastAsiaTheme="minorEastAsia" w:cstheme="minorEastAsia"/>
                <w:b/>
                <w:bCs/>
                <w:color w:val="auto"/>
                <w:spacing w:val="2"/>
                <w:highlight w:val="none"/>
              </w:rPr>
              <w:t>必须提供，否则响应文件按无效响应处理)</w:t>
            </w:r>
          </w:p>
          <w:p w14:paraId="2C7B0353">
            <w:pPr>
              <w:pStyle w:val="17"/>
              <w:spacing w:line="4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spacing w:val="2"/>
                <w:highlight w:val="none"/>
              </w:rPr>
              <w:t>（5）</w:t>
            </w:r>
            <w:r>
              <w:rPr>
                <w:rFonts w:hint="eastAsia" w:asciiTheme="minorEastAsia" w:hAnsiTheme="minorEastAsia" w:eastAsiaTheme="minorEastAsia" w:cstheme="minorEastAsia"/>
                <w:color w:val="auto"/>
                <w:highlight w:val="none"/>
              </w:rPr>
              <w:t>供应商如为中小微企业或监狱企业或残疾人福利性单位</w:t>
            </w:r>
            <w:r>
              <w:rPr>
                <w:rFonts w:hint="eastAsia" w:ascii="宋体" w:hAnsi="宋体" w:eastAsia="宋体" w:cs="宋体"/>
                <w:b/>
                <w:bCs/>
                <w:i w:val="0"/>
                <w:iCs w:val="0"/>
                <w:caps w:val="0"/>
                <w:color w:val="000000"/>
                <w:spacing w:val="0"/>
                <w:sz w:val="21"/>
                <w:szCs w:val="21"/>
                <w:highlight w:val="none"/>
                <w:shd w:val="clear" w:fill="FFFFFF"/>
              </w:rPr>
              <w:t>（格式后附，必须提供，否则响应文件按无效响应处理）</w:t>
            </w:r>
            <w:r>
              <w:rPr>
                <w:rFonts w:hint="eastAsia" w:asciiTheme="minorEastAsia" w:hAnsiTheme="minorEastAsia" w:eastAsiaTheme="minorEastAsia" w:cstheme="minorEastAsia"/>
                <w:color w:val="auto"/>
                <w:highlight w:val="none"/>
              </w:rPr>
              <w:t>：</w:t>
            </w:r>
          </w:p>
          <w:p w14:paraId="1053A8EC">
            <w:pPr>
              <w:pStyle w:val="17"/>
              <w:spacing w:line="400" w:lineRule="exact"/>
              <w:ind w:firstLine="420" w:firstLineChars="200"/>
              <w:rPr>
                <w:rFonts w:hint="eastAsia" w:asciiTheme="minorEastAsia" w:hAnsiTheme="minorEastAsia" w:eastAsiaTheme="minorEastAsia" w:cstheme="minorEastAsia"/>
                <w:color w:val="auto"/>
                <w:highlight w:val="none"/>
              </w:rPr>
            </w:pPr>
            <w:r>
              <w:rPr>
                <w:rFonts w:eastAsiaTheme="minorEastAsia"/>
                <w:color w:val="auto"/>
                <w:highlight w:val="none"/>
              </w:rPr>
              <w:t>①</w:t>
            </w:r>
            <w:r>
              <w:rPr>
                <w:rFonts w:hint="eastAsia" w:asciiTheme="minorEastAsia" w:hAnsiTheme="minorEastAsia" w:eastAsiaTheme="minorEastAsia" w:cstheme="minorEastAsia"/>
                <w:color w:val="auto"/>
                <w:highlight w:val="none"/>
              </w:rPr>
              <w:t>《中小企业声明函》；</w:t>
            </w:r>
          </w:p>
          <w:p w14:paraId="320F19D7">
            <w:pPr>
              <w:pStyle w:val="17"/>
              <w:spacing w:line="400" w:lineRule="exact"/>
              <w:ind w:firstLine="420" w:firstLineChars="200"/>
              <w:rPr>
                <w:rFonts w:hint="eastAsia" w:asciiTheme="minorEastAsia" w:hAnsiTheme="minorEastAsia" w:eastAsiaTheme="minorEastAsia" w:cstheme="minorEastAsia"/>
                <w:color w:val="auto"/>
                <w:highlight w:val="none"/>
              </w:rPr>
            </w:pPr>
            <w:r>
              <w:rPr>
                <w:rFonts w:eastAsiaTheme="minorEastAsia"/>
                <w:color w:val="auto"/>
                <w:highlight w:val="none"/>
              </w:rPr>
              <w:t>②</w:t>
            </w:r>
            <w:r>
              <w:rPr>
                <w:rFonts w:hint="eastAsia" w:asciiTheme="minorEastAsia" w:hAnsiTheme="minorEastAsia" w:eastAsiaTheme="minorEastAsia" w:cstheme="minorEastAsia"/>
                <w:color w:val="auto"/>
                <w:highlight w:val="none"/>
              </w:rPr>
              <w:t>供应商属于监狱企业的，应当提供由省级以上监狱管理局、戒毒管理局等（含新疆生产建设兵团）出具的属于监狱企业的证明文件；</w:t>
            </w:r>
          </w:p>
          <w:p w14:paraId="16AB8426">
            <w:pPr>
              <w:pStyle w:val="17"/>
              <w:spacing w:line="400" w:lineRule="exact"/>
              <w:ind w:firstLine="420" w:firstLineChars="200"/>
              <w:rPr>
                <w:rFonts w:hint="eastAsia" w:asciiTheme="minorEastAsia" w:hAnsiTheme="minorEastAsia" w:eastAsiaTheme="minorEastAsia" w:cstheme="minorEastAsia"/>
                <w:color w:val="auto"/>
                <w:highlight w:val="none"/>
              </w:rPr>
            </w:pPr>
            <w:r>
              <w:rPr>
                <w:rFonts w:eastAsiaTheme="minorEastAsia"/>
                <w:color w:val="auto"/>
                <w:highlight w:val="none"/>
              </w:rPr>
              <w:t>③</w:t>
            </w:r>
            <w:r>
              <w:rPr>
                <w:rFonts w:hint="eastAsia" w:asciiTheme="minorEastAsia" w:hAnsiTheme="minorEastAsia" w:eastAsiaTheme="minorEastAsia" w:cstheme="minorEastAsia"/>
                <w:color w:val="auto"/>
                <w:highlight w:val="none"/>
              </w:rPr>
              <w:t>符合条件的残疾人福利性单位在参加政府采购活动时，应当提供《残疾人福利性单位声明函》。</w:t>
            </w:r>
          </w:p>
          <w:p w14:paraId="0A506A55">
            <w:pPr>
              <w:spacing w:line="400" w:lineRule="exact"/>
              <w:ind w:firstLine="422" w:firstLineChars="200"/>
              <w:rPr>
                <w:color w:val="auto"/>
                <w:highlight w:val="none"/>
              </w:rPr>
            </w:pPr>
            <w:r>
              <w:rPr>
                <w:rFonts w:hint="eastAsia" w:asciiTheme="minorEastAsia" w:hAnsiTheme="minorEastAsia" w:eastAsiaTheme="minorEastAsia" w:cstheme="minorEastAsia"/>
                <w:b/>
                <w:bCs/>
                <w:color w:val="auto"/>
                <w:highlight w:val="none"/>
              </w:rPr>
              <w:t>注：以上标明“必须提供”的材料属于复印件的扫描件的，必须加盖供应商电子公章，否则响应文件按无效响应处理。</w:t>
            </w:r>
          </w:p>
        </w:tc>
      </w:tr>
      <w:tr w14:paraId="0A7D7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7" w:hRule="atLeast"/>
          <w:jc w:val="center"/>
        </w:trPr>
        <w:tc>
          <w:tcPr>
            <w:tcW w:w="1093" w:type="dxa"/>
            <w:vAlign w:val="center"/>
          </w:tcPr>
          <w:p w14:paraId="5E5E7B60">
            <w:pPr>
              <w:spacing w:line="40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8</w:t>
            </w:r>
          </w:p>
        </w:tc>
        <w:tc>
          <w:tcPr>
            <w:tcW w:w="8813" w:type="dxa"/>
            <w:vAlign w:val="center"/>
          </w:tcPr>
          <w:p w14:paraId="7CD68716">
            <w:pPr>
              <w:snapToGrid w:val="0"/>
              <w:spacing w:line="400" w:lineRule="exact"/>
              <w:jc w:val="left"/>
              <w:rPr>
                <w:rFonts w:hint="eastAsia" w:ascii="宋体" w:hAnsi="宋体" w:cs="宋体"/>
                <w:b/>
                <w:color w:val="auto"/>
                <w:highlight w:val="none"/>
              </w:rPr>
            </w:pPr>
            <w:r>
              <w:rPr>
                <w:rFonts w:hint="eastAsia" w:ascii="宋体" w:hAnsi="宋体" w:cs="宋体"/>
                <w:b/>
                <w:color w:val="auto"/>
                <w:highlight w:val="none"/>
              </w:rPr>
              <w:t>▲特别说明：</w:t>
            </w:r>
          </w:p>
          <w:p w14:paraId="0788A0FE">
            <w:pPr>
              <w:snapToGrid w:val="0"/>
              <w:spacing w:line="400" w:lineRule="exact"/>
              <w:jc w:val="left"/>
              <w:rPr>
                <w:rFonts w:hint="eastAsia" w:ascii="宋体" w:hAnsi="宋体" w:cs="宋体"/>
                <w:color w:val="auto"/>
                <w:highlight w:val="none"/>
              </w:rPr>
            </w:pPr>
            <w:r>
              <w:rPr>
                <w:rFonts w:hint="eastAsia" w:ascii="宋体" w:hAnsi="宋体" w:cs="宋体"/>
                <w:b/>
                <w:color w:val="auto"/>
                <w:highlight w:val="none"/>
              </w:rPr>
              <w:t>（1）响应文件中所须加盖公章部分均采用CA签章。若竞争性磋商采购文件中有专门标注的某关联点，并要求供应商在电子投标系统中作出磋商响应的，如供应商未对关联点进行响应或者在响应文件其它内容进行描述，造成电子评审不能查询的责任由供应商自行承担。</w:t>
            </w:r>
          </w:p>
          <w:p w14:paraId="2B1E905D">
            <w:pPr>
              <w:spacing w:line="400" w:lineRule="exact"/>
              <w:rPr>
                <w:rFonts w:hint="eastAsia" w:ascii="宋体" w:hAnsi="宋体" w:cs="宋体"/>
                <w:b/>
                <w:color w:val="auto"/>
                <w:highlight w:val="none"/>
              </w:rPr>
            </w:pPr>
            <w:r>
              <w:rPr>
                <w:rFonts w:hint="eastAsia" w:ascii="宋体" w:hAnsi="宋体" w:cs="宋体"/>
                <w:b/>
                <w:color w:val="auto"/>
                <w:highlight w:val="none"/>
              </w:rPr>
              <w:t>（2）竞争性磋商采购文件要求提供的各种复印件，须加盖磋商供应商CA签章，否则其磋商无效。</w:t>
            </w:r>
          </w:p>
          <w:p w14:paraId="21B4FFAA">
            <w:pPr>
              <w:spacing w:line="400" w:lineRule="exact"/>
              <w:rPr>
                <w:rFonts w:hint="eastAsia" w:ascii="宋体" w:hAnsi="宋体" w:cs="宋体"/>
                <w:b/>
                <w:color w:val="auto"/>
                <w:highlight w:val="none"/>
              </w:rPr>
            </w:pPr>
            <w:r>
              <w:rPr>
                <w:rFonts w:hint="eastAsia" w:ascii="宋体" w:hAnsi="宋体" w:cs="宋体"/>
                <w:b/>
                <w:color w:val="auto"/>
                <w:highlight w:val="none"/>
              </w:rPr>
              <w:t>（3）竞争性磋商采购文件要求“必须提供”的证明等材料，磋商供应商必须全部提供，缺一不可，否则磋商无效。</w:t>
            </w:r>
          </w:p>
          <w:p w14:paraId="4F7304EE">
            <w:pPr>
              <w:spacing w:line="400" w:lineRule="exact"/>
              <w:rPr>
                <w:rFonts w:hint="eastAsia" w:ascii="宋体" w:hAnsi="宋体" w:cs="宋体"/>
                <w:b/>
                <w:color w:val="auto"/>
                <w:highlight w:val="none"/>
              </w:rPr>
            </w:pPr>
            <w:r>
              <w:rPr>
                <w:rFonts w:hint="eastAsia" w:ascii="宋体" w:hAnsi="宋体" w:cs="宋体"/>
                <w:b/>
                <w:color w:val="auto"/>
                <w:highlight w:val="none"/>
              </w:rPr>
              <w:t>（4）竞争性磋商采购文件要求法定代表人（负责人）或委托代理人签字的部分必须签字或电子签章，否则视为磋商无效。</w:t>
            </w:r>
          </w:p>
          <w:p w14:paraId="26DE07E4">
            <w:pPr>
              <w:spacing w:line="400" w:lineRule="exact"/>
              <w:rPr>
                <w:rFonts w:hint="eastAsia" w:asciiTheme="minorEastAsia" w:hAnsiTheme="minorEastAsia" w:eastAsiaTheme="minorEastAsia" w:cstheme="minorEastAsia"/>
                <w:color w:val="auto"/>
                <w:spacing w:val="2"/>
                <w:highlight w:val="none"/>
              </w:rPr>
            </w:pPr>
            <w:r>
              <w:rPr>
                <w:rFonts w:hint="eastAsia"/>
                <w:b/>
                <w:color w:val="auto"/>
                <w:highlight w:val="none"/>
              </w:rPr>
              <w:t>（5）以上材料未附格式的，由供应商自行拟定。</w:t>
            </w:r>
          </w:p>
        </w:tc>
      </w:tr>
      <w:tr w14:paraId="737E3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093" w:type="dxa"/>
            <w:vAlign w:val="center"/>
          </w:tcPr>
          <w:p w14:paraId="0E510B0F">
            <w:pPr>
              <w:spacing w:line="400" w:lineRule="exact"/>
              <w:jc w:val="center"/>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color w:val="auto"/>
                <w:spacing w:val="2"/>
                <w:highlight w:val="none"/>
              </w:rPr>
              <w:t>9</w:t>
            </w:r>
          </w:p>
        </w:tc>
        <w:tc>
          <w:tcPr>
            <w:tcW w:w="8813" w:type="dxa"/>
            <w:vAlign w:val="center"/>
          </w:tcPr>
          <w:p w14:paraId="19D8140B">
            <w:pPr>
              <w:spacing w:line="400" w:lineRule="exact"/>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color w:val="auto"/>
                <w:spacing w:val="2"/>
                <w:highlight w:val="none"/>
              </w:rPr>
              <w:t>竞标有效期为：</w:t>
            </w:r>
            <w:r>
              <w:rPr>
                <w:rFonts w:hint="eastAsia" w:asciiTheme="minorEastAsia" w:hAnsiTheme="minorEastAsia" w:eastAsiaTheme="minorEastAsia" w:cstheme="minorEastAsia"/>
                <w:b/>
                <w:bCs/>
                <w:color w:val="auto"/>
                <w:spacing w:val="2"/>
                <w:highlight w:val="none"/>
              </w:rPr>
              <w:t>90日历天</w:t>
            </w:r>
          </w:p>
        </w:tc>
      </w:tr>
      <w:tr w14:paraId="36FD9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093" w:type="dxa"/>
            <w:vAlign w:val="center"/>
          </w:tcPr>
          <w:p w14:paraId="05AFBBE0">
            <w:pPr>
              <w:spacing w:line="400" w:lineRule="exact"/>
              <w:jc w:val="center"/>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color w:val="auto"/>
                <w:spacing w:val="2"/>
                <w:highlight w:val="none"/>
              </w:rPr>
              <w:t>10</w:t>
            </w:r>
          </w:p>
        </w:tc>
        <w:tc>
          <w:tcPr>
            <w:tcW w:w="8813" w:type="dxa"/>
            <w:vAlign w:val="center"/>
          </w:tcPr>
          <w:p w14:paraId="18C8DCD2">
            <w:pPr>
              <w:spacing w:line="400" w:lineRule="exact"/>
              <w:rPr>
                <w:rFonts w:hint="eastAsia" w:asciiTheme="minorEastAsia" w:hAnsiTheme="minorEastAsia" w:eastAsiaTheme="minorEastAsia" w:cstheme="minorEastAsia"/>
                <w:b/>
                <w:color w:val="auto"/>
                <w:spacing w:val="2"/>
                <w:highlight w:val="none"/>
                <w:u w:val="single"/>
              </w:rPr>
            </w:pPr>
            <w:r>
              <w:rPr>
                <w:rFonts w:hint="eastAsia" w:asciiTheme="minorEastAsia" w:hAnsiTheme="minorEastAsia" w:eastAsiaTheme="minorEastAsia" w:cstheme="minorEastAsia"/>
                <w:color w:val="auto"/>
                <w:highlight w:val="none"/>
              </w:rPr>
              <w:t>磋商保证金：</w:t>
            </w:r>
            <w:r>
              <w:rPr>
                <w:rFonts w:hint="eastAsia" w:asciiTheme="minorEastAsia" w:hAnsiTheme="minorEastAsia" w:eastAsiaTheme="minorEastAsia" w:cstheme="minorEastAsia"/>
                <w:color w:val="auto"/>
                <w:highlight w:val="none"/>
                <w:lang w:val="en-US" w:eastAsia="zh-CN"/>
              </w:rPr>
              <w:t>不收取磋商保证金。</w:t>
            </w:r>
          </w:p>
        </w:tc>
      </w:tr>
      <w:tr w14:paraId="21825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1093" w:type="dxa"/>
            <w:vAlign w:val="center"/>
          </w:tcPr>
          <w:p w14:paraId="152F888A">
            <w:pPr>
              <w:spacing w:line="400" w:lineRule="exact"/>
              <w:jc w:val="center"/>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color w:val="auto"/>
                <w:spacing w:val="2"/>
                <w:highlight w:val="none"/>
              </w:rPr>
              <w:t>11</w:t>
            </w:r>
          </w:p>
        </w:tc>
        <w:tc>
          <w:tcPr>
            <w:tcW w:w="8813" w:type="dxa"/>
            <w:vAlign w:val="center"/>
          </w:tcPr>
          <w:p w14:paraId="204B74BC">
            <w:pPr>
              <w:spacing w:line="400" w:lineRule="exact"/>
              <w:rPr>
                <w:rFonts w:hint="eastAsia" w:asciiTheme="minorEastAsia" w:hAnsiTheme="minorEastAsia" w:eastAsiaTheme="minorEastAsia" w:cstheme="minorEastAsia"/>
                <w:color w:val="auto"/>
                <w:spacing w:val="2"/>
                <w:highlight w:val="none"/>
              </w:rPr>
            </w:pPr>
            <w:r>
              <w:rPr>
                <w:rFonts w:hint="eastAsia" w:ascii="宋体" w:hAnsi="宋体"/>
                <w:color w:val="auto"/>
                <w:highlight w:val="none"/>
              </w:rPr>
              <w:t>竞争性磋商响应文件的份数：电子响应文件一份。</w:t>
            </w:r>
          </w:p>
        </w:tc>
      </w:tr>
      <w:tr w14:paraId="0DF49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 w:hRule="atLeast"/>
          <w:jc w:val="center"/>
        </w:trPr>
        <w:tc>
          <w:tcPr>
            <w:tcW w:w="1093" w:type="dxa"/>
            <w:vAlign w:val="center"/>
          </w:tcPr>
          <w:p w14:paraId="37B2BDD3">
            <w:pPr>
              <w:spacing w:line="400" w:lineRule="exact"/>
              <w:jc w:val="center"/>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color w:val="auto"/>
                <w:spacing w:val="2"/>
                <w:highlight w:val="none"/>
              </w:rPr>
              <w:t>12</w:t>
            </w:r>
          </w:p>
        </w:tc>
        <w:tc>
          <w:tcPr>
            <w:tcW w:w="8813" w:type="dxa"/>
            <w:vAlign w:val="center"/>
          </w:tcPr>
          <w:p w14:paraId="3BF5F747">
            <w:pPr>
              <w:spacing w:line="400" w:lineRule="exact"/>
              <w:ind w:hanging="6"/>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b/>
                <w:bCs/>
                <w:color w:val="auto"/>
                <w:spacing w:val="2"/>
                <w:highlight w:val="none"/>
              </w:rPr>
              <w:t>磋商时间：</w:t>
            </w:r>
            <w:r>
              <w:rPr>
                <w:rFonts w:hint="eastAsia" w:asciiTheme="minorEastAsia" w:hAnsiTheme="minorEastAsia" w:eastAsiaTheme="minorEastAsia" w:cstheme="minorEastAsia"/>
                <w:b/>
                <w:bCs/>
                <w:color w:val="auto"/>
                <w:spacing w:val="2"/>
                <w:highlight w:val="yellow"/>
                <w:lang w:eastAsia="zh-CN"/>
              </w:rPr>
              <w:t>2026年</w:t>
            </w:r>
            <w:r>
              <w:rPr>
                <w:rFonts w:hint="eastAsia" w:asciiTheme="minorEastAsia" w:hAnsiTheme="minorEastAsia" w:eastAsiaTheme="minorEastAsia" w:cstheme="minorEastAsia"/>
                <w:b/>
                <w:bCs/>
                <w:color w:val="auto"/>
                <w:spacing w:val="2"/>
                <w:highlight w:val="yellow"/>
                <w:lang w:val="en-US" w:eastAsia="zh-CN"/>
              </w:rPr>
              <w:t>8月11</w:t>
            </w:r>
            <w:r>
              <w:rPr>
                <w:rFonts w:hint="eastAsia" w:asciiTheme="minorEastAsia" w:hAnsiTheme="minorEastAsia" w:eastAsiaTheme="minorEastAsia" w:cstheme="minorEastAsia"/>
                <w:b/>
                <w:bCs/>
                <w:color w:val="auto"/>
                <w:spacing w:val="2"/>
                <w:highlight w:val="yellow"/>
              </w:rPr>
              <w:t>日</w:t>
            </w:r>
            <w:r>
              <w:rPr>
                <w:rFonts w:hint="eastAsia" w:asciiTheme="minorEastAsia" w:hAnsiTheme="minorEastAsia" w:eastAsiaTheme="minorEastAsia" w:cstheme="minorEastAsia"/>
                <w:b/>
                <w:bCs/>
                <w:color w:val="auto"/>
                <w:highlight w:val="yellow"/>
              </w:rPr>
              <w:t>9点30分</w:t>
            </w:r>
            <w:r>
              <w:rPr>
                <w:rFonts w:hint="eastAsia" w:asciiTheme="minorEastAsia" w:hAnsiTheme="minorEastAsia" w:eastAsiaTheme="minorEastAsia" w:cstheme="minorEastAsia"/>
                <w:b/>
                <w:bCs/>
                <w:color w:val="auto"/>
                <w:spacing w:val="2"/>
                <w:highlight w:val="yellow"/>
              </w:rPr>
              <w:t>截标后</w:t>
            </w:r>
          </w:p>
          <w:p w14:paraId="23414CDB">
            <w:pPr>
              <w:spacing w:line="400" w:lineRule="exact"/>
              <w:ind w:hanging="6"/>
              <w:rPr>
                <w:rFonts w:hint="eastAsia" w:asciiTheme="minorEastAsia" w:hAnsiTheme="minorEastAsia" w:eastAsiaTheme="minorEastAsia" w:cstheme="minorEastAsia"/>
                <w:b/>
                <w:bCs/>
                <w:color w:val="auto"/>
                <w:spacing w:val="2"/>
                <w:highlight w:val="none"/>
              </w:rPr>
            </w:pPr>
            <w:r>
              <w:rPr>
                <w:rFonts w:hint="eastAsia" w:asciiTheme="minorEastAsia" w:hAnsiTheme="minorEastAsia" w:eastAsiaTheme="minorEastAsia" w:cstheme="minorEastAsia"/>
                <w:b/>
                <w:bCs/>
                <w:color w:val="auto"/>
                <w:spacing w:val="2"/>
                <w:highlight w:val="none"/>
              </w:rPr>
              <w:t>磋商地点：</w:t>
            </w:r>
            <w:r>
              <w:rPr>
                <w:rFonts w:hint="eastAsia" w:asciiTheme="minorEastAsia" w:hAnsiTheme="minorEastAsia" w:eastAsiaTheme="minorEastAsia" w:cstheme="minorEastAsia"/>
                <w:color w:val="auto"/>
                <w:spacing w:val="2"/>
                <w:highlight w:val="none"/>
              </w:rPr>
              <w:t>通过广西政府采购云平台实行在线投标响应。</w:t>
            </w:r>
          </w:p>
        </w:tc>
      </w:tr>
      <w:tr w14:paraId="51901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7" w:hRule="atLeast"/>
          <w:jc w:val="center"/>
        </w:trPr>
        <w:tc>
          <w:tcPr>
            <w:tcW w:w="1093" w:type="dxa"/>
            <w:vAlign w:val="center"/>
          </w:tcPr>
          <w:p w14:paraId="31223F6A">
            <w:pPr>
              <w:spacing w:line="40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13</w:t>
            </w:r>
          </w:p>
        </w:tc>
        <w:tc>
          <w:tcPr>
            <w:tcW w:w="8813" w:type="dxa"/>
            <w:vAlign w:val="center"/>
          </w:tcPr>
          <w:p w14:paraId="59358C85">
            <w:pPr>
              <w:spacing w:line="400" w:lineRule="exact"/>
              <w:ind w:hanging="6"/>
              <w:rPr>
                <w:rFonts w:hint="eastAsia" w:asciiTheme="minorEastAsia" w:hAnsiTheme="minorEastAsia" w:eastAsiaTheme="minorEastAsia" w:cstheme="minorEastAsia"/>
                <w:b/>
                <w:bCs/>
                <w:color w:val="auto"/>
                <w:spacing w:val="2"/>
                <w:highlight w:val="none"/>
              </w:rPr>
            </w:pPr>
            <w:r>
              <w:rPr>
                <w:rFonts w:hint="eastAsia" w:asciiTheme="minorEastAsia" w:hAnsiTheme="minorEastAsia" w:eastAsiaTheme="minorEastAsia" w:cstheme="minorEastAsia"/>
                <w:b/>
                <w:bCs/>
                <w:color w:val="auto"/>
                <w:spacing w:val="2"/>
                <w:highlight w:val="none"/>
              </w:rPr>
              <w:t>磋商前准备：</w:t>
            </w:r>
          </w:p>
          <w:p w14:paraId="51A62AF0">
            <w:pPr>
              <w:spacing w:line="400" w:lineRule="exact"/>
              <w:ind w:hanging="6"/>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color w:val="auto"/>
                <w:spacing w:val="2"/>
                <w:highlight w:val="none"/>
              </w:rPr>
              <w:t>1、本项目实行网上磋商，采用电子磋商响应文件。若供应商参与磋商，自行承担磋商一切费用。</w:t>
            </w:r>
          </w:p>
          <w:p w14:paraId="3DFC3236">
            <w:pPr>
              <w:spacing w:line="400" w:lineRule="exact"/>
              <w:ind w:hanging="6"/>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color w:val="auto"/>
                <w:spacing w:val="2"/>
                <w:highlight w:val="none"/>
              </w:rPr>
              <w:t>2、各供应商应在截标前应确保成为广西政府采购云平台正式注册入库供应商，并完成CA数字证书申领。因未注册入库、未办理CA数字证书等原因造成无法磋商或磋商失败等后果由供应商自行承担。</w:t>
            </w:r>
          </w:p>
          <w:p w14:paraId="148EDBDC">
            <w:pPr>
              <w:spacing w:line="400" w:lineRule="exact"/>
              <w:ind w:hanging="6"/>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color w:val="auto"/>
                <w:spacing w:val="2"/>
                <w:highlight w:val="none"/>
              </w:rPr>
              <w:t>3、供应商将广西政府采购云电子交易客户端下载、安装完成后，可通过账号密码或CA登录客户端进行响应文件制作。客户端请至网站下载专区查看，如有问题可拨打广西政府采购云客户服务热线95763进行咨询。</w:t>
            </w:r>
          </w:p>
          <w:p w14:paraId="497234EC">
            <w:pPr>
              <w:spacing w:line="400" w:lineRule="exact"/>
              <w:ind w:hanging="6"/>
              <w:rPr>
                <w:rFonts w:hint="eastAsia" w:asciiTheme="minorEastAsia" w:hAnsiTheme="minorEastAsia" w:eastAsiaTheme="minorEastAsia" w:cstheme="minorEastAsia"/>
                <w:b/>
                <w:bCs/>
                <w:color w:val="auto"/>
                <w:spacing w:val="2"/>
                <w:highlight w:val="none"/>
              </w:rPr>
            </w:pPr>
            <w:r>
              <w:rPr>
                <w:rFonts w:hint="eastAsia" w:asciiTheme="minorEastAsia" w:hAnsiTheme="minorEastAsia" w:eastAsiaTheme="minorEastAsia" w:cstheme="minorEastAsia"/>
                <w:b/>
                <w:bCs/>
                <w:color w:val="auto"/>
                <w:spacing w:val="2"/>
                <w:highlight w:val="none"/>
              </w:rPr>
              <w:t>磋商响应文件解密时间：</w:t>
            </w:r>
          </w:p>
          <w:p w14:paraId="6E28C3CA">
            <w:pPr>
              <w:pStyle w:val="24"/>
              <w:spacing w:line="400" w:lineRule="exact"/>
              <w:ind w:firstLine="428"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kern w:val="2"/>
                <w:sz w:val="21"/>
                <w:szCs w:val="21"/>
                <w:highlight w:val="none"/>
              </w:rPr>
              <w:t>截标时间后30分钟内磋商供应商可以登录广西政府采购云平台，用“项目采购-开标评标”功能进行解密磋商响应文件。若磋商供应商在规定时间内无法解密或解密失败，可以以电子备份磋商响应文件作为依据，若电子备份磋商响应文件与广西政府采购云平台上传的电子磋商响应文件被识别为不一致的，以电子备份磋商响应文件作为评审依据；磋商供应商按时在线解密响应文件的，以在线解密的响应文件作为评审依据。若磋商供应商在规定时间内无法解密或解密失败且未提供电子备份磋商响应文件的，视为响应文件撤回。</w:t>
            </w:r>
          </w:p>
        </w:tc>
      </w:tr>
      <w:tr w14:paraId="6F06D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093" w:type="dxa"/>
            <w:vAlign w:val="center"/>
          </w:tcPr>
          <w:p w14:paraId="31BBDA33">
            <w:pPr>
              <w:spacing w:line="40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14</w:t>
            </w:r>
          </w:p>
        </w:tc>
        <w:tc>
          <w:tcPr>
            <w:tcW w:w="8813" w:type="dxa"/>
            <w:vAlign w:val="center"/>
          </w:tcPr>
          <w:p w14:paraId="697BA0FE">
            <w:pPr>
              <w:tabs>
                <w:tab w:val="left" w:pos="210"/>
              </w:tabs>
              <w:spacing w:line="400" w:lineRule="exact"/>
              <w:ind w:left="4870" w:hanging="4869" w:hangingChars="2319"/>
              <w:jc w:val="left"/>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color w:val="auto"/>
                <w:highlight w:val="none"/>
              </w:rPr>
              <w:t>评标办法：综合评分法</w:t>
            </w:r>
          </w:p>
        </w:tc>
      </w:tr>
      <w:tr w14:paraId="28C42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0" w:hRule="atLeast"/>
          <w:jc w:val="center"/>
        </w:trPr>
        <w:tc>
          <w:tcPr>
            <w:tcW w:w="1093" w:type="dxa"/>
            <w:vAlign w:val="center"/>
          </w:tcPr>
          <w:p w14:paraId="15AD7962">
            <w:pPr>
              <w:spacing w:line="40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15</w:t>
            </w:r>
          </w:p>
        </w:tc>
        <w:tc>
          <w:tcPr>
            <w:tcW w:w="8813" w:type="dxa"/>
            <w:vAlign w:val="center"/>
          </w:tcPr>
          <w:p w14:paraId="453D66F5">
            <w:pPr>
              <w:spacing w:line="400" w:lineRule="exact"/>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color w:val="auto"/>
                <w:spacing w:val="2"/>
                <w:highlight w:val="none"/>
              </w:rPr>
              <w:t>需要补充的其他内容：</w:t>
            </w:r>
          </w:p>
          <w:p w14:paraId="6242C60E">
            <w:pPr>
              <w:spacing w:line="400" w:lineRule="exact"/>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color w:val="auto"/>
                <w:spacing w:val="2"/>
                <w:highlight w:val="none"/>
              </w:rPr>
              <w:t>（1）采购代理机构自评审结束之日起2个工作日内将评审报告送交采购人；</w:t>
            </w:r>
          </w:p>
          <w:p w14:paraId="728B9AA5">
            <w:pPr>
              <w:spacing w:line="400" w:lineRule="exact"/>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color w:val="auto"/>
                <w:spacing w:val="2"/>
                <w:highlight w:val="none"/>
              </w:rPr>
              <w:t>（2）采购人收到采购代理机构提交的评审报告后，2个工作日内确定成交供应商；</w:t>
            </w:r>
          </w:p>
          <w:p w14:paraId="4E060C43">
            <w:pPr>
              <w:spacing w:line="400" w:lineRule="exact"/>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color w:val="auto"/>
                <w:spacing w:val="2"/>
                <w:highlight w:val="none"/>
              </w:rPr>
              <w:t>（3）合同签订期：自成交通知书发出之日起25个日历天内；</w:t>
            </w:r>
          </w:p>
          <w:p w14:paraId="6232FEC7">
            <w:pPr>
              <w:spacing w:line="400" w:lineRule="exact"/>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（4）采购人和成交供应商签订合同之日起2个工作日内将政府采购合同在</w:t>
            </w:r>
            <w:r>
              <w:rPr>
                <w:rFonts w:hint="eastAsia" w:ascii="宋体" w:hAnsi="宋体" w:cs="宋体"/>
                <w:color w:val="auto"/>
                <w:kern w:val="0"/>
                <w:highlight w:val="none"/>
              </w:rPr>
              <w:t>广西壮族自治区政府采购网</w:t>
            </w:r>
            <w:r>
              <w:rPr>
                <w:rFonts w:hint="eastAsia" w:asciiTheme="minorEastAsia" w:hAnsiTheme="minorEastAsia" w:eastAsiaTheme="minorEastAsia" w:cstheme="minorEastAsia"/>
                <w:color w:val="auto"/>
                <w:spacing w:val="2"/>
                <w:highlight w:val="none"/>
              </w:rPr>
              <w:t>上发布。</w:t>
            </w:r>
          </w:p>
        </w:tc>
      </w:tr>
      <w:tr w14:paraId="68D54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vAlign w:val="center"/>
          </w:tcPr>
          <w:p w14:paraId="46D89AD1">
            <w:pPr>
              <w:autoSpaceDE w:val="0"/>
              <w:autoSpaceDN w:val="0"/>
              <w:spacing w:line="400" w:lineRule="exact"/>
              <w:ind w:right="69" w:rightChars="33"/>
              <w:jc w:val="center"/>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16</w:t>
            </w:r>
          </w:p>
        </w:tc>
        <w:tc>
          <w:tcPr>
            <w:tcW w:w="8813" w:type="dxa"/>
            <w:vAlign w:val="center"/>
          </w:tcPr>
          <w:p w14:paraId="05EC4FD1">
            <w:pPr>
              <w:spacing w:line="400" w:lineRule="exact"/>
              <w:rPr>
                <w:rFonts w:hint="eastAsia"/>
                <w:color w:val="auto"/>
                <w:highlight w:val="none"/>
              </w:rPr>
            </w:pPr>
            <w:r>
              <w:rPr>
                <w:rFonts w:hint="eastAsia"/>
                <w:color w:val="auto"/>
                <w:highlight w:val="none"/>
              </w:rPr>
              <w:t>履约保证金金额：</w:t>
            </w:r>
          </w:p>
          <w:p w14:paraId="5AD9F84A">
            <w:pPr>
              <w:spacing w:line="400" w:lineRule="exact"/>
              <w:rPr>
                <w:rFonts w:hint="eastAsia" w:eastAsia="宋体"/>
                <w:color w:val="auto"/>
                <w:highlight w:val="none"/>
                <w:lang w:eastAsia="zh-CN"/>
              </w:rPr>
            </w:pPr>
            <w:r>
              <w:rPr>
                <w:rFonts w:hint="eastAsia"/>
                <w:color w:val="auto"/>
                <w:highlight w:val="none"/>
                <w:lang w:val="en-US" w:eastAsia="zh-CN"/>
              </w:rPr>
              <w:t>☑本项目不收取履约保证金。</w:t>
            </w:r>
          </w:p>
        </w:tc>
      </w:tr>
      <w:tr w14:paraId="334CB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1093" w:type="dxa"/>
            <w:vAlign w:val="center"/>
          </w:tcPr>
          <w:p w14:paraId="06DC6005">
            <w:pPr>
              <w:autoSpaceDE w:val="0"/>
              <w:autoSpaceDN w:val="0"/>
              <w:spacing w:line="400" w:lineRule="exact"/>
              <w:ind w:right="69" w:rightChars="33"/>
              <w:jc w:val="center"/>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17</w:t>
            </w:r>
          </w:p>
        </w:tc>
        <w:tc>
          <w:tcPr>
            <w:tcW w:w="8813" w:type="dxa"/>
            <w:vAlign w:val="center"/>
          </w:tcPr>
          <w:p w14:paraId="54ADC6E3">
            <w:pPr>
              <w:pStyle w:val="2"/>
              <w:spacing w:line="400" w:lineRule="exact"/>
              <w:jc w:val="left"/>
              <w:rPr>
                <w:rFonts w:ascii="Times New Roman" w:hAnsi="Times New Roman" w:eastAsia="宋体" w:cs="Times New Roman"/>
                <w:b w:val="0"/>
                <w:bCs w:val="0"/>
                <w:color w:val="auto"/>
                <w:kern w:val="2"/>
                <w:sz w:val="21"/>
                <w:szCs w:val="21"/>
                <w:highlight w:val="none"/>
              </w:rPr>
            </w:pPr>
            <w:r>
              <w:rPr>
                <w:rFonts w:hint="eastAsia" w:ascii="Times New Roman" w:hAnsi="Times New Roman" w:eastAsia="宋体" w:cs="Times New Roman"/>
                <w:b w:val="0"/>
                <w:bCs w:val="0"/>
                <w:color w:val="auto"/>
                <w:kern w:val="2"/>
                <w:sz w:val="21"/>
                <w:szCs w:val="21"/>
                <w:highlight w:val="none"/>
              </w:rPr>
              <w:t>现场勘察：无。</w:t>
            </w:r>
          </w:p>
        </w:tc>
      </w:tr>
      <w:tr w14:paraId="4EF51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tcBorders>
              <w:bottom w:val="single" w:color="auto" w:sz="4" w:space="0"/>
            </w:tcBorders>
            <w:vAlign w:val="center"/>
          </w:tcPr>
          <w:p w14:paraId="2DDB0AA7">
            <w:pPr>
              <w:autoSpaceDE w:val="0"/>
              <w:autoSpaceDN w:val="0"/>
              <w:spacing w:line="400" w:lineRule="exact"/>
              <w:ind w:right="69" w:rightChars="33"/>
              <w:jc w:val="center"/>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18</w:t>
            </w:r>
          </w:p>
        </w:tc>
        <w:tc>
          <w:tcPr>
            <w:tcW w:w="8813" w:type="dxa"/>
            <w:tcBorders>
              <w:bottom w:val="single" w:color="auto" w:sz="4" w:space="0"/>
              <w:right w:val="single" w:color="auto" w:sz="4" w:space="0"/>
            </w:tcBorders>
            <w:vAlign w:val="center"/>
          </w:tcPr>
          <w:p w14:paraId="646410CB">
            <w:pPr>
              <w:pStyle w:val="24"/>
              <w:shd w:val="clear" w:color="auto" w:fill="FFFFFF"/>
              <w:snapToGrid w:val="0"/>
              <w:spacing w:line="400" w:lineRule="exact"/>
              <w:rPr>
                <w:rFonts w:hint="eastAsia" w:hAnsi="宋体"/>
                <w:color w:val="auto"/>
                <w:sz w:val="21"/>
                <w:highlight w:val="none"/>
              </w:rPr>
            </w:pPr>
            <w:r>
              <w:rPr>
                <w:rFonts w:hint="eastAsia" w:hAnsi="宋体"/>
                <w:color w:val="auto"/>
                <w:sz w:val="21"/>
                <w:highlight w:val="none"/>
              </w:rPr>
              <w:t>1.采购代理费支付方式：</w:t>
            </w:r>
          </w:p>
          <w:p w14:paraId="2EE8B6B1">
            <w:pPr>
              <w:pStyle w:val="24"/>
              <w:shd w:val="clear" w:color="auto" w:fill="FFFFFF"/>
              <w:snapToGrid w:val="0"/>
              <w:spacing w:line="400" w:lineRule="exact"/>
              <w:rPr>
                <w:rFonts w:hint="eastAsia" w:hAnsi="宋体"/>
                <w:color w:val="auto"/>
                <w:sz w:val="21"/>
                <w:highlight w:val="none"/>
              </w:rPr>
            </w:pPr>
            <w:r>
              <w:rPr>
                <w:rFonts w:hint="eastAsia" w:hAnsi="宋体"/>
                <w:color w:val="auto"/>
                <w:sz w:val="21"/>
                <w:highlight w:val="none"/>
              </w:rPr>
              <w:t>本项目代理服务费由</w:t>
            </w:r>
            <w:r>
              <w:rPr>
                <w:rFonts w:hint="eastAsia" w:hAnsi="宋体"/>
                <w:color w:val="auto"/>
                <w:sz w:val="21"/>
                <w:highlight w:val="none"/>
                <w:lang w:val="en-US" w:eastAsia="zh-CN"/>
              </w:rPr>
              <w:t>成交供应商</w:t>
            </w:r>
            <w:r>
              <w:rPr>
                <w:rFonts w:hint="eastAsia" w:hAnsi="宋体"/>
                <w:color w:val="auto"/>
                <w:sz w:val="21"/>
                <w:highlight w:val="none"/>
              </w:rPr>
              <w:t>在领取</w:t>
            </w:r>
            <w:r>
              <w:rPr>
                <w:rFonts w:hint="eastAsia" w:hAnsi="宋体"/>
                <w:color w:val="auto"/>
                <w:sz w:val="21"/>
                <w:highlight w:val="none"/>
                <w:lang w:val="en-US" w:eastAsia="zh-CN"/>
              </w:rPr>
              <w:t>成交</w:t>
            </w:r>
            <w:r>
              <w:rPr>
                <w:rFonts w:hint="eastAsia" w:hAnsi="宋体"/>
                <w:color w:val="auto"/>
                <w:sz w:val="21"/>
                <w:highlight w:val="none"/>
              </w:rPr>
              <w:t>通知书前，一次性向采购代理机构支付。</w:t>
            </w:r>
          </w:p>
          <w:p w14:paraId="27895951">
            <w:pPr>
              <w:pStyle w:val="24"/>
              <w:shd w:val="clear" w:color="auto" w:fill="FFFFFF"/>
              <w:snapToGrid w:val="0"/>
              <w:spacing w:line="400" w:lineRule="exact"/>
              <w:rPr>
                <w:rFonts w:hint="eastAsia" w:hAnsi="宋体"/>
                <w:color w:val="auto"/>
                <w:sz w:val="21"/>
                <w:highlight w:val="none"/>
              </w:rPr>
            </w:pPr>
            <w:r>
              <w:rPr>
                <w:rFonts w:hint="eastAsia" w:hAnsi="宋体"/>
                <w:color w:val="auto"/>
                <w:sz w:val="21"/>
                <w:highlight w:val="none"/>
              </w:rPr>
              <w:t>2.采购代理费收取标准：</w:t>
            </w:r>
          </w:p>
          <w:p w14:paraId="16C05CA1">
            <w:pPr>
              <w:pStyle w:val="24"/>
              <w:shd w:val="clear" w:color="auto" w:fill="FFFFFF"/>
              <w:snapToGrid w:val="0"/>
              <w:spacing w:line="400" w:lineRule="exact"/>
              <w:rPr>
                <w:rFonts w:hint="eastAsia" w:hAnsi="宋体"/>
                <w:color w:val="auto"/>
                <w:sz w:val="21"/>
                <w:highlight w:val="none"/>
              </w:rPr>
            </w:pPr>
            <w:r>
              <w:rPr>
                <w:rFonts w:hint="eastAsia" w:hAnsi="宋体"/>
                <w:color w:val="auto"/>
                <w:sz w:val="21"/>
                <w:highlight w:val="none"/>
              </w:rPr>
              <w:t>以成交金额为计费额，按本磋商文件之《供应商须知正文》第3</w:t>
            </w:r>
            <w:r>
              <w:rPr>
                <w:rFonts w:hint="eastAsia" w:hAnsi="宋体"/>
                <w:color w:val="auto"/>
                <w:sz w:val="21"/>
                <w:highlight w:val="none"/>
                <w:lang w:val="en-US" w:eastAsia="zh-CN"/>
              </w:rPr>
              <w:t>9</w:t>
            </w:r>
            <w:r>
              <w:rPr>
                <w:rFonts w:hint="eastAsia" w:hAnsi="宋体"/>
                <w:color w:val="auto"/>
                <w:sz w:val="21"/>
                <w:highlight w:val="none"/>
              </w:rPr>
              <w:t>.</w:t>
            </w:r>
            <w:r>
              <w:rPr>
                <w:rFonts w:hint="eastAsia" w:hAnsi="宋体"/>
                <w:color w:val="auto"/>
                <w:sz w:val="21"/>
                <w:highlight w:val="none"/>
                <w:lang w:val="en-US" w:eastAsia="zh-CN"/>
              </w:rPr>
              <w:t>3</w:t>
            </w:r>
            <w:r>
              <w:rPr>
                <w:rFonts w:hint="eastAsia" w:hAnsi="宋体"/>
                <w:color w:val="auto"/>
                <w:sz w:val="21"/>
                <w:highlight w:val="none"/>
              </w:rPr>
              <w:t>条规定的收费计算标准服务类采用差额定率累进法计算出收费基准价格，采购代理服务费收费以收费基准价格收取。</w:t>
            </w:r>
          </w:p>
          <w:p w14:paraId="0BF258E1">
            <w:pPr>
              <w:pStyle w:val="24"/>
              <w:shd w:val="clear" w:color="auto" w:fill="FFFFFF"/>
              <w:snapToGrid w:val="0"/>
              <w:spacing w:line="400" w:lineRule="exact"/>
              <w:rPr>
                <w:rFonts w:hint="eastAsia" w:hAnsi="宋体"/>
                <w:color w:val="auto"/>
                <w:sz w:val="21"/>
                <w:highlight w:val="none"/>
              </w:rPr>
            </w:pPr>
            <w:r>
              <w:rPr>
                <w:rFonts w:hint="eastAsia" w:hAnsi="宋体"/>
                <w:color w:val="auto"/>
                <w:sz w:val="21"/>
                <w:highlight w:val="none"/>
              </w:rPr>
              <w:t xml:space="preserve">3.账户名称： </w:t>
            </w:r>
          </w:p>
          <w:p w14:paraId="57CEEAE2">
            <w:pPr>
              <w:pStyle w:val="24"/>
              <w:shd w:val="clear" w:color="auto" w:fill="FFFFFF"/>
              <w:snapToGrid w:val="0"/>
              <w:spacing w:line="400" w:lineRule="exact"/>
              <w:rPr>
                <w:rFonts w:hint="eastAsia" w:hAnsi="宋体" w:eastAsia="宋体"/>
                <w:color w:val="auto"/>
                <w:sz w:val="21"/>
                <w:highlight w:val="none"/>
                <w:lang w:eastAsia="zh-CN"/>
              </w:rPr>
            </w:pPr>
            <w:r>
              <w:rPr>
                <w:rFonts w:hint="eastAsia" w:hAnsi="宋体"/>
                <w:color w:val="auto"/>
                <w:sz w:val="21"/>
                <w:highlight w:val="none"/>
              </w:rPr>
              <w:t>账户名称：</w:t>
            </w:r>
            <w:r>
              <w:rPr>
                <w:rFonts w:hint="eastAsia" w:hAnsi="宋体"/>
                <w:color w:val="auto"/>
                <w:sz w:val="21"/>
                <w:highlight w:val="none"/>
                <w:lang w:eastAsia="zh-CN"/>
              </w:rPr>
              <w:t>广西建设工程机电设备招标中心有限公司</w:t>
            </w:r>
          </w:p>
          <w:p w14:paraId="7E0C8765">
            <w:pPr>
              <w:pStyle w:val="24"/>
              <w:shd w:val="clear" w:color="auto" w:fill="FFFFFF"/>
              <w:snapToGrid w:val="0"/>
              <w:spacing w:line="400" w:lineRule="exact"/>
              <w:rPr>
                <w:rFonts w:hint="eastAsia" w:hAnsi="宋体"/>
                <w:b w:val="0"/>
                <w:bCs w:val="0"/>
                <w:color w:val="auto"/>
                <w:szCs w:val="21"/>
                <w:highlight w:val="none"/>
              </w:rPr>
            </w:pPr>
            <w:r>
              <w:rPr>
                <w:rFonts w:hint="eastAsia" w:hAnsi="宋体"/>
                <w:b w:val="0"/>
                <w:bCs w:val="0"/>
                <w:color w:val="auto"/>
                <w:szCs w:val="21"/>
                <w:highlight w:val="none"/>
              </w:rPr>
              <w:t>开户银行：招商银行南宁分行营业部</w:t>
            </w:r>
          </w:p>
          <w:p w14:paraId="6088E18F">
            <w:pPr>
              <w:pStyle w:val="24"/>
              <w:shd w:val="clear" w:color="auto" w:fill="FFFFFF"/>
              <w:snapToGrid w:val="0"/>
              <w:spacing w:line="400" w:lineRule="exact"/>
              <w:rPr>
                <w:rFonts w:hint="eastAsia" w:hAnsi="宋体"/>
                <w:b/>
                <w:bCs/>
                <w:color w:val="auto"/>
                <w:szCs w:val="21"/>
                <w:highlight w:val="none"/>
              </w:rPr>
            </w:pPr>
            <w:r>
              <w:rPr>
                <w:rFonts w:hint="eastAsia" w:hAnsi="宋体"/>
                <w:b w:val="0"/>
                <w:bCs w:val="0"/>
                <w:color w:val="auto"/>
                <w:szCs w:val="21"/>
                <w:highlight w:val="none"/>
              </w:rPr>
              <w:t>银行账号：7719 0142 3310 201</w:t>
            </w:r>
          </w:p>
        </w:tc>
      </w:tr>
      <w:tr w14:paraId="5D2EB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093" w:type="dxa"/>
            <w:tcBorders>
              <w:top w:val="single" w:color="auto" w:sz="4" w:space="0"/>
              <w:bottom w:val="single" w:color="auto" w:sz="4" w:space="0"/>
            </w:tcBorders>
            <w:vAlign w:val="center"/>
          </w:tcPr>
          <w:p w14:paraId="3AEF96E3">
            <w:pPr>
              <w:autoSpaceDE w:val="0"/>
              <w:autoSpaceDN w:val="0"/>
              <w:spacing w:line="400" w:lineRule="exact"/>
              <w:ind w:right="69" w:rightChars="33"/>
              <w:jc w:val="center"/>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29</w:t>
            </w:r>
          </w:p>
        </w:tc>
        <w:tc>
          <w:tcPr>
            <w:tcW w:w="8813" w:type="dxa"/>
            <w:tcBorders>
              <w:top w:val="single" w:color="auto" w:sz="4" w:space="0"/>
              <w:bottom w:val="single" w:color="auto" w:sz="4" w:space="0"/>
              <w:right w:val="single" w:color="auto" w:sz="4" w:space="0"/>
            </w:tcBorders>
            <w:vAlign w:val="center"/>
          </w:tcPr>
          <w:p w14:paraId="4D475CF0">
            <w:pPr>
              <w:spacing w:line="440" w:lineRule="exact"/>
              <w:ind w:firstLine="420"/>
              <w:jc w:val="left"/>
              <w:rPr>
                <w:rFonts w:hint="eastAsia" w:ascii="宋体" w:hAnsi="宋体"/>
                <w:b/>
                <w:bCs/>
                <w:color w:val="auto"/>
                <w:highlight w:val="none"/>
              </w:rPr>
            </w:pPr>
            <w:r>
              <w:rPr>
                <w:rFonts w:hint="eastAsia" w:ascii="宋体" w:hAnsi="宋体"/>
                <w:b/>
                <w:bCs/>
                <w:color w:val="auto"/>
                <w:highlight w:val="none"/>
              </w:rPr>
              <w:t>付款</w:t>
            </w:r>
            <w:r>
              <w:rPr>
                <w:rFonts w:hint="eastAsia" w:ascii="宋体" w:hAnsi="宋体"/>
                <w:b/>
                <w:bCs/>
                <w:color w:val="auto"/>
                <w:highlight w:val="none"/>
                <w:lang w:val="en-US" w:eastAsia="zh-CN"/>
              </w:rPr>
              <w:t>方式</w:t>
            </w:r>
            <w:r>
              <w:rPr>
                <w:rFonts w:hint="eastAsia" w:ascii="宋体" w:hAnsi="宋体"/>
                <w:b/>
                <w:bCs/>
                <w:color w:val="auto"/>
                <w:highlight w:val="none"/>
              </w:rPr>
              <w:t>：</w:t>
            </w:r>
          </w:p>
          <w:p w14:paraId="5A7E4A1A">
            <w:pPr>
              <w:spacing w:line="440" w:lineRule="exact"/>
              <w:ind w:firstLine="42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1.本项目预付款：合同价的30%，合同签订后</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0个工作日内支付；</w:t>
            </w:r>
          </w:p>
          <w:p w14:paraId="6DADEE34">
            <w:pPr>
              <w:spacing w:line="440" w:lineRule="exact"/>
              <w:ind w:firstLine="42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rPr>
              <w:t>进度款支付：工程进度款按月支付，合同内工程进度款支付额为当月实际已完成工程量价款的90%；合同外新增工程量按实际完成工程量价款的60%支付进度款</w:t>
            </w:r>
            <w:r>
              <w:rPr>
                <w:rFonts w:hint="eastAsia" w:ascii="宋体" w:hAnsi="宋体" w:eastAsia="宋体" w:cs="宋体"/>
                <w:color w:val="auto"/>
                <w:sz w:val="21"/>
                <w:szCs w:val="21"/>
                <w:highlight w:val="none"/>
                <w:lang w:eastAsia="zh-CN"/>
              </w:rPr>
              <w:t>；</w:t>
            </w:r>
          </w:p>
          <w:p w14:paraId="1E9D4907">
            <w:pPr>
              <w:spacing w:line="440" w:lineRule="exact"/>
              <w:ind w:firstLine="42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w:t>
            </w:r>
            <w:r>
              <w:rPr>
                <w:rFonts w:hint="eastAsia" w:ascii="Times New Roman" w:hAnsi="Times New Roman" w:eastAsia="宋体" w:cs="Times New Roman"/>
                <w:color w:val="auto"/>
                <w:highlight w:val="none"/>
              </w:rPr>
              <w:t>工程竣工验收合格</w:t>
            </w:r>
            <w:r>
              <w:rPr>
                <w:rFonts w:hint="eastAsia" w:ascii="Times New Roman" w:hAnsi="Times New Roman" w:eastAsia="宋体" w:cs="Times New Roman"/>
                <w:color w:val="auto"/>
                <w:highlight w:val="none"/>
                <w:lang w:eastAsia="zh-CN"/>
              </w:rPr>
              <w:t>，</w:t>
            </w:r>
            <w:r>
              <w:rPr>
                <w:rFonts w:hint="eastAsia" w:ascii="宋体" w:hAnsi="宋体" w:eastAsia="宋体" w:cs="宋体"/>
                <w:color w:val="auto"/>
                <w:sz w:val="21"/>
                <w:szCs w:val="21"/>
                <w:highlight w:val="none"/>
                <w:lang w:eastAsia="zh-CN"/>
              </w:rPr>
              <w:t>经第三方工程结算审计审定后，工程款支付至结算总价的97%，预留结算总价的3%为质量保证金，</w:t>
            </w:r>
            <w:r>
              <w:rPr>
                <w:rFonts w:hint="eastAsia" w:ascii="宋体" w:hAnsi="宋体" w:cs="宋体"/>
                <w:color w:val="auto"/>
                <w:highlight w:val="none"/>
              </w:rPr>
              <w:t>工程质量保修金在工程竣工</w:t>
            </w:r>
            <w:r>
              <w:rPr>
                <w:rFonts w:hint="eastAsia" w:ascii="宋体" w:hAnsi="宋体" w:cs="宋体"/>
                <w:color w:val="auto"/>
                <w:highlight w:val="none"/>
                <w:lang w:val="en-US" w:eastAsia="zh-CN"/>
              </w:rPr>
              <w:t>验收合格后，2年</w:t>
            </w:r>
            <w:r>
              <w:rPr>
                <w:rFonts w:hint="eastAsia" w:ascii="宋体" w:hAnsi="宋体" w:cs="宋体"/>
                <w:color w:val="auto"/>
                <w:highlight w:val="none"/>
              </w:rPr>
              <w:t>质量保修期满，并扣除有关应扣除的费用后，30个工作日内将将剩余</w:t>
            </w:r>
            <w:r>
              <w:rPr>
                <w:rFonts w:hint="eastAsia" w:ascii="宋体" w:hAnsi="宋体" w:cs="宋体"/>
                <w:color w:val="auto"/>
                <w:highlight w:val="none"/>
                <w:lang w:val="en-US" w:eastAsia="zh-CN"/>
              </w:rPr>
              <w:t>质量保证</w:t>
            </w:r>
            <w:r>
              <w:rPr>
                <w:rFonts w:hint="eastAsia" w:ascii="宋体" w:hAnsi="宋体" w:cs="宋体"/>
                <w:color w:val="auto"/>
                <w:highlight w:val="none"/>
              </w:rPr>
              <w:t>金 （不计利息）全额退回承包人。</w:t>
            </w:r>
          </w:p>
          <w:p w14:paraId="02CFB3C2">
            <w:pPr>
              <w:spacing w:line="440" w:lineRule="exact"/>
              <w:ind w:firstLine="420"/>
              <w:jc w:val="left"/>
              <w:rPr>
                <w:color w:val="auto"/>
                <w:highlight w:val="none"/>
              </w:rPr>
            </w:pPr>
            <w:r>
              <w:rPr>
                <w:rFonts w:hint="eastAsia" w:ascii="宋体" w:hAnsi="宋体" w:eastAsia="宋体" w:cs="宋体"/>
                <w:color w:val="auto"/>
                <w:sz w:val="21"/>
                <w:szCs w:val="21"/>
                <w:highlight w:val="none"/>
                <w:lang w:eastAsia="zh-CN"/>
              </w:rPr>
              <w:t>4.成交人在</w:t>
            </w:r>
            <w:r>
              <w:rPr>
                <w:rFonts w:hint="eastAsia" w:ascii="宋体" w:hAnsi="宋体" w:cs="宋体"/>
                <w:color w:val="auto"/>
                <w:sz w:val="21"/>
                <w:szCs w:val="21"/>
                <w:highlight w:val="none"/>
                <w:lang w:val="en-US" w:eastAsia="zh-CN"/>
              </w:rPr>
              <w:t>申请支付项目款时</w:t>
            </w:r>
            <w:r>
              <w:rPr>
                <w:rFonts w:hint="eastAsia" w:ascii="宋体" w:hAnsi="宋体" w:eastAsia="宋体" w:cs="宋体"/>
                <w:color w:val="auto"/>
                <w:sz w:val="21"/>
                <w:szCs w:val="21"/>
                <w:highlight w:val="none"/>
                <w:lang w:eastAsia="zh-CN"/>
              </w:rPr>
              <w:t>应按国家相关规定向采购人开具相应金额的正式发票。</w:t>
            </w:r>
          </w:p>
        </w:tc>
      </w:tr>
    </w:tbl>
    <w:p w14:paraId="09A25C07">
      <w:pPr>
        <w:jc w:val="center"/>
        <w:rPr>
          <w:rFonts w:hint="eastAsia" w:asciiTheme="minorEastAsia" w:hAnsiTheme="minorEastAsia" w:eastAsiaTheme="minorEastAsia" w:cstheme="minorEastAsia"/>
          <w:b/>
          <w:bCs/>
          <w:color w:val="auto"/>
          <w:sz w:val="36"/>
          <w:szCs w:val="36"/>
          <w:highlight w:val="none"/>
        </w:rPr>
      </w:pPr>
    </w:p>
    <w:p w14:paraId="5395BE3B">
      <w:pPr>
        <w:pStyle w:val="62"/>
        <w:rPr>
          <w:color w:val="auto"/>
          <w:highlight w:val="none"/>
        </w:rPr>
      </w:pPr>
    </w:p>
    <w:p w14:paraId="19DD83CC">
      <w:pPr>
        <w:pStyle w:val="3"/>
        <w:numPr>
          <w:ilvl w:val="0"/>
          <w:numId w:val="0"/>
        </w:numPr>
        <w:rPr>
          <w:color w:val="auto"/>
          <w:highlight w:val="none"/>
        </w:rPr>
      </w:pPr>
    </w:p>
    <w:p w14:paraId="7C21D980">
      <w:pPr>
        <w:rPr>
          <w:color w:val="auto"/>
          <w:highlight w:val="none"/>
        </w:rPr>
      </w:pPr>
    </w:p>
    <w:p w14:paraId="1B824ACB">
      <w:pPr>
        <w:rPr>
          <w:color w:val="auto"/>
          <w:highlight w:val="none"/>
        </w:rPr>
      </w:pPr>
    </w:p>
    <w:p w14:paraId="6D6EB8A3">
      <w:pPr>
        <w:rPr>
          <w:rFonts w:hint="eastAsia" w:asciiTheme="minorEastAsia" w:hAnsiTheme="minorEastAsia" w:eastAsiaTheme="minorEastAsia" w:cstheme="minorEastAsia"/>
          <w:b/>
          <w:bCs/>
          <w:color w:val="auto"/>
          <w:sz w:val="36"/>
          <w:szCs w:val="36"/>
          <w:highlight w:val="none"/>
        </w:rPr>
      </w:pPr>
      <w:r>
        <w:rPr>
          <w:rFonts w:hint="eastAsia" w:asciiTheme="minorEastAsia" w:hAnsiTheme="minorEastAsia" w:eastAsiaTheme="minorEastAsia" w:cstheme="minorEastAsia"/>
          <w:b/>
          <w:bCs/>
          <w:color w:val="auto"/>
          <w:sz w:val="36"/>
          <w:szCs w:val="36"/>
          <w:highlight w:val="none"/>
        </w:rPr>
        <w:br w:type="page"/>
      </w:r>
    </w:p>
    <w:p w14:paraId="183D7E25">
      <w:pPr>
        <w:jc w:val="center"/>
        <w:rPr>
          <w:rFonts w:hint="eastAsia" w:asciiTheme="minorEastAsia" w:hAnsiTheme="minorEastAsia" w:eastAsiaTheme="minorEastAsia" w:cstheme="minorEastAsia"/>
          <w:b/>
          <w:bCs/>
          <w:color w:val="auto"/>
          <w:sz w:val="36"/>
          <w:szCs w:val="36"/>
          <w:highlight w:val="none"/>
        </w:rPr>
      </w:pPr>
      <w:r>
        <w:rPr>
          <w:rFonts w:hint="eastAsia" w:asciiTheme="minorEastAsia" w:hAnsiTheme="minorEastAsia" w:eastAsiaTheme="minorEastAsia" w:cstheme="minorEastAsia"/>
          <w:b/>
          <w:bCs/>
          <w:color w:val="auto"/>
          <w:sz w:val="36"/>
          <w:szCs w:val="36"/>
          <w:highlight w:val="none"/>
        </w:rPr>
        <w:t>磋商须知</w:t>
      </w:r>
    </w:p>
    <w:p w14:paraId="59A73D36">
      <w:pPr>
        <w:spacing w:line="360" w:lineRule="exact"/>
        <w:ind w:firstLine="211" w:firstLineChars="98"/>
        <w:jc w:val="center"/>
        <w:rPr>
          <w:rFonts w:hint="eastAsia" w:asciiTheme="minorEastAsia" w:hAnsiTheme="minorEastAsia" w:eastAsiaTheme="minorEastAsia" w:cstheme="minorEastAsia"/>
          <w:b/>
          <w:bCs/>
          <w:color w:val="auto"/>
          <w:spacing w:val="2"/>
          <w:highlight w:val="none"/>
        </w:rPr>
      </w:pPr>
      <w:r>
        <w:rPr>
          <w:rFonts w:hint="eastAsia" w:asciiTheme="minorEastAsia" w:hAnsiTheme="minorEastAsia" w:eastAsiaTheme="minorEastAsia" w:cstheme="minorEastAsia"/>
          <w:b/>
          <w:bCs/>
          <w:color w:val="auto"/>
          <w:spacing w:val="2"/>
          <w:highlight w:val="none"/>
        </w:rPr>
        <w:t>一、总     则</w:t>
      </w:r>
    </w:p>
    <w:p w14:paraId="0D931033">
      <w:pPr>
        <w:spacing w:line="360" w:lineRule="auto"/>
        <w:rPr>
          <w:rFonts w:hint="eastAsia" w:asciiTheme="minorEastAsia" w:hAnsiTheme="minorEastAsia" w:eastAsiaTheme="minorEastAsia" w:cstheme="minorEastAsia"/>
          <w:b/>
          <w:bCs/>
          <w:color w:val="auto"/>
          <w:spacing w:val="2"/>
          <w:highlight w:val="none"/>
        </w:rPr>
      </w:pPr>
    </w:p>
    <w:p w14:paraId="6BFE06A8">
      <w:pPr>
        <w:spacing w:line="360" w:lineRule="auto"/>
        <w:ind w:firstLine="422" w:firstLineChars="200"/>
        <w:rPr>
          <w:rFonts w:hint="eastAsia" w:ascii="黑体" w:hAnsi="黑体" w:eastAsia="黑体" w:cs="宋体"/>
          <w:b/>
          <w:bCs/>
          <w:color w:val="auto"/>
          <w:highlight w:val="none"/>
        </w:rPr>
      </w:pPr>
      <w:r>
        <w:rPr>
          <w:rFonts w:hint="eastAsia" w:ascii="黑体" w:hAnsi="黑体" w:eastAsia="黑体" w:cs="宋体"/>
          <w:b/>
          <w:bCs/>
          <w:color w:val="auto"/>
          <w:highlight w:val="none"/>
        </w:rPr>
        <w:t>1.适用范围</w:t>
      </w:r>
    </w:p>
    <w:p w14:paraId="0F681A5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1.1本项目采购人、采购代理机构、供应商、磋商小组的相关行为均受《中华人民共和国政府采购法》、《中华人民共和国政府采购法实施条例》、</w:t>
      </w:r>
      <w:r>
        <w:rPr>
          <w:rFonts w:hint="eastAsia" w:ascii="宋体" w:hAnsi="宋体"/>
          <w:color w:val="auto"/>
          <w:highlight w:val="none"/>
        </w:rPr>
        <w:t>《政府采购竞争性磋商采购方式管理暂行办法》、《财政部关于政府采购竞争性磋商采购方式管理暂行办法有关问题的补充通知》</w:t>
      </w:r>
      <w:r>
        <w:rPr>
          <w:rFonts w:hint="eastAsia" w:ascii="宋体" w:hAnsi="宋体" w:cs="宋体"/>
          <w:color w:val="auto"/>
          <w:highlight w:val="none"/>
        </w:rPr>
        <w:t>及本项目本级和上级财政部门政府采购有关规定的约束和保护。</w:t>
      </w:r>
    </w:p>
    <w:p w14:paraId="2DA5A118">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1.2</w:t>
      </w:r>
      <w:r>
        <w:rPr>
          <w:rFonts w:hint="eastAsia" w:ascii="宋体" w:hAnsi="宋体" w:cs="宋体"/>
          <w:color w:val="auto"/>
          <w:spacing w:val="-6"/>
          <w:highlight w:val="none"/>
        </w:rPr>
        <w:t>本竞争性磋商文件（以下简称磋商文件）适用于本项目的所有采购程序和环节（法律、法规另有规定的，从其规定）。</w:t>
      </w:r>
    </w:p>
    <w:p w14:paraId="5268C33C">
      <w:pPr>
        <w:spacing w:line="360" w:lineRule="auto"/>
        <w:ind w:firstLine="422" w:firstLineChars="200"/>
        <w:rPr>
          <w:rFonts w:hint="eastAsia" w:ascii="黑体" w:hAnsi="黑体" w:eastAsia="黑体" w:cs="宋体"/>
          <w:b/>
          <w:bCs/>
          <w:color w:val="auto"/>
          <w:highlight w:val="none"/>
        </w:rPr>
      </w:pPr>
      <w:r>
        <w:rPr>
          <w:rFonts w:hint="eastAsia" w:ascii="黑体" w:hAnsi="黑体" w:eastAsia="黑体" w:cs="宋体"/>
          <w:b/>
          <w:bCs/>
          <w:color w:val="auto"/>
          <w:highlight w:val="none"/>
        </w:rPr>
        <w:t>2.定义</w:t>
      </w:r>
    </w:p>
    <w:p w14:paraId="2843D7F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2.1“采购人”是指依法进行政府采购的国家机关、事业单位、团体组织。</w:t>
      </w:r>
    </w:p>
    <w:p w14:paraId="5245C0B0">
      <w:pPr>
        <w:spacing w:line="360"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2.2“采购代理机构”是指政府采购集中采购机构和集中采购机构以外的采购代理机构。</w:t>
      </w:r>
    </w:p>
    <w:p w14:paraId="4BDAC61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2.3“供应商”是指向采购人提供货物、工程或者服务的法人、其他组织或者自然人。</w:t>
      </w:r>
    </w:p>
    <w:p w14:paraId="4D9204C9">
      <w:pPr>
        <w:spacing w:line="360" w:lineRule="auto"/>
        <w:ind w:firstLine="420" w:firstLineChars="200"/>
        <w:rPr>
          <w:rFonts w:hint="eastAsia" w:ascii="宋体" w:hAnsi="宋体" w:cs="宋体"/>
          <w:color w:val="auto"/>
          <w:highlight w:val="none"/>
        </w:rPr>
      </w:pPr>
      <w:r>
        <w:rPr>
          <w:rFonts w:hint="eastAsia" w:ascii="宋体" w:hAnsi="宋体"/>
          <w:color w:val="auto"/>
          <w:highlight w:val="none"/>
        </w:rPr>
        <w:t>2.4“服务”是指除货物和工程以外的其他政府采购对象。</w:t>
      </w:r>
    </w:p>
    <w:p w14:paraId="31772462">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w:t>
      </w:r>
      <w:r>
        <w:rPr>
          <w:rFonts w:ascii="宋体" w:hAnsi="宋体" w:cs="宋体"/>
          <w:color w:val="auto"/>
          <w:highlight w:val="none"/>
        </w:rPr>
        <w:t>5</w:t>
      </w:r>
      <w:r>
        <w:rPr>
          <w:rFonts w:hint="eastAsia" w:ascii="宋体" w:hAnsi="宋体" w:cs="宋体"/>
          <w:color w:val="auto"/>
          <w:highlight w:val="none"/>
        </w:rPr>
        <w:t>“竞标”是指供应商按照本项目竞争性磋商公告或者邀请函规定的方式获取磋商文件、提交响应文件并希望获得标的的行为。</w:t>
      </w:r>
    </w:p>
    <w:p w14:paraId="360A5F88">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w:t>
      </w:r>
      <w:r>
        <w:rPr>
          <w:rFonts w:ascii="宋体" w:hAnsi="宋体" w:cs="宋体"/>
          <w:color w:val="auto"/>
          <w:highlight w:val="none"/>
        </w:rPr>
        <w:t>6</w:t>
      </w:r>
      <w:r>
        <w:rPr>
          <w:rFonts w:hint="eastAsia" w:ascii="宋体" w:hAnsi="宋体" w:cs="宋体"/>
          <w:color w:val="auto"/>
          <w:highlight w:val="none"/>
        </w:rPr>
        <w:t>“响应文件”</w:t>
      </w:r>
      <w:r>
        <w:rPr>
          <w:rFonts w:hint="eastAsia" w:ascii="宋体" w:hAnsi="宋体" w:cs="宋体"/>
          <w:color w:val="auto"/>
          <w:spacing w:val="-6"/>
          <w:highlight w:val="none"/>
        </w:rPr>
        <w:t>是指：供应商根据本磋商文件要求，编制包含资格证明、报价商务技术等所有内容的文件。</w:t>
      </w:r>
    </w:p>
    <w:p w14:paraId="4D5168AD">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w:t>
      </w:r>
      <w:r>
        <w:rPr>
          <w:rFonts w:ascii="宋体" w:hAnsi="宋体" w:cs="宋体"/>
          <w:color w:val="auto"/>
          <w:highlight w:val="none"/>
        </w:rPr>
        <w:t>7</w:t>
      </w:r>
      <w:r>
        <w:rPr>
          <w:rFonts w:hint="eastAsia" w:ascii="宋体" w:hAnsi="宋体" w:cs="宋体"/>
          <w:color w:val="auto"/>
          <w:highlight w:val="none"/>
        </w:rPr>
        <w:t>“实质性要求”是指磋商文件中已经指明不满足则响应文件按无效响应处理的条款，或者不能负偏离的条款，或者带“▲”的条款。</w:t>
      </w:r>
    </w:p>
    <w:p w14:paraId="35B04B0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w:t>
      </w:r>
      <w:r>
        <w:rPr>
          <w:rFonts w:ascii="宋体" w:hAnsi="宋体" w:cs="宋体"/>
          <w:color w:val="auto"/>
          <w:highlight w:val="none"/>
        </w:rPr>
        <w:t>8</w:t>
      </w:r>
      <w:r>
        <w:rPr>
          <w:rFonts w:hint="eastAsia" w:ascii="宋体" w:hAnsi="宋体" w:cs="宋体"/>
          <w:color w:val="auto"/>
          <w:highlight w:val="none"/>
        </w:rPr>
        <w:t>“正偏离”，是指响应文件对磋商文件中有关条款作出的响应优于条款要求并有利于采购人的情形。</w:t>
      </w:r>
    </w:p>
    <w:p w14:paraId="0342D80F">
      <w:pPr>
        <w:spacing w:line="360" w:lineRule="auto"/>
        <w:ind w:firstLine="420" w:firstLineChars="200"/>
        <w:rPr>
          <w:rFonts w:hint="eastAsia" w:ascii="宋体" w:hAnsi="宋体" w:cs="宋体"/>
          <w:color w:val="auto"/>
          <w:highlight w:val="none"/>
        </w:rPr>
      </w:pPr>
      <w:r>
        <w:rPr>
          <w:rFonts w:ascii="宋体" w:hAnsi="宋体" w:cs="宋体"/>
          <w:color w:val="auto"/>
          <w:highlight w:val="none"/>
        </w:rPr>
        <w:t>2.9</w:t>
      </w:r>
      <w:r>
        <w:rPr>
          <w:rFonts w:hint="eastAsia" w:ascii="宋体" w:hAnsi="宋体" w:cs="宋体"/>
          <w:color w:val="auto"/>
          <w:highlight w:val="none"/>
        </w:rPr>
        <w:t>“负偏离”，是指响应文件对磋商文件中有关条款作出的响应不满足条款要求，导致采购人要求不能得到满足的情形。</w:t>
      </w:r>
    </w:p>
    <w:p w14:paraId="194DA7C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2.10“允许负偏离的条款”是指采购需求中的不属于“实质性要求”的条款。</w:t>
      </w:r>
    </w:p>
    <w:p w14:paraId="11ACE276">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w:t>
      </w:r>
      <w:r>
        <w:rPr>
          <w:rFonts w:ascii="宋体" w:hAnsi="宋体" w:cs="宋体"/>
          <w:color w:val="auto"/>
          <w:highlight w:val="none"/>
        </w:rPr>
        <w:t>11</w:t>
      </w:r>
      <w:r>
        <w:rPr>
          <w:rFonts w:hint="eastAsia" w:ascii="宋体" w:hAnsi="宋体" w:cs="宋体"/>
          <w:color w:val="auto"/>
          <w:highlight w:val="none"/>
        </w:rPr>
        <w:t>“书面形式”是指合同书、信件和数据电文（包括电报、电传、传真、电子数据交换和电子邮件）等可以有形地表现所载内容的形式。</w:t>
      </w:r>
    </w:p>
    <w:p w14:paraId="653E49D4">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w:t>
      </w:r>
      <w:r>
        <w:rPr>
          <w:rFonts w:ascii="宋体" w:hAnsi="宋体" w:cs="宋体"/>
          <w:color w:val="auto"/>
          <w:highlight w:val="none"/>
        </w:rPr>
        <w:t>12</w:t>
      </w:r>
      <w:r>
        <w:rPr>
          <w:rFonts w:hint="eastAsia" w:ascii="宋体" w:hAnsi="宋体" w:cs="宋体"/>
          <w:color w:val="auto"/>
          <w:highlight w:val="none"/>
        </w:rPr>
        <w:t>“首次报价”是指供应商提交的首次响应文件中的报价。</w:t>
      </w:r>
    </w:p>
    <w:p w14:paraId="287B018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2.1</w:t>
      </w:r>
      <w:r>
        <w:rPr>
          <w:rFonts w:ascii="宋体" w:hAnsi="宋体" w:cs="宋体"/>
          <w:color w:val="auto"/>
          <w:highlight w:val="none"/>
        </w:rPr>
        <w:t>3</w:t>
      </w:r>
      <w:r>
        <w:rPr>
          <w:rFonts w:hint="eastAsia" w:ascii="宋体" w:hAnsi="宋体" w:cs="宋体"/>
          <w:color w:val="auto"/>
          <w:highlight w:val="none"/>
        </w:rPr>
        <w:t>“评审报价”是指供应商提交的最后报价并经修正（如有）和政策功能价格扣除（如有）后的价格。</w:t>
      </w:r>
    </w:p>
    <w:p w14:paraId="59CA9E23">
      <w:pPr>
        <w:spacing w:line="360" w:lineRule="auto"/>
        <w:ind w:firstLine="422" w:firstLineChars="200"/>
        <w:rPr>
          <w:rFonts w:hint="eastAsia" w:ascii="黑体" w:hAnsi="黑体" w:eastAsia="黑体" w:cs="宋体"/>
          <w:b/>
          <w:bCs/>
          <w:color w:val="auto"/>
          <w:highlight w:val="none"/>
        </w:rPr>
      </w:pPr>
      <w:r>
        <w:rPr>
          <w:rFonts w:hint="eastAsia" w:ascii="黑体" w:hAnsi="黑体" w:eastAsia="黑体" w:cs="宋体"/>
          <w:b/>
          <w:bCs/>
          <w:color w:val="auto"/>
          <w:highlight w:val="none"/>
        </w:rPr>
        <w:t>3.供应商的资格条件</w:t>
      </w:r>
    </w:p>
    <w:p w14:paraId="2AE8AFD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供应商的资格条件详见“供应商须知前附表”。</w:t>
      </w:r>
    </w:p>
    <w:p w14:paraId="0B3929A0">
      <w:pPr>
        <w:spacing w:line="360" w:lineRule="auto"/>
        <w:ind w:firstLine="422" w:firstLineChars="200"/>
        <w:rPr>
          <w:rFonts w:hint="eastAsia" w:ascii="黑体" w:hAnsi="黑体" w:eastAsia="黑体" w:cs="宋体"/>
          <w:b/>
          <w:bCs/>
          <w:color w:val="auto"/>
          <w:highlight w:val="none"/>
        </w:rPr>
      </w:pPr>
      <w:r>
        <w:rPr>
          <w:rFonts w:hint="eastAsia" w:ascii="黑体" w:hAnsi="黑体" w:eastAsia="黑体" w:cs="宋体"/>
          <w:b/>
          <w:bCs/>
          <w:color w:val="auto"/>
          <w:highlight w:val="none"/>
        </w:rPr>
        <w:t>4.磋商费用</w:t>
      </w:r>
    </w:p>
    <w:p w14:paraId="5C3A4EC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供应商应承担参与本次采购活动有关的所有费用，包括但不限于勘查现场、编制和提交响应文件、参加磋商与应答、签订合同等，不论竞标结果如何，均应自行承担。</w:t>
      </w:r>
    </w:p>
    <w:p w14:paraId="7FA0CCC7">
      <w:pPr>
        <w:spacing w:line="360" w:lineRule="auto"/>
        <w:ind w:firstLine="422" w:firstLineChars="200"/>
        <w:rPr>
          <w:rFonts w:hint="eastAsia" w:ascii="黑体" w:hAnsi="黑体" w:eastAsia="黑体" w:cs="宋体"/>
          <w:b/>
          <w:bCs/>
          <w:color w:val="auto"/>
          <w:highlight w:val="none"/>
        </w:rPr>
      </w:pPr>
      <w:r>
        <w:rPr>
          <w:rFonts w:hint="eastAsia" w:ascii="黑体" w:hAnsi="黑体" w:eastAsia="黑体" w:cs="宋体"/>
          <w:b/>
          <w:bCs/>
          <w:color w:val="auto"/>
          <w:highlight w:val="none"/>
        </w:rPr>
        <w:t>5.联合体竞标</w:t>
      </w:r>
    </w:p>
    <w:p w14:paraId="102DD7D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5.1本项目是否接受联合体竞标，详见“供应商须知前附表”。</w:t>
      </w:r>
    </w:p>
    <w:p w14:paraId="1BE8D826">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5.2</w:t>
      </w:r>
      <w:r>
        <w:rPr>
          <w:rFonts w:hint="eastAsia" w:ascii="宋体" w:hAnsi="宋体"/>
          <w:color w:val="auto"/>
          <w:highlight w:val="none"/>
        </w:rPr>
        <w:t>如接受联合体竞标，</w:t>
      </w:r>
      <w:r>
        <w:rPr>
          <w:rFonts w:hint="eastAsia" w:ascii="宋体" w:hAnsi="宋体" w:cs="宋体"/>
          <w:color w:val="auto"/>
          <w:highlight w:val="none"/>
        </w:rPr>
        <w:t>联合体竞标要求详见“供应商须知前附表”。</w:t>
      </w:r>
    </w:p>
    <w:p w14:paraId="3F253EB7">
      <w:pPr>
        <w:spacing w:line="360" w:lineRule="auto"/>
        <w:ind w:firstLine="420" w:firstLineChars="200"/>
        <w:rPr>
          <w:rFonts w:hint="eastAsia" w:ascii="宋体" w:hAnsi="宋体"/>
          <w:bCs/>
          <w:color w:val="auto"/>
          <w:highlight w:val="none"/>
        </w:rPr>
      </w:pPr>
      <w:r>
        <w:rPr>
          <w:rFonts w:hint="eastAsia" w:ascii="宋体" w:hAnsi="宋体" w:cs="宋体"/>
          <w:color w:val="auto"/>
          <w:highlight w:val="none"/>
        </w:rPr>
        <w:t>5.3</w:t>
      </w:r>
      <w:r>
        <w:rPr>
          <w:rFonts w:hint="eastAsia" w:ascii="宋体" w:hAnsi="宋体"/>
          <w:bCs/>
          <w:color w:val="auto"/>
          <w:highlight w:val="none"/>
        </w:rPr>
        <w:t>根据《政府采购促进中小企业发展暂行办法》（财库[2020]46号）</w:t>
      </w:r>
      <w:r>
        <w:rPr>
          <w:rFonts w:ascii="宋体" w:hAnsi="宋体"/>
          <w:bCs/>
          <w:color w:val="auto"/>
          <w:highlight w:val="none"/>
        </w:rPr>
        <w:t>第九条</w:t>
      </w:r>
      <w:r>
        <w:rPr>
          <w:rFonts w:hint="eastAsia" w:ascii="宋体" w:hAnsi="宋体"/>
          <w:bCs/>
          <w:color w:val="auto"/>
          <w:highlight w:val="none"/>
        </w:rPr>
        <w:t>规定，</w:t>
      </w:r>
      <w:r>
        <w:rPr>
          <w:rFonts w:ascii="宋体" w:hAnsi="宋体"/>
          <w:bCs/>
          <w:color w:val="auto"/>
          <w:highlight w:val="none"/>
        </w:rPr>
        <w:t>接受大中型企业与小微企业组成联合体的采购项目，对于联合协议约定小微企业的合同份额占到合同总金额 30%以上的，采购人、采购代理机构应当对联合体的报价给予 2%-3%（工程项目为 1%—2%）的扣除，用扣除后的价格参加评审。组成联合体的小微企业与联合体内其他企业、分包企业之间存在直接控股、管理关系的，不享受价格扣除优惠政策。</w:t>
      </w:r>
    </w:p>
    <w:p w14:paraId="20F62DCC">
      <w:pPr>
        <w:spacing w:line="360" w:lineRule="auto"/>
        <w:ind w:firstLine="422" w:firstLineChars="200"/>
        <w:rPr>
          <w:rFonts w:hint="eastAsia" w:ascii="黑体" w:hAnsi="黑体" w:eastAsia="黑体" w:cs="宋体"/>
          <w:b/>
          <w:bCs/>
          <w:color w:val="auto"/>
          <w:highlight w:val="none"/>
        </w:rPr>
      </w:pPr>
      <w:r>
        <w:rPr>
          <w:rFonts w:hint="eastAsia" w:ascii="黑体" w:hAnsi="黑体" w:eastAsia="黑体" w:cs="宋体"/>
          <w:b/>
          <w:bCs/>
          <w:color w:val="auto"/>
          <w:highlight w:val="none"/>
        </w:rPr>
        <w:t xml:space="preserve">6.转包与分包             </w:t>
      </w:r>
    </w:p>
    <w:p w14:paraId="6B957BE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6.1本项目是否允许分包详见“供应商须知前附表”，本项目不允许违法分包。</w:t>
      </w:r>
    </w:p>
    <w:p w14:paraId="5F4F8C98">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6.2</w:t>
      </w:r>
      <w:r>
        <w:rPr>
          <w:rFonts w:hint="eastAsia" w:ascii="宋体" w:hAnsi="宋体"/>
          <w:bCs/>
          <w:color w:val="auto"/>
          <w:highlight w:val="none"/>
        </w:rPr>
        <w:t>根据《政府采购促进中小企业发展暂行办法》（财库[2020]46号）</w:t>
      </w:r>
      <w:r>
        <w:rPr>
          <w:rFonts w:ascii="宋体" w:hAnsi="宋体"/>
          <w:bCs/>
          <w:color w:val="auto"/>
          <w:highlight w:val="none"/>
        </w:rPr>
        <w:t>第九条</w:t>
      </w:r>
      <w:r>
        <w:rPr>
          <w:rFonts w:hint="eastAsia" w:ascii="宋体" w:hAnsi="宋体"/>
          <w:bCs/>
          <w:color w:val="auto"/>
          <w:highlight w:val="none"/>
        </w:rPr>
        <w:t>规定，</w:t>
      </w:r>
      <w:r>
        <w:rPr>
          <w:rFonts w:ascii="宋体" w:hAnsi="宋体"/>
          <w:bCs/>
          <w:color w:val="auto"/>
          <w:highlight w:val="none"/>
        </w:rPr>
        <w:t>允许大中型企业向一家或者多家小微企业分包的采购项目，对于分包意向协议约定小微企业的合同份额占到合同总金额 30%以上的，采购人、采购代理机构应当对大中型企业的报价给予 2%-3%的扣除，用扣除后的价格参加评审。接受分包的小微企业与分包企业之间存在直接控股、管理关系的，不享受价格扣除优惠政策。</w:t>
      </w:r>
    </w:p>
    <w:p w14:paraId="0E04A256">
      <w:pPr>
        <w:spacing w:line="360" w:lineRule="auto"/>
        <w:ind w:firstLine="422" w:firstLineChars="200"/>
        <w:rPr>
          <w:rFonts w:hint="eastAsia" w:ascii="黑体" w:hAnsi="黑体" w:eastAsia="黑体" w:cs="宋体"/>
          <w:b/>
          <w:bCs/>
          <w:color w:val="auto"/>
          <w:highlight w:val="none"/>
        </w:rPr>
      </w:pPr>
      <w:bookmarkStart w:id="8" w:name="_Toc254970673"/>
      <w:bookmarkStart w:id="9" w:name="_Toc254970532"/>
      <w:r>
        <w:rPr>
          <w:rFonts w:hint="eastAsia" w:ascii="黑体" w:hAnsi="黑体" w:eastAsia="黑体" w:cs="宋体"/>
          <w:b/>
          <w:bCs/>
          <w:color w:val="auto"/>
          <w:highlight w:val="none"/>
        </w:rPr>
        <w:t>7.特别说明</w:t>
      </w:r>
      <w:bookmarkEnd w:id="8"/>
      <w:bookmarkEnd w:id="9"/>
    </w:p>
    <w:p w14:paraId="00BFD32A">
      <w:pPr>
        <w:spacing w:line="360" w:lineRule="auto"/>
        <w:ind w:firstLine="420" w:firstLineChars="200"/>
        <w:rPr>
          <w:rFonts w:hint="eastAsia" w:ascii="宋体" w:hAnsi="宋体" w:cs="宋体"/>
          <w:color w:val="auto"/>
          <w:highlight w:val="none"/>
        </w:rPr>
      </w:pPr>
      <w:bookmarkStart w:id="10" w:name="_8.1提供相同品牌产品且通过资格审查、符合性审查的不同投标人参加同一合"/>
      <w:bookmarkEnd w:id="10"/>
      <w:r>
        <w:rPr>
          <w:rFonts w:hint="eastAsia" w:ascii="宋体" w:hAnsi="宋体" w:cs="宋体"/>
          <w:color w:val="auto"/>
          <w:highlight w:val="none"/>
        </w:rPr>
        <w:t>7.</w:t>
      </w:r>
      <w:r>
        <w:rPr>
          <w:rFonts w:ascii="宋体" w:hAnsi="宋体" w:cs="宋体"/>
          <w:color w:val="auto"/>
          <w:highlight w:val="none"/>
        </w:rPr>
        <w:t>1</w:t>
      </w:r>
      <w:bookmarkStart w:id="11" w:name="_Hlk65832145"/>
      <w:r>
        <w:rPr>
          <w:rFonts w:hint="eastAsia" w:ascii="宋体" w:hAnsi="宋体"/>
          <w:color w:val="auto"/>
          <w:highlight w:val="none"/>
        </w:rPr>
        <w:t>如果本磋商文件要求提供供应商或制造商的资格、信誉、荣誉、业绩与企业认证等材料的，资格、信誉、荣誉、业绩与企业认证等必须为供应商或者制造商所拥有或自身获得</w:t>
      </w:r>
      <w:r>
        <w:rPr>
          <w:rFonts w:hint="eastAsia" w:ascii="宋体" w:hAnsi="宋体" w:cs="宋体"/>
          <w:color w:val="auto"/>
          <w:highlight w:val="none"/>
        </w:rPr>
        <w:t>。</w:t>
      </w:r>
    </w:p>
    <w:bookmarkEnd w:id="11"/>
    <w:p w14:paraId="577E22A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7.</w:t>
      </w:r>
      <w:r>
        <w:rPr>
          <w:rFonts w:ascii="宋体" w:hAnsi="宋体" w:cs="宋体"/>
          <w:color w:val="auto"/>
          <w:highlight w:val="none"/>
        </w:rPr>
        <w:t>2</w:t>
      </w:r>
      <w:r>
        <w:rPr>
          <w:rFonts w:hint="eastAsia" w:ascii="宋体" w:hAnsi="宋体" w:cs="宋体"/>
          <w:color w:val="auto"/>
          <w:highlight w:val="none"/>
        </w:rPr>
        <w:t>供应商应仔细阅读磋商文件的所有内容，按照磋商文件的要求提交响应文件，并对所提供的全部资料的真实性承担法律责任。</w:t>
      </w:r>
    </w:p>
    <w:p w14:paraId="7275623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7.</w:t>
      </w:r>
      <w:r>
        <w:rPr>
          <w:rFonts w:ascii="宋体" w:hAnsi="宋体" w:cs="宋体"/>
          <w:color w:val="auto"/>
          <w:highlight w:val="none"/>
        </w:rPr>
        <w:t>3</w:t>
      </w:r>
      <w:r>
        <w:rPr>
          <w:rFonts w:hint="eastAsia" w:ascii="宋体" w:hAnsi="宋体" w:cs="宋体"/>
          <w:color w:val="auto"/>
          <w:highlight w:val="none"/>
        </w:rPr>
        <w:t>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78C959D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7.</w:t>
      </w:r>
      <w:r>
        <w:rPr>
          <w:rFonts w:ascii="宋体" w:hAnsi="宋体" w:cs="宋体"/>
          <w:color w:val="auto"/>
          <w:highlight w:val="none"/>
        </w:rPr>
        <w:t>4</w:t>
      </w:r>
      <w:r>
        <w:rPr>
          <w:rFonts w:hint="eastAsia" w:ascii="宋体" w:hAnsi="宋体" w:cs="宋体"/>
          <w:color w:val="auto"/>
          <w:highlight w:val="none"/>
        </w:rPr>
        <w:t>在政府采购活动中，采购人员及相关人员与供应商有下列利害关系之一的，应当回避：</w:t>
      </w:r>
    </w:p>
    <w:p w14:paraId="7F577C6F">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（1）参加采购活动前3年内与供应商存在劳动关系；</w:t>
      </w:r>
    </w:p>
    <w:p w14:paraId="682B9A73">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（2）参加采购活动前3年内担任供应商的董事、监事；</w:t>
      </w:r>
    </w:p>
    <w:p w14:paraId="56E680AF">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（3）参加采购活动前3年内是供应商的控股股东或者实际控制人；</w:t>
      </w:r>
    </w:p>
    <w:p w14:paraId="05689578">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（4）与供应商的法定代表人或者负责人有夫妻、直系血亲、三代以内旁系血亲或者近姻亲关系；</w:t>
      </w:r>
    </w:p>
    <w:p w14:paraId="349736C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（5）与供应商有其他可能影响政府采购活动公平、公正进行的关系。</w:t>
      </w:r>
    </w:p>
    <w:p w14:paraId="55FE72F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6CD80823">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7.</w:t>
      </w:r>
      <w:r>
        <w:rPr>
          <w:rFonts w:ascii="宋体" w:hAnsi="宋体" w:cs="宋体"/>
          <w:color w:val="auto"/>
          <w:highlight w:val="none"/>
        </w:rPr>
        <w:t>5</w:t>
      </w:r>
      <w:r>
        <w:rPr>
          <w:rFonts w:hint="eastAsia" w:ascii="宋体" w:hAnsi="宋体" w:cs="宋体"/>
          <w:color w:val="auto"/>
          <w:highlight w:val="none"/>
        </w:rPr>
        <w:t>有下列情形之一的视为供应商相互串通竞标，响应文件将被视为无效：</w:t>
      </w:r>
    </w:p>
    <w:p w14:paraId="11E224C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 xml:space="preserve">（1）不同供应商的响应文件由同一单位或者个人编制；或者不同供应商报名的IP地址一致的；或者编制响应文件硬件设备CPU编号、硬盘编号、网卡地址一致的情况； </w:t>
      </w:r>
    </w:p>
    <w:p w14:paraId="232C0F5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（2）不同供应商委托同一单位或者个人办理竞标事宜；</w:t>
      </w:r>
    </w:p>
    <w:p w14:paraId="5C4E93A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（3）不同的供应商的响应文件载明的项目管理员为同一个人；</w:t>
      </w:r>
    </w:p>
    <w:p w14:paraId="1B3310B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（4）不同供应商的响应文件异常一致或者报价呈规律性差异；</w:t>
      </w:r>
    </w:p>
    <w:p w14:paraId="1264FBA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（5）不同供应商的响应文件相互混装；</w:t>
      </w:r>
    </w:p>
    <w:p w14:paraId="5C558DC9">
      <w:pPr>
        <w:tabs>
          <w:tab w:val="left" w:pos="6931"/>
        </w:tabs>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（6）不同供应商的磋商保证金从同一单位或者个人账户转出。</w:t>
      </w:r>
      <w:r>
        <w:rPr>
          <w:rFonts w:ascii="宋体" w:hAnsi="宋体" w:cs="宋体"/>
          <w:color w:val="auto"/>
          <w:highlight w:val="none"/>
        </w:rPr>
        <w:tab/>
      </w:r>
    </w:p>
    <w:p w14:paraId="111F50A3">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7.</w:t>
      </w:r>
      <w:r>
        <w:rPr>
          <w:rFonts w:ascii="宋体" w:hAnsi="宋体" w:cs="宋体"/>
          <w:color w:val="auto"/>
          <w:highlight w:val="none"/>
        </w:rPr>
        <w:t>6</w:t>
      </w:r>
      <w:r>
        <w:rPr>
          <w:rFonts w:hint="eastAsia" w:ascii="宋体" w:hAnsi="宋体" w:cs="宋体"/>
          <w:color w:val="auto"/>
          <w:highlight w:val="none"/>
        </w:rPr>
        <w:t>供应商有下列情形之一的，属于恶意串通行为，将报同级监督管理部门：</w:t>
      </w:r>
    </w:p>
    <w:p w14:paraId="3D208AB3">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（1）供应商直接或者间接从采购人或者采购代理机构处获得其他供应商的相关信息并修改其响应文件；</w:t>
      </w:r>
    </w:p>
    <w:p w14:paraId="543FD53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（2）供应商按照采购人或者采购代理机构的授意撤换、修改响应文件；</w:t>
      </w:r>
    </w:p>
    <w:p w14:paraId="13DCD5F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（3）供应商之间协商报价、技术方案等响应文件或者响应文件的实质性内容；</w:t>
      </w:r>
    </w:p>
    <w:p w14:paraId="5155BA6F">
      <w:pPr>
        <w:spacing w:line="360" w:lineRule="auto"/>
        <w:ind w:firstLine="396" w:firstLineChars="200"/>
        <w:rPr>
          <w:rFonts w:hint="eastAsia" w:ascii="宋体" w:hAnsi="宋体" w:cs="宋体"/>
          <w:color w:val="auto"/>
          <w:spacing w:val="-6"/>
          <w:highlight w:val="none"/>
        </w:rPr>
      </w:pPr>
      <w:r>
        <w:rPr>
          <w:rFonts w:hint="eastAsia" w:ascii="宋体" w:hAnsi="宋体" w:cs="宋体"/>
          <w:color w:val="auto"/>
          <w:spacing w:val="-6"/>
          <w:highlight w:val="none"/>
        </w:rPr>
        <w:t>（4）属于同一集团、协会、商会等组织成员的供应商按照该组织要求协同参加政府采购活动；</w:t>
      </w:r>
    </w:p>
    <w:p w14:paraId="1CFB2161">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（5）供应商之间事先约定一致抬高或者压低报价，或者在政府采购活动中事先约定轮流以高价位或者低价位成交，或者事先约定由某一特定供应商成交，然后再参加竞标；</w:t>
      </w:r>
    </w:p>
    <w:p w14:paraId="27ACCF1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（6）供应商之间商定部分供应商放弃参加政府采购活动或者放弃成交；</w:t>
      </w:r>
    </w:p>
    <w:p w14:paraId="3567F51D">
      <w:pPr>
        <w:pStyle w:val="24"/>
        <w:spacing w:line="360" w:lineRule="auto"/>
        <w:ind w:firstLine="420"/>
        <w:rPr>
          <w:rFonts w:hint="eastAsia" w:asciiTheme="minorEastAsia" w:hAnsiTheme="minorEastAsia" w:eastAsiaTheme="minorEastAsia" w:cstheme="minorEastAsia"/>
          <w:color w:val="auto"/>
          <w:sz w:val="21"/>
          <w:szCs w:val="21"/>
          <w:highlight w:val="none"/>
        </w:rPr>
      </w:pPr>
      <w:r>
        <w:rPr>
          <w:rFonts w:hint="eastAsia" w:hAnsi="宋体"/>
          <w:color w:val="auto"/>
          <w:szCs w:val="21"/>
          <w:highlight w:val="none"/>
        </w:rPr>
        <w:t>（7）供应商与采购人或者采购代理机构之间、供应商相互之间，为谋求特定供应商成交或者排斥其他供应商的其他串通行为。</w:t>
      </w:r>
    </w:p>
    <w:p w14:paraId="467DF4D9">
      <w:pPr>
        <w:spacing w:line="360" w:lineRule="auto"/>
        <w:jc w:val="center"/>
        <w:rPr>
          <w:rFonts w:hint="eastAsia" w:asciiTheme="minorEastAsia" w:hAnsiTheme="minorEastAsia" w:eastAsiaTheme="minorEastAsia" w:cstheme="minorEastAsia"/>
          <w:b/>
          <w:bCs/>
          <w:color w:val="auto"/>
          <w:spacing w:val="2"/>
          <w:highlight w:val="none"/>
        </w:rPr>
      </w:pPr>
      <w:r>
        <w:rPr>
          <w:rFonts w:hint="eastAsia" w:asciiTheme="minorEastAsia" w:hAnsiTheme="minorEastAsia" w:eastAsiaTheme="minorEastAsia" w:cstheme="minorEastAsia"/>
          <w:b/>
          <w:bCs/>
          <w:color w:val="auto"/>
          <w:spacing w:val="2"/>
          <w:highlight w:val="none"/>
        </w:rPr>
        <w:t>二、竞争性磋商采购文件（简称磋商文件）</w:t>
      </w:r>
    </w:p>
    <w:p w14:paraId="7A874664">
      <w:pPr>
        <w:spacing w:line="360" w:lineRule="auto"/>
        <w:rPr>
          <w:rFonts w:hint="eastAsia" w:asciiTheme="minorEastAsia" w:hAnsiTheme="minorEastAsia" w:eastAsiaTheme="minorEastAsia" w:cstheme="minorEastAsia"/>
          <w:b/>
          <w:bCs/>
          <w:color w:val="auto"/>
          <w:spacing w:val="2"/>
          <w:highlight w:val="none"/>
        </w:rPr>
      </w:pPr>
      <w:r>
        <w:rPr>
          <w:rFonts w:hint="eastAsia" w:asciiTheme="minorEastAsia" w:hAnsiTheme="minorEastAsia" w:eastAsiaTheme="minorEastAsia" w:cstheme="minorEastAsia"/>
          <w:b/>
          <w:bCs/>
          <w:color w:val="auto"/>
          <w:spacing w:val="2"/>
          <w:highlight w:val="none"/>
        </w:rPr>
        <w:t>8．竞争性磋商采购文件的组成</w:t>
      </w:r>
    </w:p>
    <w:p w14:paraId="277DF3E2">
      <w:pPr>
        <w:spacing w:line="360" w:lineRule="auto"/>
        <w:ind w:firstLine="428" w:firstLineChars="200"/>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color w:val="auto"/>
          <w:spacing w:val="2"/>
          <w:highlight w:val="none"/>
        </w:rPr>
        <w:t>第一章 竞争性磋商公告</w:t>
      </w:r>
    </w:p>
    <w:p w14:paraId="5DF9B9F2">
      <w:pPr>
        <w:spacing w:line="360" w:lineRule="auto"/>
        <w:ind w:firstLine="428" w:firstLineChars="200"/>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color w:val="auto"/>
          <w:spacing w:val="2"/>
          <w:highlight w:val="none"/>
        </w:rPr>
        <w:t>第二章 磋商须知前附表及磋商须知</w:t>
      </w:r>
    </w:p>
    <w:p w14:paraId="33F2C9E5">
      <w:pPr>
        <w:spacing w:line="360" w:lineRule="auto"/>
        <w:ind w:firstLine="417" w:firstLineChars="195"/>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color w:val="auto"/>
          <w:spacing w:val="2"/>
          <w:highlight w:val="none"/>
        </w:rPr>
        <w:t xml:space="preserve">第三章 </w:t>
      </w:r>
      <w:r>
        <w:rPr>
          <w:rFonts w:hint="eastAsia" w:asciiTheme="minorEastAsia" w:hAnsiTheme="minorEastAsia" w:eastAsiaTheme="minorEastAsia" w:cstheme="minorEastAsia"/>
          <w:color w:val="auto"/>
          <w:highlight w:val="none"/>
        </w:rPr>
        <w:t>技术规范</w:t>
      </w:r>
    </w:p>
    <w:p w14:paraId="00AA0EA6">
      <w:pPr>
        <w:spacing w:line="360" w:lineRule="auto"/>
        <w:ind w:firstLine="417" w:firstLineChars="195"/>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color w:val="auto"/>
          <w:spacing w:val="2"/>
          <w:highlight w:val="none"/>
        </w:rPr>
        <w:t>第四章 评审程序、评审方法和评审标准</w:t>
      </w:r>
    </w:p>
    <w:p w14:paraId="6031CC0D">
      <w:pPr>
        <w:spacing w:line="360" w:lineRule="auto"/>
        <w:ind w:firstLine="417" w:firstLineChars="195"/>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color w:val="auto"/>
          <w:spacing w:val="2"/>
          <w:highlight w:val="none"/>
        </w:rPr>
        <w:t>第五章 工程量清单、最高限价及图纸</w:t>
      </w:r>
    </w:p>
    <w:p w14:paraId="35E85BF1">
      <w:pPr>
        <w:spacing w:line="360" w:lineRule="auto"/>
        <w:ind w:firstLine="419" w:firstLineChars="196"/>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color w:val="auto"/>
          <w:spacing w:val="2"/>
          <w:highlight w:val="none"/>
        </w:rPr>
        <w:t>第六章 响应文件格式</w:t>
      </w:r>
    </w:p>
    <w:p w14:paraId="15DE4B47">
      <w:pPr>
        <w:spacing w:line="360" w:lineRule="auto"/>
        <w:ind w:firstLine="419" w:firstLineChars="196"/>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color w:val="auto"/>
          <w:spacing w:val="2"/>
          <w:highlight w:val="none"/>
        </w:rPr>
        <w:t>第七章 二次报价格式</w:t>
      </w:r>
    </w:p>
    <w:p w14:paraId="20FBC21F">
      <w:pPr>
        <w:spacing w:line="360" w:lineRule="auto"/>
        <w:ind w:firstLine="419" w:firstLineChars="196"/>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color w:val="auto"/>
          <w:spacing w:val="2"/>
          <w:highlight w:val="none"/>
        </w:rPr>
        <w:t>第八章  合同书格式</w:t>
      </w:r>
    </w:p>
    <w:p w14:paraId="3B0546A4">
      <w:pPr>
        <w:spacing w:line="360" w:lineRule="auto"/>
        <w:ind w:firstLine="428" w:firstLineChars="200"/>
        <w:jc w:val="left"/>
        <w:rPr>
          <w:rFonts w:hint="eastAsia" w:ascii="宋体" w:hAnsi="宋体"/>
          <w:b/>
          <w:bCs/>
          <w:color w:val="auto"/>
          <w:highlight w:val="none"/>
        </w:rPr>
      </w:pPr>
      <w:r>
        <w:rPr>
          <w:rFonts w:hint="eastAsia" w:asciiTheme="minorEastAsia" w:hAnsiTheme="minorEastAsia" w:eastAsiaTheme="minorEastAsia" w:cstheme="minorEastAsia"/>
          <w:color w:val="auto"/>
          <w:spacing w:val="2"/>
          <w:highlight w:val="none"/>
        </w:rPr>
        <w:t>第九章  质疑、投诉材料格式</w:t>
      </w:r>
    </w:p>
    <w:p w14:paraId="56F0ED5E">
      <w:pPr>
        <w:spacing w:line="360" w:lineRule="auto"/>
        <w:jc w:val="left"/>
        <w:rPr>
          <w:rFonts w:hint="eastAsia" w:ascii="宋体" w:hAnsi="宋体"/>
          <w:b/>
          <w:bCs/>
          <w:color w:val="auto"/>
          <w:highlight w:val="none"/>
        </w:rPr>
      </w:pPr>
      <w:r>
        <w:rPr>
          <w:rFonts w:hint="eastAsia" w:ascii="宋体" w:hAnsi="宋体"/>
          <w:b/>
          <w:bCs/>
          <w:color w:val="auto"/>
          <w:highlight w:val="none"/>
        </w:rPr>
        <w:t>9.供应商的询问</w:t>
      </w:r>
    </w:p>
    <w:p w14:paraId="306DD11E">
      <w:pPr>
        <w:spacing w:line="360" w:lineRule="auto"/>
        <w:ind w:firstLine="420" w:firstLineChars="200"/>
        <w:rPr>
          <w:rFonts w:hint="eastAsia" w:ascii="宋体" w:hAnsi="宋体"/>
          <w:color w:val="auto"/>
          <w:highlight w:val="none"/>
        </w:rPr>
      </w:pPr>
      <w:r>
        <w:rPr>
          <w:rFonts w:hint="eastAsia" w:ascii="宋体" w:hAnsi="宋体"/>
          <w:color w:val="auto"/>
          <w:highlight w:val="none"/>
        </w:rPr>
        <w:t>供应商应认真阅读磋商文件的采购需求，如供应商对磋商文件有疑问的，如要求采购人作出澄清或者修改的，供应商尽应在</w:t>
      </w:r>
      <w:r>
        <w:rPr>
          <w:rFonts w:ascii="宋体" w:hAnsi="宋体"/>
          <w:color w:val="auto"/>
          <w:highlight w:val="none"/>
        </w:rPr>
        <w:t>提交首次响应文件截止之日前</w:t>
      </w:r>
      <w:r>
        <w:rPr>
          <w:rFonts w:hint="eastAsia" w:ascii="宋体" w:hAnsi="宋体"/>
          <w:color w:val="auto"/>
          <w:highlight w:val="none"/>
        </w:rPr>
        <w:t>，以书面形式向</w:t>
      </w:r>
      <w:r>
        <w:rPr>
          <w:rFonts w:ascii="宋体" w:hAnsi="宋体"/>
          <w:color w:val="auto"/>
          <w:highlight w:val="none"/>
        </w:rPr>
        <w:t>采购人、采购代理机构</w:t>
      </w:r>
      <w:r>
        <w:rPr>
          <w:rFonts w:hint="eastAsia" w:ascii="宋体" w:hAnsi="宋体"/>
          <w:color w:val="auto"/>
          <w:highlight w:val="none"/>
        </w:rPr>
        <w:t>提出。</w:t>
      </w:r>
    </w:p>
    <w:p w14:paraId="16BE42D1">
      <w:pPr>
        <w:spacing w:line="360" w:lineRule="auto"/>
        <w:rPr>
          <w:rFonts w:hint="eastAsia" w:asciiTheme="minorEastAsia" w:hAnsiTheme="minorEastAsia" w:eastAsiaTheme="minorEastAsia" w:cstheme="minorEastAsia"/>
          <w:b/>
          <w:bCs/>
          <w:color w:val="auto"/>
          <w:spacing w:val="2"/>
          <w:highlight w:val="none"/>
        </w:rPr>
      </w:pPr>
      <w:r>
        <w:rPr>
          <w:rFonts w:hint="eastAsia" w:ascii="宋体" w:hAnsi="宋体"/>
          <w:b/>
          <w:bCs/>
          <w:color w:val="auto"/>
          <w:highlight w:val="none"/>
        </w:rPr>
        <w:t>10.竞争性磋商采购文件的澄清和修改</w:t>
      </w:r>
    </w:p>
    <w:p w14:paraId="09FB0287">
      <w:pPr>
        <w:spacing w:line="420" w:lineRule="exact"/>
        <w:ind w:firstLine="409" w:firstLineChars="195"/>
        <w:rPr>
          <w:rFonts w:hint="eastAsia" w:ascii="宋体" w:hAnsi="宋体"/>
          <w:color w:val="auto"/>
          <w:highlight w:val="none"/>
        </w:rPr>
      </w:pPr>
      <w:r>
        <w:rPr>
          <w:rFonts w:hint="eastAsia" w:ascii="宋体" w:hAnsi="宋体"/>
          <w:color w:val="auto"/>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63CBA768">
      <w:pPr>
        <w:spacing w:line="360" w:lineRule="auto"/>
        <w:ind w:firstLine="422" w:firstLineChars="200"/>
        <w:rPr>
          <w:rFonts w:hint="eastAsia" w:ascii="宋体" w:hAnsi="宋体"/>
          <w:b/>
          <w:color w:val="auto"/>
          <w:highlight w:val="none"/>
        </w:rPr>
      </w:pPr>
      <w:r>
        <w:rPr>
          <w:rFonts w:hint="eastAsia" w:ascii="宋体" w:hAnsi="宋体"/>
          <w:b/>
          <w:color w:val="auto"/>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48A5DD02">
      <w:pPr>
        <w:spacing w:line="360" w:lineRule="auto"/>
        <w:ind w:firstLine="420" w:firstLineChars="200"/>
        <w:rPr>
          <w:rFonts w:hint="eastAsia" w:ascii="宋体" w:hAnsi="宋体"/>
          <w:color w:val="auto"/>
          <w:highlight w:val="none"/>
        </w:rPr>
      </w:pPr>
      <w:r>
        <w:rPr>
          <w:rFonts w:hint="eastAsia" w:ascii="宋体" w:hAnsi="宋体"/>
          <w:color w:val="auto"/>
          <w:highlight w:val="none"/>
        </w:rPr>
        <w:t>1</w:t>
      </w:r>
      <w:r>
        <w:rPr>
          <w:rFonts w:ascii="宋体" w:hAnsi="宋体"/>
          <w:color w:val="auto"/>
          <w:highlight w:val="none"/>
        </w:rPr>
        <w:t>0.</w:t>
      </w:r>
      <w:r>
        <w:rPr>
          <w:rFonts w:hint="eastAsia" w:ascii="宋体" w:hAnsi="宋体"/>
          <w:color w:val="auto"/>
          <w:highlight w:val="none"/>
        </w:rPr>
        <w:t>3</w:t>
      </w:r>
      <w:r>
        <w:rPr>
          <w:rFonts w:ascii="宋体" w:hAnsi="宋体"/>
          <w:color w:val="auto"/>
          <w:highlight w:val="none"/>
        </w:rPr>
        <w:t>提交首次响应文件截止之日前，采购人、采购代理机构或者</w:t>
      </w:r>
      <w:r>
        <w:rPr>
          <w:rFonts w:hint="eastAsia" w:ascii="宋体" w:hAnsi="宋体"/>
          <w:color w:val="auto"/>
          <w:highlight w:val="none"/>
        </w:rPr>
        <w:t>磋商</w:t>
      </w:r>
      <w:r>
        <w:rPr>
          <w:rFonts w:ascii="宋体" w:hAnsi="宋体"/>
          <w:color w:val="auto"/>
          <w:highlight w:val="none"/>
        </w:rPr>
        <w:t>小组可以对已发出的磋商文件进行必要的澄清或者修改，澄清或者修改的内容作为磋商文件的组成部分。澄清或者修改的内容可能影响响应文件编制的，采购人、采购代理机构或者磋商小组在提交首次响应文件截止时间至少5日前，以</w:t>
      </w:r>
      <w:r>
        <w:rPr>
          <w:rFonts w:hint="eastAsia" w:ascii="宋体" w:hAnsi="宋体"/>
          <w:color w:val="auto"/>
          <w:highlight w:val="none"/>
        </w:rPr>
        <w:t>书面</w:t>
      </w:r>
      <w:r>
        <w:rPr>
          <w:rFonts w:ascii="宋体" w:hAnsi="宋体"/>
          <w:color w:val="auto"/>
          <w:highlight w:val="none"/>
        </w:rPr>
        <w:t>形式</w:t>
      </w:r>
      <w:r>
        <w:rPr>
          <w:rFonts w:hint="eastAsia" w:ascii="宋体" w:hAnsi="宋体"/>
          <w:color w:val="auto"/>
          <w:highlight w:val="none"/>
        </w:rPr>
        <w:t>（目前为网上公告和系统短信等形式）</w:t>
      </w:r>
      <w:r>
        <w:rPr>
          <w:rFonts w:ascii="宋体" w:hAnsi="宋体"/>
          <w:color w:val="auto"/>
          <w:highlight w:val="none"/>
        </w:rPr>
        <w:t>通知所有</w:t>
      </w:r>
      <w:r>
        <w:rPr>
          <w:rFonts w:hint="eastAsia" w:ascii="宋体" w:hAnsi="宋体"/>
          <w:color w:val="auto"/>
          <w:highlight w:val="none"/>
        </w:rPr>
        <w:t>获取</w:t>
      </w:r>
      <w:r>
        <w:rPr>
          <w:rFonts w:ascii="宋体" w:hAnsi="宋体"/>
          <w:color w:val="auto"/>
          <w:highlight w:val="none"/>
        </w:rPr>
        <w:t>磋商文件的供应商，不足5日的，采购人、采购代理机构应当顺延提交首次响应文件截止之日。</w:t>
      </w:r>
    </w:p>
    <w:p w14:paraId="7FE073C8">
      <w:pPr>
        <w:spacing w:line="360" w:lineRule="auto"/>
        <w:ind w:firstLine="420" w:firstLineChars="200"/>
        <w:rPr>
          <w:rFonts w:hint="eastAsia" w:ascii="宋体" w:hAnsi="宋体"/>
          <w:color w:val="auto"/>
          <w:highlight w:val="none"/>
        </w:rPr>
      </w:pPr>
      <w:r>
        <w:rPr>
          <w:rFonts w:hint="eastAsia" w:ascii="宋体" w:hAnsi="宋体"/>
          <w:color w:val="auto"/>
          <w:highlight w:val="none"/>
        </w:rPr>
        <w:t>1</w:t>
      </w:r>
      <w:r>
        <w:rPr>
          <w:rFonts w:ascii="宋体" w:hAnsi="宋体"/>
          <w:color w:val="auto"/>
          <w:highlight w:val="none"/>
        </w:rPr>
        <w:t>0.</w:t>
      </w:r>
      <w:r>
        <w:rPr>
          <w:rFonts w:hint="eastAsia" w:ascii="宋体" w:hAnsi="宋体"/>
          <w:color w:val="auto"/>
          <w:highlight w:val="none"/>
        </w:rPr>
        <w:t>4</w:t>
      </w:r>
      <w:r>
        <w:rPr>
          <w:rFonts w:ascii="Arial" w:hAnsi="Arial" w:cs="Arial"/>
          <w:color w:val="auto"/>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7A6B4FB4">
      <w:pPr>
        <w:spacing w:line="360" w:lineRule="auto"/>
        <w:ind w:firstLine="420" w:firstLineChars="200"/>
        <w:rPr>
          <w:color w:val="auto"/>
          <w:highlight w:val="none"/>
        </w:rPr>
      </w:pPr>
      <w:r>
        <w:rPr>
          <w:rFonts w:hint="eastAsia" w:hAnsi="宋体"/>
          <w:color w:val="auto"/>
          <w:highlight w:val="none"/>
        </w:rPr>
        <w:t xml:space="preserve">10.5  </w:t>
      </w:r>
      <w:r>
        <w:rPr>
          <w:rFonts w:hint="eastAsia"/>
          <w:color w:val="auto"/>
          <w:highlight w:val="none"/>
        </w:rPr>
        <w:t>采购人和采购代理机构可以视采购具体情况，变更</w:t>
      </w:r>
      <w:r>
        <w:rPr>
          <w:rFonts w:hAnsi="宋体"/>
          <w:color w:val="auto"/>
          <w:highlight w:val="none"/>
        </w:rPr>
        <w:t>提交首次响应文件</w:t>
      </w:r>
      <w:r>
        <w:rPr>
          <w:rFonts w:hint="eastAsia"/>
          <w:color w:val="auto"/>
          <w:highlight w:val="none"/>
        </w:rPr>
        <w:t>截止时间和竞谈时间，将变更时间在</w:t>
      </w:r>
      <w:r>
        <w:rPr>
          <w:rFonts w:hint="eastAsia" w:hAnsi="宋体"/>
          <w:color w:val="auto"/>
          <w:highlight w:val="none"/>
        </w:rPr>
        <w:t>“采购文件公告</w:t>
      </w:r>
      <w:r>
        <w:rPr>
          <w:rFonts w:hAnsi="宋体"/>
          <w:color w:val="auto"/>
          <w:highlight w:val="none"/>
        </w:rPr>
        <w:t>”</w:t>
      </w:r>
      <w:r>
        <w:rPr>
          <w:rFonts w:hint="eastAsia" w:hAnsi="宋体"/>
          <w:color w:val="auto"/>
          <w:highlight w:val="none"/>
        </w:rPr>
        <w:t>中“七、其他补充事宜3.网上查询地址”</w:t>
      </w:r>
      <w:r>
        <w:rPr>
          <w:rFonts w:hint="eastAsia" w:cs="宋体"/>
          <w:color w:val="auto"/>
          <w:highlight w:val="none"/>
        </w:rPr>
        <w:t>规定的政府采购信息发布媒体上</w:t>
      </w:r>
      <w:r>
        <w:rPr>
          <w:rFonts w:hint="eastAsia"/>
          <w:color w:val="auto"/>
          <w:highlight w:val="none"/>
        </w:rPr>
        <w:t>发布更正公告。</w:t>
      </w:r>
    </w:p>
    <w:p w14:paraId="720CAE10">
      <w:pPr>
        <w:spacing w:line="420" w:lineRule="exact"/>
        <w:ind w:firstLine="390" w:firstLineChars="195"/>
        <w:rPr>
          <w:rFonts w:ascii="宋体" w:hAnsi="Courier New"/>
          <w:b/>
          <w:color w:val="auto"/>
          <w:kern w:val="0"/>
          <w:sz w:val="20"/>
          <w:highlight w:val="none"/>
        </w:rPr>
      </w:pPr>
      <w:r>
        <w:rPr>
          <w:rFonts w:hint="eastAsia" w:ascii="宋体" w:hAnsi="Courier New"/>
          <w:color w:val="auto"/>
          <w:kern w:val="0"/>
          <w:sz w:val="20"/>
          <w:highlight w:val="none"/>
        </w:rPr>
        <w:t>▲</w:t>
      </w:r>
      <w:r>
        <w:rPr>
          <w:rFonts w:hint="eastAsia" w:ascii="宋体" w:hAnsi="Courier New"/>
          <w:b/>
          <w:color w:val="auto"/>
          <w:kern w:val="0"/>
          <w:sz w:val="20"/>
          <w:highlight w:val="none"/>
        </w:rPr>
        <w:t>响应文件未按磋商文件的澄清、修改的内容编制，又不符合实质性要求的，其响应文件作无效处理。</w:t>
      </w:r>
    </w:p>
    <w:p w14:paraId="0EF6312B">
      <w:pPr>
        <w:spacing w:line="460" w:lineRule="exact"/>
        <w:ind w:firstLine="419" w:firstLineChars="195"/>
        <w:jc w:val="center"/>
        <w:rPr>
          <w:rFonts w:hint="eastAsia" w:asciiTheme="minorEastAsia" w:hAnsiTheme="minorEastAsia" w:eastAsiaTheme="minorEastAsia" w:cstheme="minorEastAsia"/>
          <w:b/>
          <w:bCs/>
          <w:color w:val="auto"/>
          <w:spacing w:val="2"/>
          <w:highlight w:val="none"/>
        </w:rPr>
      </w:pPr>
      <w:r>
        <w:rPr>
          <w:rFonts w:hint="eastAsia" w:asciiTheme="minorEastAsia" w:hAnsiTheme="minorEastAsia" w:eastAsiaTheme="minorEastAsia" w:cstheme="minorEastAsia"/>
          <w:b/>
          <w:bCs/>
          <w:color w:val="auto"/>
          <w:spacing w:val="2"/>
          <w:highlight w:val="none"/>
        </w:rPr>
        <w:t>三、响应文件的编制</w:t>
      </w:r>
    </w:p>
    <w:p w14:paraId="771EDAC9">
      <w:pPr>
        <w:spacing w:line="460" w:lineRule="exact"/>
        <w:rPr>
          <w:rFonts w:hint="eastAsia" w:asciiTheme="minorEastAsia" w:hAnsiTheme="minorEastAsia" w:eastAsiaTheme="minorEastAsia" w:cstheme="minorEastAsia"/>
          <w:b/>
          <w:bCs/>
          <w:color w:val="auto"/>
          <w:spacing w:val="2"/>
          <w:highlight w:val="none"/>
        </w:rPr>
      </w:pPr>
      <w:r>
        <w:rPr>
          <w:rFonts w:hint="eastAsia" w:asciiTheme="minorEastAsia" w:hAnsiTheme="minorEastAsia" w:eastAsiaTheme="minorEastAsia" w:cstheme="minorEastAsia"/>
          <w:b/>
          <w:bCs/>
          <w:color w:val="auto"/>
          <w:spacing w:val="2"/>
          <w:highlight w:val="none"/>
        </w:rPr>
        <w:t>11．竞争性磋商响应文件编制基本要求</w:t>
      </w:r>
    </w:p>
    <w:p w14:paraId="330DCC96">
      <w:pPr>
        <w:spacing w:line="460" w:lineRule="exact"/>
        <w:ind w:firstLine="417" w:firstLineChars="195"/>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color w:val="auto"/>
          <w:spacing w:val="2"/>
          <w:highlight w:val="none"/>
        </w:rPr>
        <w:t xml:space="preserve">11.1 本项目实行电子投标，供应商应准备电子磋商响应文件。  </w:t>
      </w:r>
    </w:p>
    <w:p w14:paraId="3969438E">
      <w:pPr>
        <w:spacing w:line="460" w:lineRule="exact"/>
        <w:ind w:firstLine="417" w:firstLineChars="195"/>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color w:val="auto"/>
          <w:spacing w:val="2"/>
          <w:highlight w:val="none"/>
        </w:rPr>
        <w:t>11.1.1电子响应文件按广西政府采购云平台要求及本竞争性磋商文件要求制作、加密并递交。具体操作流程可参考《政府采购项目电子交易管理操作指南-供应商》，指南可在“http://www.ccgp-guangxi.gov.cn/PurchaseAdvisory/ImportantNotice/2866753.html”下载。</w:t>
      </w:r>
    </w:p>
    <w:p w14:paraId="10753EC0">
      <w:pPr>
        <w:spacing w:line="460" w:lineRule="exact"/>
        <w:ind w:firstLine="411" w:firstLineChars="195"/>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▲11.1.2磋商响应文件启用顺序和效力：磋商响应文件的启用，按先后</w:t>
      </w:r>
      <w:r>
        <w:rPr>
          <w:rFonts w:hint="eastAsia" w:asciiTheme="minorEastAsia" w:hAnsiTheme="minorEastAsia" w:eastAsiaTheme="minorEastAsia" w:cstheme="minorEastAsia"/>
          <w:b/>
          <w:bCs/>
          <w:color w:val="auto"/>
          <w:highlight w:val="none"/>
          <w:lang w:val="en-US" w:eastAsia="zh-CN"/>
        </w:rPr>
        <w:t>顺序</w:t>
      </w:r>
      <w:r>
        <w:rPr>
          <w:rFonts w:hint="eastAsia" w:asciiTheme="minorEastAsia" w:hAnsiTheme="minorEastAsia" w:eastAsiaTheme="minorEastAsia" w:cstheme="minorEastAsia"/>
          <w:b/>
          <w:bCs/>
          <w:color w:val="auto"/>
          <w:highlight w:val="none"/>
        </w:rPr>
        <w:t>分别为电子磋商响应文件、电子备份磋商响应文件。若磋商供应商在规定时间内无法解密或解密失败，可以以电子备份磋商响应文件作为依据，若电子备份磋商响应文件与广西政府采购云平台上传的电子磋商响应文件被识别为不一致的，以电子备份磋商响应文件作为评审依据；磋商供应商按时在线解密响应文件的，以在线解密的响应文件作为评审依据。若磋商供应商在规定时间内无法解密或解密失败且未提供电子备份磋商响应文件的，视为响应文件撤回。</w:t>
      </w:r>
    </w:p>
    <w:p w14:paraId="48AA12E9">
      <w:pPr>
        <w:spacing w:line="460" w:lineRule="exact"/>
        <w:ind w:firstLine="417" w:firstLineChars="195"/>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color w:val="auto"/>
          <w:spacing w:val="2"/>
          <w:highlight w:val="none"/>
        </w:rPr>
        <w:t xml:space="preserve">11.2 </w:t>
      </w:r>
      <w:r>
        <w:rPr>
          <w:rFonts w:hint="eastAsia" w:ascii="宋体" w:hAnsi="宋体" w:cs="宋体"/>
          <w:color w:val="auto"/>
          <w:highlight w:val="none"/>
        </w:rPr>
        <w:t>供应商应当按照竞争性磋商采购文件的要求编制响应文件，并对其提交的响应文件的真实性、合法性承担法律责任。响应文件应当对竞争性磋商采购文件作出实质性响应</w:t>
      </w:r>
      <w:r>
        <w:rPr>
          <w:rFonts w:hint="eastAsia" w:asciiTheme="minorEastAsia" w:hAnsiTheme="minorEastAsia" w:eastAsiaTheme="minorEastAsia" w:cstheme="minorEastAsia"/>
          <w:color w:val="auto"/>
          <w:spacing w:val="2"/>
          <w:highlight w:val="none"/>
        </w:rPr>
        <w:t xml:space="preserve">。  </w:t>
      </w:r>
    </w:p>
    <w:p w14:paraId="31E09DA6">
      <w:pPr>
        <w:spacing w:line="460" w:lineRule="exact"/>
        <w:ind w:firstLine="417" w:firstLineChars="195"/>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color w:val="auto"/>
          <w:spacing w:val="2"/>
          <w:highlight w:val="none"/>
        </w:rPr>
        <w:t xml:space="preserve">11.3磋商供应商提交的竞争性磋商响应文件以及磋商供应商与本公司和采购人就有关磋商的所有来往函电均应使用中文。磋商供应商提交的支持文件和印刷的文献可以使用别的语言，但其相应内容必须附有中文翻译文本，在解释竞争性磋商响应文件时以翻译文本为主。  </w:t>
      </w:r>
    </w:p>
    <w:p w14:paraId="58108F53">
      <w:pPr>
        <w:spacing w:line="460" w:lineRule="exact"/>
        <w:ind w:firstLine="417" w:firstLineChars="195"/>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color w:val="auto"/>
          <w:spacing w:val="2"/>
          <w:highlight w:val="none"/>
        </w:rPr>
        <w:t xml:space="preserve">11.4 磋商供应商应认真阅读、并充分理解本文件的全部内容（包括所有的澄清、更改、补充、答疑等内容），承诺并履行本文件中各项条款规定及要求 。  </w:t>
      </w:r>
    </w:p>
    <w:p w14:paraId="10D69836">
      <w:pPr>
        <w:spacing w:line="460" w:lineRule="exact"/>
        <w:ind w:firstLine="417" w:firstLineChars="195"/>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color w:val="auto"/>
          <w:spacing w:val="2"/>
          <w:highlight w:val="none"/>
        </w:rPr>
        <w:t>11.5竞争性磋商响应文件必须按本文件的全部内容，包括所有的澄清、更改、补充、答疑等内容及附件进行编制。</w:t>
      </w:r>
    </w:p>
    <w:p w14:paraId="12FDECFB">
      <w:pPr>
        <w:spacing w:line="360" w:lineRule="auto"/>
        <w:ind w:firstLine="417" w:firstLineChars="195"/>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color w:val="auto"/>
          <w:spacing w:val="2"/>
          <w:highlight w:val="none"/>
        </w:rPr>
        <w:t xml:space="preserve">11.6 如因磋商供应商只填写和提供了本文件要求的部分内容和附件，而给磋商小组评审造成困难，其可能导致的结果和责任由磋商供应商自行承担。 </w:t>
      </w:r>
    </w:p>
    <w:p w14:paraId="2226C2B4">
      <w:pPr>
        <w:spacing w:line="360" w:lineRule="auto"/>
        <w:rPr>
          <w:rFonts w:hint="eastAsia" w:asciiTheme="minorEastAsia" w:hAnsiTheme="minorEastAsia" w:eastAsiaTheme="minorEastAsia" w:cstheme="minorEastAsia"/>
          <w:b/>
          <w:bCs/>
          <w:color w:val="auto"/>
          <w:spacing w:val="2"/>
          <w:highlight w:val="none"/>
        </w:rPr>
      </w:pPr>
      <w:r>
        <w:rPr>
          <w:rFonts w:hint="eastAsia" w:asciiTheme="minorEastAsia" w:hAnsiTheme="minorEastAsia" w:eastAsiaTheme="minorEastAsia" w:cstheme="minorEastAsia"/>
          <w:b/>
          <w:bCs/>
          <w:color w:val="auto"/>
          <w:spacing w:val="2"/>
          <w:highlight w:val="none"/>
        </w:rPr>
        <w:t>12．竞争性磋商响应文件的组成</w:t>
      </w:r>
    </w:p>
    <w:p w14:paraId="1B5AD93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12.1响应文件由资格证明文件、商务和技术文件、报价文件三部分组成：</w:t>
      </w:r>
    </w:p>
    <w:p w14:paraId="784E0EBD">
      <w:pPr>
        <w:spacing w:line="360" w:lineRule="auto"/>
        <w:ind w:left="420" w:leftChars="200" w:firstLine="420" w:firstLineChars="200"/>
        <w:rPr>
          <w:rFonts w:hint="eastAsia" w:ascii="宋体" w:hAnsi="宋体" w:cs="宋体"/>
          <w:color w:val="auto"/>
          <w:highlight w:val="none"/>
        </w:rPr>
      </w:pPr>
      <w:r>
        <w:rPr>
          <w:rFonts w:hint="eastAsia" w:ascii="宋体" w:hAnsi="宋体" w:cs="宋体"/>
          <w:color w:val="auto"/>
          <w:highlight w:val="none"/>
        </w:rPr>
        <w:t>1</w:t>
      </w:r>
      <w:r>
        <w:rPr>
          <w:rFonts w:ascii="宋体" w:hAnsi="宋体" w:cs="宋体"/>
          <w:color w:val="auto"/>
          <w:highlight w:val="none"/>
        </w:rPr>
        <w:t>2.1.1</w:t>
      </w:r>
      <w:r>
        <w:rPr>
          <w:rFonts w:hint="eastAsia" w:ascii="宋体" w:hAnsi="宋体" w:cs="宋体"/>
          <w:color w:val="auto"/>
          <w:highlight w:val="none"/>
        </w:rPr>
        <w:t>资格证明文件：详见须知前附表</w:t>
      </w:r>
    </w:p>
    <w:p w14:paraId="5B2C0D63">
      <w:pPr>
        <w:spacing w:line="360" w:lineRule="auto"/>
        <w:ind w:left="420" w:leftChars="200" w:firstLine="420" w:firstLineChars="200"/>
        <w:rPr>
          <w:rFonts w:hint="eastAsia" w:ascii="宋体" w:hAnsi="宋体" w:cs="宋体"/>
          <w:color w:val="auto"/>
          <w:highlight w:val="none"/>
        </w:rPr>
      </w:pPr>
      <w:r>
        <w:rPr>
          <w:rFonts w:hint="eastAsia" w:ascii="宋体" w:hAnsi="宋体" w:cs="宋体"/>
          <w:color w:val="auto"/>
          <w:highlight w:val="none"/>
        </w:rPr>
        <w:t>12.1.2商务和技术文件：详见须知前附表</w:t>
      </w:r>
    </w:p>
    <w:p w14:paraId="06EF1843">
      <w:pPr>
        <w:spacing w:line="360" w:lineRule="auto"/>
        <w:ind w:left="420" w:leftChars="200" w:firstLine="420" w:firstLineChars="200"/>
        <w:rPr>
          <w:rFonts w:hint="eastAsia" w:ascii="宋体" w:hAnsi="宋体" w:cs="宋体"/>
          <w:color w:val="auto"/>
          <w:highlight w:val="none"/>
        </w:rPr>
      </w:pPr>
      <w:r>
        <w:rPr>
          <w:rFonts w:hint="eastAsia" w:ascii="宋体" w:hAnsi="宋体" w:cs="宋体"/>
          <w:color w:val="auto"/>
          <w:highlight w:val="none"/>
        </w:rPr>
        <w:t>1</w:t>
      </w:r>
      <w:r>
        <w:rPr>
          <w:rFonts w:ascii="宋体" w:hAnsi="宋体" w:cs="宋体"/>
          <w:color w:val="auto"/>
          <w:highlight w:val="none"/>
        </w:rPr>
        <w:t>2.1.</w:t>
      </w:r>
      <w:r>
        <w:rPr>
          <w:rFonts w:hint="eastAsia" w:ascii="宋体" w:hAnsi="宋体" w:cs="宋体"/>
          <w:color w:val="auto"/>
          <w:highlight w:val="none"/>
        </w:rPr>
        <w:t>3报价文件：详见须知前附表</w:t>
      </w:r>
    </w:p>
    <w:p w14:paraId="2BEC0362">
      <w:pPr>
        <w:spacing w:line="360" w:lineRule="auto"/>
        <w:rPr>
          <w:rFonts w:hint="eastAsia" w:asciiTheme="minorEastAsia" w:hAnsiTheme="minorEastAsia" w:eastAsiaTheme="minorEastAsia" w:cstheme="minorEastAsia"/>
          <w:b/>
          <w:bCs/>
          <w:color w:val="auto"/>
          <w:spacing w:val="2"/>
          <w:highlight w:val="none"/>
        </w:rPr>
      </w:pPr>
      <w:r>
        <w:rPr>
          <w:rFonts w:hint="eastAsia" w:asciiTheme="minorEastAsia" w:hAnsiTheme="minorEastAsia" w:eastAsiaTheme="minorEastAsia" w:cstheme="minorEastAsia"/>
          <w:b/>
          <w:bCs/>
          <w:color w:val="auto"/>
          <w:spacing w:val="2"/>
          <w:highlight w:val="none"/>
        </w:rPr>
        <w:t>13.计量单位</w:t>
      </w:r>
    </w:p>
    <w:p w14:paraId="539A51F6">
      <w:pPr>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竞争性磋商采购文件已有明确规定的，使用竞争性磋商采购文件规定的计量单位；竞争性磋商采购文件没有规定的，应采用中华人民共和国法定计量单位，货币种类为人民币，否则视同未响应。</w:t>
      </w:r>
    </w:p>
    <w:p w14:paraId="3C8DD60A">
      <w:pPr>
        <w:spacing w:line="400" w:lineRule="exact"/>
        <w:rPr>
          <w:rFonts w:hint="eastAsia" w:ascii="宋体" w:hAnsi="宋体" w:cs="宋体"/>
          <w:b/>
          <w:bCs/>
          <w:color w:val="auto"/>
          <w:highlight w:val="none"/>
        </w:rPr>
      </w:pPr>
      <w:r>
        <w:rPr>
          <w:rFonts w:hint="eastAsia" w:ascii="宋体" w:hAnsi="宋体" w:cs="宋体"/>
          <w:b/>
          <w:bCs/>
          <w:color w:val="auto"/>
          <w:highlight w:val="none"/>
        </w:rPr>
        <w:t>14.竞标的风险</w:t>
      </w:r>
    </w:p>
    <w:p w14:paraId="04B70F4C">
      <w:pPr>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供应商没有按照竞争性磋商采购文件要求提供全部资料，或者供应商没有对竞争性磋商采购文件在各方面作出实质性响应可能导致其响应无效，是供应商应当考虑的风险。</w:t>
      </w:r>
    </w:p>
    <w:p w14:paraId="42CD6EFA">
      <w:pPr>
        <w:spacing w:line="400" w:lineRule="exact"/>
        <w:rPr>
          <w:rFonts w:hint="eastAsia" w:ascii="宋体" w:hAnsi="宋体" w:cs="宋体"/>
          <w:b/>
          <w:bCs/>
          <w:color w:val="auto"/>
          <w:highlight w:val="none"/>
        </w:rPr>
      </w:pPr>
      <w:r>
        <w:rPr>
          <w:rFonts w:hint="eastAsia" w:ascii="宋体" w:hAnsi="宋体" w:cs="宋体"/>
          <w:b/>
          <w:bCs/>
          <w:color w:val="auto"/>
          <w:highlight w:val="none"/>
        </w:rPr>
        <w:t>15.</w:t>
      </w:r>
      <w:r>
        <w:rPr>
          <w:rFonts w:hint="eastAsia"/>
          <w:b/>
          <w:bCs/>
          <w:color w:val="auto"/>
          <w:highlight w:val="none"/>
        </w:rPr>
        <w:t xml:space="preserve"> </w:t>
      </w:r>
      <w:r>
        <w:rPr>
          <w:rFonts w:hint="eastAsia" w:ascii="宋体" w:hAnsi="宋体" w:cs="宋体"/>
          <w:b/>
          <w:bCs/>
          <w:color w:val="auto"/>
          <w:highlight w:val="none"/>
        </w:rPr>
        <w:t>磋商报价说明</w:t>
      </w:r>
    </w:p>
    <w:p w14:paraId="51973718">
      <w:pPr>
        <w:tabs>
          <w:tab w:val="left" w:pos="2492"/>
        </w:tabs>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15.1磋商价格</w:t>
      </w:r>
    </w:p>
    <w:p w14:paraId="2C5BB4DF">
      <w:pPr>
        <w:tabs>
          <w:tab w:val="left" w:pos="2492"/>
        </w:tabs>
        <w:spacing w:line="400" w:lineRule="exact"/>
        <w:ind w:firstLine="840" w:firstLineChars="400"/>
        <w:rPr>
          <w:rFonts w:hint="eastAsia" w:ascii="宋体" w:hAnsi="宋体" w:cs="宋体"/>
          <w:color w:val="auto"/>
          <w:highlight w:val="none"/>
        </w:rPr>
      </w:pPr>
      <w:r>
        <w:rPr>
          <w:rFonts w:hint="eastAsia" w:ascii="宋体" w:hAnsi="宋体" w:cs="宋体"/>
          <w:color w:val="auto"/>
          <w:highlight w:val="none"/>
        </w:rPr>
        <w:t>本工程的报价方式为工程量清单报价，合同承包方式为：</w:t>
      </w:r>
      <w:r>
        <w:rPr>
          <w:rFonts w:hint="eastAsia" w:ascii="宋体" w:hAnsi="宋体" w:cs="宋体"/>
          <w:b/>
          <w:bCs/>
          <w:color w:val="auto"/>
          <w:highlight w:val="none"/>
          <w:u w:val="single"/>
        </w:rPr>
        <w:t>固定综合单价</w:t>
      </w:r>
      <w:r>
        <w:rPr>
          <w:rFonts w:hint="eastAsia" w:ascii="宋体" w:hAnsi="宋体" w:cs="宋体"/>
          <w:color w:val="auto"/>
          <w:highlight w:val="none"/>
        </w:rPr>
        <w:t>。</w:t>
      </w:r>
    </w:p>
    <w:p w14:paraId="79122723">
      <w:pPr>
        <w:tabs>
          <w:tab w:val="left" w:pos="2492"/>
        </w:tabs>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15.1.1 本工程量清单是根据竞争性磋商文件中包括的、有合同约束力的图纸以及有关工程量清单的国家标准、行业标准、合同条款中约定的工程量计算规则编制。约定计量规则中没有的子目，其工程量按照有合同约束力的图纸所标示尺寸的理论净量计算。计量采用中华人民共和国法定计量单位。</w:t>
      </w:r>
    </w:p>
    <w:p w14:paraId="3D57B850">
      <w:pPr>
        <w:tabs>
          <w:tab w:val="left" w:pos="2492"/>
        </w:tabs>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15.1.2 本工程量清单应与竞争性磋商文件中的供应商须知、通用合同条款、专用合同条款、技术规范及图纸等一起阅读和理解。</w:t>
      </w:r>
    </w:p>
    <w:p w14:paraId="191259CF">
      <w:pPr>
        <w:tabs>
          <w:tab w:val="left" w:pos="2492"/>
        </w:tabs>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15.1.3本工程量清单中所列工程数量是估算的或设计的预计数量，仅作为</w:t>
      </w:r>
      <w:r>
        <w:rPr>
          <w:rFonts w:hint="eastAsia" w:ascii="宋体" w:hAnsi="宋体" w:cs="宋体"/>
          <w:color w:val="auto"/>
          <w:highlight w:val="none"/>
          <w:lang w:val="en-US" w:eastAsia="zh-CN"/>
        </w:rPr>
        <w:t>响应</w:t>
      </w:r>
      <w:r>
        <w:rPr>
          <w:rFonts w:hint="eastAsia" w:ascii="宋体" w:hAnsi="宋体" w:cs="宋体"/>
          <w:color w:val="auto"/>
          <w:highlight w:val="none"/>
        </w:rPr>
        <w:t>报价的共同基础，不能作为最终结算与支付的依据。实际支付应按实际完成的工程量，由承包人按技术规范规定的计量方法，以监理人认可的尺寸、断面计量，按本工程量清单的单价和总额价计算支付金额；或者，根据具体情况，按合同条款的规定，由监理人确定的单价或总额价计算支付额。</w:t>
      </w:r>
    </w:p>
    <w:p w14:paraId="401A1403">
      <w:pPr>
        <w:tabs>
          <w:tab w:val="left" w:pos="2492"/>
        </w:tabs>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15.1.4 工程量清单中所列工程量的变动，丝毫不会降低或影响合同条款的效力，也不免除承包人按规定的标准进行施工和修复缺陷的责任。</w:t>
      </w:r>
    </w:p>
    <w:p w14:paraId="2387F8DF">
      <w:pPr>
        <w:tabs>
          <w:tab w:val="left" w:pos="2492"/>
        </w:tabs>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15.1.5图纸中所列的工程数量表及数量汇总表仅是提供资料，不是工程量清单的外延。当图纸与工程量清单所列数量不一致时，以工程量清单所列数量作为报价的依据。</w:t>
      </w:r>
    </w:p>
    <w:p w14:paraId="12F8D174">
      <w:pPr>
        <w:tabs>
          <w:tab w:val="left" w:pos="2492"/>
        </w:tabs>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 xml:space="preserve">15.1.6工程量清单另册发放。 </w:t>
      </w:r>
    </w:p>
    <w:p w14:paraId="506A9FA4">
      <w:pPr>
        <w:tabs>
          <w:tab w:val="left" w:pos="2492"/>
        </w:tabs>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15.1.7 工程量清单中的每一子目须填入单价或价格，且只允许有一个报价。</w:t>
      </w:r>
    </w:p>
    <w:p w14:paraId="002B3075">
      <w:pPr>
        <w:tabs>
          <w:tab w:val="left" w:pos="2492"/>
        </w:tabs>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15.1.8除非合同另有规定，工程量清单中有标价的单价和总额价均已包括了为实施和完成合同工程所需的劳务、材料、机械、质检（自检）、安装、缺陷修复、管理、保险、税费、利润等费用，以及合同明示或暗示的所有责任、义务和一般风险。</w:t>
      </w:r>
    </w:p>
    <w:p w14:paraId="44A7B93D">
      <w:pPr>
        <w:tabs>
          <w:tab w:val="left" w:pos="2492"/>
        </w:tabs>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15.1.9 工程量清单中供应商没有填入单价或价格的子目，其费用视为</w:t>
      </w:r>
      <w:r>
        <w:rPr>
          <w:rFonts w:hint="eastAsia" w:ascii="宋体" w:hAnsi="宋体" w:cs="宋体"/>
          <w:color w:val="auto"/>
          <w:highlight w:val="none"/>
          <w:lang w:eastAsia="zh-CN"/>
        </w:rPr>
        <w:t>已</w:t>
      </w:r>
      <w:r>
        <w:rPr>
          <w:rFonts w:hint="eastAsia" w:ascii="宋体" w:hAnsi="宋体" w:cs="宋体"/>
          <w:color w:val="auto"/>
          <w:highlight w:val="none"/>
        </w:rPr>
        <w:t>分摊在工程量清单中其他相关子目的单价或价格之中。承包人必须按监理人指令完成工程量清单中未填入单价或价格的子目，但不能得到结算与支付。</w:t>
      </w:r>
    </w:p>
    <w:p w14:paraId="26CFA3C3">
      <w:pPr>
        <w:tabs>
          <w:tab w:val="left" w:pos="2492"/>
        </w:tabs>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15.1.10 符合合同条款规定的全部费用应认为已被计入有标价的工程量清单所列各子目之中，未列子目不予计量的工作，其费用应视为已分摊在本合同工程的有关子目的单价或总额价之中。</w:t>
      </w:r>
    </w:p>
    <w:p w14:paraId="572E63AF">
      <w:pPr>
        <w:tabs>
          <w:tab w:val="left" w:pos="2492"/>
        </w:tabs>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15.1.11承包人用于本合同工程的各类装备的提供、运输、维护、拆卸、拼装等支付的费用，已包括在工程量清单的单价与总额价之中。</w:t>
      </w:r>
    </w:p>
    <w:p w14:paraId="366D4153">
      <w:pPr>
        <w:tabs>
          <w:tab w:val="left" w:pos="2492"/>
        </w:tabs>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15.1.12 工程量清单中各项金额均以人民币（元）结算。</w:t>
      </w:r>
    </w:p>
    <w:p w14:paraId="7F878052">
      <w:pPr>
        <w:tabs>
          <w:tab w:val="left" w:pos="2492"/>
        </w:tabs>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15.1.13 暂列金额（不含计日工总额）的数量及拟用子目的说明：</w:t>
      </w:r>
      <w:r>
        <w:rPr>
          <w:rFonts w:hint="eastAsia" w:ascii="宋体" w:hAnsi="宋体" w:cs="宋体"/>
          <w:color w:val="auto"/>
          <w:highlight w:val="none"/>
          <w:u w:val="single"/>
        </w:rPr>
        <w:t xml:space="preserve"> 详见工程量清单 </w:t>
      </w:r>
      <w:r>
        <w:rPr>
          <w:rFonts w:hint="eastAsia" w:ascii="宋体" w:hAnsi="宋体" w:cs="宋体"/>
          <w:color w:val="auto"/>
          <w:highlight w:val="none"/>
        </w:rPr>
        <w:t>。</w:t>
      </w:r>
    </w:p>
    <w:p w14:paraId="2A0F624A">
      <w:pPr>
        <w:tabs>
          <w:tab w:val="left" w:pos="2492"/>
        </w:tabs>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15.1.14 暂估价的数量及拟用子目的说明：</w:t>
      </w:r>
      <w:r>
        <w:rPr>
          <w:rFonts w:hint="eastAsia" w:ascii="宋体" w:hAnsi="宋体" w:cs="宋体"/>
          <w:color w:val="auto"/>
          <w:highlight w:val="none"/>
          <w:u w:val="single"/>
        </w:rPr>
        <w:t xml:space="preserve"> 详见工程量清单 </w:t>
      </w:r>
      <w:r>
        <w:rPr>
          <w:rFonts w:hint="eastAsia" w:ascii="宋体" w:hAnsi="宋体" w:cs="宋体"/>
          <w:color w:val="auto"/>
          <w:highlight w:val="none"/>
        </w:rPr>
        <w:t>。</w:t>
      </w:r>
    </w:p>
    <w:p w14:paraId="53B4B08C">
      <w:pPr>
        <w:tabs>
          <w:tab w:val="left" w:pos="2492"/>
        </w:tabs>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 xml:space="preserve">15.1.15磋商供应商的磋商报价须按竞争性磋商采购文件及澄清答疑中所确认的工程量清单进行报价。磋商供应商对自己所填写的项目编码、计量单位、工程数量负责。评审中，如报价文件项目编码、计量单位、工程数量与采购人提供的无法一致，该清单项目作废，该清单项目的费用视为包含在其他清单项目中；该清单项目作废，如作废的清单项目达到3项以上（含本数）或作废的清单项目造价累计超过单位工程磋商报价的2%（含本数），视为不响应竞争性磋商采购文件实质性内容，作无效磋商处理。 </w:t>
      </w:r>
    </w:p>
    <w:p w14:paraId="2006847F">
      <w:pPr>
        <w:tabs>
          <w:tab w:val="left" w:pos="2492"/>
        </w:tabs>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15.2磋商价格计算依据：</w:t>
      </w:r>
    </w:p>
    <w:p w14:paraId="61D743F7">
      <w:pPr>
        <w:tabs>
          <w:tab w:val="left" w:pos="2492"/>
        </w:tabs>
        <w:spacing w:line="360" w:lineRule="auto"/>
        <w:ind w:firstLine="420" w:firstLineChars="20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1.《建设工程工程量清单计价规范》（GB 50500-2013）、《房屋建筑与装饰工程工程量计算规范（GB 50854-2013）》；</w:t>
      </w:r>
      <w:r>
        <w:rPr>
          <w:rFonts w:hint="eastAsia" w:ascii="宋体" w:hAnsi="宋体" w:eastAsia="宋体" w:cs="宋体"/>
          <w:b w:val="0"/>
          <w:bCs w:val="0"/>
          <w:color w:val="auto"/>
          <w:kern w:val="2"/>
          <w:sz w:val="21"/>
          <w:szCs w:val="21"/>
          <w:highlight w:val="none"/>
          <w:lang w:val="en-US" w:eastAsia="zh-CN" w:bidi="ar-SA"/>
        </w:rPr>
        <w:tab/>
      </w:r>
    </w:p>
    <w:p w14:paraId="18953C73">
      <w:pPr>
        <w:tabs>
          <w:tab w:val="left" w:pos="2492"/>
        </w:tabs>
        <w:spacing w:line="360" w:lineRule="auto"/>
        <w:ind w:firstLine="420" w:firstLineChars="20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2.《建设工程工程量计算规范广西壮族自治区实施细则（GB 50854～50862-2013）》、《建设工程工程量清单计价规范广西壮族自治区实施细则（GB 50500-2013）》；</w:t>
      </w:r>
      <w:r>
        <w:rPr>
          <w:rFonts w:hint="eastAsia" w:ascii="宋体" w:hAnsi="宋体" w:eastAsia="宋体" w:cs="宋体"/>
          <w:b w:val="0"/>
          <w:bCs w:val="0"/>
          <w:color w:val="auto"/>
          <w:kern w:val="2"/>
          <w:sz w:val="21"/>
          <w:szCs w:val="21"/>
          <w:highlight w:val="none"/>
          <w:lang w:val="en-US" w:eastAsia="zh-CN" w:bidi="ar-SA"/>
        </w:rPr>
        <w:tab/>
      </w:r>
    </w:p>
    <w:p w14:paraId="447DCB6E">
      <w:pPr>
        <w:tabs>
          <w:tab w:val="left" w:pos="2492"/>
        </w:tabs>
        <w:spacing w:line="360" w:lineRule="auto"/>
        <w:ind w:firstLine="420" w:firstLineChars="20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3.2022版《广西壮族自治区市政工程消耗量定额》及其配套费用定额；</w:t>
      </w:r>
      <w:r>
        <w:rPr>
          <w:rFonts w:hint="eastAsia" w:ascii="宋体" w:hAnsi="宋体" w:eastAsia="宋体" w:cs="宋体"/>
          <w:b w:val="0"/>
          <w:bCs w:val="0"/>
          <w:color w:val="auto"/>
          <w:kern w:val="2"/>
          <w:sz w:val="21"/>
          <w:szCs w:val="21"/>
          <w:highlight w:val="none"/>
          <w:lang w:val="en-US" w:eastAsia="zh-CN" w:bidi="ar-SA"/>
        </w:rPr>
        <w:tab/>
      </w:r>
    </w:p>
    <w:p w14:paraId="1A47C898">
      <w:pPr>
        <w:tabs>
          <w:tab w:val="left" w:pos="2492"/>
        </w:tabs>
        <w:spacing w:line="360" w:lineRule="auto"/>
        <w:ind w:firstLine="420" w:firstLineChars="20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4.2024版《广西壮族自治区建筑装饰装修工程消耗量定额》及其配套费用定额；</w:t>
      </w:r>
      <w:r>
        <w:rPr>
          <w:rFonts w:hint="eastAsia" w:ascii="宋体" w:hAnsi="宋体" w:eastAsia="宋体" w:cs="宋体"/>
          <w:b w:val="0"/>
          <w:bCs w:val="0"/>
          <w:color w:val="auto"/>
          <w:kern w:val="2"/>
          <w:sz w:val="21"/>
          <w:szCs w:val="21"/>
          <w:highlight w:val="none"/>
          <w:lang w:val="en-US" w:eastAsia="zh-CN" w:bidi="ar-SA"/>
        </w:rPr>
        <w:tab/>
      </w:r>
    </w:p>
    <w:p w14:paraId="0090F3B4">
      <w:pPr>
        <w:tabs>
          <w:tab w:val="left" w:pos="2492"/>
        </w:tabs>
        <w:spacing w:line="360" w:lineRule="auto"/>
        <w:ind w:firstLine="420" w:firstLineChars="20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5.《自治区住房城乡建设厅关于调整建设工程定额人工费及有关费率的通知》（桂建标〔2023〕7号）；</w:t>
      </w:r>
    </w:p>
    <w:p w14:paraId="48793457">
      <w:pPr>
        <w:tabs>
          <w:tab w:val="left" w:pos="2492"/>
        </w:tabs>
        <w:spacing w:line="360" w:lineRule="auto"/>
        <w:ind w:firstLine="420" w:firstLineChars="20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6.《自治区住房城乡建设厅关于调整建设工程计价增值税税率的通知》（桂建标〔2019〕12号）；</w:t>
      </w:r>
      <w:r>
        <w:rPr>
          <w:rFonts w:hint="eastAsia" w:ascii="宋体" w:hAnsi="宋体" w:eastAsia="宋体" w:cs="宋体"/>
          <w:b w:val="0"/>
          <w:bCs w:val="0"/>
          <w:color w:val="auto"/>
          <w:kern w:val="2"/>
          <w:sz w:val="21"/>
          <w:szCs w:val="21"/>
          <w:highlight w:val="none"/>
          <w:lang w:val="en-US" w:eastAsia="zh-CN" w:bidi="ar-SA"/>
        </w:rPr>
        <w:tab/>
      </w:r>
    </w:p>
    <w:p w14:paraId="1E7C7797">
      <w:pPr>
        <w:tabs>
          <w:tab w:val="left" w:pos="2492"/>
        </w:tabs>
        <w:spacing w:line="360" w:lineRule="auto"/>
        <w:ind w:firstLine="420" w:firstLineChars="20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7.《自治区住</w:t>
      </w:r>
      <w:r>
        <w:rPr>
          <w:rFonts w:hint="eastAsia" w:ascii="宋体" w:hAnsi="宋体" w:cs="宋体"/>
          <w:b w:val="0"/>
          <w:bCs w:val="0"/>
          <w:color w:val="auto"/>
          <w:kern w:val="2"/>
          <w:sz w:val="21"/>
          <w:szCs w:val="21"/>
          <w:highlight w:val="none"/>
          <w:lang w:val="en-US" w:eastAsia="zh-CN" w:bidi="ar-SA"/>
        </w:rPr>
        <w:t>房和</w:t>
      </w:r>
      <w:r>
        <w:rPr>
          <w:rFonts w:hint="eastAsia" w:ascii="宋体" w:hAnsi="宋体" w:eastAsia="宋体" w:cs="宋体"/>
          <w:b w:val="0"/>
          <w:bCs w:val="0"/>
          <w:color w:val="auto"/>
          <w:kern w:val="2"/>
          <w:sz w:val="21"/>
          <w:szCs w:val="21"/>
          <w:highlight w:val="none"/>
          <w:lang w:val="en-US" w:eastAsia="zh-CN" w:bidi="ar-SA"/>
        </w:rPr>
        <w:t>城乡建设厅关于印发广西壮族自治区房屋建筑和市政基础设施工程安全生产责任保险计价规定的通知》（桂建发〔2023〕6 号）的规定；</w:t>
      </w:r>
      <w:r>
        <w:rPr>
          <w:rFonts w:hint="eastAsia" w:ascii="宋体" w:hAnsi="宋体" w:eastAsia="宋体" w:cs="宋体"/>
          <w:b w:val="0"/>
          <w:bCs w:val="0"/>
          <w:color w:val="auto"/>
          <w:kern w:val="2"/>
          <w:sz w:val="21"/>
          <w:szCs w:val="21"/>
          <w:highlight w:val="none"/>
          <w:lang w:val="en-US" w:eastAsia="zh-CN" w:bidi="ar-SA"/>
        </w:rPr>
        <w:tab/>
      </w:r>
    </w:p>
    <w:p w14:paraId="35BA7175">
      <w:pPr>
        <w:tabs>
          <w:tab w:val="left" w:pos="2492"/>
        </w:tabs>
        <w:spacing w:line="360" w:lineRule="auto"/>
        <w:ind w:firstLine="420" w:firstLineChars="20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8.施工现场情况、工程特点及常规施工组织设计方案；</w:t>
      </w:r>
      <w:r>
        <w:rPr>
          <w:rFonts w:hint="eastAsia" w:ascii="宋体" w:hAnsi="宋体" w:eastAsia="宋体" w:cs="宋体"/>
          <w:b w:val="0"/>
          <w:bCs w:val="0"/>
          <w:color w:val="auto"/>
          <w:kern w:val="2"/>
          <w:sz w:val="21"/>
          <w:szCs w:val="21"/>
          <w:highlight w:val="none"/>
          <w:lang w:val="en-US" w:eastAsia="zh-CN" w:bidi="ar-SA"/>
        </w:rPr>
        <w:tab/>
      </w:r>
    </w:p>
    <w:p w14:paraId="3A1F625E">
      <w:pPr>
        <w:tabs>
          <w:tab w:val="left" w:pos="2492"/>
        </w:tabs>
        <w:spacing w:line="360" w:lineRule="auto"/>
        <w:ind w:firstLine="420" w:firstLineChars="20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9.其他现行相关文件、法律法规、标准图集等。</w:t>
      </w:r>
      <w:r>
        <w:rPr>
          <w:rFonts w:hint="eastAsia" w:ascii="宋体" w:hAnsi="宋体" w:eastAsia="宋体" w:cs="宋体"/>
          <w:b w:val="0"/>
          <w:bCs w:val="0"/>
          <w:color w:val="auto"/>
          <w:kern w:val="2"/>
          <w:sz w:val="21"/>
          <w:szCs w:val="21"/>
          <w:highlight w:val="none"/>
          <w:lang w:val="en-US" w:eastAsia="zh-CN" w:bidi="ar-SA"/>
        </w:rPr>
        <w:tab/>
      </w:r>
    </w:p>
    <w:p w14:paraId="03494743">
      <w:pPr>
        <w:tabs>
          <w:tab w:val="left" w:pos="2492"/>
        </w:tabs>
        <w:spacing w:line="360" w:lineRule="auto"/>
        <w:ind w:firstLine="420" w:firstLineChars="20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材料价格:材料价格参考《南宁建设工程造价信息》</w:t>
      </w:r>
      <w:r>
        <w:rPr>
          <w:rFonts w:hint="eastAsia" w:ascii="宋体" w:hAnsi="宋体" w:cs="宋体"/>
          <w:b w:val="0"/>
          <w:bCs w:val="0"/>
          <w:color w:val="auto"/>
          <w:kern w:val="2"/>
          <w:sz w:val="21"/>
          <w:szCs w:val="21"/>
          <w:highlight w:val="none"/>
          <w:lang w:val="en-US" w:eastAsia="zh-CN" w:bidi="ar-SA"/>
        </w:rPr>
        <w:t>2026年</w:t>
      </w:r>
      <w:r>
        <w:rPr>
          <w:rFonts w:hint="eastAsia" w:ascii="宋体" w:hAnsi="宋体" w:eastAsia="宋体" w:cs="宋体"/>
          <w:b w:val="0"/>
          <w:bCs w:val="0"/>
          <w:color w:val="auto"/>
          <w:kern w:val="2"/>
          <w:sz w:val="21"/>
          <w:szCs w:val="21"/>
          <w:highlight w:val="none"/>
          <w:lang w:val="en-US" w:eastAsia="zh-CN" w:bidi="ar-SA"/>
        </w:rPr>
        <w:t>第6期上半月刊，信息价缺项部分按市场询价。</w:t>
      </w:r>
    </w:p>
    <w:p w14:paraId="3DF2D621">
      <w:pPr>
        <w:tabs>
          <w:tab w:val="left" w:pos="2492"/>
        </w:tabs>
        <w:spacing w:line="360" w:lineRule="auto"/>
        <w:ind w:firstLine="420" w:firstLineChars="200"/>
        <w:rPr>
          <w:rFonts w:hint="default" w:ascii="宋体" w:hAnsi="宋体" w:eastAsia="宋体" w:cs="宋体"/>
          <w:b w:val="0"/>
          <w:bCs w:val="0"/>
          <w:color w:val="auto"/>
          <w:kern w:val="2"/>
          <w:sz w:val="21"/>
          <w:szCs w:val="21"/>
          <w:highlight w:val="none"/>
          <w:lang w:val="en-US" w:eastAsia="zh-CN" w:bidi="ar-SA"/>
        </w:rPr>
      </w:pPr>
      <w:r>
        <w:rPr>
          <w:rFonts w:hint="eastAsia" w:ascii="宋体" w:hAnsi="宋体" w:cs="宋体"/>
          <w:b w:val="0"/>
          <w:bCs w:val="0"/>
          <w:color w:val="auto"/>
          <w:kern w:val="2"/>
          <w:sz w:val="21"/>
          <w:szCs w:val="21"/>
          <w:highlight w:val="none"/>
          <w:lang w:val="en-US" w:eastAsia="zh-CN" w:bidi="ar-SA"/>
        </w:rPr>
        <w:t>其他说明：</w:t>
      </w:r>
    </w:p>
    <w:p w14:paraId="5EF2644F">
      <w:pPr>
        <w:tabs>
          <w:tab w:val="left" w:pos="2492"/>
        </w:tabs>
        <w:spacing w:line="360" w:lineRule="auto"/>
        <w:ind w:firstLine="420" w:firstLineChars="20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1.本工程采用增值税一般计税法计价，即税率为9%；</w:t>
      </w:r>
      <w:r>
        <w:rPr>
          <w:rFonts w:hint="eastAsia" w:ascii="宋体" w:hAnsi="宋体" w:eastAsia="宋体" w:cs="宋体"/>
          <w:b w:val="0"/>
          <w:bCs w:val="0"/>
          <w:color w:val="auto"/>
          <w:kern w:val="2"/>
          <w:sz w:val="21"/>
          <w:szCs w:val="21"/>
          <w:highlight w:val="none"/>
          <w:lang w:val="en-US" w:eastAsia="zh-CN" w:bidi="ar-SA"/>
        </w:rPr>
        <w:tab/>
      </w:r>
    </w:p>
    <w:p w14:paraId="760D2CC9">
      <w:pPr>
        <w:tabs>
          <w:tab w:val="left" w:pos="2492"/>
        </w:tabs>
        <w:spacing w:line="360" w:lineRule="auto"/>
        <w:ind w:firstLine="420" w:firstLineChars="20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2.安全生产责任保险费按分部分项工程费及措施项目费（含单价及总价措施项目费）为计算基数乘以0.2%计入暂估价，工程结算时，由发承包双方根据工程实际情况确认的安全生产责任保险费计入工程造价。</w:t>
      </w:r>
    </w:p>
    <w:p w14:paraId="654D51AC">
      <w:pPr>
        <w:tabs>
          <w:tab w:val="left" w:pos="2492"/>
        </w:tabs>
        <w:spacing w:line="360" w:lineRule="auto"/>
        <w:ind w:firstLine="422" w:firstLineChars="200"/>
        <w:rPr>
          <w:rFonts w:hint="eastAsia" w:ascii="宋体" w:hAnsi="宋体" w:cs="宋体"/>
          <w:color w:val="auto"/>
          <w:highlight w:val="none"/>
        </w:rPr>
      </w:pPr>
      <w:r>
        <w:rPr>
          <w:rFonts w:hint="eastAsia" w:ascii="宋体" w:hAnsi="宋体" w:cs="宋体"/>
          <w:b/>
          <w:color w:val="auto"/>
          <w:highlight w:val="none"/>
        </w:rPr>
        <w:t>15.3本项目有二次报价，如二次报价总价有变动，除报总价外还须提供二次报价的已标价工程量清单作为应答文件的组成部分并加盖单位公章（不得以总价下浮的方式做报价，否则作无效磋商处理），磋商供应商需提前做好相关准备（加盖公章的二次报价的工程量清单扫描件），并根据二次报价指令在规定的时间内递交报价文件，报价高于采购预算控制价的竞争性磋商响应文件将被拒绝；如磋商供应商在二次报价时，总报价不做改变，则只需报总价，无需提供二次报价的已标价工程量清单。</w:t>
      </w:r>
    </w:p>
    <w:p w14:paraId="5C5A94C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15.4竞标报价（最后报价）超过规定的采购预算金额或者最高限价的（如本项目公布了最高限价），其响应文件将作无效处理。</w:t>
      </w:r>
      <w:bookmarkStart w:id="12" w:name="_Hlk42592874"/>
    </w:p>
    <w:bookmarkEnd w:id="12"/>
    <w:p w14:paraId="613B738D">
      <w:pPr>
        <w:spacing w:line="360" w:lineRule="auto"/>
        <w:rPr>
          <w:rFonts w:hint="eastAsia" w:ascii="宋体" w:hAnsi="宋体" w:cs="宋体"/>
          <w:b/>
          <w:bCs/>
          <w:color w:val="auto"/>
          <w:highlight w:val="none"/>
        </w:rPr>
      </w:pPr>
      <w:r>
        <w:rPr>
          <w:rFonts w:hint="eastAsia" w:ascii="宋体" w:hAnsi="宋体" w:cs="宋体"/>
          <w:b/>
          <w:bCs/>
          <w:color w:val="auto"/>
          <w:highlight w:val="none"/>
        </w:rPr>
        <w:t>16.竞标有效期</w:t>
      </w:r>
    </w:p>
    <w:p w14:paraId="0F5F1EE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16.1竞标有效期是指为保证采购人有足够的时间在提交响应文件后完成评审、确定成交供应商、合同签订等工作而要求供应商提交的响应文件在一定时间内保持有效的期限。</w:t>
      </w:r>
    </w:p>
    <w:p w14:paraId="1EF75B2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16.2 竞标有效期应由供应商按“供应商须知前附表”规定的期限作出响应。</w:t>
      </w:r>
    </w:p>
    <w:p w14:paraId="0F014D3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16.3供应商的响应文件在竞标有效期内均保持有效。</w:t>
      </w:r>
    </w:p>
    <w:p w14:paraId="066E4C28">
      <w:pPr>
        <w:spacing w:line="360" w:lineRule="auto"/>
        <w:rPr>
          <w:rFonts w:hint="eastAsia" w:ascii="宋体" w:hAnsi="宋体" w:cs="宋体"/>
          <w:b/>
          <w:bCs/>
          <w:color w:val="auto"/>
          <w:highlight w:val="none"/>
        </w:rPr>
      </w:pPr>
      <w:r>
        <w:rPr>
          <w:rFonts w:hint="eastAsia" w:ascii="宋体" w:hAnsi="宋体" w:cs="宋体"/>
          <w:b/>
          <w:bCs/>
          <w:color w:val="auto"/>
          <w:highlight w:val="none"/>
        </w:rPr>
        <w:t>17.磋商保证金：详见磋商须知前附表</w:t>
      </w:r>
    </w:p>
    <w:p w14:paraId="17E8E402">
      <w:pPr>
        <w:spacing w:line="360" w:lineRule="auto"/>
        <w:rPr>
          <w:rFonts w:hint="eastAsia" w:ascii="宋体" w:hAnsi="宋体" w:cs="宋体"/>
          <w:b/>
          <w:bCs/>
          <w:color w:val="auto"/>
          <w:highlight w:val="none"/>
        </w:rPr>
      </w:pPr>
      <w:r>
        <w:rPr>
          <w:rFonts w:hint="eastAsia" w:ascii="宋体" w:hAnsi="宋体" w:cs="宋体"/>
          <w:b/>
          <w:bCs/>
          <w:color w:val="auto"/>
          <w:highlight w:val="none"/>
        </w:rPr>
        <w:t>18.响应文件编制的要求</w:t>
      </w:r>
    </w:p>
    <w:p w14:paraId="7E7DB4F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由此引发的后果由供应商承担。</w:t>
      </w:r>
    </w:p>
    <w:p w14:paraId="48A666F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18.2</w:t>
      </w:r>
      <w:r>
        <w:rPr>
          <w:rFonts w:hint="eastAsia" w:ascii="宋体" w:hAnsi="宋体" w:cs="宋体"/>
          <w:b/>
          <w:bCs/>
          <w:color w:val="auto"/>
          <w:highlight w:val="none"/>
        </w:rPr>
        <w:t>响应文件应按资格证明、报价分别编制，商务技术文件合并编制，本磋商只接受电子版响应文件。</w:t>
      </w:r>
    </w:p>
    <w:p w14:paraId="141E790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18.</w:t>
      </w:r>
      <w:bookmarkStart w:id="13" w:name="_Hlk65832699"/>
      <w:r>
        <w:rPr>
          <w:rFonts w:hint="eastAsia" w:ascii="宋体" w:hAnsi="宋体" w:cs="宋体"/>
          <w:color w:val="auto"/>
          <w:highlight w:val="none"/>
        </w:rPr>
        <w:t>3</w:t>
      </w:r>
      <w:r>
        <w:rPr>
          <w:rFonts w:hint="eastAsia" w:ascii="宋体" w:hAnsi="宋体"/>
          <w:color w:val="auto"/>
          <w:highlight w:val="none"/>
        </w:rPr>
        <w:t>响应文件须由供应商在</w:t>
      </w:r>
      <w:r>
        <w:rPr>
          <w:rFonts w:hint="eastAsia" w:ascii="宋体" w:hAnsi="宋体" w:cs="仿宋_GB2312"/>
          <w:color w:val="auto"/>
          <w:kern w:val="0"/>
          <w:highlight w:val="none"/>
          <w:lang w:val="zh-CN"/>
        </w:rPr>
        <w:t>“</w:t>
      </w:r>
      <w:r>
        <w:rPr>
          <w:rFonts w:hint="eastAsia" w:ascii="宋体" w:hAnsi="宋体"/>
          <w:color w:val="auto"/>
          <w:highlight w:val="none"/>
        </w:rPr>
        <w:t>第五章 响应文件格式</w:t>
      </w:r>
      <w:r>
        <w:rPr>
          <w:rFonts w:hint="eastAsia" w:ascii="宋体" w:hAnsi="宋体" w:cs="仿宋_GB2312"/>
          <w:color w:val="auto"/>
          <w:kern w:val="0"/>
          <w:highlight w:val="none"/>
          <w:lang w:val="zh-CN"/>
        </w:rPr>
        <w:t>”</w:t>
      </w:r>
      <w:r>
        <w:rPr>
          <w:rFonts w:hint="eastAsia" w:ascii="宋体" w:hAnsi="宋体"/>
          <w:color w:val="auto"/>
          <w:highlight w:val="none"/>
        </w:rPr>
        <w:t>规定位置</w:t>
      </w:r>
      <w:r>
        <w:rPr>
          <w:rFonts w:hint="eastAsia" w:ascii="宋体" w:hAnsi="宋体" w:cs="仿宋_GB2312"/>
          <w:color w:val="auto"/>
          <w:highlight w:val="none"/>
        </w:rPr>
        <w:t>进行签署、盖章</w:t>
      </w:r>
      <w:bookmarkEnd w:id="13"/>
      <w:r>
        <w:rPr>
          <w:rFonts w:hint="eastAsia" w:ascii="宋体" w:hAnsi="宋体" w:cs="宋体"/>
          <w:color w:val="auto"/>
          <w:highlight w:val="none"/>
        </w:rPr>
        <w:t>，否则其响应文件按无效响应处理。骑缝盖公章不视为在规定位置盖章。</w:t>
      </w:r>
    </w:p>
    <w:p w14:paraId="4CF4F42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18.4响应文件中标注的供应商名称应与营业执照（事业单位法人证书、执业许可证、自然人身份证）及电子公章一致，否则其响应文件按无效响应处理。</w:t>
      </w:r>
    </w:p>
    <w:p w14:paraId="21EC9E76">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18.5响应文件应避免涂改、行间插字或者删除，否则其响应文件按无效响应处理。</w:t>
      </w:r>
    </w:p>
    <w:p w14:paraId="0FFA0248">
      <w:pPr>
        <w:spacing w:line="400" w:lineRule="exact"/>
        <w:ind w:firstLine="420" w:firstLineChars="200"/>
        <w:rPr>
          <w:rFonts w:hint="eastAsia" w:ascii="宋体" w:hAnsi="宋体" w:cs="宋体"/>
          <w:b/>
          <w:color w:val="auto"/>
          <w:highlight w:val="none"/>
        </w:rPr>
      </w:pPr>
      <w:r>
        <w:rPr>
          <w:rFonts w:hint="eastAsia" w:ascii="宋体" w:hAnsi="宋体" w:cs="宋体"/>
          <w:color w:val="auto"/>
          <w:highlight w:val="none"/>
        </w:rPr>
        <w:t>18.6</w:t>
      </w:r>
      <w:r>
        <w:rPr>
          <w:rFonts w:hint="eastAsia" w:ascii="宋体" w:hAnsi="宋体" w:cs="宋体"/>
          <w:b/>
          <w:color w:val="auto"/>
          <w:highlight w:val="none"/>
        </w:rPr>
        <w:t>▲特别说明：（1）响应文件中所须加盖公章部分均采用CA签章。若竞争性磋商采购文件中有专门标注的某关联点，并要求供应商在电子投标系统中作出磋商响应的，如供应商未对关联点进行响应或者在响应文件其它内容进行描述，造成电子评审不能查询的责任由供应商自行承担。</w:t>
      </w:r>
    </w:p>
    <w:p w14:paraId="6C3226A4">
      <w:pPr>
        <w:spacing w:line="400" w:lineRule="exact"/>
        <w:ind w:firstLine="422" w:firstLineChars="200"/>
        <w:rPr>
          <w:rFonts w:hint="eastAsia" w:ascii="宋体" w:hAnsi="宋体" w:cs="宋体"/>
          <w:b/>
          <w:color w:val="auto"/>
          <w:highlight w:val="none"/>
        </w:rPr>
      </w:pPr>
      <w:r>
        <w:rPr>
          <w:rFonts w:hint="eastAsia" w:ascii="宋体" w:hAnsi="宋体" w:cs="宋体"/>
          <w:b/>
          <w:color w:val="auto"/>
          <w:highlight w:val="none"/>
        </w:rPr>
        <w:t>（2）竞争性磋商采购文件要求提供的的各种复印件，须加盖磋商供应商CA签章，否则其磋商无效。</w:t>
      </w:r>
    </w:p>
    <w:p w14:paraId="3820D933">
      <w:pPr>
        <w:spacing w:line="400" w:lineRule="exact"/>
        <w:ind w:firstLine="422" w:firstLineChars="200"/>
        <w:rPr>
          <w:rFonts w:hint="eastAsia" w:ascii="宋体" w:hAnsi="宋体" w:cs="宋体"/>
          <w:b/>
          <w:color w:val="auto"/>
          <w:highlight w:val="none"/>
        </w:rPr>
      </w:pPr>
      <w:r>
        <w:rPr>
          <w:rFonts w:hint="eastAsia" w:ascii="宋体" w:hAnsi="宋体" w:cs="宋体"/>
          <w:b/>
          <w:color w:val="auto"/>
          <w:highlight w:val="none"/>
        </w:rPr>
        <w:t>（3）竞争性磋商采购文件要求“必须提供”的证明等材料，磋商供应商必须全部提供，缺一不可，否则磋商无效。</w:t>
      </w:r>
    </w:p>
    <w:p w14:paraId="0487493E">
      <w:pPr>
        <w:spacing w:line="400" w:lineRule="exact"/>
        <w:ind w:firstLine="422" w:firstLineChars="200"/>
        <w:rPr>
          <w:rFonts w:hint="eastAsia" w:ascii="宋体" w:hAnsi="宋体" w:cs="宋体"/>
          <w:b/>
          <w:color w:val="auto"/>
          <w:highlight w:val="none"/>
        </w:rPr>
      </w:pPr>
      <w:r>
        <w:rPr>
          <w:rFonts w:hint="eastAsia" w:ascii="宋体" w:hAnsi="宋体" w:cs="宋体"/>
          <w:b/>
          <w:color w:val="auto"/>
          <w:highlight w:val="none"/>
        </w:rPr>
        <w:t>（4）竞争性磋商采购文件要求法定代表人（负责人）或委托代理人签字的部分必须签字或电子签章，否则视为磋商无效。</w:t>
      </w:r>
    </w:p>
    <w:p w14:paraId="6B1B7F67">
      <w:pPr>
        <w:adjustRightInd w:val="0"/>
        <w:snapToGrid w:val="0"/>
        <w:spacing w:line="360" w:lineRule="exact"/>
        <w:ind w:firstLine="420"/>
        <w:rPr>
          <w:rFonts w:ascii="宋体" w:hAnsi="Courier New"/>
          <w:b/>
          <w:color w:val="auto"/>
          <w:szCs w:val="20"/>
          <w:highlight w:val="none"/>
        </w:rPr>
      </w:pPr>
      <w:r>
        <w:rPr>
          <w:rFonts w:hint="eastAsia" w:ascii="宋体" w:hAnsi="Courier New"/>
          <w:b/>
          <w:color w:val="auto"/>
          <w:szCs w:val="20"/>
          <w:highlight w:val="none"/>
        </w:rPr>
        <w:t>（5）电子磋商响应文件中须加盖供应商公章部分均采用 CA 签章，并根据“政府采购项目电子交易管理操作指南-供应商”及本竞争性磋商采购文件规定的格式和顺序编制电子磋商响应文件并进行关联定位，以便磋商小组在评审时，点击评分项可直接定位到该评分项内容。如对竞争性磋商采购文件的某项要求，供应商的电子磋商响应文件未能关联定位提供相应的内容与其对应，则磋商小组在评审时如做出对供应商不利的评审由供应商自行承担。电子磋商响应文件如内容不完整、编排混乱导致磋商响应文件被误读、 漏读，或者在竞争性磋商文件规定的部位查找不到相关内容的，由供应商自行承担。</w:t>
      </w:r>
    </w:p>
    <w:p w14:paraId="7086B05B">
      <w:pPr>
        <w:adjustRightInd w:val="0"/>
        <w:snapToGrid w:val="0"/>
        <w:spacing w:line="360" w:lineRule="exact"/>
        <w:ind w:firstLine="420"/>
        <w:rPr>
          <w:rFonts w:ascii="宋体" w:hAnsi="Courier New"/>
          <w:b/>
          <w:color w:val="auto"/>
          <w:szCs w:val="20"/>
          <w:highlight w:val="none"/>
        </w:rPr>
      </w:pPr>
      <w:r>
        <w:rPr>
          <w:rFonts w:hint="eastAsia" w:ascii="宋体" w:hAnsi="Courier New"/>
          <w:b/>
          <w:color w:val="auto"/>
          <w:szCs w:val="20"/>
          <w:highlight w:val="none"/>
        </w:rPr>
        <w:t>（6）磋商响应文件不得涂改，若有修改错漏处，须法定代表人（负责人）或授权委托人签字。磋商响应文件因字迹潦草或表达不清所引起的后果由供应商负责。</w:t>
      </w:r>
    </w:p>
    <w:p w14:paraId="0787E4F0">
      <w:pPr>
        <w:shd w:val="clear" w:color="auto" w:fill="FFFFFF"/>
        <w:spacing w:line="360" w:lineRule="auto"/>
        <w:rPr>
          <w:rFonts w:hint="eastAsia" w:ascii="宋体" w:hAnsi="宋体"/>
          <w:b/>
          <w:bCs/>
          <w:color w:val="auto"/>
          <w:highlight w:val="none"/>
        </w:rPr>
      </w:pPr>
    </w:p>
    <w:p w14:paraId="3EBD204D">
      <w:pPr>
        <w:shd w:val="clear" w:color="auto" w:fill="FFFFFF"/>
        <w:spacing w:line="360" w:lineRule="auto"/>
        <w:rPr>
          <w:rFonts w:hint="eastAsia" w:ascii="宋体" w:hAnsi="宋体"/>
          <w:b/>
          <w:bCs/>
          <w:color w:val="auto"/>
          <w:highlight w:val="none"/>
        </w:rPr>
      </w:pPr>
      <w:r>
        <w:rPr>
          <w:rFonts w:hint="eastAsia" w:ascii="宋体" w:hAnsi="宋体"/>
          <w:b/>
          <w:bCs/>
          <w:color w:val="auto"/>
          <w:highlight w:val="none"/>
        </w:rPr>
        <w:t>19.响应文件的密封和标记</w:t>
      </w:r>
    </w:p>
    <w:p w14:paraId="5EC1F458">
      <w:pPr>
        <w:spacing w:line="360" w:lineRule="auto"/>
        <w:ind w:firstLine="420" w:firstLineChars="200"/>
        <w:rPr>
          <w:rFonts w:hint="eastAsia" w:ascii="宋体" w:hAnsi="宋体" w:cs="仿宋_GB2312"/>
          <w:color w:val="auto"/>
          <w:kern w:val="0"/>
          <w:highlight w:val="none"/>
          <w:lang w:val="zh-CN"/>
        </w:rPr>
      </w:pPr>
      <w:r>
        <w:rPr>
          <w:rFonts w:hint="eastAsia" w:ascii="宋体" w:hAnsi="宋体" w:cs="仿宋_GB2312"/>
          <w:color w:val="auto"/>
          <w:kern w:val="0"/>
          <w:highlight w:val="none"/>
          <w:lang w:val="zh-CN"/>
        </w:rPr>
        <w:t>19.1供应商进行电子交易应安装客户端软件—“</w:t>
      </w:r>
      <w:r>
        <w:rPr>
          <w:rFonts w:hint="eastAsia" w:ascii="宋体" w:hAnsi="宋体" w:cs="仿宋_GB2312"/>
          <w:color w:val="auto"/>
          <w:kern w:val="0"/>
          <w:highlight w:val="none"/>
        </w:rPr>
        <w:t>广西政府采购云</w:t>
      </w:r>
      <w:r>
        <w:rPr>
          <w:rFonts w:hint="eastAsia" w:ascii="宋体" w:hAnsi="宋体" w:cs="仿宋_GB2312"/>
          <w:color w:val="auto"/>
          <w:kern w:val="0"/>
          <w:highlight w:val="none"/>
          <w:lang w:val="zh-CN"/>
        </w:rPr>
        <w:t>电子交易客户端”，并按照磋商文件和电子交易平台的要求编制并加密响应文件。供应商未按规定加密的响应文件，电子交易平台将拒收并提示。</w:t>
      </w:r>
    </w:p>
    <w:p w14:paraId="16A468A1">
      <w:pPr>
        <w:spacing w:line="360" w:lineRule="auto"/>
        <w:ind w:firstLine="420" w:firstLineChars="200"/>
        <w:rPr>
          <w:rFonts w:hint="eastAsia" w:ascii="宋体" w:hAnsi="宋体" w:cs="仿宋_GB2312"/>
          <w:color w:val="auto"/>
          <w:kern w:val="0"/>
          <w:highlight w:val="none"/>
          <w:lang w:val="zh-CN"/>
        </w:rPr>
      </w:pPr>
      <w:r>
        <w:rPr>
          <w:rFonts w:hint="eastAsia" w:ascii="宋体" w:hAnsi="宋体" w:cs="仿宋_GB2312"/>
          <w:color w:val="auto"/>
          <w:kern w:val="0"/>
          <w:highlight w:val="none"/>
          <w:lang w:val="zh-CN"/>
        </w:rPr>
        <w:t>19.2使用“</w:t>
      </w:r>
      <w:r>
        <w:rPr>
          <w:rFonts w:hint="eastAsia" w:ascii="宋体" w:hAnsi="宋体" w:cs="仿宋_GB2312"/>
          <w:color w:val="auto"/>
          <w:kern w:val="0"/>
          <w:highlight w:val="none"/>
        </w:rPr>
        <w:t>广西政府采购云</w:t>
      </w:r>
      <w:r>
        <w:rPr>
          <w:rFonts w:hint="eastAsia" w:ascii="宋体" w:hAnsi="宋体" w:cs="仿宋_GB2312"/>
          <w:color w:val="auto"/>
          <w:kern w:val="0"/>
          <w:highlight w:val="none"/>
          <w:lang w:val="zh-CN"/>
        </w:rPr>
        <w:t>电子交易客户端”需要提前申领CA数字证书，申领流程见该项目采购公告附件。</w:t>
      </w:r>
    </w:p>
    <w:p w14:paraId="27B97C13">
      <w:pPr>
        <w:spacing w:line="360" w:lineRule="auto"/>
        <w:ind w:firstLine="396" w:firstLineChars="200"/>
        <w:rPr>
          <w:rFonts w:hint="eastAsia" w:ascii="宋体" w:hAnsi="宋体" w:cs="仿宋_GB2312"/>
          <w:color w:val="auto"/>
          <w:spacing w:val="-6"/>
          <w:kern w:val="0"/>
          <w:highlight w:val="none"/>
          <w:lang w:val="zh-CN"/>
        </w:rPr>
      </w:pPr>
      <w:r>
        <w:rPr>
          <w:rFonts w:hint="eastAsia" w:ascii="宋体" w:hAnsi="宋体" w:cs="仿宋_GB2312"/>
          <w:color w:val="auto"/>
          <w:spacing w:val="-6"/>
          <w:kern w:val="0"/>
          <w:highlight w:val="none"/>
          <w:lang w:val="zh-CN"/>
        </w:rPr>
        <w:t>19.3为确保网上操作合法、有效和安全，供应商应当在响应文件提交截止时间前完成在“政府采购云平台”的身份认证，确保在电子交易过程中能够对相关数据电文进行加密和使用电子签名。</w:t>
      </w:r>
    </w:p>
    <w:p w14:paraId="441E8EE0">
      <w:pPr>
        <w:shd w:val="clear" w:color="auto" w:fill="FFFFFF"/>
        <w:spacing w:line="360" w:lineRule="auto"/>
        <w:rPr>
          <w:rFonts w:hint="eastAsia" w:ascii="宋体" w:hAnsi="宋体"/>
          <w:b/>
          <w:bCs/>
          <w:color w:val="auto"/>
          <w:highlight w:val="none"/>
        </w:rPr>
      </w:pPr>
      <w:r>
        <w:rPr>
          <w:rFonts w:hint="eastAsia" w:ascii="宋体" w:hAnsi="宋体"/>
          <w:b/>
          <w:bCs/>
          <w:color w:val="auto"/>
          <w:highlight w:val="none"/>
        </w:rPr>
        <w:t>20. 竞争性磋商响应文件的递交</w:t>
      </w:r>
    </w:p>
    <w:p w14:paraId="537F6E5B">
      <w:pPr>
        <w:spacing w:line="360" w:lineRule="auto"/>
        <w:ind w:firstLine="420" w:firstLineChars="200"/>
        <w:rPr>
          <w:rFonts w:hint="eastAsia" w:ascii="宋体" w:hAnsi="宋体"/>
          <w:color w:val="auto"/>
          <w:highlight w:val="none"/>
        </w:rPr>
      </w:pPr>
      <w:r>
        <w:rPr>
          <w:rFonts w:hint="eastAsia" w:ascii="宋体" w:hAnsi="宋体"/>
          <w:color w:val="auto"/>
          <w:highlight w:val="none"/>
        </w:rPr>
        <w:t>20.1</w:t>
      </w:r>
      <w:r>
        <w:rPr>
          <w:rFonts w:hint="eastAsia" w:ascii="宋体" w:hAnsi="宋体" w:cs="宋体"/>
          <w:color w:val="auto"/>
          <w:highlight w:val="none"/>
        </w:rPr>
        <w:t>供应商必须在“供应商须知前附表”规定的时间和地点提交响应文件。</w:t>
      </w:r>
    </w:p>
    <w:p w14:paraId="2535CE7C">
      <w:pPr>
        <w:spacing w:line="360" w:lineRule="auto"/>
        <w:ind w:firstLine="420" w:firstLineChars="200"/>
        <w:rPr>
          <w:rFonts w:hint="eastAsia" w:ascii="宋体" w:hAnsi="宋体"/>
          <w:color w:val="auto"/>
          <w:highlight w:val="none"/>
        </w:rPr>
      </w:pPr>
      <w:r>
        <w:rPr>
          <w:rFonts w:hint="eastAsia" w:ascii="宋体" w:hAnsi="宋体"/>
          <w:color w:val="auto"/>
          <w:highlight w:val="none"/>
        </w:rPr>
        <w:t>20.2 在响应文件提交截止时间以后，不能补充、修改响应文件。</w:t>
      </w:r>
    </w:p>
    <w:p w14:paraId="4AD462F2">
      <w:pPr>
        <w:spacing w:line="360" w:lineRule="auto"/>
        <w:ind w:firstLine="420" w:firstLineChars="200"/>
        <w:rPr>
          <w:rFonts w:hint="eastAsia" w:ascii="宋体" w:hAnsi="宋体"/>
          <w:color w:val="auto"/>
          <w:highlight w:val="none"/>
        </w:rPr>
      </w:pPr>
      <w:r>
        <w:rPr>
          <w:rFonts w:hint="eastAsia" w:ascii="宋体" w:hAnsi="宋体"/>
          <w:color w:val="auto"/>
          <w:highlight w:val="none"/>
        </w:rPr>
        <w:t>20.3 在提交“最后报价”后，供应商不能退出谈判。</w:t>
      </w:r>
    </w:p>
    <w:p w14:paraId="3CCDDDCA">
      <w:pPr>
        <w:spacing w:line="360" w:lineRule="auto"/>
        <w:ind w:firstLine="420" w:firstLineChars="200"/>
        <w:rPr>
          <w:rFonts w:hint="eastAsia" w:ascii="宋体" w:hAnsi="宋体"/>
          <w:color w:val="auto"/>
          <w:highlight w:val="none"/>
        </w:rPr>
      </w:pPr>
      <w:r>
        <w:rPr>
          <w:rFonts w:hint="eastAsia" w:ascii="宋体" w:hAnsi="宋体"/>
          <w:color w:val="auto"/>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6B2074D7">
      <w:pPr>
        <w:spacing w:line="360" w:lineRule="auto"/>
        <w:ind w:firstLine="420" w:firstLineChars="200"/>
        <w:rPr>
          <w:rFonts w:hint="eastAsia" w:ascii="宋体" w:hAnsi="宋体"/>
          <w:color w:val="auto"/>
          <w:highlight w:val="none"/>
        </w:rPr>
      </w:pPr>
      <w:r>
        <w:rPr>
          <w:rFonts w:hint="eastAsia" w:ascii="宋体" w:hAnsi="宋体"/>
          <w:color w:val="auto"/>
          <w:highlight w:val="none"/>
        </w:rPr>
        <w:t>20.5 采购机构不可视情况延长提交响应文件的截止时间。</w:t>
      </w:r>
    </w:p>
    <w:p w14:paraId="3914FD35">
      <w:pPr>
        <w:shd w:val="clear" w:color="auto" w:fill="FFFFFF"/>
        <w:spacing w:line="360" w:lineRule="auto"/>
        <w:rPr>
          <w:rFonts w:hint="eastAsia" w:ascii="宋体" w:hAnsi="宋体"/>
          <w:b/>
          <w:bCs/>
          <w:color w:val="auto"/>
          <w:highlight w:val="none"/>
        </w:rPr>
      </w:pPr>
      <w:r>
        <w:rPr>
          <w:rFonts w:hint="eastAsia" w:ascii="宋体" w:hAnsi="宋体"/>
          <w:b/>
          <w:bCs/>
          <w:color w:val="auto"/>
          <w:highlight w:val="none"/>
        </w:rPr>
        <w:t>21.首次响应文件的补充、修改与撤回</w:t>
      </w:r>
    </w:p>
    <w:p w14:paraId="003519C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详见“供应商须知前附表”。</w:t>
      </w:r>
    </w:p>
    <w:p w14:paraId="66C3E338">
      <w:pPr>
        <w:shd w:val="clear" w:color="auto" w:fill="FFFFFF"/>
        <w:spacing w:line="360" w:lineRule="auto"/>
        <w:rPr>
          <w:rFonts w:hint="eastAsia" w:ascii="宋体" w:hAnsi="宋体"/>
          <w:b/>
          <w:bCs/>
          <w:color w:val="auto"/>
          <w:highlight w:val="none"/>
        </w:rPr>
      </w:pPr>
      <w:bookmarkStart w:id="14" w:name="_Hlk45702405"/>
      <w:r>
        <w:rPr>
          <w:rFonts w:hint="eastAsia" w:ascii="宋体" w:hAnsi="宋体"/>
          <w:b/>
          <w:bCs/>
          <w:color w:val="auto"/>
          <w:highlight w:val="none"/>
        </w:rPr>
        <w:t>22. 首次响应文件的退回</w:t>
      </w:r>
    </w:p>
    <w:p w14:paraId="512509E9">
      <w:pPr>
        <w:spacing w:line="360" w:lineRule="auto"/>
        <w:ind w:firstLine="396" w:firstLineChars="200"/>
        <w:rPr>
          <w:rFonts w:hint="eastAsia" w:ascii="宋体" w:hAnsi="宋体" w:cs="宋体"/>
          <w:color w:val="auto"/>
          <w:spacing w:val="-6"/>
          <w:highlight w:val="none"/>
        </w:rPr>
      </w:pPr>
      <w:r>
        <w:rPr>
          <w:rFonts w:hint="eastAsia" w:ascii="宋体" w:hAnsi="宋体" w:cs="宋体"/>
          <w:color w:val="auto"/>
          <w:spacing w:val="-6"/>
          <w:highlight w:val="none"/>
        </w:rPr>
        <w:t>在首次响应文件提交截止时间止提交响应文件的供应商不足3家时电子响应文件由代理机构在“政采云”平台操作退回，除此之外采购人和采购代理机构对已提交的电子响应文件概不退回。</w:t>
      </w:r>
    </w:p>
    <w:p w14:paraId="16B9AC6C">
      <w:pPr>
        <w:shd w:val="clear" w:color="auto" w:fill="FFFFFF"/>
        <w:spacing w:line="360" w:lineRule="auto"/>
        <w:rPr>
          <w:rFonts w:hint="eastAsia" w:ascii="宋体" w:hAnsi="宋体"/>
          <w:b/>
          <w:bCs/>
          <w:color w:val="auto"/>
          <w:highlight w:val="none"/>
        </w:rPr>
      </w:pPr>
      <w:r>
        <w:rPr>
          <w:rFonts w:hint="eastAsia" w:ascii="宋体" w:hAnsi="宋体"/>
          <w:b/>
          <w:bCs/>
          <w:color w:val="auto"/>
          <w:highlight w:val="none"/>
        </w:rPr>
        <w:t>23. 截止时间后的撤回</w:t>
      </w:r>
    </w:p>
    <w:p w14:paraId="11FA7730">
      <w:pPr>
        <w:spacing w:line="360" w:lineRule="auto"/>
        <w:ind w:firstLine="420" w:firstLineChars="200"/>
        <w:rPr>
          <w:rFonts w:hint="eastAsia" w:ascii="宋体" w:hAnsi="宋体"/>
          <w:color w:val="auto"/>
          <w:highlight w:val="none"/>
        </w:rPr>
      </w:pPr>
      <w:r>
        <w:rPr>
          <w:rFonts w:hint="eastAsia" w:ascii="宋体" w:hAnsi="宋体" w:cs="宋体"/>
          <w:color w:val="auto"/>
          <w:highlight w:val="none"/>
        </w:rPr>
        <w:t>供应商在首次响应文件提交截止时间后可向采购人、采购代理机构书面申请撤回电子响应文件。</w:t>
      </w:r>
      <w:bookmarkEnd w:id="14"/>
    </w:p>
    <w:p w14:paraId="49FF650B">
      <w:pPr>
        <w:pStyle w:val="24"/>
        <w:spacing w:line="420" w:lineRule="exact"/>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四、评审和磋商</w:t>
      </w:r>
    </w:p>
    <w:p w14:paraId="71DA19EE">
      <w:pPr>
        <w:spacing w:line="460" w:lineRule="exact"/>
        <w:ind w:firstLine="417" w:firstLineChars="195"/>
        <w:rPr>
          <w:rFonts w:hint="eastAsia" w:asciiTheme="minorEastAsia" w:hAnsiTheme="minorEastAsia" w:eastAsiaTheme="minorEastAsia" w:cstheme="minorEastAsia"/>
          <w:color w:val="auto"/>
          <w:spacing w:val="2"/>
          <w:highlight w:val="none"/>
        </w:rPr>
      </w:pPr>
    </w:p>
    <w:p w14:paraId="7626926F">
      <w:pPr>
        <w:pStyle w:val="24"/>
        <w:spacing w:line="360" w:lineRule="auto"/>
        <w:rPr>
          <w:rFonts w:hint="eastAsia" w:hAnsi="宋体"/>
          <w:b/>
          <w:bCs/>
          <w:color w:val="auto"/>
          <w:sz w:val="21"/>
          <w:highlight w:val="none"/>
        </w:rPr>
      </w:pPr>
      <w:r>
        <w:rPr>
          <w:rFonts w:hint="eastAsia" w:hAnsi="宋体"/>
          <w:b/>
          <w:bCs/>
          <w:color w:val="auto"/>
          <w:sz w:val="21"/>
          <w:highlight w:val="none"/>
        </w:rPr>
        <w:t>24.磋商小组的组建</w:t>
      </w:r>
    </w:p>
    <w:p w14:paraId="4ABA4ABD">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0790B055">
      <w:pPr>
        <w:pStyle w:val="6"/>
        <w:ind w:firstLine="420" w:firstLineChars="200"/>
        <w:jc w:val="left"/>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0F779AD8">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25.首次响应文件的开启</w:t>
      </w:r>
    </w:p>
    <w:p w14:paraId="25474C4F">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.1</w:t>
      </w:r>
      <w:r>
        <w:rPr>
          <w:rFonts w:hint="eastAsia" w:ascii="宋体" w:hAnsi="宋体" w:cs="宋体"/>
          <w:color w:val="auto"/>
          <w:highlight w:val="none"/>
        </w:rPr>
        <w:t>首次响应文件由磋商小组或者采购代理机构在“供应商须知前附表”规定的时间开启。</w:t>
      </w:r>
    </w:p>
    <w:p w14:paraId="49E5E2D0">
      <w:pPr>
        <w:pStyle w:val="24"/>
        <w:spacing w:line="360" w:lineRule="auto"/>
        <w:ind w:firstLine="420" w:firstLineChars="200"/>
        <w:rPr>
          <w:rFonts w:hint="eastAsia" w:hAnsi="宋体"/>
          <w:bCs/>
          <w:color w:val="auto"/>
          <w:sz w:val="21"/>
          <w:highlight w:val="none"/>
        </w:rPr>
      </w:pPr>
      <w:r>
        <w:rPr>
          <w:rFonts w:hAnsi="宋体"/>
          <w:color w:val="auto"/>
          <w:sz w:val="21"/>
          <w:highlight w:val="none"/>
        </w:rPr>
        <w:t>2</w:t>
      </w:r>
      <w:r>
        <w:rPr>
          <w:rFonts w:hint="eastAsia" w:hAnsi="宋体"/>
          <w:color w:val="auto"/>
          <w:sz w:val="21"/>
          <w:highlight w:val="none"/>
        </w:rPr>
        <w:t>5</w:t>
      </w:r>
      <w:r>
        <w:rPr>
          <w:rFonts w:hAnsi="宋体"/>
          <w:color w:val="auto"/>
          <w:sz w:val="21"/>
          <w:highlight w:val="none"/>
        </w:rPr>
        <w:t xml:space="preserve">.2 </w:t>
      </w:r>
      <w:r>
        <w:rPr>
          <w:rFonts w:hint="eastAsia" w:hAnsi="宋体"/>
          <w:bCs/>
          <w:color w:val="auto"/>
          <w:sz w:val="21"/>
          <w:highlight w:val="none"/>
        </w:rPr>
        <w:t>响应文件解密</w:t>
      </w:r>
    </w:p>
    <w:p w14:paraId="5F4F5C54">
      <w:pPr>
        <w:pStyle w:val="24"/>
        <w:snapToGrid w:val="0"/>
        <w:spacing w:line="360" w:lineRule="auto"/>
        <w:ind w:firstLine="420" w:firstLineChars="200"/>
        <w:rPr>
          <w:rFonts w:hint="eastAsia" w:hAnsi="宋体"/>
          <w:color w:val="auto"/>
          <w:sz w:val="21"/>
          <w:highlight w:val="none"/>
        </w:rPr>
      </w:pPr>
      <w:r>
        <w:rPr>
          <w:rFonts w:hint="eastAsia" w:hAnsi="宋体"/>
          <w:bCs/>
          <w:color w:val="auto"/>
          <w:sz w:val="21"/>
          <w:highlight w:val="none"/>
        </w:rPr>
        <w:t>采购代理机构将在“供应商须知前附表”规定的时</w:t>
      </w:r>
      <w:r>
        <w:rPr>
          <w:rFonts w:hint="eastAsia" w:hAnsi="宋体"/>
          <w:color w:val="auto"/>
          <w:sz w:val="21"/>
          <w:highlight w:val="none"/>
        </w:rPr>
        <w:t>间通过电子交易平台组织响应文件开启，采购机构依托电子交易平台发起开始解密指令，供应商的法定代表人或其委托代理人</w:t>
      </w:r>
      <w:r>
        <w:rPr>
          <w:rFonts w:hint="eastAsia" w:hAnsi="宋体"/>
          <w:b/>
          <w:color w:val="auto"/>
          <w:sz w:val="21"/>
          <w:highlight w:val="none"/>
        </w:rPr>
        <w:t>须携带加密时所用的CA锁按平台提示和采购文件的规定登录到“广西政府采购云”平台电子开标大厅签到并在发起解密指令之时起30分钟内完成对电子响应文件在线解密</w:t>
      </w:r>
      <w:r>
        <w:rPr>
          <w:rFonts w:hint="eastAsia" w:hAnsi="宋体"/>
          <w:color w:val="auto"/>
          <w:sz w:val="21"/>
          <w:highlight w:val="none"/>
        </w:rPr>
        <w:t>。发起解密指令之时起5分钟内供应商还未进行解密的，代理机构要通知供应商，供应商没预留联系方式或预留联系方式无效，导致代理机构无法联系到供应商进行解密的，</w:t>
      </w:r>
      <w:r>
        <w:rPr>
          <w:rFonts w:hint="eastAsia" w:hAnsi="宋体"/>
          <w:b/>
          <w:color w:val="auto"/>
          <w:sz w:val="21"/>
          <w:highlight w:val="none"/>
        </w:rPr>
        <w:t>视为响应文件无效。</w:t>
      </w:r>
      <w:r>
        <w:rPr>
          <w:rFonts w:hint="eastAsia" w:hAnsi="宋体"/>
          <w:color w:val="auto"/>
          <w:sz w:val="21"/>
          <w:highlight w:val="none"/>
        </w:rPr>
        <w:t>（解密</w:t>
      </w:r>
      <w:r>
        <w:rPr>
          <w:rFonts w:hint="eastAsia" w:hAnsi="宋体"/>
          <w:bCs/>
          <w:color w:val="auto"/>
          <w:sz w:val="21"/>
          <w:highlight w:val="none"/>
        </w:rPr>
        <w:t>异常情况处理：详见本章</w:t>
      </w:r>
      <w:r>
        <w:rPr>
          <w:rFonts w:hint="eastAsia" w:hAnsi="宋体"/>
          <w:color w:val="auto"/>
          <w:sz w:val="21"/>
          <w:highlight w:val="none"/>
        </w:rPr>
        <w:t>26.3电子交易活动的中止。）</w:t>
      </w:r>
    </w:p>
    <w:p w14:paraId="57561690">
      <w:pPr>
        <w:pStyle w:val="24"/>
        <w:spacing w:line="360" w:lineRule="auto"/>
        <w:ind w:firstLine="420" w:firstLineChars="200"/>
        <w:rPr>
          <w:color w:val="auto"/>
          <w:sz w:val="21"/>
          <w:szCs w:val="21"/>
          <w:highlight w:val="none"/>
        </w:rPr>
      </w:pPr>
      <w:r>
        <w:rPr>
          <w:rFonts w:hint="eastAsia" w:hAnsi="宋体"/>
          <w:color w:val="auto"/>
          <w:sz w:val="21"/>
          <w:szCs w:val="21"/>
          <w:highlight w:val="none"/>
        </w:rPr>
        <w:t>如</w:t>
      </w:r>
      <w:r>
        <w:rPr>
          <w:rFonts w:hint="eastAsia" w:hAnsi="宋体"/>
          <w:bCs/>
          <w:color w:val="auto"/>
          <w:sz w:val="21"/>
          <w:szCs w:val="21"/>
          <w:highlight w:val="none"/>
        </w:rPr>
        <w:t>供应商成功解密响应文件，但未在“广西政府采购云”电子开标大厅参加谈判的，视同认可谈判过程和结果，</w:t>
      </w:r>
      <w:r>
        <w:rPr>
          <w:rFonts w:hint="eastAsia" w:hAnsi="宋体"/>
          <w:color w:val="auto"/>
          <w:sz w:val="21"/>
          <w:szCs w:val="21"/>
          <w:highlight w:val="none"/>
        </w:rPr>
        <w:t>由此产生的后果由供应商自行负责。参与谈判的供应商</w:t>
      </w:r>
      <w:r>
        <w:rPr>
          <w:rFonts w:hint="eastAsia"/>
          <w:color w:val="auto"/>
          <w:sz w:val="21"/>
          <w:szCs w:val="21"/>
          <w:highlight w:val="none"/>
        </w:rPr>
        <w:t>不足3家的，不得谈判。</w:t>
      </w:r>
    </w:p>
    <w:p w14:paraId="228F0FEA">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26.评审程序、评审方法和评审标准</w:t>
      </w:r>
    </w:p>
    <w:p w14:paraId="322ADBF9">
      <w:pPr>
        <w:spacing w:line="360" w:lineRule="auto"/>
        <w:ind w:firstLine="420" w:firstLineChars="200"/>
        <w:rPr>
          <w:rFonts w:hint="eastAsia" w:ascii="宋体" w:hAnsi="宋体" w:cs="宋体"/>
          <w:color w:val="auto"/>
          <w:highlight w:val="none"/>
        </w:rPr>
      </w:pPr>
      <w:r>
        <w:rPr>
          <w:rFonts w:ascii="宋体" w:hAnsi="宋体" w:cs="宋体"/>
          <w:color w:val="auto"/>
          <w:highlight w:val="none"/>
        </w:rPr>
        <w:t>26.1</w:t>
      </w:r>
      <w:r>
        <w:rPr>
          <w:rFonts w:hint="eastAsia" w:ascii="宋体" w:hAnsi="宋体" w:cs="宋体"/>
          <w:color w:val="auto"/>
          <w:highlight w:val="none"/>
        </w:rPr>
        <w:t>磋商小组</w:t>
      </w:r>
      <w:r>
        <w:rPr>
          <w:rFonts w:ascii="宋体" w:hAnsi="宋体" w:cs="宋体"/>
          <w:color w:val="auto"/>
          <w:highlight w:val="none"/>
        </w:rPr>
        <w:t>按照</w:t>
      </w:r>
      <w:r>
        <w:rPr>
          <w:rFonts w:hint="eastAsia" w:ascii="宋体" w:hAnsi="宋体" w:cs="宋体"/>
          <w:color w:val="auto"/>
          <w:highlight w:val="none"/>
        </w:rPr>
        <w:t>“第四章 评审程序、评审方法和评审标准”</w:t>
      </w:r>
      <w:r>
        <w:rPr>
          <w:rFonts w:ascii="宋体" w:hAnsi="宋体" w:cs="宋体"/>
          <w:color w:val="auto"/>
          <w:highlight w:val="none"/>
        </w:rPr>
        <w:t>规定的方法、评审因素、标准和程序对</w:t>
      </w:r>
      <w:r>
        <w:rPr>
          <w:rFonts w:hint="eastAsia" w:ascii="宋体" w:hAnsi="宋体" w:cs="宋体"/>
          <w:color w:val="auto"/>
          <w:highlight w:val="none"/>
        </w:rPr>
        <w:t>响应</w:t>
      </w:r>
      <w:r>
        <w:rPr>
          <w:rFonts w:ascii="宋体" w:hAnsi="宋体" w:cs="宋体"/>
          <w:color w:val="auto"/>
          <w:highlight w:val="none"/>
        </w:rPr>
        <w:t>文件进行评审。</w:t>
      </w:r>
    </w:p>
    <w:p w14:paraId="2C28EDCB">
      <w:pPr>
        <w:spacing w:line="360" w:lineRule="auto"/>
        <w:ind w:firstLine="420" w:firstLineChars="200"/>
        <w:rPr>
          <w:rFonts w:hint="eastAsia" w:ascii="宋体" w:hAnsi="宋体"/>
          <w:color w:val="auto"/>
          <w:highlight w:val="none"/>
        </w:rPr>
      </w:pPr>
      <w:r>
        <w:rPr>
          <w:rFonts w:hint="eastAsia" w:ascii="宋体" w:hAnsi="宋体"/>
          <w:color w:val="auto"/>
          <w:highlight w:val="none"/>
        </w:rPr>
        <w:t>2</w:t>
      </w:r>
      <w:r>
        <w:rPr>
          <w:rFonts w:ascii="宋体" w:hAnsi="宋体"/>
          <w:color w:val="auto"/>
          <w:highlight w:val="none"/>
        </w:rPr>
        <w:t xml:space="preserve">6.2 </w:t>
      </w:r>
      <w:r>
        <w:rPr>
          <w:rFonts w:hint="eastAsia" w:ascii="宋体" w:hAnsi="宋体"/>
          <w:color w:val="auto"/>
          <w:highlight w:val="none"/>
        </w:rPr>
        <w:t>磋商顺序详见 “ 供应商须知前附表”。</w:t>
      </w:r>
    </w:p>
    <w:p w14:paraId="73047F17">
      <w:pPr>
        <w:spacing w:line="360" w:lineRule="auto"/>
        <w:ind w:firstLine="420" w:firstLineChars="200"/>
        <w:rPr>
          <w:rFonts w:hint="eastAsia" w:ascii="宋体" w:hAnsi="宋体"/>
          <w:color w:val="auto"/>
          <w:highlight w:val="none"/>
        </w:rPr>
      </w:pPr>
      <w:r>
        <w:rPr>
          <w:rFonts w:hint="eastAsia" w:ascii="宋体" w:hAnsi="宋体"/>
          <w:color w:val="auto"/>
          <w:highlight w:val="none"/>
        </w:rPr>
        <w:t>2</w:t>
      </w:r>
      <w:r>
        <w:rPr>
          <w:rFonts w:ascii="宋体" w:hAnsi="宋体"/>
          <w:color w:val="auto"/>
          <w:highlight w:val="none"/>
        </w:rPr>
        <w:t>6.3</w:t>
      </w:r>
      <w:r>
        <w:rPr>
          <w:rFonts w:hint="eastAsia" w:ascii="宋体" w:hAnsi="宋体"/>
          <w:color w:val="auto"/>
          <w:highlight w:val="none"/>
        </w:rPr>
        <w:t>电子交易活动的中止。采购过程中出现以下情形，导致电子交易平台无法正常运行，或者无法保证电子交易的公平、公正和安全时，采购机构可中止电子交易活动：</w:t>
      </w:r>
    </w:p>
    <w:p w14:paraId="3B466D21">
      <w:pPr>
        <w:spacing w:line="360" w:lineRule="auto"/>
        <w:ind w:firstLine="420" w:firstLineChars="200"/>
        <w:rPr>
          <w:rFonts w:hint="eastAsia" w:ascii="宋体" w:hAnsi="宋体"/>
          <w:color w:val="auto"/>
          <w:highlight w:val="none"/>
        </w:rPr>
      </w:pPr>
      <w:r>
        <w:rPr>
          <w:rFonts w:hint="eastAsia" w:ascii="宋体" w:hAnsi="宋体"/>
          <w:color w:val="auto"/>
          <w:highlight w:val="none"/>
        </w:rPr>
        <w:t xml:space="preserve">（1）电子交易平台发生故障而无法登录访问的； </w:t>
      </w:r>
    </w:p>
    <w:p w14:paraId="34817CA8">
      <w:pPr>
        <w:spacing w:line="360" w:lineRule="auto"/>
        <w:ind w:firstLine="420" w:firstLineChars="200"/>
        <w:rPr>
          <w:rFonts w:hint="eastAsia" w:ascii="宋体" w:hAnsi="宋体"/>
          <w:color w:val="auto"/>
          <w:highlight w:val="none"/>
        </w:rPr>
      </w:pPr>
      <w:r>
        <w:rPr>
          <w:rFonts w:hint="eastAsia" w:ascii="宋体" w:hAnsi="宋体"/>
          <w:color w:val="auto"/>
          <w:highlight w:val="none"/>
        </w:rPr>
        <w:t>（2）电子交易平台应用或数据库出现错误，不能进行正常操作的；</w:t>
      </w:r>
    </w:p>
    <w:p w14:paraId="31FDB924">
      <w:pPr>
        <w:spacing w:line="360" w:lineRule="auto"/>
        <w:ind w:firstLine="420" w:firstLineChars="200"/>
        <w:rPr>
          <w:rFonts w:hint="eastAsia" w:ascii="宋体" w:hAnsi="宋体"/>
          <w:color w:val="auto"/>
          <w:highlight w:val="none"/>
        </w:rPr>
      </w:pPr>
      <w:r>
        <w:rPr>
          <w:rFonts w:hint="eastAsia" w:ascii="宋体" w:hAnsi="宋体"/>
          <w:color w:val="auto"/>
          <w:highlight w:val="none"/>
        </w:rPr>
        <w:t>（3）电子交易平台发现严重安全漏洞，有潜在泄密危险的；</w:t>
      </w:r>
    </w:p>
    <w:p w14:paraId="2590B76C">
      <w:pPr>
        <w:spacing w:line="360" w:lineRule="auto"/>
        <w:ind w:firstLine="420" w:firstLineChars="200"/>
        <w:rPr>
          <w:rFonts w:hint="eastAsia" w:ascii="宋体" w:hAnsi="宋体"/>
          <w:color w:val="auto"/>
          <w:highlight w:val="none"/>
        </w:rPr>
      </w:pPr>
      <w:r>
        <w:rPr>
          <w:rFonts w:hint="eastAsia" w:ascii="宋体" w:hAnsi="宋体"/>
          <w:color w:val="auto"/>
          <w:highlight w:val="none"/>
        </w:rPr>
        <w:t xml:space="preserve">（4）病毒发作导致不能进行正常操作的； </w:t>
      </w:r>
    </w:p>
    <w:p w14:paraId="07B6F9C8">
      <w:pPr>
        <w:spacing w:line="360" w:lineRule="auto"/>
        <w:ind w:firstLine="420" w:firstLineChars="200"/>
        <w:rPr>
          <w:rFonts w:hint="eastAsia" w:ascii="宋体" w:hAnsi="宋体"/>
          <w:color w:val="auto"/>
          <w:highlight w:val="none"/>
        </w:rPr>
      </w:pPr>
      <w:r>
        <w:rPr>
          <w:rFonts w:hint="eastAsia" w:ascii="宋体" w:hAnsi="宋体"/>
          <w:color w:val="auto"/>
          <w:highlight w:val="none"/>
        </w:rPr>
        <w:t>（5）其他无法保证电子交易的公平、公正和安全的情况。</w:t>
      </w:r>
    </w:p>
    <w:p w14:paraId="48429050">
      <w:pPr>
        <w:spacing w:line="360" w:lineRule="auto"/>
        <w:rPr>
          <w:rFonts w:hint="eastAsia" w:ascii="宋体" w:hAnsi="宋体"/>
          <w:color w:val="auto"/>
          <w:highlight w:val="none"/>
        </w:rPr>
      </w:pPr>
      <w:r>
        <w:rPr>
          <w:rFonts w:hint="eastAsia" w:ascii="宋体" w:hAnsi="宋体"/>
          <w:color w:val="auto"/>
          <w:highlight w:val="none"/>
        </w:rPr>
        <w:t>26.4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1C1F25AF">
      <w:pPr>
        <w:pStyle w:val="5"/>
        <w:spacing w:before="0" w:after="0" w:line="360" w:lineRule="auto"/>
        <w:jc w:val="center"/>
        <w:rPr>
          <w:rFonts w:hint="eastAsia" w:asciiTheme="minorEastAsia" w:hAnsiTheme="minorEastAsia" w:eastAsiaTheme="minorEastAsia" w:cstheme="minorEastAsia"/>
          <w:bCs w:val="0"/>
          <w:color w:val="auto"/>
          <w:kern w:val="0"/>
          <w:sz w:val="21"/>
          <w:szCs w:val="21"/>
          <w:highlight w:val="none"/>
        </w:rPr>
      </w:pPr>
      <w:bookmarkStart w:id="15" w:name="_Toc80886934"/>
      <w:bookmarkStart w:id="16" w:name="_Toc20286"/>
    </w:p>
    <w:p w14:paraId="74C2BB11">
      <w:pPr>
        <w:pStyle w:val="5"/>
        <w:spacing w:before="0" w:after="0" w:line="360" w:lineRule="auto"/>
        <w:jc w:val="center"/>
        <w:rPr>
          <w:rFonts w:hint="eastAsia" w:asciiTheme="minorEastAsia" w:hAnsiTheme="minorEastAsia" w:eastAsiaTheme="minorEastAsia" w:cstheme="minorEastAsia"/>
          <w:bCs w:val="0"/>
          <w:color w:val="auto"/>
          <w:kern w:val="0"/>
          <w:sz w:val="21"/>
          <w:szCs w:val="21"/>
          <w:highlight w:val="none"/>
        </w:rPr>
      </w:pPr>
      <w:r>
        <w:rPr>
          <w:rFonts w:hint="eastAsia" w:asciiTheme="minorEastAsia" w:hAnsiTheme="minorEastAsia" w:eastAsiaTheme="minorEastAsia" w:cstheme="minorEastAsia"/>
          <w:bCs w:val="0"/>
          <w:color w:val="auto"/>
          <w:kern w:val="0"/>
          <w:sz w:val="21"/>
          <w:szCs w:val="21"/>
          <w:highlight w:val="none"/>
        </w:rPr>
        <w:t>五、成交及合同</w:t>
      </w:r>
      <w:bookmarkEnd w:id="15"/>
      <w:bookmarkEnd w:id="16"/>
    </w:p>
    <w:p w14:paraId="3621D358">
      <w:pPr>
        <w:spacing w:line="400" w:lineRule="exact"/>
        <w:rPr>
          <w:rFonts w:hint="eastAsia" w:ascii="宋体" w:hAnsi="宋体" w:cs="宋体"/>
          <w:b/>
          <w:bCs/>
          <w:color w:val="auto"/>
          <w:highlight w:val="none"/>
        </w:rPr>
      </w:pPr>
      <w:r>
        <w:rPr>
          <w:rFonts w:hint="eastAsia" w:ascii="宋体" w:hAnsi="宋体" w:cs="宋体"/>
          <w:b/>
          <w:bCs/>
          <w:color w:val="auto"/>
          <w:highlight w:val="none"/>
        </w:rPr>
        <w:t>27.确定成交供应商及结果公告</w:t>
      </w:r>
    </w:p>
    <w:p w14:paraId="70188A28">
      <w:pPr>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27.1</w:t>
      </w:r>
      <w:r>
        <w:rPr>
          <w:rFonts w:hint="eastAsia" w:ascii="宋体" w:hAnsi="宋体" w:cs="宋体"/>
          <w:color w:val="auto"/>
          <w:kern w:val="0"/>
          <w:highlight w:val="none"/>
        </w:rPr>
        <w:t xml:space="preserve"> </w:t>
      </w:r>
      <w:r>
        <w:rPr>
          <w:rFonts w:hint="eastAsia" w:ascii="宋体" w:hAnsi="宋体" w:cs="宋体"/>
          <w:color w:val="auto"/>
          <w:highlight w:val="none"/>
        </w:rPr>
        <w:t>采购代理机构应当在评审结束后2个工作日内将评审报告送采购人确认。采购人应当在收到评审报告后2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2CDA0664">
      <w:pPr>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27.2采购代理机构应当在</w:t>
      </w:r>
      <w:r>
        <w:rPr>
          <w:rFonts w:hint="eastAsia" w:ascii="宋体" w:hAnsi="宋体" w:cs="宋体"/>
          <w:color w:val="auto"/>
          <w:kern w:val="0"/>
          <w:highlight w:val="none"/>
        </w:rPr>
        <w:t>成交</w:t>
      </w:r>
      <w:r>
        <w:rPr>
          <w:rFonts w:hint="eastAsia" w:ascii="宋体" w:hAnsi="宋体" w:cs="宋体"/>
          <w:color w:val="auto"/>
          <w:highlight w:val="none"/>
        </w:rPr>
        <w:t>供应商确定后2个工作日内，在省级以上财政部门指定的媒体上公告成交结果，同时向成交供应商发出成交通知书。</w:t>
      </w:r>
    </w:p>
    <w:p w14:paraId="6A36EA6F">
      <w:pPr>
        <w:spacing w:line="400" w:lineRule="exact"/>
        <w:ind w:firstLine="420" w:firstLineChars="200"/>
        <w:rPr>
          <w:rFonts w:hint="eastAsia" w:ascii="宋体" w:hAnsi="宋体" w:cs="宋体"/>
          <w:b/>
          <w:color w:val="auto"/>
          <w:highlight w:val="none"/>
        </w:rPr>
      </w:pPr>
      <w:r>
        <w:rPr>
          <w:rFonts w:hint="eastAsia" w:ascii="宋体" w:hAnsi="宋体" w:cs="宋体"/>
          <w:color w:val="auto"/>
          <w:highlight w:val="none"/>
        </w:rPr>
        <w:t>27</w:t>
      </w:r>
      <w:r>
        <w:rPr>
          <w:rFonts w:ascii="宋体" w:hAnsi="宋体" w:cs="宋体"/>
          <w:color w:val="auto"/>
          <w:highlight w:val="none"/>
        </w:rPr>
        <w:t>.3</w:t>
      </w:r>
      <w:r>
        <w:rPr>
          <w:rFonts w:hint="eastAsia" w:ascii="宋体" w:hAnsi="宋体" w:cs="宋体"/>
          <w:b/>
          <w:color w:val="auto"/>
          <w:highlight w:val="none"/>
        </w:rPr>
        <w:t xml:space="preserve"> </w:t>
      </w:r>
      <w:r>
        <w:rPr>
          <w:rFonts w:hint="eastAsia" w:ascii="宋体" w:hAnsi="宋体" w:cs="宋体"/>
          <w:color w:val="auto"/>
          <w:highlight w:val="none"/>
        </w:rPr>
        <w:t>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0DFD65B2">
      <w:pPr>
        <w:spacing w:line="400" w:lineRule="exact"/>
        <w:ind w:firstLine="420" w:firstLineChars="200"/>
        <w:rPr>
          <w:rFonts w:hint="eastAsia" w:ascii="宋体" w:hAnsi="宋体" w:cs="宋体"/>
          <w:color w:val="auto"/>
          <w:highlight w:val="none"/>
        </w:rPr>
      </w:pPr>
      <w:r>
        <w:rPr>
          <w:rFonts w:hint="eastAsia" w:ascii="宋体" w:hAnsi="宋体"/>
          <w:bCs/>
          <w:color w:val="auto"/>
          <w:highlight w:val="none"/>
        </w:rPr>
        <w:t>27</w:t>
      </w:r>
      <w:r>
        <w:rPr>
          <w:rFonts w:ascii="宋体" w:hAnsi="宋体"/>
          <w:bCs/>
          <w:color w:val="auto"/>
          <w:highlight w:val="none"/>
        </w:rPr>
        <w:t>.4</w:t>
      </w:r>
      <w:r>
        <w:rPr>
          <w:rFonts w:hint="eastAsia" w:ascii="宋体" w:hAnsi="宋体"/>
          <w:bCs/>
          <w:color w:val="auto"/>
          <w:highlight w:val="none"/>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也可以重新开展采购活动。</w:t>
      </w:r>
    </w:p>
    <w:p w14:paraId="75EFD5E7">
      <w:pPr>
        <w:spacing w:line="400" w:lineRule="exact"/>
        <w:rPr>
          <w:rFonts w:hint="eastAsia" w:ascii="宋体" w:hAnsi="宋体" w:cs="宋体"/>
          <w:b/>
          <w:bCs/>
          <w:color w:val="auto"/>
          <w:highlight w:val="none"/>
        </w:rPr>
      </w:pPr>
      <w:r>
        <w:rPr>
          <w:rFonts w:hint="eastAsia" w:ascii="宋体" w:hAnsi="宋体" w:cs="宋体"/>
          <w:b/>
          <w:bCs/>
          <w:color w:val="auto"/>
          <w:highlight w:val="none"/>
        </w:rPr>
        <w:t>28.履约保证金：详见磋商须知前附表。</w:t>
      </w:r>
    </w:p>
    <w:p w14:paraId="5D11D8F9">
      <w:pPr>
        <w:spacing w:line="400" w:lineRule="exact"/>
        <w:rPr>
          <w:rFonts w:hint="eastAsia" w:ascii="宋体" w:hAnsi="宋体" w:cs="宋体"/>
          <w:color w:val="auto"/>
          <w:highlight w:val="none"/>
        </w:rPr>
      </w:pPr>
      <w:r>
        <w:rPr>
          <w:rFonts w:hint="eastAsia" w:ascii="宋体" w:hAnsi="宋体" w:cs="宋体"/>
          <w:b/>
          <w:bCs/>
          <w:color w:val="auto"/>
          <w:highlight w:val="none"/>
        </w:rPr>
        <w:t>29.签订合同</w:t>
      </w:r>
    </w:p>
    <w:p w14:paraId="13A6D92A">
      <w:pPr>
        <w:spacing w:line="400" w:lineRule="exact"/>
        <w:ind w:firstLine="424" w:firstLineChars="202"/>
        <w:rPr>
          <w:rFonts w:hint="eastAsia" w:ascii="宋体" w:hAnsi="宋体" w:cs="宋体"/>
          <w:color w:val="auto"/>
          <w:highlight w:val="none"/>
        </w:rPr>
      </w:pPr>
      <w:r>
        <w:rPr>
          <w:rFonts w:hint="eastAsia" w:ascii="宋体" w:hAnsi="宋体" w:cs="宋体"/>
          <w:color w:val="auto"/>
          <w:highlight w:val="none"/>
        </w:rPr>
        <w:t>29</w:t>
      </w:r>
      <w:r>
        <w:rPr>
          <w:rFonts w:ascii="宋体" w:hAnsi="宋体" w:cs="宋体"/>
          <w:color w:val="auto"/>
          <w:highlight w:val="none"/>
        </w:rPr>
        <w:t>.1</w:t>
      </w:r>
      <w:r>
        <w:rPr>
          <w:rFonts w:hint="eastAsia" w:ascii="宋体" w:hAnsi="宋体" w:cs="宋体"/>
          <w:color w:val="auto"/>
          <w:highlight w:val="none"/>
        </w:rPr>
        <w:t xml:space="preserve"> 签订合同时间：自成交通知书发出之日起25个日历天内与采购人签订政府采购合同。</w:t>
      </w:r>
    </w:p>
    <w:p w14:paraId="0FA0E687">
      <w:pPr>
        <w:spacing w:line="400" w:lineRule="exact"/>
        <w:ind w:firstLine="424" w:firstLineChars="202"/>
        <w:rPr>
          <w:rFonts w:hint="eastAsia" w:ascii="宋体" w:hAnsi="宋体" w:cs="宋体"/>
          <w:color w:val="auto"/>
          <w:highlight w:val="none"/>
        </w:rPr>
      </w:pPr>
      <w:r>
        <w:rPr>
          <w:rFonts w:hint="eastAsia" w:ascii="宋体" w:hAnsi="宋体" w:cs="宋体"/>
          <w:color w:val="auto"/>
          <w:highlight w:val="none"/>
        </w:rPr>
        <w:t>29.2成交供应商拒绝与采购人签订合同的，采购人可以按照评审报告推荐的成交候选人名单排序，确定下一候选人为成交供应商，也可以重新开展政府采购活动。拒绝签订政府采购合同的成交供应商不得参加对该合同项重新开展的采购活动。</w:t>
      </w:r>
    </w:p>
    <w:p w14:paraId="5DEEAA5C">
      <w:pPr>
        <w:spacing w:line="400" w:lineRule="exact"/>
        <w:rPr>
          <w:rFonts w:hint="eastAsia" w:ascii="宋体" w:hAnsi="宋体" w:cs="宋体"/>
          <w:b/>
          <w:bCs/>
          <w:color w:val="auto"/>
          <w:highlight w:val="none"/>
        </w:rPr>
      </w:pPr>
      <w:r>
        <w:rPr>
          <w:rFonts w:hint="eastAsia" w:ascii="宋体" w:hAnsi="宋体" w:cs="宋体"/>
          <w:b/>
          <w:bCs/>
          <w:color w:val="auto"/>
          <w:highlight w:val="none"/>
        </w:rPr>
        <w:t>30.政府采购合同公告</w:t>
      </w:r>
    </w:p>
    <w:p w14:paraId="3A1BCB13">
      <w:pPr>
        <w:spacing w:line="360" w:lineRule="auto"/>
        <w:ind w:firstLine="420" w:firstLineChars="200"/>
        <w:rPr>
          <w:rFonts w:hint="eastAsia" w:hAnsi="宋体"/>
          <w:color w:val="auto"/>
          <w:highlight w:val="none"/>
        </w:rPr>
      </w:pPr>
      <w:r>
        <w:rPr>
          <w:rFonts w:hint="eastAsia" w:ascii="宋体" w:hAnsi="宋体" w:cs="宋体"/>
          <w:color w:val="auto"/>
          <w:highlight w:val="none"/>
        </w:rPr>
        <w:t>根据《中华人民共和国政府采购法实施条例》第五十条规定，</w:t>
      </w:r>
      <w:r>
        <w:rPr>
          <w:rFonts w:hint="eastAsia" w:hAnsi="宋体"/>
          <w:color w:val="auto"/>
          <w:highlight w:val="none"/>
        </w:rPr>
        <w:t>采购人或者受托采购代理机构应当自政府采购合同签订之日起2个工作日内，将政府采购合同</w:t>
      </w:r>
      <w:r>
        <w:rPr>
          <w:rFonts w:hint="eastAsia" w:ascii="宋体" w:hAnsi="宋体"/>
          <w:bCs/>
          <w:color w:val="auto"/>
          <w:highlight w:val="none"/>
        </w:rPr>
        <w:t>在</w:t>
      </w:r>
      <w:r>
        <w:rPr>
          <w:rFonts w:hint="eastAsia" w:ascii="宋体" w:hAnsi="宋体" w:cs="宋体"/>
          <w:color w:val="auto"/>
          <w:kern w:val="0"/>
          <w:highlight w:val="none"/>
        </w:rPr>
        <w:t>“广西政府采购网（http://zfcg.gxzf.gov.cn）”</w:t>
      </w:r>
      <w:r>
        <w:rPr>
          <w:rFonts w:hint="eastAsia" w:hAnsi="宋体"/>
          <w:color w:val="auto"/>
          <w:highlight w:val="none"/>
        </w:rPr>
        <w:t>上公告，</w:t>
      </w:r>
      <w:r>
        <w:rPr>
          <w:rFonts w:hAnsi="宋体"/>
          <w:color w:val="auto"/>
          <w:highlight w:val="none"/>
        </w:rPr>
        <w:t>但政府采购合同中涉及国家秘密、商业秘密的内容除外。</w:t>
      </w:r>
    </w:p>
    <w:p w14:paraId="4B30DFC6">
      <w:pPr>
        <w:spacing w:line="360" w:lineRule="auto"/>
        <w:rPr>
          <w:rFonts w:hint="eastAsia" w:ascii="宋体" w:hAnsi="宋体" w:cs="宋体"/>
          <w:b/>
          <w:bCs/>
          <w:color w:val="auto"/>
          <w:highlight w:val="none"/>
        </w:rPr>
      </w:pPr>
      <w:r>
        <w:rPr>
          <w:rFonts w:hint="eastAsia" w:ascii="宋体" w:hAnsi="宋体" w:cs="宋体"/>
          <w:b/>
          <w:bCs/>
          <w:color w:val="auto"/>
          <w:highlight w:val="none"/>
        </w:rPr>
        <w:t>31. 询问、质疑和投诉</w:t>
      </w:r>
    </w:p>
    <w:p w14:paraId="6A44F2D4">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31.1供应商对政府采购活动事项有疑问的，可以向采购人、采购代理机构提出询问，采购人或者采购代理机构应当在3个工作日内对供应商依法提出的询问作出答复。</w:t>
      </w:r>
    </w:p>
    <w:p w14:paraId="4329FC5F">
      <w:pPr>
        <w:spacing w:line="360" w:lineRule="auto"/>
        <w:ind w:firstLine="420" w:firstLineChars="200"/>
        <w:rPr>
          <w:rFonts w:hint="eastAsia" w:ascii="宋体" w:hAnsi="宋体"/>
          <w:b/>
          <w:color w:val="auto"/>
          <w:highlight w:val="none"/>
        </w:rPr>
      </w:pPr>
      <w:r>
        <w:rPr>
          <w:rFonts w:hint="eastAsia" w:ascii="宋体" w:hAnsi="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ascii="宋体" w:hAnsi="宋体" w:cs="Arial"/>
          <w:color w:val="auto"/>
          <w:highlight w:val="none"/>
          <w:shd w:val="clear" w:color="auto" w:fill="FFFFFF"/>
        </w:rPr>
        <w:t>接收质疑函的方式、联系部门、联系电话和通讯地址等信息</w:t>
      </w:r>
      <w:r>
        <w:rPr>
          <w:rFonts w:hint="eastAsia" w:ascii="宋体" w:hAnsi="宋体" w:cs="Arial"/>
          <w:color w:val="auto"/>
          <w:highlight w:val="none"/>
          <w:shd w:val="clear" w:color="auto" w:fill="FFFFFF"/>
        </w:rPr>
        <w:t>详见</w:t>
      </w:r>
      <w:r>
        <w:rPr>
          <w:rFonts w:hint="eastAsia" w:ascii="宋体" w:hAnsi="宋体" w:cs="宋体"/>
          <w:color w:val="auto"/>
          <w:highlight w:val="none"/>
        </w:rPr>
        <w:t>“供应商须知前附表”。</w:t>
      </w:r>
      <w:r>
        <w:rPr>
          <w:rFonts w:hint="eastAsia" w:ascii="宋体" w:hAnsi="宋体"/>
          <w:b/>
          <w:color w:val="auto"/>
          <w:highlight w:val="none"/>
        </w:rPr>
        <w:t xml:space="preserve">具体质疑起算时间及处理方式如下： </w:t>
      </w:r>
    </w:p>
    <w:p w14:paraId="310C7AAA">
      <w:pPr>
        <w:spacing w:line="360" w:lineRule="auto"/>
        <w:ind w:firstLine="420" w:firstLineChars="200"/>
        <w:rPr>
          <w:rFonts w:hint="eastAsia" w:hAnsi="宋体"/>
          <w:bCs/>
          <w:color w:val="auto"/>
          <w:highlight w:val="none"/>
        </w:rPr>
      </w:pPr>
      <w:r>
        <w:rPr>
          <w:rFonts w:hint="eastAsia" w:hAnsi="宋体"/>
          <w:bCs/>
          <w:color w:val="auto"/>
          <w:highlight w:val="none"/>
        </w:rPr>
        <w:t>（1）潜在供应商依法获取采购文件后，认为采购文件使自己的权益受到损害的，应当在竞争性磋商采购文件公告期限届满之日起7个工作日内提出质疑。</w:t>
      </w:r>
      <w:r>
        <w:rPr>
          <w:rFonts w:hint="eastAsia"/>
          <w:color w:val="auto"/>
          <w:highlight w:val="none"/>
        </w:rPr>
        <w:t>委托代理协议无特殊约定的，</w:t>
      </w:r>
      <w:r>
        <w:rPr>
          <w:rFonts w:hint="eastAsia" w:hAnsi="宋体"/>
          <w:bCs/>
          <w:color w:val="auto"/>
          <w:highlight w:val="none"/>
        </w:rPr>
        <w:t>对竞争性磋商文件中采购需求（含资格要求、采购预算和评分办法）的质疑由采购人受理并负责答复；对竞争性磋商文件中的采购执行程序的质疑由采购代理机构受理并负责答复。</w:t>
      </w:r>
    </w:p>
    <w:p w14:paraId="41E59A9E">
      <w:pPr>
        <w:spacing w:line="360" w:lineRule="auto"/>
        <w:ind w:firstLine="420" w:firstLineChars="200"/>
        <w:rPr>
          <w:rFonts w:hint="eastAsia" w:hAnsi="宋体"/>
          <w:bCs/>
          <w:color w:val="auto"/>
          <w:highlight w:val="none"/>
        </w:rPr>
      </w:pPr>
      <w:r>
        <w:rPr>
          <w:rFonts w:hint="eastAsia" w:hAnsi="宋体"/>
          <w:bCs/>
          <w:color w:val="auto"/>
          <w:highlight w:val="none"/>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0550B8AC">
      <w:pPr>
        <w:spacing w:line="360" w:lineRule="auto"/>
        <w:ind w:firstLine="420" w:firstLineChars="200"/>
        <w:rPr>
          <w:rFonts w:hint="eastAsia" w:hAnsi="宋体"/>
          <w:bCs/>
          <w:color w:val="auto"/>
          <w:highlight w:val="none"/>
        </w:rPr>
      </w:pPr>
      <w:r>
        <w:rPr>
          <w:rFonts w:hint="eastAsia" w:hAnsi="宋体"/>
          <w:bCs/>
          <w:color w:val="auto"/>
          <w:highlight w:val="none"/>
        </w:rPr>
        <w:t>（3）供应商认为成交结果使自己的权益受到损害的，应当在成交结果公告期限届满之日起7个工作日内提出质疑，由采购人受理并负责答复。</w:t>
      </w:r>
    </w:p>
    <w:p w14:paraId="4EC16931">
      <w:pPr>
        <w:spacing w:line="360" w:lineRule="auto"/>
        <w:ind w:firstLine="420" w:firstLineChars="200"/>
        <w:rPr>
          <w:rFonts w:hint="eastAsia" w:hAnsi="宋体"/>
          <w:bCs/>
          <w:color w:val="auto"/>
          <w:highlight w:val="none"/>
        </w:rPr>
      </w:pPr>
      <w:r>
        <w:rPr>
          <w:rFonts w:hint="eastAsia" w:asciiTheme="minorEastAsia" w:hAnsiTheme="minorEastAsia" w:eastAsiaTheme="minorEastAsia" w:cstheme="minorEastAsia"/>
          <w:bCs/>
          <w:color w:val="auto"/>
          <w:highlight w:val="none"/>
        </w:rPr>
        <w:t>31.3</w:t>
      </w:r>
      <w:r>
        <w:rPr>
          <w:rFonts w:hint="eastAsia" w:hAnsi="宋体"/>
          <w:bCs/>
          <w:color w:val="auto"/>
          <w:highlight w:val="none"/>
        </w:rPr>
        <w:t>供应商提出的询问或者质疑超出采购人对采购代理机构委托授权范围的，采购代理机构应当告知供应商向采购人提出。政府采购评审专家应当配合采购人或者采购代理机构答复供应商的询问和质疑。</w:t>
      </w:r>
    </w:p>
    <w:p w14:paraId="3E8713CB">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31.4 供应商提出质疑应当提交质疑函和必要的证明材料，针对同一采购程序环节的质疑必须在法定质疑期内一次性提出。质疑函应当包括下列内容</w:t>
      </w:r>
      <w:r>
        <w:rPr>
          <w:rFonts w:hint="eastAsia" w:hAnsi="宋体"/>
          <w:bCs/>
          <w:color w:val="auto"/>
          <w:highlight w:val="none"/>
        </w:rPr>
        <w:t>（质疑函格式后附）</w:t>
      </w:r>
      <w:r>
        <w:rPr>
          <w:rFonts w:hint="eastAsia" w:ascii="宋体" w:hAnsi="宋体" w:cs="宋体"/>
          <w:color w:val="auto"/>
          <w:highlight w:val="none"/>
        </w:rPr>
        <w:t>：</w:t>
      </w:r>
    </w:p>
    <w:p w14:paraId="72736E6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31BA2AD6">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（2）质疑项目的名称、编号；</w:t>
      </w:r>
    </w:p>
    <w:p w14:paraId="05223B0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（3）具体、明确的质疑事项和与质疑事项相关的请求；</w:t>
      </w:r>
    </w:p>
    <w:p w14:paraId="1EED383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（4）事实依据；</w:t>
      </w:r>
    </w:p>
    <w:p w14:paraId="14C4D5E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（5）必要的法律依据；</w:t>
      </w:r>
    </w:p>
    <w:p w14:paraId="2128958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（6）提出质疑的日期。</w:t>
      </w:r>
    </w:p>
    <w:p w14:paraId="431D93F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3AE90ED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31</w:t>
      </w:r>
      <w:r>
        <w:rPr>
          <w:rFonts w:ascii="宋体" w:hAnsi="宋体" w:cs="宋体"/>
          <w:color w:val="auto"/>
          <w:highlight w:val="none"/>
        </w:rPr>
        <w:t>.5</w:t>
      </w:r>
      <w:r>
        <w:rPr>
          <w:rFonts w:hint="eastAsia" w:ascii="宋体" w:hAnsi="宋体" w:cs="宋体"/>
          <w:color w:val="auto"/>
          <w:highlight w:val="none"/>
        </w:rPr>
        <w:t>采购人、采购代理机构认为供应商质疑不成立，或者成立但未对成交结果构成影响的，继续开展采购活动；认为供应商质疑成立且影响或者可能影响成交结果的，按照下列情况处理：</w:t>
      </w:r>
    </w:p>
    <w:p w14:paraId="08200C31">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2CAD56F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10F8CE8F">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425775C3">
      <w:pPr>
        <w:spacing w:line="360" w:lineRule="auto"/>
        <w:ind w:firstLine="420" w:firstLineChars="200"/>
        <w:rPr>
          <w:rFonts w:hint="eastAsia" w:ascii="宋体" w:hAnsi="宋体" w:cs="宋体"/>
          <w:color w:val="auto"/>
          <w:highlight w:val="none"/>
        </w:rPr>
      </w:pPr>
      <w:r>
        <w:rPr>
          <w:rFonts w:ascii="宋体" w:hAnsi="宋体" w:cs="宋体"/>
          <w:color w:val="auto"/>
          <w:highlight w:val="none"/>
        </w:rPr>
        <w:t>3</w:t>
      </w:r>
      <w:r>
        <w:rPr>
          <w:rFonts w:hint="eastAsia" w:ascii="宋体" w:hAnsi="宋体" w:cs="宋体"/>
          <w:color w:val="auto"/>
          <w:highlight w:val="none"/>
        </w:rPr>
        <w:t>1.</w:t>
      </w:r>
      <w:r>
        <w:rPr>
          <w:rFonts w:ascii="宋体" w:hAnsi="宋体" w:cs="宋体"/>
          <w:color w:val="auto"/>
          <w:highlight w:val="none"/>
        </w:rPr>
        <w:t>6</w:t>
      </w:r>
      <w:r>
        <w:rPr>
          <w:rFonts w:hint="eastAsia" w:ascii="宋体" w:hAnsi="宋体" w:cs="宋体"/>
          <w:color w:val="auto"/>
          <w:highlight w:val="none"/>
        </w:rPr>
        <w:t>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p>
    <w:p w14:paraId="0B670594">
      <w:pPr>
        <w:snapToGrid w:val="0"/>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31.7接收质疑函方式：书面形式或邮寄。</w:t>
      </w:r>
    </w:p>
    <w:p w14:paraId="28CD8598">
      <w:pPr>
        <w:pStyle w:val="24"/>
        <w:snapToGrid w:val="0"/>
        <w:spacing w:line="360" w:lineRule="auto"/>
        <w:ind w:firstLine="420" w:firstLineChars="200"/>
        <w:rPr>
          <w:rFonts w:hint="eastAsia"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质疑联系部门：</w:t>
      </w:r>
      <w:r>
        <w:rPr>
          <w:rFonts w:hint="eastAsia" w:asciiTheme="minorEastAsia" w:hAnsiTheme="minorEastAsia" w:eastAsiaTheme="minorEastAsia" w:cstheme="minorEastAsia"/>
          <w:color w:val="auto"/>
          <w:kern w:val="2"/>
          <w:sz w:val="21"/>
          <w:szCs w:val="21"/>
          <w:highlight w:val="none"/>
          <w:lang w:eastAsia="zh-CN"/>
        </w:rPr>
        <w:t>广西建设工程机电设备招标中心有限公司</w:t>
      </w:r>
    </w:p>
    <w:p w14:paraId="460AE60D">
      <w:pPr>
        <w:pStyle w:val="24"/>
        <w:snapToGrid w:val="0"/>
        <w:spacing w:line="360" w:lineRule="auto"/>
        <w:ind w:firstLine="420" w:firstLineChars="200"/>
        <w:rPr>
          <w:rFonts w:hint="eastAsia"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联系电话：</w:t>
      </w:r>
      <w:r>
        <w:rPr>
          <w:rFonts w:hint="eastAsia" w:asciiTheme="minorEastAsia" w:hAnsiTheme="minorEastAsia" w:eastAsiaTheme="minorEastAsia" w:cstheme="minorEastAsia"/>
          <w:color w:val="auto"/>
          <w:kern w:val="2"/>
          <w:sz w:val="21"/>
          <w:szCs w:val="21"/>
          <w:highlight w:val="none"/>
          <w:lang w:eastAsia="zh-CN"/>
        </w:rPr>
        <w:t>0771-2821389</w:t>
      </w:r>
    </w:p>
    <w:p w14:paraId="7D28E7E6">
      <w:pPr>
        <w:pStyle w:val="24"/>
        <w:snapToGrid w:val="0"/>
        <w:spacing w:line="360" w:lineRule="auto"/>
        <w:ind w:firstLine="420" w:firstLineChars="200"/>
        <w:rPr>
          <w:rFonts w:hint="eastAsia"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通讯地址：</w:t>
      </w:r>
      <w:r>
        <w:rPr>
          <w:rFonts w:hint="eastAsia" w:asciiTheme="minorEastAsia" w:hAnsiTheme="minorEastAsia" w:eastAsiaTheme="minorEastAsia" w:cstheme="minorEastAsia"/>
          <w:color w:val="auto"/>
          <w:kern w:val="2"/>
          <w:sz w:val="21"/>
          <w:szCs w:val="21"/>
          <w:highlight w:val="none"/>
          <w:lang w:eastAsia="zh-CN"/>
        </w:rPr>
        <w:t>广西壮族自治区南宁市青秀区枫林路18号广西国控大厦裙楼三层</w:t>
      </w:r>
    </w:p>
    <w:p w14:paraId="1FD00EE6">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业务时间：每天8时00分到12时00分，15时00分到18时 00分，双休日和法定节假日不办理业务。</w:t>
      </w:r>
    </w:p>
    <w:p w14:paraId="607CE8B7">
      <w:pPr>
        <w:spacing w:line="460" w:lineRule="exact"/>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32.评标结果公示</w:t>
      </w:r>
    </w:p>
    <w:p w14:paraId="45B0DF66">
      <w:pPr>
        <w:spacing w:line="46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32.1在评标结束的2个工作日内，</w:t>
      </w:r>
      <w:r>
        <w:rPr>
          <w:rFonts w:hint="eastAsia" w:asciiTheme="minorEastAsia" w:hAnsiTheme="minorEastAsia" w:eastAsiaTheme="minorEastAsia" w:cstheme="minorEastAsia"/>
          <w:color w:val="auto"/>
          <w:spacing w:val="2"/>
          <w:highlight w:val="none"/>
        </w:rPr>
        <w:t>在http://www.ccgp.gov.cn/（中国政府采购网）、http://zfcg.gxzf.gov.cn (广西政府采购网)、http://www.guangxibid.com.cn/（广西招标网）公示评标结果。</w:t>
      </w:r>
    </w:p>
    <w:p w14:paraId="51AD4F34">
      <w:pPr>
        <w:spacing w:line="460" w:lineRule="exact"/>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33.成交通知书</w:t>
      </w:r>
    </w:p>
    <w:p w14:paraId="2B8C752B">
      <w:pPr>
        <w:spacing w:line="460" w:lineRule="exact"/>
        <w:ind w:firstLine="409" w:firstLineChars="195"/>
        <w:rPr>
          <w:rFonts w:hint="eastAsia" w:ascii="宋体" w:hAnsi="宋体" w:cs="宋体"/>
          <w:color w:val="auto"/>
          <w:kern w:val="0"/>
          <w:highlight w:val="none"/>
        </w:rPr>
      </w:pPr>
      <w:r>
        <w:rPr>
          <w:rFonts w:hint="eastAsia" w:asciiTheme="minorEastAsia" w:hAnsiTheme="minorEastAsia" w:eastAsiaTheme="minorEastAsia" w:cstheme="minorEastAsia"/>
          <w:color w:val="auto"/>
          <w:highlight w:val="none"/>
        </w:rPr>
        <w:t>33.1</w:t>
      </w:r>
      <w:r>
        <w:rPr>
          <w:rFonts w:hint="eastAsia" w:ascii="宋体" w:hAnsi="宋体" w:cs="宋体"/>
          <w:color w:val="auto"/>
          <w:highlight w:val="none"/>
        </w:rPr>
        <w:t>成交通知及成交结果公告。</w:t>
      </w:r>
      <w:r>
        <w:rPr>
          <w:rFonts w:hint="eastAsia" w:ascii="宋体" w:hAnsi="宋体" w:cs="宋体"/>
          <w:color w:val="auto"/>
          <w:kern w:val="0"/>
          <w:highlight w:val="none"/>
        </w:rPr>
        <w:t>成交</w:t>
      </w:r>
      <w:r>
        <w:rPr>
          <w:rFonts w:hint="eastAsia" w:ascii="宋体" w:hAnsi="宋体" w:cs="宋体"/>
          <w:color w:val="auto"/>
          <w:highlight w:val="none"/>
        </w:rPr>
        <w:t>供应商确定后2个工作日内，在省级以上财政部门指定的媒体上公</w:t>
      </w:r>
      <w:r>
        <w:rPr>
          <w:rFonts w:hint="eastAsia" w:ascii="宋体" w:hAnsi="宋体" w:cs="宋体"/>
          <w:color w:val="auto"/>
          <w:kern w:val="0"/>
          <w:highlight w:val="none"/>
        </w:rPr>
        <w:t>告成交结果（公告内容除包含《政府采购公告和公示信息格式规范（2020年版）》要求内容外，还应包含采购人专门面向中小企业预留份额情况及成交供应商评审价格、优惠率等内容），</w:t>
      </w:r>
      <w:r>
        <w:rPr>
          <w:rFonts w:hint="eastAsia" w:ascii="宋体" w:hAnsi="宋体" w:cs="宋体"/>
          <w:color w:val="auto"/>
          <w:highlight w:val="none"/>
        </w:rPr>
        <w:t>同时向成交供应商发出成交通知书，成交通知书规定签订合同的时间不得超过20个日历天。</w:t>
      </w:r>
      <w:r>
        <w:rPr>
          <w:rFonts w:hint="eastAsia" w:asciiTheme="minorEastAsia" w:hAnsiTheme="minorEastAsia" w:eastAsiaTheme="minorEastAsia" w:cstheme="minorEastAsia"/>
          <w:color w:val="auto"/>
          <w:highlight w:val="none"/>
        </w:rPr>
        <w:t>在该通知书（以下合同条件中称“成交通知书”）中给出采购人对成交的磋商供应商按本合同施工、竣工和保修工程的成交标价（以下</w:t>
      </w:r>
      <w:r>
        <w:rPr>
          <w:rFonts w:hint="eastAsia" w:ascii="宋体" w:hAnsi="宋体" w:cs="宋体"/>
          <w:color w:val="auto"/>
          <w:kern w:val="0"/>
          <w:highlight w:val="none"/>
        </w:rPr>
        <w:t>合同条件中称为“合同价格”），以及工期、质量和有关合同签订的期限、地点。</w:t>
      </w:r>
    </w:p>
    <w:p w14:paraId="567D39F2">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宋体" w:hAnsi="宋体" w:cs="宋体"/>
          <w:color w:val="auto"/>
          <w:kern w:val="0"/>
          <w:highlight w:val="none"/>
        </w:rPr>
        <w:t>33.2采购人或者采购代理机构发出成交通知书前，应当对成交供应商信用进行查询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w:t>
      </w:r>
      <w:r>
        <w:rPr>
          <w:rFonts w:hint="eastAsia" w:asciiTheme="minorEastAsia" w:hAnsiTheme="minorEastAsia" w:eastAsiaTheme="minorEastAsia" w:cstheme="minorEastAsia"/>
          <w:color w:val="auto"/>
          <w:highlight w:val="none"/>
        </w:rPr>
        <w:t>交候选人因上述规定的同样原因被取消成交资格的，采购人可以确定排名第三的成交候选人为成交供应商，以此类推，</w:t>
      </w:r>
      <w:r>
        <w:rPr>
          <w:rFonts w:hint="eastAsia" w:ascii="宋体" w:hAnsi="宋体"/>
          <w:bCs/>
          <w:color w:val="auto"/>
          <w:highlight w:val="none"/>
        </w:rPr>
        <w:t>也可以重新开展采购活动。</w:t>
      </w:r>
      <w:r>
        <w:rPr>
          <w:rFonts w:hint="eastAsia" w:asciiTheme="minorEastAsia" w:hAnsiTheme="minorEastAsia" w:eastAsiaTheme="minorEastAsia" w:cstheme="minorEastAsia"/>
          <w:color w:val="auto"/>
          <w:highlight w:val="none"/>
        </w:rPr>
        <w:t>以上信息查询记录及相关证据与竞磋文件一并保存。成交供应商享受《政府采购促进中小企业发展管理办法》（财库〔2020〕46号）规定的中小企业扶持政策的，采购人、采购代理机构应当随成交结果公开成交供应商的《中小企业声明函》。</w:t>
      </w:r>
    </w:p>
    <w:p w14:paraId="30C81265">
      <w:pPr>
        <w:spacing w:line="360" w:lineRule="auto"/>
        <w:ind w:firstLine="420" w:firstLineChars="200"/>
        <w:rPr>
          <w:rFonts w:hint="eastAsia" w:ascii="宋体" w:hAnsi="宋体" w:cs="宋体"/>
          <w:color w:val="auto"/>
          <w:highlight w:val="none"/>
        </w:rPr>
      </w:pPr>
      <w:r>
        <w:rPr>
          <w:rFonts w:hint="eastAsia" w:ascii="宋体" w:hAnsi="宋体" w:cs="宋体"/>
          <w:color w:val="auto"/>
          <w:kern w:val="0"/>
          <w:highlight w:val="none"/>
        </w:rPr>
        <w:t>33.3</w:t>
      </w:r>
      <w:r>
        <w:rPr>
          <w:rFonts w:hint="eastAsia" w:ascii="宋体" w:hAnsi="宋体" w:cs="宋体"/>
          <w:color w:val="auto"/>
          <w:highlight w:val="none"/>
        </w:rPr>
        <w:t>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5C7C84D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33.4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r>
        <w:rPr>
          <w:rFonts w:hint="eastAsia" w:ascii="宋体" w:hAnsi="宋体"/>
          <w:bCs/>
          <w:color w:val="auto"/>
          <w:highlight w:val="none"/>
        </w:rPr>
        <w:t>也可以重新开展采购活动</w:t>
      </w:r>
      <w:r>
        <w:rPr>
          <w:rFonts w:hint="eastAsia" w:ascii="宋体" w:hAnsi="宋体" w:cs="宋体"/>
          <w:color w:val="auto"/>
          <w:highlight w:val="none"/>
        </w:rPr>
        <w:t>。</w:t>
      </w:r>
    </w:p>
    <w:p w14:paraId="7B913A92">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33.5成交通知书为合同的组成部分。</w:t>
      </w:r>
    </w:p>
    <w:p w14:paraId="17A29824">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33.6采购代理机构应及时将未成交的结果通知其他磋商供应商。</w:t>
      </w:r>
    </w:p>
    <w:p w14:paraId="6C49407D">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34.合同的授予标准</w:t>
      </w:r>
    </w:p>
    <w:p w14:paraId="4218A2AE">
      <w:pPr>
        <w:spacing w:line="360" w:lineRule="auto"/>
        <w:ind w:firstLine="420" w:firstLineChars="200"/>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34.1合同将授予被确定为实质上响应招标文件要求，具备履行合同能力，综合评分排名第一的供应商。</w:t>
      </w:r>
    </w:p>
    <w:p w14:paraId="326375FB">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highlight w:val="none"/>
        </w:rPr>
        <w:t>35.合同的签署</w:t>
      </w:r>
    </w:p>
    <w:p w14:paraId="29B741A4">
      <w:pPr>
        <w:pStyle w:val="172"/>
        <w:snapToGrid w:val="0"/>
        <w:spacing w:before="0"/>
        <w:ind w:firstLine="396"/>
        <w:rPr>
          <w:rFonts w:hint="eastAsia" w:ascii="宋体" w:hAnsi="宋体"/>
          <w:color w:val="auto"/>
          <w:spacing w:val="-6"/>
          <w:sz w:val="21"/>
          <w:szCs w:val="21"/>
          <w:highlight w:val="none"/>
        </w:rPr>
      </w:pPr>
      <w:r>
        <w:rPr>
          <w:rFonts w:hint="eastAsia" w:ascii="宋体" w:hAnsi="宋体" w:cs="宋体"/>
          <w:color w:val="auto"/>
          <w:spacing w:val="-6"/>
          <w:sz w:val="21"/>
          <w:szCs w:val="21"/>
          <w:highlight w:val="none"/>
        </w:rPr>
        <w:t>35.1</w:t>
      </w:r>
      <w:r>
        <w:rPr>
          <w:rFonts w:hint="eastAsia" w:ascii="宋体" w:hAnsi="宋体"/>
          <w:color w:val="auto"/>
          <w:spacing w:val="-6"/>
          <w:sz w:val="21"/>
          <w:szCs w:val="21"/>
          <w:highlight w:val="none"/>
        </w:rPr>
        <w:t>成交结果公告无异议的项目，采购人在成交通知书发出之日起2</w:t>
      </w:r>
      <w:r>
        <w:rPr>
          <w:rFonts w:hint="eastAsia" w:ascii="宋体" w:hAnsi="宋体"/>
          <w:color w:val="auto"/>
          <w:spacing w:val="-6"/>
          <w:sz w:val="21"/>
          <w:szCs w:val="21"/>
          <w:highlight w:val="none"/>
          <w:lang w:val="en-US" w:eastAsia="zh-CN"/>
        </w:rPr>
        <w:t>5</w:t>
      </w:r>
      <w:r>
        <w:rPr>
          <w:rFonts w:hint="eastAsia" w:ascii="宋体" w:hAnsi="宋体"/>
          <w:color w:val="auto"/>
          <w:spacing w:val="-6"/>
          <w:sz w:val="21"/>
          <w:szCs w:val="21"/>
          <w:highlight w:val="none"/>
        </w:rPr>
        <w:t>个日历天内和成交供应商签订采购合同，倡导各采购人尽量压缩合同签订时间。</w:t>
      </w:r>
    </w:p>
    <w:p w14:paraId="17D192EA">
      <w:pPr>
        <w:pStyle w:val="172"/>
        <w:snapToGrid w:val="0"/>
        <w:spacing w:before="0"/>
        <w:ind w:firstLine="420"/>
        <w:rPr>
          <w:rFonts w:hint="eastAsia" w:ascii="宋体" w:hAnsi="宋体"/>
          <w:color w:val="auto"/>
          <w:sz w:val="21"/>
          <w:szCs w:val="21"/>
          <w:highlight w:val="none"/>
          <w:lang w:val="zh-CN"/>
        </w:rPr>
      </w:pPr>
      <w:r>
        <w:rPr>
          <w:rFonts w:hint="eastAsia" w:ascii="宋体" w:hAnsi="宋体" w:cs="宋体"/>
          <w:color w:val="auto"/>
          <w:sz w:val="21"/>
          <w:szCs w:val="21"/>
          <w:highlight w:val="none"/>
        </w:rPr>
        <w:t>35.2</w:t>
      </w:r>
      <w:r>
        <w:rPr>
          <w:rFonts w:hint="eastAsia" w:ascii="宋体" w:hAnsi="宋体"/>
          <w:color w:val="auto"/>
          <w:sz w:val="21"/>
          <w:szCs w:val="21"/>
          <w:highlight w:val="none"/>
        </w:rPr>
        <w:t>采购人与成交供应商应当在成交通知书规定的时间内，按照磋商文件确定的合同文本以及采购标的、服务技术、采购金额、采购数量、技术和服务要求等事项签订政府采购合同。</w:t>
      </w:r>
      <w:r>
        <w:rPr>
          <w:rFonts w:hint="eastAsia" w:ascii="宋体" w:hAnsi="宋体"/>
          <w:color w:val="auto"/>
          <w:sz w:val="21"/>
          <w:szCs w:val="21"/>
          <w:highlight w:val="none"/>
          <w:lang w:val="zh-CN"/>
        </w:rPr>
        <w:t>如成交供应商为联合体的（</w:t>
      </w:r>
      <w:r>
        <w:rPr>
          <w:rFonts w:hint="eastAsia" w:ascii="宋体" w:hAnsi="宋体"/>
          <w:color w:val="auto"/>
          <w:sz w:val="21"/>
          <w:szCs w:val="21"/>
          <w:highlight w:val="none"/>
        </w:rPr>
        <w:t>允许联合体竞标时</w:t>
      </w:r>
      <w:r>
        <w:rPr>
          <w:rFonts w:hint="eastAsia" w:ascii="宋体" w:hAnsi="宋体"/>
          <w:color w:val="auto"/>
          <w:sz w:val="21"/>
          <w:szCs w:val="21"/>
          <w:highlight w:val="none"/>
          <w:lang w:val="zh-CN"/>
        </w:rPr>
        <w:t>），由联合体成员各方法定代表人或其授权代表与采购人代表签订合同。</w:t>
      </w:r>
    </w:p>
    <w:p w14:paraId="652D1F2B">
      <w:pPr>
        <w:spacing w:line="360" w:lineRule="auto"/>
        <w:ind w:firstLine="420" w:firstLineChars="200"/>
        <w:rPr>
          <w:rFonts w:hint="eastAsia" w:ascii="宋体" w:hAnsi="宋体"/>
          <w:color w:val="auto"/>
          <w:highlight w:val="none"/>
        </w:rPr>
      </w:pPr>
      <w:r>
        <w:rPr>
          <w:rFonts w:hint="eastAsia" w:ascii="宋体" w:hAnsi="宋体" w:cs="宋体"/>
          <w:color w:val="auto"/>
          <w:highlight w:val="none"/>
        </w:rPr>
        <w:t>35.3</w:t>
      </w:r>
      <w:r>
        <w:rPr>
          <w:rFonts w:hint="eastAsia" w:ascii="宋体" w:hAnsi="宋体"/>
          <w:color w:val="auto"/>
          <w:highlight w:val="none"/>
        </w:rPr>
        <w:t>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0045D1EA">
      <w:pPr>
        <w:spacing w:line="360" w:lineRule="auto"/>
        <w:ind w:firstLine="420" w:firstLineChars="200"/>
        <w:rPr>
          <w:rFonts w:hint="eastAsia" w:ascii="宋体" w:hAnsi="宋体"/>
          <w:color w:val="auto"/>
          <w:highlight w:val="none"/>
        </w:rPr>
      </w:pPr>
      <w:r>
        <w:rPr>
          <w:rFonts w:hint="eastAsia" w:ascii="宋体" w:hAnsi="宋体" w:cs="宋体"/>
          <w:color w:val="auto"/>
          <w:highlight w:val="none"/>
        </w:rPr>
        <w:t>35.4</w:t>
      </w:r>
      <w:r>
        <w:rPr>
          <w:rFonts w:hint="eastAsia" w:ascii="宋体" w:hAnsi="宋体"/>
          <w:color w:val="auto"/>
          <w:highlight w:val="none"/>
        </w:rPr>
        <w:t>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6B8533F8">
      <w:pPr>
        <w:spacing w:line="360" w:lineRule="auto"/>
        <w:ind w:firstLine="420" w:firstLineChars="200"/>
        <w:rPr>
          <w:rFonts w:hint="eastAsia" w:ascii="宋体" w:hAnsi="宋体"/>
          <w:color w:val="auto"/>
          <w:highlight w:val="none"/>
        </w:rPr>
      </w:pPr>
      <w:r>
        <w:rPr>
          <w:rFonts w:hint="eastAsia" w:ascii="宋体" w:hAnsi="宋体" w:cs="宋体"/>
          <w:color w:val="auto"/>
          <w:highlight w:val="none"/>
        </w:rPr>
        <w:t>35.5</w:t>
      </w:r>
      <w:r>
        <w:rPr>
          <w:rFonts w:hint="eastAsia" w:ascii="宋体" w:hAnsi="宋体"/>
          <w:color w:val="auto"/>
          <w:highlight w:val="none"/>
        </w:rPr>
        <w:t>如签订合同并生效后，供应商无故拒绝或延期履行义务，除按照合同条款处理外，列入不良行为记录，并给予通报。</w:t>
      </w:r>
    </w:p>
    <w:p w14:paraId="53D06D32">
      <w:pPr>
        <w:pStyle w:val="172"/>
        <w:spacing w:before="0"/>
        <w:ind w:firstLine="420"/>
        <w:rPr>
          <w:rFonts w:hint="eastAsia" w:ascii="宋体" w:hAnsi="宋体" w:cs="宋体"/>
          <w:color w:val="auto"/>
          <w:szCs w:val="21"/>
          <w:highlight w:val="none"/>
        </w:rPr>
      </w:pPr>
      <w:r>
        <w:rPr>
          <w:rFonts w:hint="eastAsia" w:ascii="宋体" w:hAnsi="宋体" w:cs="宋体"/>
          <w:color w:val="auto"/>
          <w:sz w:val="21"/>
          <w:szCs w:val="21"/>
          <w:highlight w:val="none"/>
        </w:rPr>
        <w:t>35.6</w:t>
      </w:r>
      <w:r>
        <w:rPr>
          <w:rFonts w:ascii="宋体" w:hAnsi="宋体" w:cs="仿宋_GB2312"/>
          <w:color w:val="auto"/>
          <w:sz w:val="21"/>
          <w:szCs w:val="21"/>
          <w:highlight w:val="none"/>
        </w:rPr>
        <w:t>采购合同由采购人与</w:t>
      </w:r>
      <w:r>
        <w:rPr>
          <w:rFonts w:hint="eastAsia" w:ascii="宋体" w:hAnsi="宋体" w:cs="仿宋_GB2312"/>
          <w:color w:val="auto"/>
          <w:sz w:val="21"/>
          <w:szCs w:val="21"/>
          <w:highlight w:val="none"/>
        </w:rPr>
        <w:t>成交</w:t>
      </w:r>
      <w:r>
        <w:rPr>
          <w:rFonts w:ascii="宋体" w:hAnsi="宋体" w:cs="仿宋_GB2312"/>
          <w:color w:val="auto"/>
          <w:sz w:val="21"/>
          <w:szCs w:val="21"/>
          <w:highlight w:val="none"/>
        </w:rPr>
        <w:t>供应商根据</w:t>
      </w:r>
      <w:r>
        <w:rPr>
          <w:rFonts w:hint="eastAsia" w:ascii="宋体" w:hAnsi="宋体"/>
          <w:color w:val="auto"/>
          <w:sz w:val="21"/>
          <w:szCs w:val="21"/>
          <w:highlight w:val="none"/>
        </w:rPr>
        <w:t>磋商文件</w:t>
      </w:r>
      <w:r>
        <w:rPr>
          <w:rFonts w:hint="eastAsia" w:ascii="宋体" w:hAnsi="宋体" w:cs="仿宋_GB2312"/>
          <w:color w:val="auto"/>
          <w:sz w:val="21"/>
          <w:szCs w:val="21"/>
          <w:highlight w:val="none"/>
        </w:rPr>
        <w:t>、响应文件等内容通过政府采购电子交易平台在线签订，自动备案，根据《中华人民共和国政府采购法实施条例》第五十条规定，采购人应当自采购合同签订之日起2个工作日内，将采购合同在竞争性磋商采购公告发布的媒体上公告，但采购合同中涉及国家秘密、商业秘密的内容除外。在线签订须携带使</w:t>
      </w:r>
      <w:r>
        <w:rPr>
          <w:rFonts w:hint="eastAsia" w:ascii="宋体" w:hAnsi="宋体" w:cs="宋体"/>
          <w:color w:val="auto"/>
          <w:sz w:val="21"/>
          <w:szCs w:val="21"/>
          <w:highlight w:val="none"/>
        </w:rPr>
        <w:t>用的有效 CA 证书加盖单位电子公章</w:t>
      </w:r>
      <w:r>
        <w:rPr>
          <w:rFonts w:hint="eastAsia" w:ascii="宋体" w:hAnsi="宋体" w:cs="仿宋_GB2312"/>
          <w:color w:val="auto"/>
          <w:sz w:val="21"/>
          <w:szCs w:val="21"/>
          <w:highlight w:val="none"/>
        </w:rPr>
        <w:t>。</w:t>
      </w:r>
    </w:p>
    <w:p w14:paraId="3C2A0EAE">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36.履约保证金</w:t>
      </w:r>
    </w:p>
    <w:p w14:paraId="7E226062">
      <w:pPr>
        <w:tabs>
          <w:tab w:val="left" w:pos="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详见磋商须知前附表。</w:t>
      </w:r>
    </w:p>
    <w:p w14:paraId="2D6A1D11">
      <w:pPr>
        <w:pStyle w:val="29"/>
        <w:spacing w:line="360" w:lineRule="auto"/>
        <w:jc w:val="center"/>
        <w:rPr>
          <w:rFonts w:eastAsiaTheme="minorEastAsia"/>
          <w:color w:val="auto"/>
          <w:highlight w:val="none"/>
        </w:rPr>
      </w:pPr>
      <w:r>
        <w:rPr>
          <w:rFonts w:hint="eastAsia" w:asciiTheme="minorEastAsia" w:hAnsiTheme="minorEastAsia" w:eastAsiaTheme="minorEastAsia" w:cstheme="minorEastAsia"/>
          <w:b/>
          <w:color w:val="auto"/>
          <w:sz w:val="21"/>
          <w:szCs w:val="21"/>
          <w:highlight w:val="none"/>
        </w:rPr>
        <w:t>六、验收</w:t>
      </w:r>
    </w:p>
    <w:p w14:paraId="1FC0FBE6">
      <w:pPr>
        <w:tabs>
          <w:tab w:val="left" w:pos="0"/>
        </w:tabs>
        <w:spacing w:line="360"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37.1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7D126152">
      <w:pPr>
        <w:tabs>
          <w:tab w:val="left" w:pos="0"/>
        </w:tabs>
        <w:spacing w:line="360" w:lineRule="auto"/>
        <w:ind w:firstLine="420" w:firstLineChars="200"/>
        <w:rPr>
          <w:rFonts w:hint="eastAsia" w:ascii="宋体" w:hAnsi="宋体" w:cs="Helvetica"/>
          <w:color w:val="auto"/>
          <w:kern w:val="0"/>
          <w:highlight w:val="none"/>
        </w:rPr>
      </w:pPr>
      <w:r>
        <w:rPr>
          <w:rFonts w:hint="eastAsia" w:ascii="宋体" w:hAnsi="宋体" w:cs="宋体"/>
          <w:color w:val="auto"/>
          <w:kern w:val="0"/>
          <w:highlight w:val="none"/>
        </w:rPr>
        <w:t>37.2采购人可以邀请参加本项目的其他供应商或者第三方机构参与验收。参与验收的供应商或者第三方机构</w:t>
      </w:r>
      <w:r>
        <w:rPr>
          <w:rFonts w:hint="eastAsia" w:ascii="宋体" w:hAnsi="宋体" w:cs="Helvetica"/>
          <w:color w:val="auto"/>
          <w:kern w:val="0"/>
          <w:highlight w:val="none"/>
        </w:rPr>
        <w:t>的意见作为验收书的参考资料一并存档。</w:t>
      </w:r>
    </w:p>
    <w:p w14:paraId="7C96B12F">
      <w:pPr>
        <w:tabs>
          <w:tab w:val="left" w:pos="0"/>
        </w:tabs>
        <w:spacing w:line="360" w:lineRule="auto"/>
        <w:ind w:firstLine="420" w:firstLineChars="200"/>
        <w:rPr>
          <w:rFonts w:hint="eastAsia" w:ascii="宋体" w:hAnsi="宋体" w:cs="Helvetica"/>
          <w:color w:val="auto"/>
          <w:kern w:val="0"/>
          <w:highlight w:val="none"/>
        </w:rPr>
      </w:pPr>
      <w:r>
        <w:rPr>
          <w:rFonts w:hint="eastAsia" w:ascii="宋体" w:hAnsi="宋体" w:cs="Helvetica"/>
          <w:color w:val="auto"/>
          <w:kern w:val="0"/>
          <w:highlight w:val="none"/>
        </w:rPr>
        <w:t>37.3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6B93D787">
      <w:pPr>
        <w:tabs>
          <w:tab w:val="left" w:pos="0"/>
        </w:tabs>
        <w:spacing w:line="360" w:lineRule="auto"/>
        <w:ind w:firstLine="420" w:firstLineChars="200"/>
        <w:rPr>
          <w:rFonts w:hint="eastAsia" w:ascii="宋体" w:hAnsi="宋体" w:cs="Helvetica"/>
          <w:color w:val="auto"/>
          <w:kern w:val="0"/>
          <w:highlight w:val="none"/>
        </w:rPr>
      </w:pPr>
      <w:r>
        <w:rPr>
          <w:rFonts w:hint="eastAsia" w:ascii="宋体" w:hAnsi="宋体" w:cs="Helvetica"/>
          <w:color w:val="auto"/>
          <w:kern w:val="0"/>
          <w:highlight w:val="none"/>
        </w:rPr>
        <w:t>37.4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4AB4C066">
      <w:pPr>
        <w:pStyle w:val="24"/>
        <w:spacing w:line="360" w:lineRule="auto"/>
        <w:ind w:firstLine="422" w:firstLineChars="200"/>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七、其他事项</w:t>
      </w:r>
    </w:p>
    <w:p w14:paraId="7DCFADAE">
      <w:pPr>
        <w:pStyle w:val="24"/>
        <w:spacing w:line="360" w:lineRule="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38.代理服务费</w:t>
      </w:r>
    </w:p>
    <w:p w14:paraId="3FDC7591">
      <w:pPr>
        <w:pStyle w:val="24"/>
        <w:spacing w:line="360" w:lineRule="auto"/>
        <w:ind w:firstLine="420" w:firstLineChars="200"/>
        <w:textAlignment w:val="center"/>
        <w:rPr>
          <w:rFonts w:hint="eastAsia" w:hAnsi="宋体"/>
          <w:color w:val="auto"/>
          <w:kern w:val="2"/>
          <w:sz w:val="21"/>
          <w:highlight w:val="none"/>
        </w:rPr>
      </w:pPr>
      <w:r>
        <w:rPr>
          <w:rFonts w:hint="eastAsia" w:hAnsi="宋体"/>
          <w:color w:val="auto"/>
          <w:kern w:val="2"/>
          <w:sz w:val="21"/>
          <w:highlight w:val="none"/>
        </w:rPr>
        <w:t>代理服务收费标准及缴费账户详见“供应商须知前附表”，供应商为联合体的</w:t>
      </w:r>
      <w:r>
        <w:rPr>
          <w:rFonts w:hint="eastAsia" w:hAnsi="宋体"/>
          <w:color w:val="auto"/>
          <w:sz w:val="21"/>
          <w:szCs w:val="21"/>
          <w:highlight w:val="none"/>
          <w:lang w:val="zh-CN"/>
        </w:rPr>
        <w:t>（</w:t>
      </w:r>
      <w:r>
        <w:rPr>
          <w:rFonts w:hint="eastAsia" w:hAnsi="宋体"/>
          <w:color w:val="auto"/>
          <w:sz w:val="21"/>
          <w:szCs w:val="21"/>
          <w:highlight w:val="none"/>
        </w:rPr>
        <w:t>允许联合体竞标时</w:t>
      </w:r>
      <w:r>
        <w:rPr>
          <w:rFonts w:hint="eastAsia" w:hAnsi="宋体"/>
          <w:color w:val="auto"/>
          <w:sz w:val="21"/>
          <w:szCs w:val="21"/>
          <w:highlight w:val="none"/>
          <w:lang w:val="zh-CN"/>
        </w:rPr>
        <w:t>）</w:t>
      </w:r>
      <w:r>
        <w:rPr>
          <w:rFonts w:hint="eastAsia" w:hAnsi="宋体"/>
          <w:color w:val="auto"/>
          <w:kern w:val="2"/>
          <w:sz w:val="21"/>
          <w:highlight w:val="none"/>
        </w:rPr>
        <w:t>，可以由联合体中的一方或者多方共同交纳代理服务费。</w:t>
      </w:r>
    </w:p>
    <w:p w14:paraId="34E2A563">
      <w:pPr>
        <w:pStyle w:val="24"/>
        <w:spacing w:line="380" w:lineRule="exact"/>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39.需要补充的其他内容</w:t>
      </w:r>
    </w:p>
    <w:p w14:paraId="31E1A2EC">
      <w:pPr>
        <w:pStyle w:val="24"/>
        <w:spacing w:line="360" w:lineRule="auto"/>
        <w:ind w:firstLine="420" w:firstLineChars="200"/>
        <w:textAlignment w:val="center"/>
        <w:rPr>
          <w:rFonts w:hint="eastAsia" w:hAnsi="宋体"/>
          <w:color w:val="auto"/>
          <w:kern w:val="2"/>
          <w:sz w:val="21"/>
          <w:highlight w:val="none"/>
        </w:rPr>
      </w:pPr>
      <w:r>
        <w:rPr>
          <w:rFonts w:hint="eastAsia" w:hAnsi="宋体"/>
          <w:color w:val="auto"/>
          <w:kern w:val="2"/>
          <w:sz w:val="21"/>
          <w:highlight w:val="none"/>
        </w:rPr>
        <w:t>39.1本竞争性磋商采购文件是根据《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解释权属本采购代理机构。</w:t>
      </w:r>
    </w:p>
    <w:p w14:paraId="18AA3119">
      <w:pPr>
        <w:pStyle w:val="24"/>
        <w:spacing w:line="360" w:lineRule="auto"/>
        <w:ind w:firstLine="420" w:firstLineChars="200"/>
        <w:textAlignment w:val="center"/>
        <w:rPr>
          <w:rFonts w:hint="eastAsia" w:hAnsi="宋体"/>
          <w:color w:val="auto"/>
          <w:kern w:val="2"/>
          <w:sz w:val="21"/>
          <w:highlight w:val="none"/>
        </w:rPr>
      </w:pPr>
      <w:r>
        <w:rPr>
          <w:rFonts w:hint="eastAsia" w:asciiTheme="minorEastAsia" w:hAnsiTheme="minorEastAsia" w:eastAsiaTheme="minorEastAsia" w:cstheme="minorEastAsia"/>
          <w:color w:val="auto"/>
          <w:sz w:val="21"/>
          <w:szCs w:val="21"/>
          <w:highlight w:val="none"/>
        </w:rPr>
        <w:t>39.2</w:t>
      </w:r>
      <w:r>
        <w:rPr>
          <w:rFonts w:hint="eastAsia" w:hAnsi="宋体"/>
          <w:color w:val="auto"/>
          <w:kern w:val="2"/>
          <w:sz w:val="21"/>
          <w:highlight w:val="none"/>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hAnsi="宋体"/>
          <w:color w:val="auto"/>
          <w:sz w:val="21"/>
          <w:highlight w:val="none"/>
        </w:rPr>
        <w:t>服务由中小企业承接，即提供服务的人员为中小企业依照《中华人民共和国劳动合同法》订立劳动合同的从业人员，不对其中涉及的货物的制造商和工程承建商作出要求的</w:t>
      </w:r>
      <w:r>
        <w:rPr>
          <w:rFonts w:hint="eastAsia" w:hAnsi="宋体"/>
          <w:color w:val="auto"/>
          <w:kern w:val="2"/>
          <w:sz w:val="21"/>
          <w:highlight w:val="none"/>
        </w:rPr>
        <w:t>，享受本文件规定的中小企业扶持政策。监狱企业或残疾人福利性单位视同为中小企业。</w:t>
      </w:r>
    </w:p>
    <w:p w14:paraId="28E54C3F">
      <w:pPr>
        <w:pStyle w:val="24"/>
        <w:spacing w:line="360" w:lineRule="auto"/>
        <w:ind w:firstLine="420" w:firstLineChars="200"/>
        <w:textAlignment w:val="center"/>
        <w:rPr>
          <w:rFonts w:hint="eastAsia" w:hAnsi="宋体"/>
          <w:color w:val="auto"/>
          <w:kern w:val="2"/>
          <w:sz w:val="21"/>
          <w:highlight w:val="none"/>
        </w:rPr>
      </w:pPr>
      <w:r>
        <w:rPr>
          <w:rFonts w:hint="eastAsia" w:hAnsi="宋体"/>
          <w:color w:val="auto"/>
          <w:kern w:val="2"/>
          <w:sz w:val="21"/>
          <w:highlight w:val="none"/>
        </w:rPr>
        <w:t>以联合体形式参加政府采购活动，联合体各方均为中小企业的，联合体视同中小企业。其中，联合体各方均为小微企业的，联合体视同小微企业。</w:t>
      </w:r>
    </w:p>
    <w:p w14:paraId="61D67FDB">
      <w:pPr>
        <w:tabs>
          <w:tab w:val="left" w:pos="2835"/>
        </w:tabs>
        <w:spacing w:line="360" w:lineRule="auto"/>
        <w:ind w:firstLine="420" w:firstLineChars="200"/>
        <w:jc w:val="both"/>
        <w:rPr>
          <w:rFonts w:hint="eastAsia" w:hAnsi="宋体"/>
          <w:color w:val="auto"/>
          <w:kern w:val="2"/>
          <w:sz w:val="21"/>
          <w:highlight w:val="none"/>
        </w:rPr>
      </w:pPr>
      <w:r>
        <w:rPr>
          <w:rFonts w:hint="eastAsia" w:hAnsi="宋体"/>
          <w:color w:val="auto"/>
          <w:kern w:val="2"/>
          <w:sz w:val="21"/>
          <w:highlight w:val="none"/>
        </w:rPr>
        <w:t>依据本文件规定享受扶持政策获得政府采购合同的，小微企业不得将合同分包给大中型企业，中型企业不得将合同分包给大型企业。</w:t>
      </w:r>
    </w:p>
    <w:p w14:paraId="53205E40">
      <w:pPr>
        <w:tabs>
          <w:tab w:val="left" w:pos="2835"/>
        </w:tabs>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代理服务费：代理服务收取标准及缴费账户详见“供应商须知前附表”，供应商为联合体的，可以由联合体中的一方或者多方共同交纳代理服务费。</w:t>
      </w:r>
    </w:p>
    <w:p w14:paraId="470DC47E">
      <w:pPr>
        <w:tabs>
          <w:tab w:val="left" w:pos="2835"/>
        </w:tabs>
        <w:spacing w:line="360" w:lineRule="auto"/>
        <w:ind w:firstLine="420" w:firstLineChars="200"/>
        <w:jc w:val="both"/>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代理服务费收费计算标准：</w:t>
      </w:r>
    </w:p>
    <w:p w14:paraId="5701EAC4">
      <w:pPr>
        <w:pStyle w:val="2"/>
        <w:jc w:val="both"/>
        <w:rPr>
          <w:rFonts w:hint="eastAsia" w:ascii="宋体" w:hAnsi="宋体" w:eastAsia="宋体" w:cs="宋体"/>
          <w:color w:val="auto"/>
          <w:sz w:val="21"/>
          <w:szCs w:val="21"/>
          <w:highlight w:val="none"/>
        </w:rPr>
      </w:pP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6F999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l2br w:val="single" w:color="auto" w:sz="4" w:space="0"/>
            </w:tcBorders>
          </w:tcPr>
          <w:p w14:paraId="532EDA3B">
            <w:p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费率</w:t>
            </w:r>
          </w:p>
          <w:p w14:paraId="669B8E70">
            <w:p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金额（人民币）</w:t>
            </w:r>
          </w:p>
        </w:tc>
        <w:tc>
          <w:tcPr>
            <w:tcW w:w="1659" w:type="dxa"/>
            <w:vAlign w:val="center"/>
          </w:tcPr>
          <w:p w14:paraId="69AA95A8">
            <w:pPr>
              <w:spacing w:line="360" w:lineRule="auto"/>
              <w:ind w:firstLine="105" w:firstLineChars="5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货物类</w:t>
            </w:r>
          </w:p>
        </w:tc>
        <w:tc>
          <w:tcPr>
            <w:tcW w:w="1532" w:type="dxa"/>
            <w:vAlign w:val="center"/>
          </w:tcPr>
          <w:p w14:paraId="56A57586">
            <w:p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服务类</w:t>
            </w:r>
          </w:p>
        </w:tc>
        <w:tc>
          <w:tcPr>
            <w:tcW w:w="1546" w:type="dxa"/>
            <w:vAlign w:val="center"/>
          </w:tcPr>
          <w:p w14:paraId="78812933">
            <w:p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工程类</w:t>
            </w:r>
          </w:p>
        </w:tc>
      </w:tr>
      <w:tr w14:paraId="52170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0A98F9F2">
            <w:p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100万元以下</w:t>
            </w:r>
          </w:p>
        </w:tc>
        <w:tc>
          <w:tcPr>
            <w:tcW w:w="1659" w:type="dxa"/>
          </w:tcPr>
          <w:p w14:paraId="1296E6FA">
            <w:p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  1.5%                </w:t>
            </w:r>
          </w:p>
        </w:tc>
        <w:tc>
          <w:tcPr>
            <w:tcW w:w="1532" w:type="dxa"/>
          </w:tcPr>
          <w:p w14:paraId="7BC0C22A">
            <w:pPr>
              <w:spacing w:line="360" w:lineRule="auto"/>
              <w:ind w:firstLine="210" w:firstLineChars="100"/>
              <w:jc w:val="both"/>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1.5%</w:t>
            </w:r>
          </w:p>
        </w:tc>
        <w:tc>
          <w:tcPr>
            <w:tcW w:w="1546" w:type="dxa"/>
          </w:tcPr>
          <w:p w14:paraId="515D1D94">
            <w:pPr>
              <w:spacing w:line="360" w:lineRule="auto"/>
              <w:ind w:firstLine="210" w:firstLineChars="100"/>
              <w:jc w:val="both"/>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1.0% </w:t>
            </w:r>
          </w:p>
        </w:tc>
      </w:tr>
      <w:tr w14:paraId="69589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215BB63E">
            <w:p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100～500万元</w:t>
            </w:r>
          </w:p>
        </w:tc>
        <w:tc>
          <w:tcPr>
            <w:tcW w:w="1659" w:type="dxa"/>
          </w:tcPr>
          <w:p w14:paraId="38FD25CF">
            <w:pPr>
              <w:spacing w:line="360" w:lineRule="auto"/>
              <w:ind w:firstLine="210" w:firstLineChars="100"/>
              <w:jc w:val="both"/>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1.1%                 </w:t>
            </w:r>
          </w:p>
        </w:tc>
        <w:tc>
          <w:tcPr>
            <w:tcW w:w="1532" w:type="dxa"/>
          </w:tcPr>
          <w:p w14:paraId="1355A3CC">
            <w:pPr>
              <w:spacing w:line="360" w:lineRule="auto"/>
              <w:ind w:firstLine="210" w:firstLineChars="100"/>
              <w:jc w:val="both"/>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0.8%</w:t>
            </w:r>
          </w:p>
        </w:tc>
        <w:tc>
          <w:tcPr>
            <w:tcW w:w="1546" w:type="dxa"/>
          </w:tcPr>
          <w:p w14:paraId="6CBCFB92">
            <w:pPr>
              <w:spacing w:line="360" w:lineRule="auto"/>
              <w:ind w:firstLine="210" w:firstLineChars="100"/>
              <w:jc w:val="both"/>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0.7% </w:t>
            </w:r>
          </w:p>
        </w:tc>
      </w:tr>
      <w:tr w14:paraId="0FA6A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361D86E2">
            <w:p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500～1000万元</w:t>
            </w:r>
          </w:p>
        </w:tc>
        <w:tc>
          <w:tcPr>
            <w:tcW w:w="1659" w:type="dxa"/>
          </w:tcPr>
          <w:p w14:paraId="2E9FF853">
            <w:p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  0.8%                </w:t>
            </w:r>
          </w:p>
        </w:tc>
        <w:tc>
          <w:tcPr>
            <w:tcW w:w="1532" w:type="dxa"/>
          </w:tcPr>
          <w:p w14:paraId="51A3B2B2">
            <w:pPr>
              <w:spacing w:line="360" w:lineRule="auto"/>
              <w:ind w:firstLine="210" w:firstLineChars="100"/>
              <w:jc w:val="both"/>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0.45%</w:t>
            </w:r>
          </w:p>
        </w:tc>
        <w:tc>
          <w:tcPr>
            <w:tcW w:w="1546" w:type="dxa"/>
          </w:tcPr>
          <w:p w14:paraId="649EAF83">
            <w:pPr>
              <w:spacing w:line="360" w:lineRule="auto"/>
              <w:ind w:firstLine="210" w:firstLineChars="100"/>
              <w:jc w:val="both"/>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0.55%</w:t>
            </w:r>
          </w:p>
        </w:tc>
      </w:tr>
      <w:tr w14:paraId="6B510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10F2E453">
            <w:p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1000～5000万元</w:t>
            </w:r>
          </w:p>
        </w:tc>
        <w:tc>
          <w:tcPr>
            <w:tcW w:w="1659" w:type="dxa"/>
          </w:tcPr>
          <w:p w14:paraId="6E94A855">
            <w:pPr>
              <w:spacing w:line="360" w:lineRule="auto"/>
              <w:ind w:firstLine="210" w:firstLineChars="100"/>
              <w:jc w:val="both"/>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0.5%                </w:t>
            </w:r>
          </w:p>
        </w:tc>
        <w:tc>
          <w:tcPr>
            <w:tcW w:w="1532" w:type="dxa"/>
          </w:tcPr>
          <w:p w14:paraId="340D52AA">
            <w:pPr>
              <w:spacing w:line="360" w:lineRule="auto"/>
              <w:ind w:firstLine="210" w:firstLineChars="100"/>
              <w:jc w:val="both"/>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0.25%</w:t>
            </w:r>
          </w:p>
        </w:tc>
        <w:tc>
          <w:tcPr>
            <w:tcW w:w="1546" w:type="dxa"/>
          </w:tcPr>
          <w:p w14:paraId="70E2B438">
            <w:pPr>
              <w:spacing w:line="360" w:lineRule="auto"/>
              <w:ind w:firstLine="210" w:firstLineChars="100"/>
              <w:jc w:val="both"/>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0.35% </w:t>
            </w:r>
          </w:p>
        </w:tc>
      </w:tr>
      <w:tr w14:paraId="6098F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775EB4E3">
            <w:p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5000万元～1亿元</w:t>
            </w:r>
          </w:p>
        </w:tc>
        <w:tc>
          <w:tcPr>
            <w:tcW w:w="1659" w:type="dxa"/>
          </w:tcPr>
          <w:p w14:paraId="5DD21F0F">
            <w:pPr>
              <w:spacing w:line="360" w:lineRule="auto"/>
              <w:ind w:firstLine="210" w:firstLineChars="100"/>
              <w:jc w:val="both"/>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0.25%                 </w:t>
            </w:r>
          </w:p>
        </w:tc>
        <w:tc>
          <w:tcPr>
            <w:tcW w:w="1532" w:type="dxa"/>
          </w:tcPr>
          <w:p w14:paraId="5A3362BD">
            <w:pPr>
              <w:spacing w:line="360" w:lineRule="auto"/>
              <w:ind w:firstLine="210" w:firstLineChars="100"/>
              <w:jc w:val="both"/>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0.1%</w:t>
            </w:r>
          </w:p>
        </w:tc>
        <w:tc>
          <w:tcPr>
            <w:tcW w:w="1546" w:type="dxa"/>
          </w:tcPr>
          <w:p w14:paraId="6954F9B4">
            <w:pPr>
              <w:spacing w:line="360" w:lineRule="auto"/>
              <w:ind w:firstLine="210" w:firstLineChars="100"/>
              <w:jc w:val="both"/>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0.2%</w:t>
            </w:r>
          </w:p>
        </w:tc>
      </w:tr>
      <w:tr w14:paraId="19403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225ED96E">
            <w:p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1～5亿元</w:t>
            </w:r>
          </w:p>
        </w:tc>
        <w:tc>
          <w:tcPr>
            <w:tcW w:w="1659" w:type="dxa"/>
          </w:tcPr>
          <w:p w14:paraId="083BE9A6">
            <w:pPr>
              <w:spacing w:line="360" w:lineRule="auto"/>
              <w:ind w:firstLine="210" w:firstLineChars="1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0.05%</w:t>
            </w:r>
          </w:p>
        </w:tc>
        <w:tc>
          <w:tcPr>
            <w:tcW w:w="1532" w:type="dxa"/>
          </w:tcPr>
          <w:p w14:paraId="11A93006">
            <w:p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0.05%</w:t>
            </w:r>
          </w:p>
        </w:tc>
        <w:tc>
          <w:tcPr>
            <w:tcW w:w="1546" w:type="dxa"/>
          </w:tcPr>
          <w:p w14:paraId="75EDAA7B">
            <w:p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0.05%</w:t>
            </w:r>
          </w:p>
        </w:tc>
      </w:tr>
      <w:tr w14:paraId="49F55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3B100BE0">
            <w:p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5～10亿元</w:t>
            </w:r>
          </w:p>
        </w:tc>
        <w:tc>
          <w:tcPr>
            <w:tcW w:w="1659" w:type="dxa"/>
          </w:tcPr>
          <w:p w14:paraId="591808A1">
            <w:pPr>
              <w:spacing w:line="360" w:lineRule="auto"/>
              <w:ind w:firstLine="105" w:firstLineChars="5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0.035%</w:t>
            </w:r>
          </w:p>
        </w:tc>
        <w:tc>
          <w:tcPr>
            <w:tcW w:w="1532" w:type="dxa"/>
          </w:tcPr>
          <w:p w14:paraId="77F6E549">
            <w:p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0.035%</w:t>
            </w:r>
          </w:p>
        </w:tc>
        <w:tc>
          <w:tcPr>
            <w:tcW w:w="1546" w:type="dxa"/>
          </w:tcPr>
          <w:p w14:paraId="2B324B3A">
            <w:pPr>
              <w:spacing w:line="360" w:lineRule="auto"/>
              <w:ind w:firstLine="105" w:firstLineChars="5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0.035%</w:t>
            </w:r>
          </w:p>
        </w:tc>
      </w:tr>
      <w:tr w14:paraId="23795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7769C4A1">
            <w:p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10～50亿元</w:t>
            </w:r>
          </w:p>
        </w:tc>
        <w:tc>
          <w:tcPr>
            <w:tcW w:w="1659" w:type="dxa"/>
          </w:tcPr>
          <w:p w14:paraId="1A0784D0">
            <w:pPr>
              <w:spacing w:line="360" w:lineRule="auto"/>
              <w:ind w:firstLine="105" w:firstLineChars="5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0.008%</w:t>
            </w:r>
          </w:p>
        </w:tc>
        <w:tc>
          <w:tcPr>
            <w:tcW w:w="1532" w:type="dxa"/>
          </w:tcPr>
          <w:p w14:paraId="347CF892">
            <w:pPr>
              <w:spacing w:line="360" w:lineRule="auto"/>
              <w:ind w:firstLine="210" w:firstLineChars="1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0.008%</w:t>
            </w:r>
          </w:p>
        </w:tc>
        <w:tc>
          <w:tcPr>
            <w:tcW w:w="1546" w:type="dxa"/>
          </w:tcPr>
          <w:p w14:paraId="4EEEE917">
            <w:pPr>
              <w:spacing w:line="360" w:lineRule="auto"/>
              <w:ind w:firstLine="105" w:firstLineChars="5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0.008%</w:t>
            </w:r>
          </w:p>
        </w:tc>
      </w:tr>
      <w:tr w14:paraId="6238C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5BF65308">
            <w:p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50～100亿元</w:t>
            </w:r>
          </w:p>
        </w:tc>
        <w:tc>
          <w:tcPr>
            <w:tcW w:w="1659" w:type="dxa"/>
          </w:tcPr>
          <w:p w14:paraId="7B847D59">
            <w:p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0.006%</w:t>
            </w:r>
          </w:p>
        </w:tc>
        <w:tc>
          <w:tcPr>
            <w:tcW w:w="1532" w:type="dxa"/>
          </w:tcPr>
          <w:p w14:paraId="37DFE72A">
            <w:pPr>
              <w:spacing w:line="360" w:lineRule="auto"/>
              <w:ind w:firstLine="210" w:firstLineChars="1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0.006%</w:t>
            </w:r>
          </w:p>
        </w:tc>
        <w:tc>
          <w:tcPr>
            <w:tcW w:w="1546" w:type="dxa"/>
          </w:tcPr>
          <w:p w14:paraId="327AE0F9">
            <w:pPr>
              <w:spacing w:line="360" w:lineRule="auto"/>
              <w:ind w:firstLine="105" w:firstLineChars="5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0.006%</w:t>
            </w:r>
          </w:p>
        </w:tc>
      </w:tr>
      <w:tr w14:paraId="069A5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2CE1DDD4">
            <w:p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100亿元以上</w:t>
            </w:r>
          </w:p>
        </w:tc>
        <w:tc>
          <w:tcPr>
            <w:tcW w:w="1659" w:type="dxa"/>
          </w:tcPr>
          <w:p w14:paraId="28EDEEE6">
            <w:p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0.004%</w:t>
            </w:r>
          </w:p>
        </w:tc>
        <w:tc>
          <w:tcPr>
            <w:tcW w:w="1532" w:type="dxa"/>
          </w:tcPr>
          <w:p w14:paraId="4CD9CEE5">
            <w:pPr>
              <w:spacing w:line="360" w:lineRule="auto"/>
              <w:ind w:firstLine="210" w:firstLineChars="1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0.004%</w:t>
            </w:r>
          </w:p>
        </w:tc>
        <w:tc>
          <w:tcPr>
            <w:tcW w:w="1546" w:type="dxa"/>
          </w:tcPr>
          <w:p w14:paraId="3FC30110">
            <w:pPr>
              <w:spacing w:line="360" w:lineRule="auto"/>
              <w:ind w:firstLine="105" w:firstLineChars="5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0.004%</w:t>
            </w:r>
          </w:p>
        </w:tc>
      </w:tr>
    </w:tbl>
    <w:p w14:paraId="7DE74F9D">
      <w:pPr>
        <w:spacing w:line="360" w:lineRule="auto"/>
        <w:ind w:firstLine="422" w:firstLineChars="200"/>
        <w:jc w:val="both"/>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注：</w:t>
      </w:r>
    </w:p>
    <w:p w14:paraId="31EE521B">
      <w:pPr>
        <w:spacing w:line="360" w:lineRule="auto"/>
        <w:ind w:firstLine="420" w:firstLineChars="200"/>
        <w:jc w:val="both"/>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（1）按本表费率计算的收费标准为采购代理的收费价格；</w:t>
      </w:r>
    </w:p>
    <w:p w14:paraId="7E29807B">
      <w:pPr>
        <w:spacing w:line="360" w:lineRule="auto"/>
        <w:ind w:firstLine="420" w:firstLineChars="200"/>
        <w:jc w:val="both"/>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（2）采购代理收费按差额定率累进法计算。</w:t>
      </w:r>
    </w:p>
    <w:p w14:paraId="08B74F71">
      <w:pPr>
        <w:spacing w:line="360" w:lineRule="auto"/>
        <w:ind w:firstLine="420" w:firstLineChars="200"/>
        <w:jc w:val="both"/>
        <w:outlineLvl w:val="3"/>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39.</w:t>
      </w:r>
      <w:r>
        <w:rPr>
          <w:rFonts w:hint="eastAsia" w:ascii="宋体" w:hAnsi="宋体" w:cs="宋体"/>
          <w:color w:val="auto"/>
          <w:kern w:val="2"/>
          <w:sz w:val="21"/>
          <w:szCs w:val="20"/>
          <w:highlight w:val="none"/>
          <w:lang w:val="en-US" w:eastAsia="zh-CN" w:bidi="ar-SA"/>
        </w:rPr>
        <w:t>5</w:t>
      </w:r>
      <w:r>
        <w:rPr>
          <w:rFonts w:hint="eastAsia" w:ascii="宋体" w:hAnsi="宋体" w:eastAsia="宋体" w:cs="宋体"/>
          <w:color w:val="auto"/>
          <w:kern w:val="2"/>
          <w:sz w:val="21"/>
          <w:szCs w:val="20"/>
          <w:highlight w:val="none"/>
          <w:lang w:val="en-US" w:eastAsia="zh-CN" w:bidi="ar-SA"/>
        </w:rPr>
        <w:t xml:space="preserve"> 代理服务费交纳银行账号信息</w:t>
      </w:r>
    </w:p>
    <w:p w14:paraId="02949494">
      <w:pPr>
        <w:pStyle w:val="2"/>
        <w:ind w:firstLine="422" w:firstLineChars="200"/>
        <w:jc w:val="both"/>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 xml:space="preserve">开户名称：广西建设工程机电设备招标中心有限公司 </w:t>
      </w:r>
    </w:p>
    <w:p w14:paraId="6992B9A8">
      <w:pPr>
        <w:pStyle w:val="24"/>
        <w:spacing w:line="360" w:lineRule="auto"/>
        <w:ind w:firstLine="420"/>
        <w:jc w:val="both"/>
        <w:rPr>
          <w:rFonts w:hint="eastAsia" w:ascii="宋体" w:hAnsi="宋体" w:eastAsia="宋体" w:cs="宋体"/>
          <w:b/>
          <w:bCs/>
          <w:color w:val="auto"/>
          <w:kern w:val="2"/>
          <w:sz w:val="21"/>
          <w:szCs w:val="20"/>
          <w:highlight w:val="none"/>
          <w:lang w:val="en-US" w:eastAsia="zh-CN" w:bidi="ar-SA"/>
        </w:rPr>
      </w:pPr>
      <w:r>
        <w:rPr>
          <w:rFonts w:hint="eastAsia" w:ascii="宋体" w:hAnsi="宋体" w:eastAsia="宋体" w:cs="宋体"/>
          <w:b/>
          <w:bCs/>
          <w:color w:val="auto"/>
          <w:kern w:val="2"/>
          <w:sz w:val="21"/>
          <w:szCs w:val="20"/>
          <w:highlight w:val="none"/>
          <w:lang w:val="en-US" w:eastAsia="zh-CN" w:bidi="ar-SA"/>
        </w:rPr>
        <w:t>开户银行：招商银行南宁分行营业部</w:t>
      </w:r>
    </w:p>
    <w:p w14:paraId="5281DAE5">
      <w:pPr>
        <w:pStyle w:val="24"/>
        <w:spacing w:line="360" w:lineRule="auto"/>
        <w:ind w:firstLine="420"/>
        <w:jc w:val="both"/>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b/>
          <w:bCs/>
          <w:color w:val="auto"/>
          <w:kern w:val="2"/>
          <w:sz w:val="21"/>
          <w:szCs w:val="20"/>
          <w:highlight w:val="none"/>
          <w:lang w:val="en-US" w:eastAsia="zh-CN" w:bidi="ar-SA"/>
        </w:rPr>
        <w:t>银行账号：7719 0142 3310 201</w:t>
      </w:r>
    </w:p>
    <w:p w14:paraId="06CAAA05">
      <w:pPr>
        <w:rPr>
          <w:rFonts w:hint="eastAsia" w:ascii="宋体" w:hAnsi="宋体" w:eastAsia="宋体" w:cs="宋体"/>
          <w:color w:val="auto"/>
          <w:kern w:val="2"/>
          <w:sz w:val="21"/>
          <w:szCs w:val="20"/>
          <w:highlight w:val="none"/>
          <w:lang w:val="en-US" w:eastAsia="zh-CN" w:bidi="ar-SA"/>
        </w:rPr>
      </w:pPr>
      <w:bookmarkStart w:id="17" w:name="_Toc13906"/>
      <w:r>
        <w:rPr>
          <w:rFonts w:hint="eastAsia" w:ascii="宋体" w:hAnsi="宋体" w:eastAsia="宋体" w:cs="宋体"/>
          <w:color w:val="auto"/>
          <w:kern w:val="2"/>
          <w:sz w:val="21"/>
          <w:szCs w:val="20"/>
          <w:highlight w:val="none"/>
          <w:lang w:val="en-US" w:eastAsia="zh-CN" w:bidi="ar-SA"/>
        </w:rPr>
        <w:br w:type="page"/>
      </w:r>
    </w:p>
    <w:p w14:paraId="5AD43C0F">
      <w:pPr>
        <w:pStyle w:val="4"/>
        <w:numPr>
          <w:ilvl w:val="0"/>
          <w:numId w:val="8"/>
        </w:numPr>
        <w:jc w:val="center"/>
        <w:rPr>
          <w:rFonts w:hint="eastAsia" w:asciiTheme="minorEastAsia" w:hAnsiTheme="minorEastAsia" w:eastAsiaTheme="minorEastAsia" w:cstheme="minorEastAsia"/>
          <w:color w:val="auto"/>
          <w:kern w:val="0"/>
          <w:sz w:val="44"/>
          <w:szCs w:val="44"/>
          <w:highlight w:val="none"/>
        </w:rPr>
      </w:pPr>
      <w:r>
        <w:rPr>
          <w:rFonts w:hint="eastAsia" w:asciiTheme="minorEastAsia" w:hAnsiTheme="minorEastAsia" w:eastAsiaTheme="minorEastAsia" w:cstheme="minorEastAsia"/>
          <w:color w:val="auto"/>
          <w:kern w:val="0"/>
          <w:sz w:val="44"/>
          <w:szCs w:val="44"/>
          <w:highlight w:val="none"/>
        </w:rPr>
        <w:t xml:space="preserve"> </w:t>
      </w:r>
      <w:bookmarkStart w:id="18" w:name="_Toc3413"/>
      <w:r>
        <w:rPr>
          <w:rFonts w:hint="eastAsia" w:asciiTheme="minorEastAsia" w:hAnsiTheme="minorEastAsia" w:eastAsiaTheme="minorEastAsia" w:cstheme="minorEastAsia"/>
          <w:color w:val="auto"/>
          <w:kern w:val="0"/>
          <w:sz w:val="44"/>
          <w:szCs w:val="44"/>
          <w:highlight w:val="none"/>
        </w:rPr>
        <w:t>技术规范</w:t>
      </w:r>
      <w:bookmarkEnd w:id="18"/>
    </w:p>
    <w:p w14:paraId="06A88AB4">
      <w:pPr>
        <w:spacing w:line="420" w:lineRule="exact"/>
        <w:ind w:firstLine="420" w:firstLineChars="200"/>
        <w:jc w:val="left"/>
        <w:rPr>
          <w:rFonts w:hint="eastAsia" w:ascii="宋体" w:hAnsi="宋体"/>
          <w:color w:val="auto"/>
          <w:highlight w:val="none"/>
        </w:rPr>
      </w:pPr>
      <w:r>
        <w:rPr>
          <w:rFonts w:hint="eastAsia" w:ascii="宋体" w:hAnsi="宋体"/>
          <w:color w:val="auto"/>
          <w:highlight w:val="none"/>
        </w:rPr>
        <w:t>一、工程建设地点的现场条件：</w:t>
      </w:r>
    </w:p>
    <w:p w14:paraId="7A843F03">
      <w:pPr>
        <w:spacing w:line="420" w:lineRule="exact"/>
        <w:ind w:firstLine="420" w:firstLineChars="200"/>
        <w:jc w:val="left"/>
        <w:rPr>
          <w:rFonts w:hint="eastAsia" w:ascii="宋体" w:hAnsi="宋体"/>
          <w:color w:val="auto"/>
          <w:highlight w:val="none"/>
        </w:rPr>
      </w:pPr>
      <w:r>
        <w:rPr>
          <w:rFonts w:hint="eastAsia" w:ascii="宋体" w:hAnsi="宋体"/>
          <w:color w:val="auto"/>
          <w:highlight w:val="none"/>
        </w:rPr>
        <w:t>（一）现场自然条件</w:t>
      </w:r>
    </w:p>
    <w:p w14:paraId="3A2B1D73">
      <w:pPr>
        <w:spacing w:line="420" w:lineRule="exact"/>
        <w:ind w:firstLine="420" w:firstLineChars="200"/>
        <w:jc w:val="left"/>
        <w:rPr>
          <w:rFonts w:hint="eastAsia" w:ascii="宋体" w:hAnsi="宋体"/>
          <w:color w:val="auto"/>
          <w:highlight w:val="none"/>
        </w:rPr>
      </w:pPr>
      <w:r>
        <w:rPr>
          <w:rFonts w:hint="eastAsia" w:ascii="宋体" w:hAnsi="宋体"/>
          <w:color w:val="auto"/>
          <w:highlight w:val="none"/>
        </w:rPr>
        <w:t>满足施工要求。</w:t>
      </w:r>
    </w:p>
    <w:p w14:paraId="3531B584">
      <w:pPr>
        <w:spacing w:line="420" w:lineRule="exact"/>
        <w:ind w:firstLine="420" w:firstLineChars="200"/>
        <w:jc w:val="left"/>
        <w:rPr>
          <w:rFonts w:hint="eastAsia" w:ascii="宋体" w:hAnsi="宋体"/>
          <w:color w:val="auto"/>
          <w:highlight w:val="none"/>
        </w:rPr>
      </w:pPr>
      <w:r>
        <w:rPr>
          <w:rFonts w:hint="eastAsia" w:ascii="宋体" w:hAnsi="宋体"/>
          <w:color w:val="auto"/>
          <w:highlight w:val="none"/>
        </w:rPr>
        <w:t>（二）现场施工条件</w:t>
      </w:r>
    </w:p>
    <w:p w14:paraId="7E4F1F22">
      <w:pPr>
        <w:spacing w:line="420" w:lineRule="exact"/>
        <w:ind w:firstLine="420" w:firstLineChars="200"/>
        <w:jc w:val="left"/>
        <w:rPr>
          <w:rFonts w:hint="eastAsia" w:ascii="宋体" w:hAnsi="宋体"/>
          <w:color w:val="auto"/>
          <w:highlight w:val="none"/>
        </w:rPr>
      </w:pPr>
      <w:r>
        <w:rPr>
          <w:rFonts w:hint="eastAsia" w:ascii="宋体" w:hAnsi="宋体"/>
          <w:color w:val="auto"/>
          <w:highlight w:val="none"/>
        </w:rPr>
        <w:t>符合施工要求。</w:t>
      </w:r>
    </w:p>
    <w:p w14:paraId="3A5F39AA">
      <w:pPr>
        <w:spacing w:line="420" w:lineRule="exact"/>
        <w:ind w:firstLine="420" w:firstLineChars="200"/>
        <w:jc w:val="left"/>
        <w:rPr>
          <w:rFonts w:hint="eastAsia" w:ascii="宋体" w:hAnsi="宋体"/>
          <w:color w:val="auto"/>
          <w:highlight w:val="none"/>
        </w:rPr>
      </w:pPr>
      <w:r>
        <w:rPr>
          <w:rFonts w:hint="eastAsia" w:ascii="宋体" w:hAnsi="宋体"/>
          <w:color w:val="auto"/>
          <w:highlight w:val="none"/>
        </w:rPr>
        <w:t>二、施工要求</w:t>
      </w:r>
    </w:p>
    <w:p w14:paraId="6A1D9BB5">
      <w:pPr>
        <w:spacing w:line="420" w:lineRule="exact"/>
        <w:ind w:firstLine="420" w:firstLineChars="200"/>
        <w:jc w:val="left"/>
        <w:rPr>
          <w:rFonts w:hint="eastAsia" w:ascii="宋体" w:hAnsi="宋体"/>
          <w:color w:val="auto"/>
          <w:highlight w:val="none"/>
        </w:rPr>
      </w:pPr>
      <w:r>
        <w:rPr>
          <w:rFonts w:hint="eastAsia" w:ascii="宋体" w:hAnsi="宋体"/>
          <w:color w:val="auto"/>
          <w:highlight w:val="none"/>
        </w:rPr>
        <w:t>本工程应该认真按照设计施工图纸的要求进行施工，同时也要严格现行标准和技术规范。具体技术参数按工程图纸说明。</w:t>
      </w:r>
    </w:p>
    <w:p w14:paraId="2B5826C7">
      <w:pPr>
        <w:numPr>
          <w:ilvl w:val="0"/>
          <w:numId w:val="9"/>
        </w:numPr>
        <w:spacing w:line="420" w:lineRule="exact"/>
        <w:ind w:firstLine="420" w:firstLineChars="200"/>
        <w:jc w:val="left"/>
        <w:rPr>
          <w:rFonts w:hint="eastAsia" w:ascii="宋体" w:hAnsi="宋体"/>
          <w:color w:val="auto"/>
          <w:highlight w:val="none"/>
          <w:lang w:val="en-US" w:eastAsia="zh-CN"/>
        </w:rPr>
      </w:pPr>
      <w:r>
        <w:rPr>
          <w:rFonts w:hint="eastAsia" w:ascii="宋体" w:hAnsi="宋体"/>
          <w:color w:val="auto"/>
          <w:highlight w:val="none"/>
          <w:lang w:val="en-US" w:eastAsia="zh-CN"/>
        </w:rPr>
        <w:t>质量标准：</w:t>
      </w:r>
      <w:r>
        <w:rPr>
          <w:rFonts w:hint="eastAsia" w:ascii="宋体" w:hAnsi="宋体" w:eastAsia="宋体" w:cs="宋体"/>
          <w:color w:val="auto"/>
          <w:highlight w:val="none"/>
          <w:u w:val="none"/>
        </w:rPr>
        <w:t>达到国家施工验收规范合格标准</w:t>
      </w:r>
      <w:r>
        <w:rPr>
          <w:rFonts w:hint="eastAsia" w:ascii="宋体" w:hAnsi="宋体" w:eastAsia="宋体" w:cs="宋体"/>
          <w:color w:val="auto"/>
          <w:highlight w:val="none"/>
          <w:u w:val="none"/>
          <w:lang w:eastAsia="zh-CN"/>
        </w:rPr>
        <w:t>。</w:t>
      </w:r>
    </w:p>
    <w:p w14:paraId="6E9EE5AB">
      <w:pPr>
        <w:spacing w:line="420" w:lineRule="exact"/>
        <w:ind w:firstLine="420" w:firstLineChars="200"/>
        <w:jc w:val="left"/>
        <w:rPr>
          <w:rFonts w:hint="default" w:ascii="宋体" w:hAnsi="宋体"/>
          <w:color w:val="auto"/>
          <w:highlight w:val="none"/>
          <w:lang w:val="en-US" w:eastAsia="zh-CN"/>
        </w:rPr>
      </w:pPr>
      <w:r>
        <w:rPr>
          <w:rFonts w:hint="eastAsia" w:ascii="宋体" w:hAnsi="宋体"/>
          <w:color w:val="auto"/>
          <w:highlight w:val="none"/>
          <w:lang w:val="en-US" w:eastAsia="zh-CN"/>
        </w:rPr>
        <w:t>四、验收要求：采购人应按合同约定条款组织验收。</w:t>
      </w:r>
    </w:p>
    <w:p w14:paraId="1E4558AE">
      <w:pPr>
        <w:pStyle w:val="24"/>
        <w:spacing w:line="360" w:lineRule="auto"/>
        <w:jc w:val="center"/>
        <w:rPr>
          <w:rStyle w:val="63"/>
          <w:rFonts w:hint="eastAsia" w:asciiTheme="minorEastAsia" w:hAnsiTheme="minorEastAsia" w:eastAsiaTheme="minorEastAsia" w:cstheme="minorEastAsia"/>
          <w:color w:val="auto"/>
          <w:sz w:val="36"/>
          <w:szCs w:val="36"/>
          <w:highlight w:val="none"/>
        </w:rPr>
      </w:pPr>
    </w:p>
    <w:p w14:paraId="7450F54C">
      <w:pPr>
        <w:pStyle w:val="24"/>
        <w:spacing w:line="360" w:lineRule="auto"/>
        <w:jc w:val="center"/>
        <w:rPr>
          <w:rStyle w:val="63"/>
          <w:rFonts w:hint="eastAsia" w:asciiTheme="minorEastAsia" w:hAnsiTheme="minorEastAsia" w:eastAsiaTheme="minorEastAsia" w:cstheme="minorEastAsia"/>
          <w:color w:val="auto"/>
          <w:sz w:val="36"/>
          <w:szCs w:val="36"/>
          <w:highlight w:val="none"/>
        </w:rPr>
      </w:pPr>
    </w:p>
    <w:p w14:paraId="4864FD7C">
      <w:pPr>
        <w:pStyle w:val="24"/>
        <w:spacing w:line="360" w:lineRule="auto"/>
        <w:jc w:val="center"/>
        <w:rPr>
          <w:rStyle w:val="63"/>
          <w:rFonts w:hint="eastAsia" w:asciiTheme="minorEastAsia" w:hAnsiTheme="minorEastAsia" w:eastAsiaTheme="minorEastAsia" w:cstheme="minorEastAsia"/>
          <w:color w:val="auto"/>
          <w:sz w:val="36"/>
          <w:szCs w:val="36"/>
          <w:highlight w:val="none"/>
        </w:rPr>
      </w:pPr>
    </w:p>
    <w:p w14:paraId="5920E590">
      <w:pPr>
        <w:rPr>
          <w:rStyle w:val="63"/>
          <w:rFonts w:hint="eastAsia" w:asciiTheme="minorEastAsia" w:hAnsiTheme="minorEastAsia" w:eastAsiaTheme="minorEastAsia" w:cstheme="minorEastAsia"/>
          <w:color w:val="auto"/>
          <w:sz w:val="36"/>
          <w:szCs w:val="36"/>
          <w:highlight w:val="none"/>
        </w:rPr>
      </w:pPr>
      <w:r>
        <w:rPr>
          <w:rStyle w:val="63"/>
          <w:rFonts w:hint="eastAsia" w:asciiTheme="minorEastAsia" w:hAnsiTheme="minorEastAsia" w:eastAsiaTheme="minorEastAsia" w:cstheme="minorEastAsia"/>
          <w:color w:val="auto"/>
          <w:sz w:val="36"/>
          <w:szCs w:val="36"/>
          <w:highlight w:val="none"/>
        </w:rPr>
        <w:br w:type="page"/>
      </w:r>
    </w:p>
    <w:p w14:paraId="23F9FA7F">
      <w:pPr>
        <w:pStyle w:val="6"/>
        <w:rPr>
          <w:rFonts w:hint="eastAsia"/>
          <w:highlight w:val="none"/>
        </w:rPr>
      </w:pPr>
    </w:p>
    <w:p w14:paraId="4A9FCC38">
      <w:pPr>
        <w:pStyle w:val="4"/>
        <w:numPr>
          <w:ilvl w:val="0"/>
          <w:numId w:val="8"/>
        </w:numPr>
        <w:jc w:val="center"/>
        <w:rPr>
          <w:rFonts w:hint="eastAsia" w:asciiTheme="minorEastAsia" w:hAnsiTheme="minorEastAsia" w:eastAsiaTheme="minorEastAsia" w:cstheme="minorEastAsia"/>
          <w:color w:val="auto"/>
          <w:kern w:val="0"/>
          <w:sz w:val="44"/>
          <w:szCs w:val="44"/>
          <w:highlight w:val="none"/>
        </w:rPr>
      </w:pPr>
      <w:r>
        <w:rPr>
          <w:rFonts w:hint="eastAsia" w:asciiTheme="minorEastAsia" w:hAnsiTheme="minorEastAsia" w:eastAsiaTheme="minorEastAsia" w:cstheme="minorEastAsia"/>
          <w:color w:val="auto"/>
          <w:kern w:val="0"/>
          <w:sz w:val="44"/>
          <w:szCs w:val="44"/>
          <w:highlight w:val="none"/>
        </w:rPr>
        <w:t xml:space="preserve"> </w:t>
      </w:r>
      <w:bookmarkStart w:id="19" w:name="_Toc1957"/>
      <w:r>
        <w:rPr>
          <w:rFonts w:hint="eastAsia" w:asciiTheme="minorEastAsia" w:hAnsiTheme="minorEastAsia" w:eastAsiaTheme="minorEastAsia" w:cstheme="minorEastAsia"/>
          <w:color w:val="auto"/>
          <w:kern w:val="0"/>
          <w:sz w:val="44"/>
          <w:szCs w:val="44"/>
          <w:highlight w:val="none"/>
        </w:rPr>
        <w:t>评审程序、评审方法和评审标准</w:t>
      </w:r>
      <w:bookmarkEnd w:id="19"/>
    </w:p>
    <w:p w14:paraId="0FE65BDE">
      <w:pPr>
        <w:pStyle w:val="4"/>
        <w:jc w:val="center"/>
        <w:rPr>
          <w:rFonts w:hint="eastAsia" w:ascii="宋体" w:hAnsi="宋体"/>
          <w:b w:val="0"/>
          <w:color w:val="auto"/>
          <w:highlight w:val="none"/>
        </w:rPr>
      </w:pPr>
      <w:bookmarkStart w:id="20" w:name="_Toc80886938"/>
      <w:bookmarkStart w:id="21" w:name="_Toc23320"/>
      <w:r>
        <w:rPr>
          <w:rFonts w:hint="eastAsia" w:ascii="宋体" w:hAnsi="宋体"/>
          <w:b w:val="0"/>
          <w:color w:val="auto"/>
          <w:highlight w:val="none"/>
        </w:rPr>
        <w:t>第一节 评审程序和评审方法</w:t>
      </w:r>
      <w:bookmarkEnd w:id="20"/>
      <w:bookmarkEnd w:id="21"/>
    </w:p>
    <w:p w14:paraId="5A58F570">
      <w:pPr>
        <w:spacing w:line="360" w:lineRule="auto"/>
        <w:ind w:firstLine="422" w:firstLineChars="200"/>
        <w:rPr>
          <w:rFonts w:hint="eastAsia" w:ascii="黑体" w:hAnsi="黑体" w:eastAsia="黑体" w:cs="宋体"/>
          <w:b/>
          <w:bCs/>
          <w:color w:val="auto"/>
          <w:highlight w:val="none"/>
        </w:rPr>
      </w:pPr>
      <w:r>
        <w:rPr>
          <w:rFonts w:ascii="黑体" w:hAnsi="黑体" w:eastAsia="黑体" w:cs="宋体"/>
          <w:b/>
          <w:bCs/>
          <w:color w:val="auto"/>
          <w:highlight w:val="none"/>
        </w:rPr>
        <w:t>1</w:t>
      </w:r>
      <w:r>
        <w:rPr>
          <w:rFonts w:hint="eastAsia" w:ascii="黑体" w:hAnsi="黑体" w:eastAsia="黑体" w:cs="宋体"/>
          <w:b/>
          <w:bCs/>
          <w:color w:val="auto"/>
          <w:highlight w:val="none"/>
        </w:rPr>
        <w:t>.确认磋商文件</w:t>
      </w:r>
    </w:p>
    <w:p w14:paraId="6896294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1.1由磋商小组确认磋商文件。</w:t>
      </w:r>
    </w:p>
    <w:p w14:paraId="62E5DDC2">
      <w:pPr>
        <w:spacing w:line="360" w:lineRule="auto"/>
        <w:ind w:firstLine="422" w:firstLineChars="200"/>
        <w:rPr>
          <w:rFonts w:hint="eastAsia" w:ascii="黑体" w:hAnsi="黑体" w:eastAsia="黑体" w:cs="宋体"/>
          <w:b/>
          <w:bCs/>
          <w:color w:val="auto"/>
          <w:highlight w:val="none"/>
        </w:rPr>
      </w:pPr>
      <w:r>
        <w:rPr>
          <w:rFonts w:hint="eastAsia" w:ascii="黑体" w:hAnsi="黑体" w:eastAsia="黑体" w:cs="宋体"/>
          <w:b/>
          <w:bCs/>
          <w:color w:val="auto"/>
          <w:highlight w:val="none"/>
        </w:rPr>
        <w:t>2.资格审查</w:t>
      </w:r>
    </w:p>
    <w:p w14:paraId="6463C90C">
      <w:pPr>
        <w:snapToGrid w:val="0"/>
        <w:spacing w:line="360" w:lineRule="auto"/>
        <w:ind w:firstLine="420" w:firstLineChars="200"/>
        <w:rPr>
          <w:rFonts w:hint="eastAsia" w:ascii="宋体" w:hAnsi="宋体"/>
          <w:color w:val="auto"/>
          <w:highlight w:val="none"/>
        </w:rPr>
      </w:pPr>
      <w:r>
        <w:rPr>
          <w:rFonts w:hint="eastAsia" w:ascii="宋体" w:hAnsi="宋体" w:cs="宋体"/>
          <w:color w:val="auto"/>
          <w:highlight w:val="none"/>
        </w:rPr>
        <w:t>2.1</w:t>
      </w:r>
      <w:r>
        <w:rPr>
          <w:rFonts w:hint="eastAsia" w:ascii="宋体" w:hAnsi="宋体"/>
          <w:color w:val="auto"/>
          <w:highlight w:val="none"/>
        </w:rPr>
        <w:t>响应文件开启后，磋商小组依法对供应商的资格证明文件进行审查。</w:t>
      </w:r>
    </w:p>
    <w:p w14:paraId="257001F6">
      <w:pPr>
        <w:snapToGrid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注：采购人代表或者采购代理机构在资格审查结束前，对供应商进行信用查询。</w:t>
      </w:r>
    </w:p>
    <w:p w14:paraId="4E00E317">
      <w:pPr>
        <w:snapToGrid w:val="0"/>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（1）查询渠道：“广西政府采购云”平台“信用中国”网站(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55"/>
          <w:rFonts w:hint="eastAsia" w:hAnsi="宋体" w:cs="宋体"/>
          <w:color w:val="auto"/>
          <w:highlight w:val="none"/>
        </w:rPr>
        <w:t>www.creditchina.gov.cn</w:t>
      </w:r>
      <w:r>
        <w:rPr>
          <w:rStyle w:val="55"/>
          <w:rFonts w:hint="eastAsia" w:hAnsi="宋体" w:cs="宋体"/>
          <w:color w:val="auto"/>
          <w:highlight w:val="none"/>
        </w:rPr>
        <w:fldChar w:fldCharType="end"/>
      </w:r>
      <w:r>
        <w:rPr>
          <w:rFonts w:hint="eastAsia" w:ascii="宋体" w:hAnsi="宋体" w:cs="宋体"/>
          <w:color w:val="auto"/>
          <w:highlight w:val="none"/>
        </w:rPr>
        <w:t>)、中国政府采购网(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Style w:val="55"/>
          <w:rFonts w:hint="eastAsia" w:hAnsi="宋体" w:cs="宋体"/>
          <w:color w:val="auto"/>
          <w:highlight w:val="none"/>
        </w:rPr>
        <w:t>www.ccgp.gov.cn</w:t>
      </w:r>
      <w:r>
        <w:rPr>
          <w:rStyle w:val="55"/>
          <w:rFonts w:hint="eastAsia" w:hAnsi="宋体" w:cs="宋体"/>
          <w:color w:val="auto"/>
          <w:highlight w:val="none"/>
        </w:rPr>
        <w:fldChar w:fldCharType="end"/>
      </w:r>
      <w:r>
        <w:rPr>
          <w:rFonts w:hint="eastAsia" w:ascii="宋体" w:hAnsi="宋体" w:cs="宋体"/>
          <w:color w:val="auto"/>
          <w:highlight w:val="none"/>
        </w:rPr>
        <w:t>)链接入口。</w:t>
      </w:r>
    </w:p>
    <w:p w14:paraId="4482B19B">
      <w:pPr>
        <w:snapToGrid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（2）信用查询截止时点：资格审查结束前。</w:t>
      </w:r>
    </w:p>
    <w:p w14:paraId="0504D3F0">
      <w:pPr>
        <w:snapToGrid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查询记录和证据留存方式：在查询网站中直接打印查询记录，截图另存为电子文档作为评审资料保存。</w:t>
      </w:r>
    </w:p>
    <w:p w14:paraId="428E5C6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17C8E4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2.2资格审查标准为本磋商文件中载明对供应商资格要求的条件。资格审查采用合格制，凡符合磋商文件规定的供应商资格要求的响应文件均通过资格审查。</w:t>
      </w:r>
    </w:p>
    <w:p w14:paraId="376D2DF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2.3供应商有下列情形之一的，资格审查不通过，其响应文件按无效响应处理：</w:t>
      </w:r>
    </w:p>
    <w:p w14:paraId="3BED000A">
      <w:pPr>
        <w:snapToGrid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1</w:t>
      </w:r>
      <w:r>
        <w:rPr>
          <w:rFonts w:hint="eastAsia" w:ascii="宋体" w:hAnsi="宋体" w:cs="宋体"/>
          <w:color w:val="auto"/>
          <w:highlight w:val="none"/>
        </w:rPr>
        <w:t>）不具备磋商文件中规定的资格要求的；</w:t>
      </w:r>
    </w:p>
    <w:p w14:paraId="5AB23C3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2</w:t>
      </w:r>
      <w:r>
        <w:rPr>
          <w:rFonts w:hint="eastAsia" w:ascii="宋体" w:hAnsi="宋体" w:cs="宋体"/>
          <w:color w:val="auto"/>
          <w:highlight w:val="none"/>
        </w:rPr>
        <w:t>）响应文件未提供任一项“供应商须知前附表”资格证明文件规定的“必须提供”的文件资料的；</w:t>
      </w:r>
    </w:p>
    <w:p w14:paraId="3D6F26CD">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3</w:t>
      </w:r>
      <w:r>
        <w:rPr>
          <w:rFonts w:hint="eastAsia" w:ascii="宋体" w:hAnsi="宋体" w:cs="宋体"/>
          <w:color w:val="auto"/>
          <w:highlight w:val="none"/>
        </w:rPr>
        <w:t>）响应文件提供的资格证明文件出现任一项不符合“供应商须知前附表”资格证明文件规定的“必须提供”的文件资料要求或者无效的。</w:t>
      </w:r>
    </w:p>
    <w:p w14:paraId="60AD6185">
      <w:pPr>
        <w:spacing w:line="360" w:lineRule="auto"/>
        <w:ind w:firstLine="420" w:firstLineChars="200"/>
        <w:rPr>
          <w:rFonts w:hint="eastAsia" w:ascii="宋体" w:hAnsi="宋体" w:cs="宋体"/>
          <w:color w:val="auto"/>
          <w:highlight w:val="none"/>
        </w:rPr>
      </w:pPr>
      <w:bookmarkStart w:id="22" w:name="_Hlk68601553"/>
      <w:r>
        <w:rPr>
          <w:rFonts w:hint="eastAsia" w:ascii="宋体" w:hAnsi="宋体" w:cs="宋体"/>
          <w:color w:val="auto"/>
          <w:highlight w:val="none"/>
        </w:rPr>
        <w:t>（4）同一合同项下的不同供应商，单位负责人为同一人或者存在直接控股、管理关系的；为本项目提供过整体设计、规范编制或者项目管理、监理、检测等服务的。</w:t>
      </w:r>
      <w:bookmarkEnd w:id="22"/>
    </w:p>
    <w:p w14:paraId="4065FEB7">
      <w:pPr>
        <w:spacing w:line="360" w:lineRule="auto"/>
        <w:ind w:firstLine="420" w:firstLineChars="200"/>
        <w:rPr>
          <w:rFonts w:hint="eastAsia" w:ascii="宋体" w:hAnsi="宋体"/>
          <w:color w:val="auto"/>
          <w:highlight w:val="none"/>
        </w:rPr>
      </w:pPr>
      <w:r>
        <w:rPr>
          <w:rFonts w:hint="eastAsia" w:ascii="宋体" w:hAnsi="宋体" w:cs="宋体"/>
          <w:color w:val="auto"/>
          <w:highlight w:val="none"/>
        </w:rPr>
        <w:t>2.4通过资格审查的合格供应商不足3家的，不得进入符合性审查环节，</w:t>
      </w:r>
      <w:r>
        <w:rPr>
          <w:rFonts w:hint="eastAsia" w:ascii="宋体" w:hAnsi="宋体"/>
          <w:color w:val="auto"/>
          <w:highlight w:val="none"/>
        </w:rPr>
        <w:t>采购人或者采购代理机构应当重新开展采购活动。</w:t>
      </w:r>
    </w:p>
    <w:p w14:paraId="3FCE22F4">
      <w:pPr>
        <w:pStyle w:val="27"/>
        <w:rPr>
          <w:color w:val="auto"/>
          <w:highlight w:val="none"/>
        </w:rPr>
      </w:pPr>
    </w:p>
    <w:p w14:paraId="3F4F2687">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3.符合性审查</w:t>
      </w:r>
    </w:p>
    <w:p w14:paraId="3751601D">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由磋商小组对</w:t>
      </w:r>
      <w:r>
        <w:rPr>
          <w:rFonts w:hint="eastAsia" w:ascii="宋体" w:hAnsi="宋体"/>
          <w:color w:val="auto"/>
          <w:highlight w:val="none"/>
        </w:rPr>
        <w:t>通过资格审查的合格供应商</w:t>
      </w:r>
      <w:r>
        <w:rPr>
          <w:rFonts w:hint="eastAsia" w:ascii="宋体" w:hAnsi="宋体" w:cs="宋体"/>
          <w:color w:val="auto"/>
          <w:highlight w:val="none"/>
        </w:rPr>
        <w:t>的响应文件的响应报价、商务、技术等实质性要求进行符合性审查，以确定其是否满足磋商文件的实质性要求。</w:t>
      </w:r>
    </w:p>
    <w:p w14:paraId="72A884F4">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.2</w:t>
      </w:r>
      <w:r>
        <w:rPr>
          <w:rFonts w:hint="eastAsia" w:ascii="宋体" w:hAnsi="宋体" w:cs="宋体"/>
          <w:color w:val="auto"/>
          <w:highlight w:val="none"/>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021D3FD">
      <w:pPr>
        <w:spacing w:line="360" w:lineRule="auto"/>
        <w:ind w:firstLine="420" w:firstLineChars="200"/>
        <w:rPr>
          <w:rFonts w:hint="eastAsia" w:ascii="宋体" w:hAnsi="宋体" w:cs="宋体"/>
          <w:color w:val="auto"/>
          <w:spacing w:val="-6"/>
          <w:highlight w:val="none"/>
        </w:rPr>
      </w:pPr>
      <w:r>
        <w:rPr>
          <w:rFonts w:hint="eastAsia" w:ascii="宋体" w:hAnsi="宋体" w:cs="宋体"/>
          <w:color w:val="auto"/>
          <w:highlight w:val="none"/>
        </w:rPr>
        <w:t>3.</w:t>
      </w:r>
      <w:r>
        <w:rPr>
          <w:rFonts w:ascii="宋体" w:hAnsi="宋体" w:cs="宋体"/>
          <w:color w:val="auto"/>
          <w:highlight w:val="none"/>
        </w:rPr>
        <w:t>3</w:t>
      </w:r>
      <w:r>
        <w:rPr>
          <w:rFonts w:hint="eastAsia" w:ascii="宋体" w:hAnsi="宋体" w:cs="宋体"/>
          <w:color w:val="auto"/>
          <w:highlight w:val="none"/>
        </w:rPr>
        <w:t>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cs="宋体"/>
          <w:color w:val="auto"/>
          <w:spacing w:val="-6"/>
          <w:highlight w:val="none"/>
        </w:rPr>
        <w:t>。供应商为自然人的，必须由本人签字并附身份证明。</w:t>
      </w:r>
    </w:p>
    <w:p w14:paraId="23645A4E">
      <w:pPr>
        <w:spacing w:line="360" w:lineRule="auto"/>
        <w:ind w:firstLine="396" w:firstLineChars="200"/>
        <w:rPr>
          <w:rFonts w:hint="eastAsia" w:ascii="宋体" w:hAnsi="宋体" w:cs="宋体"/>
          <w:color w:val="auto"/>
          <w:highlight w:val="none"/>
        </w:rPr>
      </w:pPr>
      <w:r>
        <w:rPr>
          <w:rFonts w:hint="eastAsia" w:ascii="宋体" w:hAnsi="宋体" w:cs="宋体"/>
          <w:color w:val="auto"/>
          <w:spacing w:val="-6"/>
          <w:highlight w:val="none"/>
        </w:rPr>
        <w:t>3</w:t>
      </w:r>
      <w:r>
        <w:rPr>
          <w:rFonts w:ascii="宋体" w:hAnsi="宋体" w:cs="宋体"/>
          <w:color w:val="auto"/>
          <w:spacing w:val="-6"/>
          <w:highlight w:val="none"/>
        </w:rPr>
        <w:t>.4</w:t>
      </w:r>
      <w:r>
        <w:rPr>
          <w:rFonts w:hint="eastAsia" w:ascii="宋体" w:hAnsi="宋体" w:cs="宋体"/>
          <w:color w:val="auto"/>
          <w:highlight w:val="none"/>
        </w:rPr>
        <w:t xml:space="preserve">首次响应文件报价出现前后不一致的，按照下列规定修正： </w:t>
      </w:r>
    </w:p>
    <w:p w14:paraId="30109DC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（1）响应文件中报价表内容与响应文件中相应内容不一致的，以报价表为准；</w:t>
      </w:r>
    </w:p>
    <w:p w14:paraId="369E86F1">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（2）大写金额和小写金额不一致的，以大写金额为准；</w:t>
      </w:r>
    </w:p>
    <w:p w14:paraId="3369F86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（3）单价金额小数点或者百分比有明显错位的，以报价表的总价为准，并修改单价；</w:t>
      </w:r>
    </w:p>
    <w:p w14:paraId="6B4FADDB">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（4）总价金额与按单价汇总金额不一致的，以单价金额计算结果为准。</w:t>
      </w:r>
    </w:p>
    <w:p w14:paraId="35A4EABB">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同时出现两种以上不一致的，按照以上（1）-（4）规定的顺序逐条进行修正。修正后的报价经供应商确认后产生约束力，供应商不确认的，其响应文件按无效响应处理。</w:t>
      </w:r>
    </w:p>
    <w:p w14:paraId="2FB4BC63">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5</w:t>
      </w:r>
      <w:r>
        <w:rPr>
          <w:rFonts w:hint="eastAsia" w:ascii="宋体" w:hAnsi="宋体" w:cs="宋体"/>
          <w:color w:val="auto"/>
          <w:highlight w:val="none"/>
        </w:rPr>
        <w:t>商务技术、报价评审</w:t>
      </w:r>
    </w:p>
    <w:p w14:paraId="15B0238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在评审时，如发现下列情形之一的，将被视为响应文件无效处理：</w:t>
      </w:r>
    </w:p>
    <w:p w14:paraId="5B9B18DD">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（1）商务技术评审</w:t>
      </w:r>
    </w:p>
    <w:p w14:paraId="4F7217F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1）响应文件未按磋商文件要求签署、盖章；</w:t>
      </w:r>
    </w:p>
    <w:p w14:paraId="0FF8D701">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 xml:space="preserve">2）委托代理人未能出具有效身份证明或者出具的身份证明与授权委托书中的信息不符； </w:t>
      </w:r>
    </w:p>
    <w:p w14:paraId="6A1668A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4AD03083">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4）实质性的要求发生负偏离；</w:t>
      </w:r>
    </w:p>
    <w:p w14:paraId="4D835A1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5）未对竞标有效期作出响应或者响应文件承诺的竞标有效期不满足磋商文件要求；</w:t>
      </w:r>
    </w:p>
    <w:p w14:paraId="5C478256">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6）响应文件的实质性内容未使用中文表述、使用计量单位不符合磋商文件要求；</w:t>
      </w:r>
    </w:p>
    <w:p w14:paraId="46E9EEF4">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7）响应文件中的文件资料因填写不齐全或者内容虚假或者出现其他情形而导致被磋商小组认定无效；</w:t>
      </w:r>
    </w:p>
    <w:p w14:paraId="62DB5542">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8）响应文件含有采购人不能接受的附加条件；</w:t>
      </w:r>
    </w:p>
    <w:p w14:paraId="04A4D853">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9）属于“供应商须知正文”第7.</w:t>
      </w:r>
      <w:r>
        <w:rPr>
          <w:rFonts w:ascii="宋体" w:hAnsi="宋体" w:cs="宋体"/>
          <w:color w:val="auto"/>
          <w:highlight w:val="none"/>
        </w:rPr>
        <w:t>5</w:t>
      </w:r>
      <w:r>
        <w:rPr>
          <w:rFonts w:hint="eastAsia" w:ascii="宋体" w:hAnsi="宋体" w:cs="宋体"/>
          <w:color w:val="auto"/>
          <w:highlight w:val="none"/>
        </w:rPr>
        <w:t>条情形；</w:t>
      </w:r>
    </w:p>
    <w:p w14:paraId="06193074">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10）虚假竞标，或者出现其他情形而导致被磋商小组认定无效；</w:t>
      </w:r>
    </w:p>
    <w:p w14:paraId="3A6DDBEB">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11）竞标技术方案不明确，磋商文件未允许</w:t>
      </w:r>
      <w:r>
        <w:rPr>
          <w:rFonts w:hint="eastAsia" w:ascii="宋体" w:hAnsi="宋体"/>
          <w:color w:val="auto"/>
          <w:highlight w:val="none"/>
        </w:rPr>
        <w:t>但响应文件中</w:t>
      </w:r>
      <w:r>
        <w:rPr>
          <w:rFonts w:hint="eastAsia" w:ascii="宋体" w:hAnsi="宋体" w:cs="宋体"/>
          <w:color w:val="auto"/>
          <w:highlight w:val="none"/>
        </w:rPr>
        <w:t>存在一个或者一个以上备选（替代）竞标方案；</w:t>
      </w:r>
    </w:p>
    <w:p w14:paraId="5F85C441">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12）响应文件标注的项目名称或者项目编号与竞争性磋商文件标注的项目名称或者项目编号不一致的；</w:t>
      </w:r>
    </w:p>
    <w:p w14:paraId="2A490FF6">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13）未响应磋商文件实质性要求；</w:t>
      </w:r>
    </w:p>
    <w:p w14:paraId="27813BB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14）法律、法规和磋商文件规定的其他无效情形。</w:t>
      </w:r>
    </w:p>
    <w:p w14:paraId="4C7076E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2</w:t>
      </w:r>
      <w:r>
        <w:rPr>
          <w:rFonts w:hint="eastAsia" w:ascii="宋体" w:hAnsi="宋体" w:cs="宋体"/>
          <w:color w:val="auto"/>
          <w:highlight w:val="none"/>
        </w:rPr>
        <w:t>）报价评审</w:t>
      </w:r>
    </w:p>
    <w:p w14:paraId="5B0B384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w:t>
      </w:r>
      <w:r>
        <w:rPr>
          <w:rFonts w:ascii="宋体" w:hAnsi="宋体" w:cs="宋体"/>
          <w:color w:val="auto"/>
          <w:highlight w:val="none"/>
        </w:rPr>
        <w:t xml:space="preserve"> </w:t>
      </w:r>
      <w:r>
        <w:rPr>
          <w:rFonts w:hint="eastAsia" w:ascii="宋体" w:hAnsi="宋体" w:cs="宋体"/>
          <w:color w:val="auto"/>
          <w:highlight w:val="none"/>
        </w:rPr>
        <w:t>响应文件未提供“供应商须知前附表” 报价文件中规定的“响应报价表”；</w:t>
      </w:r>
    </w:p>
    <w:p w14:paraId="7F19238F">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2）未采用人民币报价或者未按照磋商文件标明的币种报价；</w:t>
      </w:r>
    </w:p>
    <w:p w14:paraId="69889C7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37D8F2FF">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43DA090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0D1E45F4">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6）</w:t>
      </w:r>
      <w:r>
        <w:rPr>
          <w:rFonts w:hint="eastAsia" w:ascii="宋体" w:hAnsi="宋体"/>
          <w:color w:val="auto"/>
          <w:highlight w:val="none"/>
        </w:rPr>
        <w:t>响应文件响应的标的数量及单位与竞争性磋商采购文件要求实质性不一致的。</w:t>
      </w:r>
    </w:p>
    <w:p w14:paraId="1130D82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.6</w:t>
      </w:r>
      <w:r>
        <w:rPr>
          <w:rFonts w:hint="eastAsia" w:ascii="宋体" w:hAnsi="宋体" w:cs="宋体"/>
          <w:color w:val="auto"/>
          <w:highlight w:val="none"/>
        </w:rPr>
        <w:t>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76C13D6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.7</w:t>
      </w:r>
      <w:r>
        <w:rPr>
          <w:rFonts w:hint="eastAsia" w:ascii="宋体" w:hAnsi="宋体" w:cs="宋体"/>
          <w:color w:val="auto"/>
          <w:highlight w:val="none"/>
        </w:rPr>
        <w:t>非</w:t>
      </w:r>
      <w:r>
        <w:rPr>
          <w:rFonts w:hint="eastAsia" w:ascii="宋体" w:hAnsi="宋体"/>
          <w:color w:val="auto"/>
          <w:highlight w:val="none"/>
        </w:rPr>
        <w:t>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4B087A8B">
      <w:pPr>
        <w:ind w:firstLine="422" w:firstLineChars="200"/>
        <w:rPr>
          <w:rFonts w:hint="eastAsia" w:ascii="黑体" w:hAnsi="黑体" w:eastAsia="黑体" w:cs="宋体"/>
          <w:b/>
          <w:bCs/>
          <w:color w:val="auto"/>
          <w:highlight w:val="none"/>
        </w:rPr>
      </w:pPr>
      <w:r>
        <w:rPr>
          <w:rFonts w:hint="eastAsia" w:ascii="黑体" w:hAnsi="黑体" w:eastAsia="黑体" w:cs="宋体"/>
          <w:b/>
          <w:bCs/>
          <w:color w:val="auto"/>
          <w:highlight w:val="none"/>
        </w:rPr>
        <w:t>4.磋商程序</w:t>
      </w:r>
    </w:p>
    <w:p w14:paraId="38899374">
      <w:pPr>
        <w:spacing w:line="360"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4</w:t>
      </w:r>
      <w:r>
        <w:rPr>
          <w:rFonts w:ascii="宋体" w:hAnsi="宋体" w:cs="宋体"/>
          <w:color w:val="auto"/>
          <w:kern w:val="0"/>
          <w:highlight w:val="none"/>
        </w:rPr>
        <w:t>.1</w:t>
      </w:r>
      <w:r>
        <w:rPr>
          <w:rFonts w:hint="eastAsia" w:ascii="宋体" w:hAnsi="宋体" w:cs="宋体"/>
          <w:color w:val="auto"/>
          <w:kern w:val="0"/>
          <w:highlight w:val="none"/>
        </w:rPr>
        <w:t>磋商小组按照“供应商须知前附表”</w:t>
      </w:r>
      <w:r>
        <w:rPr>
          <w:rFonts w:hint="eastAsia" w:ascii="宋体" w:hAnsi="宋体" w:cs="宋体"/>
          <w:color w:val="auto"/>
          <w:highlight w:val="none"/>
        </w:rPr>
        <w:t xml:space="preserve"> </w:t>
      </w:r>
      <w:r>
        <w:rPr>
          <w:rFonts w:hint="eastAsia" w:ascii="宋体" w:hAnsi="宋体" w:cs="宋体"/>
          <w:color w:val="auto"/>
          <w:kern w:val="0"/>
          <w:highlight w:val="none"/>
        </w:rPr>
        <w:t>确定的</w:t>
      </w:r>
      <w:r>
        <w:rPr>
          <w:rFonts w:hint="eastAsia" w:ascii="宋体" w:hAnsi="宋体" w:cs="宋体"/>
          <w:color w:val="auto"/>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1EA80CBF">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w:t>
      </w:r>
      <w:r>
        <w:rPr>
          <w:rFonts w:ascii="宋体" w:hAnsi="宋体" w:cs="宋体"/>
          <w:color w:val="auto"/>
          <w:highlight w:val="none"/>
        </w:rPr>
        <w:t>.2</w:t>
      </w:r>
      <w:r>
        <w:rPr>
          <w:rFonts w:hint="eastAsia" w:ascii="宋体" w:hAnsi="宋体" w:cs="宋体"/>
          <w:color w:val="auto"/>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075A1DAD">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w:t>
      </w:r>
      <w:r>
        <w:rPr>
          <w:rFonts w:ascii="宋体" w:hAnsi="宋体" w:cs="宋体"/>
          <w:color w:val="auto"/>
          <w:highlight w:val="none"/>
        </w:rPr>
        <w:t>.3</w:t>
      </w:r>
      <w:r>
        <w:rPr>
          <w:rFonts w:hint="eastAsia" w:ascii="宋体" w:hAnsi="宋体" w:cs="宋体"/>
          <w:color w:val="auto"/>
          <w:highlight w:val="none"/>
        </w:rPr>
        <w:t>对磋商文件作出的实质性变动是磋商文件的有效组成部分，由磋商小组及时以电子澄清函形式同时通知所有参加磋商的供应商。</w:t>
      </w:r>
    </w:p>
    <w:p w14:paraId="39A5A1B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w:t>
      </w:r>
      <w:r>
        <w:rPr>
          <w:rFonts w:ascii="宋体" w:hAnsi="宋体" w:cs="宋体"/>
          <w:color w:val="auto"/>
          <w:highlight w:val="none"/>
        </w:rPr>
        <w:t>.4</w:t>
      </w:r>
      <w:r>
        <w:rPr>
          <w:rFonts w:hint="eastAsia" w:ascii="宋体" w:hAnsi="宋体" w:cs="宋体"/>
          <w:color w:val="auto"/>
          <w:highlight w:val="none"/>
        </w:rPr>
        <w:t>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5CB0EFE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w:t>
      </w:r>
      <w:r>
        <w:rPr>
          <w:rFonts w:ascii="宋体" w:hAnsi="宋体" w:cs="宋体"/>
          <w:color w:val="auto"/>
          <w:highlight w:val="none"/>
        </w:rPr>
        <w:t>.5</w:t>
      </w:r>
      <w:r>
        <w:rPr>
          <w:rFonts w:hint="eastAsia" w:ascii="宋体" w:hAnsi="宋体" w:cs="宋体"/>
          <w:color w:val="auto"/>
          <w:highlight w:val="none"/>
        </w:rPr>
        <w:t>磋商中，</w:t>
      </w:r>
      <w:r>
        <w:rPr>
          <w:rFonts w:hint="eastAsia" w:ascii="宋体" w:hAnsi="宋体" w:cs="宋体"/>
          <w:color w:val="auto"/>
          <w:spacing w:val="-6"/>
          <w:highlight w:val="none"/>
        </w:rPr>
        <w:t>磋商的任何一方不得透露与磋商有关的其他供应商的技术资料、价格和其他信息。</w:t>
      </w:r>
    </w:p>
    <w:p w14:paraId="7AC7A843">
      <w:pPr>
        <w:widowControl/>
        <w:tabs>
          <w:tab w:val="left" w:pos="540"/>
        </w:tabs>
        <w:spacing w:line="360" w:lineRule="auto"/>
        <w:ind w:firstLine="420" w:firstLineChars="200"/>
        <w:jc w:val="left"/>
        <w:rPr>
          <w:rFonts w:hint="eastAsia" w:ascii="仿宋" w:hAnsi="仿宋" w:eastAsia="仿宋" w:cs="仿宋_GB2312"/>
          <w:b/>
          <w:color w:val="auto"/>
          <w:highlight w:val="none"/>
        </w:rPr>
      </w:pPr>
      <w:r>
        <w:rPr>
          <w:rFonts w:hint="eastAsia" w:ascii="宋体" w:hAnsi="宋体" w:cs="宋体"/>
          <w:color w:val="auto"/>
          <w:highlight w:val="none"/>
        </w:rPr>
        <w:t>4</w:t>
      </w:r>
      <w:r>
        <w:rPr>
          <w:rFonts w:ascii="宋体" w:hAnsi="宋体" w:cs="宋体"/>
          <w:color w:val="auto"/>
          <w:highlight w:val="none"/>
        </w:rPr>
        <w:t>.6</w:t>
      </w:r>
      <w:r>
        <w:rPr>
          <w:rFonts w:hint="eastAsia" w:ascii="宋体" w:hAnsi="宋体" w:cs="宋体"/>
          <w:color w:val="auto"/>
          <w:highlight w:val="none"/>
        </w:rPr>
        <w:t>磋商小组应对磋商过程和重要磋商内容进行记录，作为评标报告一部分，磋商小组在记录上签字确认。</w:t>
      </w:r>
      <w:r>
        <w:rPr>
          <w:rFonts w:hint="eastAsia" w:ascii="仿宋" w:hAnsi="仿宋" w:eastAsia="仿宋" w:cs="仿宋_GB2312"/>
          <w:b/>
          <w:color w:val="auto"/>
          <w:highlight w:val="none"/>
        </w:rPr>
        <w:t>主要内容包括：</w:t>
      </w:r>
    </w:p>
    <w:p w14:paraId="409756F7">
      <w:pPr>
        <w:pStyle w:val="172"/>
        <w:spacing w:before="0"/>
        <w:ind w:firstLine="396"/>
        <w:rPr>
          <w:rFonts w:hint="eastAsia" w:ascii="宋体" w:hAnsi="宋体" w:cs="宋体"/>
          <w:color w:val="auto"/>
          <w:spacing w:val="-6"/>
          <w:kern w:val="2"/>
          <w:sz w:val="21"/>
          <w:szCs w:val="21"/>
          <w:highlight w:val="none"/>
        </w:rPr>
      </w:pPr>
      <w:r>
        <w:rPr>
          <w:rFonts w:hint="eastAsia" w:ascii="宋体" w:hAnsi="宋体" w:cs="宋体"/>
          <w:color w:val="auto"/>
          <w:spacing w:val="-6"/>
          <w:kern w:val="2"/>
          <w:sz w:val="21"/>
          <w:szCs w:val="21"/>
          <w:highlight w:val="none"/>
        </w:rPr>
        <w:t>（1）按照相关规定进行公示的，公示情况说明；</w:t>
      </w:r>
    </w:p>
    <w:p w14:paraId="3A03F069">
      <w:pPr>
        <w:pStyle w:val="172"/>
        <w:spacing w:before="0"/>
        <w:ind w:firstLine="396"/>
        <w:rPr>
          <w:rFonts w:hint="eastAsia" w:ascii="宋体" w:hAnsi="宋体" w:cs="宋体"/>
          <w:color w:val="auto"/>
          <w:spacing w:val="-6"/>
          <w:kern w:val="2"/>
          <w:sz w:val="21"/>
          <w:szCs w:val="21"/>
          <w:highlight w:val="none"/>
        </w:rPr>
      </w:pPr>
      <w:r>
        <w:rPr>
          <w:rFonts w:hint="eastAsia" w:ascii="宋体" w:hAnsi="宋体" w:cs="宋体"/>
          <w:color w:val="auto"/>
          <w:spacing w:val="-6"/>
          <w:kern w:val="2"/>
          <w:sz w:val="21"/>
          <w:szCs w:val="21"/>
          <w:highlight w:val="none"/>
        </w:rPr>
        <w:t>（2）磋商日期和地点，磋商供应商名单；</w:t>
      </w:r>
    </w:p>
    <w:p w14:paraId="7F35F292">
      <w:pPr>
        <w:pStyle w:val="172"/>
        <w:spacing w:before="0"/>
        <w:ind w:firstLine="396"/>
        <w:rPr>
          <w:rFonts w:hint="eastAsia" w:ascii="宋体" w:hAnsi="宋体" w:cs="宋体"/>
          <w:color w:val="auto"/>
          <w:spacing w:val="-6"/>
          <w:kern w:val="2"/>
          <w:sz w:val="21"/>
          <w:szCs w:val="21"/>
          <w:highlight w:val="none"/>
        </w:rPr>
      </w:pPr>
      <w:r>
        <w:rPr>
          <w:rFonts w:hint="eastAsia" w:ascii="宋体" w:hAnsi="宋体" w:cs="宋体"/>
          <w:color w:val="auto"/>
          <w:spacing w:val="-6"/>
          <w:kern w:val="2"/>
          <w:sz w:val="21"/>
          <w:szCs w:val="21"/>
          <w:highlight w:val="none"/>
        </w:rPr>
        <w:t>（3）合同主要条款及价格商定情况。</w:t>
      </w:r>
    </w:p>
    <w:p w14:paraId="158F81E6">
      <w:pPr>
        <w:widowControl/>
        <w:tabs>
          <w:tab w:val="left" w:pos="540"/>
        </w:tabs>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4.</w:t>
      </w:r>
      <w:r>
        <w:rPr>
          <w:rFonts w:ascii="宋体" w:hAnsi="宋体" w:cs="宋体"/>
          <w:color w:val="auto"/>
          <w:highlight w:val="none"/>
        </w:rPr>
        <w:t>7</w:t>
      </w:r>
      <w:r>
        <w:rPr>
          <w:rFonts w:hint="eastAsia" w:ascii="宋体" w:hAnsi="宋体" w:cs="宋体"/>
          <w:color w:val="auto"/>
          <w:highlight w:val="none"/>
        </w:rPr>
        <w:t>磋商过程中重新提交的响应文件，供应商可以在开启前补充、修改。</w:t>
      </w:r>
    </w:p>
    <w:p w14:paraId="662665CD">
      <w:pPr>
        <w:tabs>
          <w:tab w:val="left" w:pos="2835"/>
        </w:tabs>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w:t>
      </w:r>
      <w:r>
        <w:rPr>
          <w:rFonts w:ascii="宋体" w:hAnsi="宋体" w:cs="宋体"/>
          <w:color w:val="auto"/>
          <w:highlight w:val="none"/>
        </w:rPr>
        <w:t>.8</w:t>
      </w:r>
      <w:r>
        <w:rPr>
          <w:rFonts w:hint="eastAsia" w:ascii="宋体" w:hAnsi="宋体"/>
          <w:color w:val="auto"/>
          <w:highlight w:val="none"/>
        </w:rPr>
        <w:t>对磋商过程提交的响应文件进行有效性、完整性和响应程度审查，通过审查的合格供应商不足3家的，采购人或者采购代理机构应当重新开展采购活动。</w:t>
      </w:r>
    </w:p>
    <w:p w14:paraId="0CCF4CD7">
      <w:pPr>
        <w:ind w:firstLine="200"/>
        <w:rPr>
          <w:rFonts w:hint="eastAsia" w:ascii="宋体" w:hAnsi="宋体" w:cs="宋体"/>
          <w:color w:val="auto"/>
          <w:highlight w:val="none"/>
        </w:rPr>
      </w:pPr>
      <w:r>
        <w:rPr>
          <w:rFonts w:hint="eastAsia" w:ascii="黑体" w:hAnsi="黑体" w:eastAsia="黑体" w:cs="宋体"/>
          <w:b/>
          <w:bCs/>
          <w:color w:val="auto"/>
          <w:highlight w:val="none"/>
        </w:rPr>
        <w:t>5</w:t>
      </w:r>
      <w:r>
        <w:rPr>
          <w:rFonts w:ascii="黑体" w:hAnsi="黑体" w:eastAsia="黑体" w:cs="宋体"/>
          <w:b/>
          <w:bCs/>
          <w:color w:val="auto"/>
          <w:highlight w:val="none"/>
        </w:rPr>
        <w:t>.</w:t>
      </w:r>
      <w:r>
        <w:rPr>
          <w:rFonts w:hint="eastAsia" w:ascii="黑体" w:hAnsi="黑体" w:eastAsia="黑体" w:cs="宋体"/>
          <w:b/>
          <w:bCs/>
          <w:color w:val="auto"/>
          <w:highlight w:val="none"/>
        </w:rPr>
        <w:t xml:space="preserve"> 最后报价</w:t>
      </w:r>
    </w:p>
    <w:p w14:paraId="458A48A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w:t>
      </w:r>
      <w:r>
        <w:rPr>
          <w:rFonts w:ascii="宋体" w:hAnsi="宋体" w:cs="宋体"/>
          <w:color w:val="auto"/>
          <w:highlight w:val="none"/>
        </w:rPr>
        <w:t>.1</w:t>
      </w:r>
      <w:r>
        <w:rPr>
          <w:rFonts w:hint="eastAsia" w:ascii="宋体" w:hAnsi="宋体" w:cs="宋体"/>
          <w:color w:val="auto"/>
          <w:highlight w:val="none"/>
        </w:rPr>
        <w:t>磋商文件能够详细列明采购标的的技术、服务要求的，磋商结束后，由磋商小组要求所有继续参加磋商的供应商在规定时间内密封提交最后报价，除本章第5</w:t>
      </w:r>
      <w:r>
        <w:rPr>
          <w:rFonts w:ascii="宋体" w:hAnsi="宋体" w:cs="宋体"/>
          <w:color w:val="auto"/>
          <w:highlight w:val="none"/>
        </w:rPr>
        <w:t>.3</w:t>
      </w:r>
      <w:r>
        <w:rPr>
          <w:rFonts w:hint="eastAsia" w:ascii="宋体" w:hAnsi="宋体" w:cs="宋体"/>
          <w:color w:val="auto"/>
          <w:highlight w:val="none"/>
        </w:rPr>
        <w:t>条外，提交最后报价的供应商不得少于3家，否则必须重新采购。</w:t>
      </w:r>
    </w:p>
    <w:p w14:paraId="6F71204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w:t>
      </w:r>
      <w:r>
        <w:rPr>
          <w:rFonts w:ascii="宋体" w:hAnsi="宋体" w:cs="宋体"/>
          <w:color w:val="auto"/>
          <w:highlight w:val="none"/>
        </w:rPr>
        <w:t>.2</w:t>
      </w:r>
      <w:r>
        <w:rPr>
          <w:rFonts w:hint="eastAsia" w:ascii="宋体" w:hAnsi="宋体" w:cs="宋体"/>
          <w:color w:val="auto"/>
          <w:highlight w:val="none"/>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07E94DE6">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w:t>
      </w:r>
      <w:r>
        <w:rPr>
          <w:rFonts w:ascii="宋体" w:hAnsi="宋体" w:cs="宋体"/>
          <w:color w:val="auto"/>
          <w:highlight w:val="none"/>
        </w:rPr>
        <w:t>.3</w:t>
      </w:r>
      <w:r>
        <w:rPr>
          <w:rFonts w:hint="eastAsia" w:ascii="宋体" w:hAnsi="宋体" w:cs="宋体"/>
          <w:color w:val="auto"/>
          <w:highlight w:val="none"/>
        </w:rPr>
        <w:t xml:space="preserve">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61B9BD5B">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w:t>
      </w:r>
      <w:r>
        <w:rPr>
          <w:rFonts w:ascii="宋体" w:hAnsi="宋体" w:cs="宋体"/>
          <w:color w:val="auto"/>
          <w:highlight w:val="none"/>
        </w:rPr>
        <w:t>.4</w:t>
      </w:r>
      <w:r>
        <w:rPr>
          <w:rFonts w:hint="eastAsia" w:ascii="宋体" w:hAnsi="宋体" w:cs="宋体"/>
          <w:color w:val="auto"/>
          <w:highlight w:val="none"/>
        </w:rPr>
        <w:t>已经提交响应文件的供应商，在提交最后报价之前，可以根据磋商情况退出磋商，退出磋商的供应商的响应文件按无效响应处理。</w:t>
      </w:r>
    </w:p>
    <w:p w14:paraId="76C939DD">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w:t>
      </w:r>
      <w:r>
        <w:rPr>
          <w:rFonts w:ascii="宋体" w:hAnsi="宋体" w:cs="宋体"/>
          <w:color w:val="auto"/>
          <w:highlight w:val="none"/>
        </w:rPr>
        <w:t>.5</w:t>
      </w:r>
      <w:r>
        <w:rPr>
          <w:rFonts w:hint="eastAsia" w:ascii="宋体" w:hAnsi="宋体" w:cs="宋体"/>
          <w:color w:val="auto"/>
          <w:highlight w:val="none"/>
        </w:rPr>
        <w:t>供应商未在规定时间内提交最后报价的，视同退出磋商。</w:t>
      </w:r>
    </w:p>
    <w:p w14:paraId="46C5C41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w:t>
      </w:r>
      <w:r>
        <w:rPr>
          <w:rFonts w:ascii="宋体" w:hAnsi="宋体" w:cs="宋体"/>
          <w:color w:val="auto"/>
          <w:highlight w:val="none"/>
        </w:rPr>
        <w:t>.6</w:t>
      </w:r>
      <w:r>
        <w:rPr>
          <w:rFonts w:hint="eastAsia" w:ascii="宋体" w:hAnsi="宋体" w:cs="宋体"/>
          <w:color w:val="auto"/>
          <w:highlight w:val="none"/>
        </w:rPr>
        <w:t>磋商小组收齐某一分标最后报价后统一开启，磋商小组对最后报价进行有效性、完整性和响应程度的审查。</w:t>
      </w:r>
    </w:p>
    <w:p w14:paraId="76658D23">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w:t>
      </w:r>
      <w:r>
        <w:rPr>
          <w:rFonts w:ascii="宋体" w:hAnsi="宋体" w:cs="宋体"/>
          <w:color w:val="auto"/>
          <w:highlight w:val="none"/>
        </w:rPr>
        <w:t>.7</w:t>
      </w:r>
      <w:r>
        <w:rPr>
          <w:rFonts w:hint="eastAsia" w:ascii="宋体" w:hAnsi="宋体" w:cs="宋体"/>
          <w:color w:val="auto"/>
          <w:highlight w:val="none"/>
        </w:rPr>
        <w:t>最终响应文件的报价出现前后不一致的，按照本章第3</w:t>
      </w:r>
      <w:r>
        <w:rPr>
          <w:rFonts w:ascii="宋体" w:hAnsi="宋体" w:cs="宋体"/>
          <w:color w:val="auto"/>
          <w:highlight w:val="none"/>
        </w:rPr>
        <w:t>.4</w:t>
      </w:r>
      <w:r>
        <w:rPr>
          <w:rFonts w:hint="eastAsia" w:ascii="宋体" w:hAnsi="宋体" w:cs="宋体"/>
          <w:color w:val="auto"/>
          <w:highlight w:val="none"/>
        </w:rPr>
        <w:t xml:space="preserve">条的规定修正。 </w:t>
      </w:r>
    </w:p>
    <w:p w14:paraId="34466D4B">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w:t>
      </w:r>
      <w:r>
        <w:rPr>
          <w:rFonts w:ascii="宋体" w:hAnsi="宋体" w:cs="宋体"/>
          <w:color w:val="auto"/>
          <w:highlight w:val="none"/>
        </w:rPr>
        <w:t>.8</w:t>
      </w:r>
      <w:r>
        <w:rPr>
          <w:rFonts w:hint="eastAsia" w:ascii="宋体" w:hAnsi="宋体" w:cs="宋体"/>
          <w:color w:val="auto"/>
          <w:highlight w:val="none"/>
        </w:rPr>
        <w:t>修正后的最终报价出现下列情形的，按无效响应处理：</w:t>
      </w:r>
    </w:p>
    <w:p w14:paraId="1FBDFEB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（1）供应商不确认的（全流程电子化评标采取在线确认）；</w:t>
      </w:r>
    </w:p>
    <w:p w14:paraId="3B00DFD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（2）经供应商确认修正后的响应报价（包含首次报价、最后报价）超过所竞标分标规定的采购预算金额或者最高限价的（如本项目公布了最高限价）；</w:t>
      </w:r>
    </w:p>
    <w:p w14:paraId="19F9B00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（3）经供应商确认修正后的响应报价（包含首次报价、最后报价）超过分项采购预算金额或者最高限价的（如本项目公布了最高限价）。</w:t>
      </w:r>
    </w:p>
    <w:p w14:paraId="22EC930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w:t>
      </w:r>
      <w:r>
        <w:rPr>
          <w:rFonts w:ascii="宋体" w:hAnsi="宋体" w:cs="宋体"/>
          <w:color w:val="auto"/>
          <w:highlight w:val="none"/>
        </w:rPr>
        <w:t>.9</w:t>
      </w:r>
      <w:r>
        <w:rPr>
          <w:rFonts w:hint="eastAsia" w:ascii="宋体" w:hAnsi="宋体" w:cs="宋体"/>
          <w:color w:val="auto"/>
          <w:highlight w:val="none"/>
        </w:rPr>
        <w:t>经供应商确认修正后的最后报价作为评审及签订合同的依据。</w:t>
      </w:r>
    </w:p>
    <w:p w14:paraId="6976FA91">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5.10供应商出现最后报价按无效响应处理或者响应文件按无效处理时</w:t>
      </w:r>
      <w:r>
        <w:rPr>
          <w:rFonts w:hint="eastAsia" w:ascii="宋体" w:hAnsi="宋体"/>
          <w:color w:val="auto"/>
          <w:sz w:val="22"/>
          <w:szCs w:val="22"/>
          <w:highlight w:val="none"/>
        </w:rPr>
        <w:t>，磋商小组应当告知有关供应商</w:t>
      </w:r>
      <w:r>
        <w:rPr>
          <w:rFonts w:hint="eastAsia" w:ascii="宋体" w:hAnsi="宋体" w:cs="宋体"/>
          <w:color w:val="auto"/>
          <w:highlight w:val="none"/>
        </w:rPr>
        <w:t>。</w:t>
      </w:r>
    </w:p>
    <w:p w14:paraId="1EA102C0">
      <w:pPr>
        <w:spacing w:line="360" w:lineRule="auto"/>
        <w:ind w:firstLine="420" w:firstLineChars="200"/>
        <w:rPr>
          <w:rFonts w:hint="eastAsia" w:ascii="宋体" w:hAnsi="宋体" w:cs="宋体"/>
          <w:color w:val="auto"/>
          <w:highlight w:val="none"/>
        </w:rPr>
      </w:pPr>
      <w:r>
        <w:rPr>
          <w:rFonts w:ascii="宋体" w:hAnsi="宋体" w:cs="宋体"/>
          <w:color w:val="auto"/>
          <w:highlight w:val="none"/>
        </w:rPr>
        <w:t>5.1</w:t>
      </w:r>
      <w:r>
        <w:rPr>
          <w:rFonts w:hint="eastAsia" w:ascii="宋体" w:hAnsi="宋体" w:cs="宋体"/>
          <w:color w:val="auto"/>
          <w:highlight w:val="none"/>
        </w:rPr>
        <w:t>1最后报价结束后，磋商小组不得再与供应商进行任何形式的商谈。</w:t>
      </w:r>
    </w:p>
    <w:p w14:paraId="00374D14">
      <w:pPr>
        <w:spacing w:line="360" w:lineRule="auto"/>
        <w:ind w:firstLine="200"/>
        <w:rPr>
          <w:rFonts w:hint="eastAsia" w:ascii="黑体" w:hAnsi="黑体" w:eastAsia="黑体" w:cs="宋体"/>
          <w:b/>
          <w:bCs/>
          <w:color w:val="auto"/>
          <w:highlight w:val="none"/>
        </w:rPr>
      </w:pPr>
      <w:r>
        <w:rPr>
          <w:rFonts w:hint="eastAsia" w:ascii="黑体" w:hAnsi="黑体" w:eastAsia="黑体" w:cs="宋体"/>
          <w:b/>
          <w:bCs/>
          <w:color w:val="auto"/>
          <w:highlight w:val="none"/>
        </w:rPr>
        <w:t>6</w:t>
      </w:r>
      <w:r>
        <w:rPr>
          <w:rFonts w:ascii="黑体" w:hAnsi="黑体" w:eastAsia="黑体" w:cs="宋体"/>
          <w:b/>
          <w:bCs/>
          <w:color w:val="auto"/>
          <w:highlight w:val="none"/>
        </w:rPr>
        <w:t>.</w:t>
      </w:r>
      <w:r>
        <w:rPr>
          <w:rFonts w:hint="eastAsia" w:ascii="黑体" w:hAnsi="黑体" w:eastAsia="黑体" w:cs="宋体"/>
          <w:b/>
          <w:bCs/>
          <w:color w:val="auto"/>
          <w:highlight w:val="none"/>
        </w:rPr>
        <w:t>比较与评价</w:t>
      </w:r>
    </w:p>
    <w:p w14:paraId="4CFB817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6</w:t>
      </w:r>
      <w:r>
        <w:rPr>
          <w:rFonts w:ascii="宋体" w:hAnsi="宋体" w:cs="宋体"/>
          <w:color w:val="auto"/>
          <w:highlight w:val="none"/>
        </w:rPr>
        <w:t>.1</w:t>
      </w:r>
      <w:r>
        <w:rPr>
          <w:rFonts w:hint="eastAsia" w:ascii="宋体" w:hAnsi="宋体" w:cs="宋体"/>
          <w:color w:val="auto"/>
          <w:highlight w:val="none"/>
        </w:rPr>
        <w:t>评审方法：综合评分法。</w:t>
      </w:r>
    </w:p>
    <w:p w14:paraId="2E04AD66">
      <w:pPr>
        <w:spacing w:line="360" w:lineRule="auto"/>
        <w:ind w:firstLine="420" w:firstLineChars="200"/>
        <w:rPr>
          <w:rFonts w:hint="eastAsia" w:ascii="宋体" w:hAnsi="宋体" w:cs="宋体"/>
          <w:color w:val="auto"/>
          <w:highlight w:val="none"/>
        </w:rPr>
      </w:pPr>
      <w:r>
        <w:rPr>
          <w:rFonts w:ascii="宋体" w:hAnsi="宋体" w:cs="宋体"/>
          <w:color w:val="auto"/>
          <w:highlight w:val="none"/>
        </w:rPr>
        <w:t>6.2</w:t>
      </w:r>
      <w:r>
        <w:rPr>
          <w:rFonts w:hint="eastAsia" w:ascii="宋体" w:hAnsi="宋体" w:cs="宋体"/>
          <w:color w:val="auto"/>
          <w:highlight w:val="none"/>
        </w:rPr>
        <w:t>经磋商确定最终采购需求和提交最后报价的供应商后，由磋商小组采用综合评分法对提交最后报价的供应商的响应文件和最后报价进行综合评分。</w:t>
      </w:r>
    </w:p>
    <w:p w14:paraId="014BEBA9">
      <w:pPr>
        <w:spacing w:line="360" w:lineRule="auto"/>
        <w:ind w:firstLine="420" w:firstLineChars="200"/>
        <w:rPr>
          <w:rFonts w:hint="eastAsia" w:ascii="宋体" w:hAnsi="宋体" w:cs="宋体"/>
          <w:color w:val="auto"/>
          <w:highlight w:val="none"/>
        </w:rPr>
      </w:pPr>
      <w:r>
        <w:rPr>
          <w:rFonts w:ascii="宋体" w:hAnsi="宋体" w:cs="宋体"/>
          <w:color w:val="auto"/>
          <w:highlight w:val="none"/>
        </w:rPr>
        <w:t>6.3</w:t>
      </w:r>
      <w:r>
        <w:rPr>
          <w:rFonts w:hint="eastAsia" w:ascii="宋体" w:hAnsi="宋体" w:cs="宋体"/>
          <w:color w:val="auto"/>
          <w:highlight w:val="none"/>
        </w:rPr>
        <w:t>评审时，磋商小组各成员应当独立对每个有效响应的文件进行评价、打分，然后汇总每个供应商每项评分因素的得分。</w:t>
      </w:r>
    </w:p>
    <w:p w14:paraId="22788E81">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（1）磋商小组按照磋商文件中规定的评审标准计算各供应商的报价得分。项目评审过程中，不得去掉最后报价中的最高报价和最低报价。</w:t>
      </w:r>
    </w:p>
    <w:p w14:paraId="54AF7C0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（2）各供应商的得分为磋商小组所有成员的有效评分的算术平均数。</w:t>
      </w:r>
    </w:p>
    <w:p w14:paraId="633F5073">
      <w:pPr>
        <w:spacing w:line="360" w:lineRule="auto"/>
        <w:ind w:firstLine="420" w:firstLineChars="200"/>
        <w:rPr>
          <w:rFonts w:hint="eastAsia" w:ascii="宋体" w:hAnsi="宋体" w:cs="宋体"/>
          <w:color w:val="auto"/>
          <w:highlight w:val="none"/>
          <w:lang w:eastAsia="zh-CN"/>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3</w:t>
      </w:r>
      <w:r>
        <w:rPr>
          <w:rFonts w:hint="eastAsia" w:ascii="宋体" w:hAnsi="宋体" w:cs="宋体"/>
          <w:color w:val="auto"/>
          <w:highlight w:val="none"/>
          <w:lang w:eastAsia="zh-CN"/>
        </w:rPr>
        <w:t>）依据规定《财政部关于推动解决政府采购异常低价问题的通知》（财库〔2026〕2号）规定，政府采购评审中出现以下异常低价情形，评标委员会（或磋商小组，谈判小组，询价小组）应当启动异常低价投标审查程序：</w:t>
      </w:r>
    </w:p>
    <w:p w14:paraId="6BE3541C">
      <w:pPr>
        <w:spacing w:line="360" w:lineRule="auto"/>
        <w:ind w:firstLine="420" w:firstLineChars="200"/>
        <w:rPr>
          <w:rFonts w:hint="eastAsia" w:ascii="宋体" w:hAnsi="宋体" w:cs="宋体"/>
          <w:color w:val="auto"/>
          <w:highlight w:val="none"/>
          <w:lang w:eastAsia="zh-CN"/>
        </w:rPr>
      </w:pPr>
      <w:r>
        <w:rPr>
          <w:rFonts w:hint="eastAsia" w:ascii="宋体" w:hAnsi="宋体" w:cs="宋体"/>
          <w:color w:val="auto"/>
          <w:highlight w:val="none"/>
          <w:lang w:eastAsia="zh-CN"/>
        </w:rPr>
        <w:t>1）投标（磋商、谈判）报价低于全部通过符合性审查供应商投标（磋商、谈判）报价平均值</w:t>
      </w:r>
      <w:r>
        <w:rPr>
          <w:rFonts w:hint="eastAsia" w:ascii="宋体" w:hAnsi="宋体" w:cs="宋体"/>
          <w:color w:val="auto"/>
          <w:highlight w:val="none"/>
          <w:lang w:val="en-US" w:eastAsia="zh-CN"/>
        </w:rPr>
        <w:t>50</w:t>
      </w:r>
      <w:r>
        <w:rPr>
          <w:rFonts w:hint="eastAsia" w:ascii="宋体" w:hAnsi="宋体" w:cs="宋体"/>
          <w:color w:val="auto"/>
          <w:highlight w:val="none"/>
          <w:lang w:eastAsia="zh-CN"/>
        </w:rPr>
        <w:t>％的（注：此处由采购人根据项目实际情况填写，填写范围不得低于50％，最高不得超过65％）；</w:t>
      </w:r>
    </w:p>
    <w:p w14:paraId="0BEFED34">
      <w:pPr>
        <w:spacing w:line="360" w:lineRule="auto"/>
        <w:ind w:firstLine="420" w:firstLineChars="200"/>
        <w:rPr>
          <w:rFonts w:hint="eastAsia" w:ascii="宋体" w:hAnsi="宋体" w:cs="宋体"/>
          <w:color w:val="auto"/>
          <w:highlight w:val="none"/>
          <w:lang w:eastAsia="zh-CN"/>
        </w:rPr>
      </w:pPr>
      <w:r>
        <w:rPr>
          <w:rFonts w:hint="eastAsia" w:ascii="宋体" w:hAnsi="宋体" w:cs="宋体"/>
          <w:color w:val="auto"/>
          <w:highlight w:val="none"/>
          <w:lang w:eastAsia="zh-CN"/>
        </w:rPr>
        <w:t>2）投标（磋商、谈判）报价低于通过符合性审查的次低报价供应商投标（磋商、谈判）报价</w:t>
      </w:r>
      <w:r>
        <w:rPr>
          <w:rFonts w:hint="eastAsia" w:ascii="宋体" w:hAnsi="宋体" w:cs="宋体"/>
          <w:color w:val="auto"/>
          <w:highlight w:val="none"/>
          <w:lang w:val="en-US" w:eastAsia="zh-CN"/>
        </w:rPr>
        <w:t>50</w:t>
      </w:r>
      <w:r>
        <w:rPr>
          <w:rFonts w:hint="eastAsia" w:ascii="宋体" w:hAnsi="宋体" w:cs="宋体"/>
          <w:color w:val="auto"/>
          <w:highlight w:val="none"/>
          <w:lang w:eastAsia="zh-CN"/>
        </w:rPr>
        <w:t>％的（注：此处由采购人根据项目实际情况填写，填写范围不得低于50％，最高不得超过65％）；</w:t>
      </w:r>
    </w:p>
    <w:p w14:paraId="11AEE8E2">
      <w:pPr>
        <w:spacing w:line="360" w:lineRule="auto"/>
        <w:ind w:firstLine="420" w:firstLineChars="200"/>
        <w:rPr>
          <w:rFonts w:hint="eastAsia" w:ascii="宋体" w:hAnsi="宋体" w:cs="宋体"/>
          <w:color w:val="auto"/>
          <w:highlight w:val="none"/>
          <w:lang w:eastAsia="zh-CN"/>
        </w:rPr>
      </w:pPr>
      <w:r>
        <w:rPr>
          <w:rFonts w:hint="eastAsia" w:ascii="宋体" w:hAnsi="宋体" w:cs="宋体"/>
          <w:color w:val="auto"/>
          <w:highlight w:val="none"/>
          <w:lang w:eastAsia="zh-CN"/>
        </w:rPr>
        <w:t>3）投标（响应）报价低于采购项目最高限价</w:t>
      </w:r>
      <w:r>
        <w:rPr>
          <w:rFonts w:hint="eastAsia" w:ascii="宋体" w:hAnsi="宋体" w:cs="宋体"/>
          <w:color w:val="auto"/>
          <w:highlight w:val="none"/>
          <w:lang w:val="en-US" w:eastAsia="zh-CN"/>
        </w:rPr>
        <w:t>45</w:t>
      </w:r>
      <w:r>
        <w:rPr>
          <w:rFonts w:hint="eastAsia" w:ascii="宋体" w:hAnsi="宋体" w:cs="宋体"/>
          <w:color w:val="auto"/>
          <w:highlight w:val="none"/>
          <w:lang w:eastAsia="zh-CN"/>
        </w:rPr>
        <w:t>％的（注：此处由采购人根据项目实际情况填写，填写范围不得低于45％，最高不得超过65％）；</w:t>
      </w:r>
    </w:p>
    <w:p w14:paraId="0B40E3AE">
      <w:pPr>
        <w:spacing w:line="360" w:lineRule="auto"/>
        <w:ind w:firstLine="420" w:firstLineChars="200"/>
        <w:rPr>
          <w:rFonts w:hint="eastAsia" w:ascii="宋体" w:hAnsi="宋体" w:cs="宋体"/>
          <w:color w:val="auto"/>
          <w:highlight w:val="none"/>
          <w:lang w:eastAsia="zh-CN"/>
        </w:rPr>
      </w:pPr>
      <w:r>
        <w:rPr>
          <w:rFonts w:hint="eastAsia" w:ascii="宋体" w:hAnsi="宋体" w:cs="宋体"/>
          <w:color w:val="auto"/>
          <w:highlight w:val="none"/>
          <w:lang w:eastAsia="zh-CN"/>
        </w:rPr>
        <w:t>4）评标委员会（或磋商小组，谈判小组，询价小组）基于专业判断，认为供应商报价过低，有可能影响产品质量或者不能诚信履约的其他情形。相关法律法规对供应商报价有规定的，从其规定。</w:t>
      </w:r>
    </w:p>
    <w:p w14:paraId="3CC5B6F6">
      <w:pPr>
        <w:spacing w:line="360" w:lineRule="auto"/>
        <w:ind w:firstLine="420" w:firstLineChars="200"/>
        <w:rPr>
          <w:rFonts w:hint="eastAsia" w:ascii="宋体" w:hAnsi="宋体" w:cs="宋体"/>
          <w:color w:val="auto"/>
          <w:highlight w:val="none"/>
          <w:lang w:eastAsia="zh-CN"/>
        </w:rPr>
      </w:pPr>
      <w:r>
        <w:rPr>
          <w:rFonts w:hint="eastAsia" w:ascii="宋体" w:hAnsi="宋体" w:cs="宋体"/>
          <w:color w:val="auto"/>
          <w:highlight w:val="none"/>
          <w:lang w:eastAsia="zh-CN"/>
        </w:rPr>
        <w:t>5）相关法律法规对供应商报价有规定的，从其规定。</w:t>
      </w:r>
    </w:p>
    <w:p w14:paraId="73A578A7">
      <w:pPr>
        <w:spacing w:line="360" w:lineRule="auto"/>
        <w:ind w:firstLine="420" w:firstLineChars="200"/>
        <w:rPr>
          <w:rFonts w:hint="eastAsia" w:ascii="宋体" w:hAnsi="宋体" w:cs="宋体"/>
          <w:color w:val="auto"/>
          <w:highlight w:val="none"/>
          <w:lang w:eastAsia="zh-CN"/>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4</w:t>
      </w:r>
      <w:r>
        <w:rPr>
          <w:rFonts w:hint="eastAsia" w:ascii="宋体" w:hAnsi="宋体" w:cs="宋体"/>
          <w:color w:val="auto"/>
          <w:highlight w:val="none"/>
          <w:lang w:eastAsia="zh-CN"/>
        </w:rPr>
        <w:t>）评标委员会（或磋商小组，谈判小组，询价小组）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67F54F5">
      <w:pPr>
        <w:spacing w:line="360" w:lineRule="auto"/>
        <w:ind w:firstLine="420" w:firstLineChars="200"/>
        <w:rPr>
          <w:rFonts w:hint="eastAsia" w:ascii="宋体" w:hAnsi="宋体" w:cs="宋体"/>
          <w:color w:val="auto"/>
          <w:highlight w:val="none"/>
          <w:lang w:eastAsia="zh-CN"/>
        </w:rPr>
      </w:pPr>
      <w:r>
        <w:rPr>
          <w:rFonts w:hint="eastAsia" w:ascii="宋体" w:hAnsi="宋体" w:cs="宋体"/>
          <w:color w:val="auto"/>
          <w:highlight w:val="none"/>
          <w:lang w:eastAsia="zh-CN"/>
        </w:rPr>
        <w:t>评标委员会（或磋商小组，谈判小组，询价小组）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或磋商小组，谈判小组，询价小组）应当将其作为无效投标（响应）处理。</w:t>
      </w:r>
    </w:p>
    <w:p w14:paraId="3063BC95">
      <w:pPr>
        <w:spacing w:line="360" w:lineRule="auto"/>
        <w:ind w:firstLine="420" w:firstLineChars="200"/>
        <w:rPr>
          <w:rFonts w:hint="eastAsia" w:ascii="宋体" w:hAnsi="宋体" w:cs="宋体"/>
          <w:color w:val="auto"/>
          <w:highlight w:val="none"/>
          <w:lang w:eastAsia="zh-CN"/>
        </w:rPr>
      </w:pPr>
      <w:r>
        <w:rPr>
          <w:rFonts w:hint="eastAsia" w:ascii="宋体" w:hAnsi="宋体" w:cs="宋体"/>
          <w:color w:val="auto"/>
          <w:highlight w:val="none"/>
          <w:lang w:eastAsia="zh-CN"/>
        </w:rPr>
        <w:t>评审组织: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0A664526">
      <w:pPr>
        <w:spacing w:line="360" w:lineRule="auto"/>
        <w:ind w:firstLine="420" w:firstLineChars="200"/>
        <w:rPr>
          <w:rFonts w:hint="eastAsia" w:ascii="宋体" w:hAnsi="宋体" w:eastAsia="宋体" w:cs="宋体"/>
          <w:color w:val="auto"/>
          <w:highlight w:val="none"/>
          <w:lang w:eastAsia="zh-CN"/>
        </w:rPr>
      </w:pPr>
      <w:r>
        <w:rPr>
          <w:rFonts w:hint="eastAsia" w:ascii="宋体" w:hAnsi="宋体" w:cs="宋体"/>
          <w:color w:val="auto"/>
          <w:highlight w:val="none"/>
          <w:lang w:eastAsia="zh-CN"/>
        </w:rPr>
        <w:t>记录及归档:异常低价投标审查的启动原因、审查意见和审查结果应当在评审报告中记录，并随供应商提供的相关书面说明及证明材料，以及评审委员会有关互联网浏览、查询历史一并归档。</w:t>
      </w:r>
    </w:p>
    <w:p w14:paraId="713A48AF">
      <w:pPr>
        <w:spacing w:line="360" w:lineRule="auto"/>
        <w:ind w:firstLine="420" w:firstLineChars="200"/>
        <w:rPr>
          <w:rFonts w:hint="eastAsia" w:ascii="宋体" w:hAnsi="宋体" w:cs="宋体"/>
          <w:color w:val="auto"/>
          <w:highlight w:val="none"/>
        </w:rPr>
      </w:pPr>
      <w:r>
        <w:rPr>
          <w:rFonts w:ascii="宋体" w:hAnsi="宋体" w:cs="宋体"/>
          <w:color w:val="auto"/>
          <w:highlight w:val="none"/>
        </w:rPr>
        <w:t>6.4</w:t>
      </w:r>
      <w:r>
        <w:rPr>
          <w:rFonts w:hint="eastAsia" w:ascii="宋体" w:hAnsi="宋体" w:cs="宋体"/>
          <w:color w:val="auto"/>
          <w:highlight w:val="none"/>
        </w:rPr>
        <w:t>评审价为供应商的最后报价进行政策性扣除后的价格，评审价只是作为评审时使用。最终成交供应商的成交金额等于最后报价（如有修正，以确认修正后的最后报价为准）。</w:t>
      </w:r>
    </w:p>
    <w:p w14:paraId="282F6A48">
      <w:pPr>
        <w:spacing w:line="360" w:lineRule="auto"/>
        <w:ind w:firstLine="420" w:firstLineChars="200"/>
        <w:rPr>
          <w:rFonts w:hint="eastAsia" w:ascii="宋体" w:hAnsi="宋体"/>
          <w:color w:val="auto"/>
          <w:kern w:val="0"/>
          <w:highlight w:val="none"/>
        </w:rPr>
      </w:pPr>
      <w:r>
        <w:rPr>
          <w:rFonts w:ascii="宋体" w:hAnsi="宋体" w:cs="宋体"/>
          <w:color w:val="auto"/>
          <w:highlight w:val="none"/>
        </w:rPr>
        <w:t>6.5</w:t>
      </w:r>
      <w:r>
        <w:rPr>
          <w:rFonts w:hint="eastAsia" w:ascii="宋体" w:hAnsi="宋体" w:cs="宋体"/>
          <w:color w:val="auto"/>
          <w:highlight w:val="none"/>
        </w:rPr>
        <w:t>由磋商小组根据综合评分情况，按照评审得分由高到低顺序推荐3名以上成交候选供应商，并编写评</w:t>
      </w:r>
      <w:r>
        <w:rPr>
          <w:rFonts w:hint="eastAsia" w:ascii="宋体" w:hAnsi="宋体"/>
          <w:color w:val="auto"/>
          <w:kern w:val="0"/>
          <w:highlight w:val="none"/>
        </w:rPr>
        <w:t>审报告。符合本章第5</w:t>
      </w:r>
      <w:r>
        <w:rPr>
          <w:rFonts w:ascii="宋体" w:hAnsi="宋体"/>
          <w:color w:val="auto"/>
          <w:kern w:val="0"/>
          <w:highlight w:val="none"/>
        </w:rPr>
        <w:t>.3</w:t>
      </w:r>
      <w:r>
        <w:rPr>
          <w:rFonts w:hint="eastAsia" w:ascii="宋体" w:hAnsi="宋体"/>
          <w:color w:val="auto"/>
          <w:kern w:val="0"/>
          <w:highlight w:val="none"/>
        </w:rPr>
        <w:t>条情形的，可以推荐2家成交候选供应商。评审得分相同的，按照最后报价由低到高的顺序推荐。评审得分且最后报价相同的，按照技术指标优劣顺序推荐。</w:t>
      </w:r>
    </w:p>
    <w:p w14:paraId="54E690E6">
      <w:pPr>
        <w:spacing w:line="360" w:lineRule="auto"/>
        <w:ind w:firstLine="420" w:firstLineChars="200"/>
        <w:rPr>
          <w:rFonts w:hint="eastAsia" w:ascii="宋体" w:hAnsi="宋体" w:cs="宋体"/>
          <w:color w:val="auto"/>
          <w:highlight w:val="none"/>
        </w:rPr>
      </w:pPr>
      <w:r>
        <w:rPr>
          <w:rFonts w:ascii="宋体" w:hAnsi="宋体"/>
          <w:color w:val="auto"/>
          <w:kern w:val="0"/>
          <w:highlight w:val="none"/>
        </w:rPr>
        <w:t>6.6</w:t>
      </w:r>
      <w:r>
        <w:rPr>
          <w:rFonts w:hint="eastAsia" w:ascii="宋体" w:hAnsi="宋体"/>
          <w:color w:val="auto"/>
          <w:kern w:val="0"/>
          <w:highlight w:val="none"/>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761E9FD">
      <w:pPr>
        <w:spacing w:line="360" w:lineRule="auto"/>
        <w:rPr>
          <w:rFonts w:hint="eastAsia" w:ascii="黑体" w:hAnsi="黑体" w:eastAsia="黑体" w:cs="宋体"/>
          <w:b/>
          <w:bCs/>
          <w:color w:val="auto"/>
          <w:highlight w:val="none"/>
        </w:rPr>
      </w:pPr>
    </w:p>
    <w:p w14:paraId="0B772257">
      <w:pPr>
        <w:spacing w:line="360" w:lineRule="auto"/>
        <w:rPr>
          <w:rFonts w:hint="eastAsia" w:ascii="黑体" w:hAnsi="黑体" w:eastAsia="黑体" w:cs="宋体"/>
          <w:b/>
          <w:bCs/>
          <w:color w:val="auto"/>
          <w:highlight w:val="none"/>
        </w:rPr>
      </w:pPr>
      <w:bookmarkStart w:id="23" w:name="_Toc32748"/>
      <w:bookmarkStart w:id="24" w:name="_Toc80886939"/>
      <w:r>
        <w:rPr>
          <w:rFonts w:hint="eastAsia" w:ascii="黑体" w:hAnsi="黑体" w:eastAsia="黑体" w:cs="宋体"/>
          <w:b/>
          <w:bCs/>
          <w:color w:val="auto"/>
          <w:highlight w:val="none"/>
        </w:rPr>
        <w:t>7</w:t>
      </w:r>
      <w:r>
        <w:rPr>
          <w:rFonts w:ascii="黑体" w:hAnsi="黑体" w:eastAsia="黑体" w:cs="宋体"/>
          <w:b/>
          <w:bCs/>
          <w:color w:val="auto"/>
          <w:highlight w:val="none"/>
        </w:rPr>
        <w:t>.</w:t>
      </w:r>
      <w:r>
        <w:rPr>
          <w:rFonts w:hint="eastAsia" w:ascii="黑体" w:hAnsi="黑体" w:eastAsia="黑体" w:cs="宋体"/>
          <w:b/>
          <w:bCs/>
          <w:color w:val="auto"/>
          <w:highlight w:val="none"/>
        </w:rPr>
        <w:t>评审标准</w:t>
      </w:r>
    </w:p>
    <w:p w14:paraId="314BAA7A">
      <w:pPr>
        <w:spacing w:line="360" w:lineRule="auto"/>
        <w:ind w:firstLine="420" w:firstLineChars="200"/>
        <w:rPr>
          <w:rFonts w:hint="eastAsia" w:ascii="宋体" w:hAnsi="宋体"/>
          <w:bCs/>
          <w:color w:val="auto"/>
          <w:highlight w:val="none"/>
        </w:rPr>
      </w:pPr>
      <w:r>
        <w:rPr>
          <w:rFonts w:hint="eastAsia" w:ascii="宋体" w:hAnsi="宋体"/>
          <w:bCs/>
          <w:color w:val="auto"/>
          <w:highlight w:val="none"/>
        </w:rPr>
        <w:t>评审依据：磋商小组将以磋商响应文件为评审依据，对供应商的报价、技术、商务等方面内容按百分制打分。（计分方法按四舍五入取至百分位）</w:t>
      </w:r>
    </w:p>
    <w:p w14:paraId="212E5C7D">
      <w:pPr>
        <w:spacing w:line="360" w:lineRule="auto"/>
        <w:ind w:firstLine="422" w:firstLineChars="200"/>
        <w:rPr>
          <w:color w:val="auto"/>
          <w:highlight w:val="none"/>
        </w:rPr>
      </w:pPr>
      <w:r>
        <w:rPr>
          <w:rFonts w:hint="eastAsia" w:ascii="宋体" w:cs="宋体"/>
          <w:b/>
          <w:color w:val="auto"/>
          <w:kern w:val="0"/>
          <w:highlight w:val="none"/>
        </w:rPr>
        <w:t>1、价格分………………………………………………………………………………………</w:t>
      </w:r>
      <w:r>
        <w:rPr>
          <w:rFonts w:hint="eastAsia" w:ascii="宋体" w:cs="宋体"/>
          <w:b/>
          <w:color w:val="auto"/>
          <w:kern w:val="0"/>
          <w:highlight w:val="none"/>
          <w:lang w:val="en-US" w:eastAsia="zh-CN"/>
        </w:rPr>
        <w:t>1</w:t>
      </w:r>
      <w:r>
        <w:rPr>
          <w:rFonts w:hint="eastAsia" w:ascii="宋体" w:cs="宋体"/>
          <w:b/>
          <w:color w:val="auto"/>
          <w:kern w:val="0"/>
          <w:highlight w:val="none"/>
        </w:rPr>
        <w:t>0分</w:t>
      </w:r>
    </w:p>
    <w:p w14:paraId="15475B15">
      <w:pPr>
        <w:spacing w:line="400" w:lineRule="exact"/>
        <w:ind w:firstLine="420" w:firstLineChars="200"/>
        <w:jc w:val="left"/>
        <w:rPr>
          <w:rFonts w:hint="eastAsia" w:hAnsi="宋体" w:cs="宋体"/>
          <w:bCs/>
          <w:color w:val="auto"/>
          <w:highlight w:val="none"/>
        </w:rPr>
      </w:pPr>
      <w:r>
        <w:rPr>
          <w:rFonts w:hint="eastAsia" w:hAnsi="宋体" w:cs="宋体"/>
          <w:bCs/>
          <w:color w:val="auto"/>
          <w:highlight w:val="none"/>
        </w:rPr>
        <w:t>（1）</w:t>
      </w:r>
      <w:r>
        <w:rPr>
          <w:rFonts w:hint="eastAsia" w:ascii="宋体" w:hAnsi="宋体" w:eastAsia="宋体" w:cs="宋体"/>
          <w:bCs/>
          <w:color w:val="auto"/>
          <w:sz w:val="21"/>
          <w:szCs w:val="21"/>
          <w:highlight w:val="none"/>
        </w:rPr>
        <w:t>本项目专门面向中小企业</w:t>
      </w:r>
      <w:r>
        <w:rPr>
          <w:rFonts w:hint="eastAsia" w:ascii="宋体" w:hAnsi="宋体" w:eastAsia="宋体" w:cs="宋体"/>
          <w:bCs/>
          <w:color w:val="auto"/>
          <w:sz w:val="21"/>
          <w:szCs w:val="21"/>
          <w:highlight w:val="none"/>
          <w:lang w:eastAsia="zh-CN"/>
        </w:rPr>
        <w:t>采购</w:t>
      </w:r>
      <w:r>
        <w:rPr>
          <w:rFonts w:hint="eastAsia" w:ascii="宋体" w:hAnsi="宋体" w:eastAsia="宋体" w:cs="宋体"/>
          <w:bCs/>
          <w:color w:val="auto"/>
          <w:sz w:val="21"/>
          <w:szCs w:val="21"/>
          <w:highlight w:val="none"/>
        </w:rPr>
        <w:t>，不再执行价格评审优惠的扶持政策。</w:t>
      </w:r>
    </w:p>
    <w:p w14:paraId="6F95F3C6">
      <w:pPr>
        <w:spacing w:line="400" w:lineRule="exact"/>
        <w:ind w:firstLine="420" w:firstLineChars="200"/>
        <w:jc w:val="left"/>
        <w:rPr>
          <w:rFonts w:hint="eastAsia" w:hAnsi="宋体" w:cs="宋体"/>
          <w:bCs/>
          <w:color w:val="auto"/>
          <w:highlight w:val="none"/>
        </w:rPr>
      </w:pPr>
      <w:r>
        <w:rPr>
          <w:rFonts w:hint="eastAsia" w:hAnsi="宋体" w:cs="宋体"/>
          <w:bCs/>
          <w:color w:val="auto"/>
          <w:highlight w:val="none"/>
          <w:lang w:eastAsia="zh-CN"/>
        </w:rPr>
        <w:t>（</w:t>
      </w:r>
      <w:r>
        <w:rPr>
          <w:rFonts w:hint="eastAsia" w:hAnsi="宋体" w:cs="宋体"/>
          <w:bCs/>
          <w:color w:val="auto"/>
          <w:highlight w:val="none"/>
          <w:lang w:val="en-US" w:eastAsia="zh-CN"/>
        </w:rPr>
        <w:t>2</w:t>
      </w:r>
      <w:r>
        <w:rPr>
          <w:rFonts w:hint="eastAsia" w:hAnsi="宋体" w:cs="宋体"/>
          <w:bCs/>
          <w:color w:val="auto"/>
          <w:highlight w:val="none"/>
          <w:lang w:eastAsia="zh-CN"/>
        </w:rPr>
        <w:t>）</w:t>
      </w:r>
      <w:r>
        <w:rPr>
          <w:rFonts w:hint="eastAsia" w:hAnsi="宋体" w:cs="宋体"/>
          <w:bCs/>
          <w:color w:val="auto"/>
          <w:highlight w:val="none"/>
        </w:rPr>
        <w:t>评标报价为</w:t>
      </w:r>
      <w:r>
        <w:rPr>
          <w:rFonts w:hint="eastAsia" w:hAnsi="宋体" w:cs="宋体"/>
          <w:bCs/>
          <w:color w:val="auto"/>
          <w:highlight w:val="none"/>
          <w:lang w:val="en-US" w:eastAsia="zh-CN"/>
        </w:rPr>
        <w:t>供应商</w:t>
      </w:r>
      <w:r>
        <w:rPr>
          <w:rFonts w:hint="eastAsia" w:hAnsi="宋体" w:cs="宋体"/>
          <w:bCs/>
          <w:color w:val="auto"/>
          <w:highlight w:val="none"/>
        </w:rPr>
        <w:t>的投标报价进行政策性扣除后的价格，评标报价只是作为评标时使用。最终</w:t>
      </w:r>
      <w:r>
        <w:rPr>
          <w:rFonts w:hint="eastAsia" w:hAnsi="宋体" w:cs="宋体"/>
          <w:bCs/>
          <w:color w:val="auto"/>
          <w:highlight w:val="none"/>
          <w:lang w:val="en-US" w:eastAsia="zh-CN"/>
        </w:rPr>
        <w:t>成交供应商</w:t>
      </w:r>
      <w:r>
        <w:rPr>
          <w:rFonts w:hint="eastAsia" w:hAnsi="宋体" w:cs="宋体"/>
          <w:bCs/>
          <w:color w:val="auto"/>
          <w:highlight w:val="none"/>
        </w:rPr>
        <w:t>的</w:t>
      </w:r>
      <w:r>
        <w:rPr>
          <w:rFonts w:hint="eastAsia" w:hAnsi="宋体" w:cs="宋体"/>
          <w:bCs/>
          <w:color w:val="auto"/>
          <w:highlight w:val="none"/>
          <w:lang w:val="en-US" w:eastAsia="zh-CN"/>
        </w:rPr>
        <w:t>成交</w:t>
      </w:r>
      <w:r>
        <w:rPr>
          <w:rFonts w:hint="eastAsia" w:hAnsi="宋体" w:cs="宋体"/>
          <w:bCs/>
          <w:color w:val="auto"/>
          <w:highlight w:val="none"/>
        </w:rPr>
        <w:t>金额等于投标报价。</w:t>
      </w:r>
    </w:p>
    <w:p w14:paraId="4C15B98C">
      <w:pPr>
        <w:spacing w:line="400" w:lineRule="exact"/>
        <w:ind w:firstLine="420" w:firstLineChars="200"/>
        <w:jc w:val="left"/>
        <w:rPr>
          <w:rFonts w:hint="eastAsia" w:hAnsi="宋体" w:cs="宋体"/>
          <w:bCs/>
          <w:color w:val="auto"/>
          <w:highlight w:val="none"/>
        </w:rPr>
      </w:pPr>
      <w:r>
        <w:rPr>
          <w:rFonts w:hint="eastAsia" w:hAnsi="宋体" w:cs="宋体"/>
          <w:bCs/>
          <w:color w:val="auto"/>
          <w:highlight w:val="none"/>
        </w:rPr>
        <w:t>（</w:t>
      </w:r>
      <w:r>
        <w:rPr>
          <w:rFonts w:hint="eastAsia" w:hAnsi="宋体" w:cs="宋体"/>
          <w:bCs/>
          <w:color w:val="auto"/>
          <w:highlight w:val="none"/>
          <w:lang w:val="en-US" w:eastAsia="zh-CN"/>
        </w:rPr>
        <w:t>3）</w:t>
      </w:r>
      <w:r>
        <w:rPr>
          <w:rFonts w:hint="eastAsia" w:hAnsi="宋体" w:cs="宋体"/>
          <w:bCs/>
          <w:color w:val="auto"/>
          <w:highlight w:val="none"/>
        </w:rPr>
        <w:t>满足招标文件要求且评标报价最低的评标报价为评标基准价，基准价报价得分为</w:t>
      </w:r>
      <w:r>
        <w:rPr>
          <w:rFonts w:hint="eastAsia" w:hAnsi="宋体" w:cs="宋体"/>
          <w:bCs/>
          <w:color w:val="auto"/>
          <w:highlight w:val="none"/>
          <w:lang w:val="en-US" w:eastAsia="zh-CN"/>
        </w:rPr>
        <w:t>1</w:t>
      </w:r>
      <w:r>
        <w:rPr>
          <w:rFonts w:hint="eastAsia" w:hAnsi="宋体" w:cs="宋体"/>
          <w:bCs/>
          <w:color w:val="auto"/>
          <w:highlight w:val="none"/>
        </w:rPr>
        <w:t>0 分。</w:t>
      </w:r>
    </w:p>
    <w:p w14:paraId="1B1C15C0">
      <w:pPr>
        <w:spacing w:line="400" w:lineRule="exact"/>
        <w:ind w:firstLine="420" w:firstLineChars="200"/>
        <w:jc w:val="left"/>
        <w:rPr>
          <w:rFonts w:hint="eastAsia" w:ascii="宋体" w:hAnsi="宋体"/>
          <w:b/>
          <w:bCs/>
          <w:color w:val="auto"/>
          <w:kern w:val="0"/>
          <w:highlight w:val="none"/>
        </w:rPr>
      </w:pPr>
      <w:r>
        <w:rPr>
          <w:rFonts w:hint="eastAsia" w:hAnsi="宋体" w:cs="宋体"/>
          <w:bCs/>
          <w:color w:val="auto"/>
          <w:highlight w:val="none"/>
        </w:rPr>
        <w:t>（</w:t>
      </w:r>
      <w:r>
        <w:rPr>
          <w:rFonts w:hint="eastAsia" w:hAnsi="宋体" w:cs="宋体"/>
          <w:bCs/>
          <w:color w:val="auto"/>
          <w:highlight w:val="none"/>
          <w:lang w:val="en-US" w:eastAsia="zh-CN"/>
        </w:rPr>
        <w:t>4</w:t>
      </w:r>
      <w:r>
        <w:rPr>
          <w:rFonts w:hint="eastAsia" w:hAnsi="宋体" w:cs="宋体"/>
          <w:bCs/>
          <w:color w:val="auto"/>
          <w:highlight w:val="none"/>
        </w:rPr>
        <w:t xml:space="preserve">）价格分计算公式：价格分=(评标基准价／评标报价)× </w:t>
      </w:r>
      <w:r>
        <w:rPr>
          <w:rFonts w:hint="eastAsia" w:hAnsi="宋体" w:cs="宋体"/>
          <w:bCs/>
          <w:color w:val="auto"/>
          <w:highlight w:val="none"/>
          <w:lang w:val="en-US" w:eastAsia="zh-CN"/>
        </w:rPr>
        <w:t>1</w:t>
      </w:r>
      <w:r>
        <w:rPr>
          <w:rFonts w:hint="eastAsia" w:hAnsi="宋体" w:cs="宋体"/>
          <w:bCs/>
          <w:color w:val="auto"/>
          <w:highlight w:val="none"/>
        </w:rPr>
        <w:t>0分</w:t>
      </w:r>
      <w:r>
        <w:rPr>
          <w:rFonts w:hint="eastAsia" w:ascii="宋体" w:hAnsi="宋体"/>
          <w:b/>
          <w:bCs/>
          <w:color w:val="auto"/>
          <w:kern w:val="0"/>
          <w:highlight w:val="none"/>
        </w:rPr>
        <w:t xml:space="preserve">   </w:t>
      </w:r>
    </w:p>
    <w:p w14:paraId="12BFD5AE">
      <w:pPr>
        <w:spacing w:line="400" w:lineRule="exact"/>
        <w:ind w:firstLine="211" w:firstLineChars="100"/>
        <w:jc w:val="left"/>
        <w:rPr>
          <w:rFonts w:hint="eastAsia" w:ascii="宋体" w:hAnsi="宋体"/>
          <w:b/>
          <w:bCs/>
          <w:color w:val="auto"/>
          <w:kern w:val="0"/>
          <w:highlight w:val="none"/>
        </w:rPr>
      </w:pPr>
      <w:r>
        <w:rPr>
          <w:rFonts w:hint="eastAsia" w:ascii="宋体" w:hAnsi="宋体"/>
          <w:b/>
          <w:bCs/>
          <w:color w:val="auto"/>
          <w:kern w:val="0"/>
          <w:highlight w:val="none"/>
        </w:rPr>
        <w:t xml:space="preserve"> 2、技术分</w:t>
      </w:r>
      <w:r>
        <w:rPr>
          <w:rFonts w:hint="eastAsia" w:ascii="宋体" w:cs="宋体"/>
          <w:b/>
          <w:color w:val="auto"/>
          <w:kern w:val="0"/>
          <w:highlight w:val="none"/>
        </w:rPr>
        <w:t>………………………………………………………………………………………</w:t>
      </w:r>
      <w:r>
        <w:rPr>
          <w:rFonts w:hint="eastAsia" w:ascii="宋体" w:cs="宋体"/>
          <w:b/>
          <w:color w:val="auto"/>
          <w:kern w:val="0"/>
          <w:highlight w:val="none"/>
          <w:lang w:val="en-US" w:eastAsia="zh-CN"/>
        </w:rPr>
        <w:t>86</w:t>
      </w:r>
      <w:r>
        <w:rPr>
          <w:rFonts w:hint="eastAsia" w:ascii="宋体" w:cs="宋体"/>
          <w:b/>
          <w:color w:val="auto"/>
          <w:kern w:val="0"/>
          <w:highlight w:val="none"/>
        </w:rPr>
        <w:t>分</w:t>
      </w:r>
    </w:p>
    <w:p w14:paraId="23875B83">
      <w:pPr>
        <w:spacing w:line="400" w:lineRule="exact"/>
        <w:ind w:firstLine="422" w:firstLineChars="200"/>
        <w:jc w:val="left"/>
        <w:rPr>
          <w:rFonts w:hint="eastAsia" w:ascii="宋体" w:hAnsi="宋体"/>
          <w:b/>
          <w:color w:val="auto"/>
          <w:kern w:val="0"/>
          <w:highlight w:val="none"/>
        </w:rPr>
      </w:pPr>
      <w:r>
        <w:rPr>
          <w:rFonts w:hint="eastAsia" w:ascii="宋体" w:hAnsi="宋体"/>
          <w:b/>
          <w:color w:val="auto"/>
          <w:kern w:val="0"/>
          <w:highlight w:val="none"/>
        </w:rPr>
        <w:t>2.1施工组织设计分（满分</w:t>
      </w:r>
      <w:r>
        <w:rPr>
          <w:rFonts w:hint="eastAsia" w:ascii="宋体" w:hAnsi="宋体"/>
          <w:b/>
          <w:color w:val="auto"/>
          <w:kern w:val="0"/>
          <w:highlight w:val="none"/>
          <w:lang w:val="en-US" w:eastAsia="zh-CN"/>
        </w:rPr>
        <w:t>75</w:t>
      </w:r>
      <w:r>
        <w:rPr>
          <w:rFonts w:hint="eastAsia" w:ascii="宋体" w:hAnsi="宋体"/>
          <w:b/>
          <w:color w:val="auto"/>
          <w:kern w:val="0"/>
          <w:highlight w:val="none"/>
        </w:rPr>
        <w:t>分）：</w:t>
      </w:r>
    </w:p>
    <w:p w14:paraId="06C0FC95">
      <w:pPr>
        <w:spacing w:line="360" w:lineRule="auto"/>
        <w:ind w:firstLine="422" w:firstLineChars="200"/>
        <w:jc w:val="left"/>
        <w:rPr>
          <w:rFonts w:hint="eastAsia" w:ascii="宋体" w:hAnsi="宋体"/>
          <w:b/>
          <w:bCs/>
          <w:color w:val="auto"/>
          <w:kern w:val="0"/>
          <w:highlight w:val="none"/>
        </w:rPr>
      </w:pPr>
      <w:r>
        <w:rPr>
          <w:rFonts w:hint="eastAsia" w:ascii="宋体" w:hAnsi="宋体"/>
          <w:b/>
          <w:bCs/>
          <w:color w:val="auto"/>
          <w:kern w:val="0"/>
          <w:highlight w:val="none"/>
        </w:rPr>
        <w:t>（1）主要施工方法（满分1</w:t>
      </w:r>
      <w:r>
        <w:rPr>
          <w:rFonts w:hint="eastAsia" w:ascii="宋体" w:hAnsi="宋体"/>
          <w:b/>
          <w:bCs/>
          <w:color w:val="auto"/>
          <w:kern w:val="0"/>
          <w:highlight w:val="none"/>
          <w:lang w:val="en-US" w:eastAsia="zh-CN"/>
        </w:rPr>
        <w:t>5</w:t>
      </w:r>
      <w:r>
        <w:rPr>
          <w:rFonts w:hint="eastAsia" w:ascii="宋体" w:hAnsi="宋体"/>
          <w:b/>
          <w:bCs/>
          <w:color w:val="auto"/>
          <w:kern w:val="0"/>
          <w:highlight w:val="none"/>
        </w:rPr>
        <w:t>分）</w:t>
      </w:r>
    </w:p>
    <w:p w14:paraId="576DC761">
      <w:pPr>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一档（5分）：各主要分部施工方法符合项目需求，有施工技术方案。 </w:t>
      </w:r>
    </w:p>
    <w:p w14:paraId="03B6B880">
      <w:pPr>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二档（10分）：各主要分部施工方法符合项目实际，有</w:t>
      </w:r>
      <w:r>
        <w:rPr>
          <w:rFonts w:hint="eastAsia" w:ascii="宋体" w:hAnsi="宋体" w:eastAsia="宋体" w:cs="宋体"/>
          <w:color w:val="auto"/>
          <w:highlight w:val="none"/>
          <w:lang w:eastAsia="zh-CN"/>
        </w:rPr>
        <w:t>较详细</w:t>
      </w:r>
      <w:r>
        <w:rPr>
          <w:rFonts w:hint="eastAsia" w:ascii="宋体" w:hAnsi="宋体" w:eastAsia="宋体" w:cs="宋体"/>
          <w:color w:val="auto"/>
          <w:highlight w:val="none"/>
        </w:rPr>
        <w:t>施工技术方案，</w:t>
      </w:r>
      <w:bookmarkStart w:id="25" w:name="OLE_LINK37"/>
      <w:r>
        <w:rPr>
          <w:rFonts w:hint="eastAsia" w:ascii="宋体" w:hAnsi="宋体" w:eastAsia="宋体" w:cs="宋体"/>
          <w:color w:val="auto"/>
          <w:highlight w:val="none"/>
        </w:rPr>
        <w:t>有主要分部工程施工步骤、施工要点</w:t>
      </w:r>
      <w:bookmarkEnd w:id="25"/>
      <w:r>
        <w:rPr>
          <w:rFonts w:hint="eastAsia" w:ascii="宋体" w:hAnsi="宋体" w:eastAsia="宋体" w:cs="宋体"/>
          <w:color w:val="auto"/>
          <w:highlight w:val="none"/>
        </w:rPr>
        <w:t xml:space="preserve">，能指导具体施工并确保安全。 </w:t>
      </w:r>
    </w:p>
    <w:p w14:paraId="55C6F9A2">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三档（15分）：各主要分部施工方法符合项目实际，有</w:t>
      </w:r>
      <w:r>
        <w:rPr>
          <w:rFonts w:hint="eastAsia" w:ascii="宋体" w:hAnsi="宋体" w:eastAsia="宋体" w:cs="宋体"/>
          <w:color w:val="auto"/>
          <w:highlight w:val="none"/>
          <w:lang w:eastAsia="zh-CN"/>
        </w:rPr>
        <w:t>详细</w:t>
      </w:r>
      <w:r>
        <w:rPr>
          <w:rFonts w:hint="eastAsia" w:ascii="宋体" w:hAnsi="宋体" w:eastAsia="宋体" w:cs="宋体"/>
          <w:color w:val="auto"/>
          <w:highlight w:val="none"/>
        </w:rPr>
        <w:t>施工技术方案，主要分部工程施工工序、施工步骤、施工要点、施工工艺方案</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施工准备、技术准备或交底、各工种施工配合方案具有针对性，能指导具体施工并确保安全。</w:t>
      </w:r>
    </w:p>
    <w:p w14:paraId="6F90A867">
      <w:pPr>
        <w:spacing w:line="360" w:lineRule="auto"/>
        <w:ind w:firstLine="422" w:firstLineChars="200"/>
        <w:jc w:val="left"/>
        <w:rPr>
          <w:rFonts w:hint="eastAsia" w:ascii="宋体" w:hAnsi="宋体"/>
          <w:b/>
          <w:bCs/>
          <w:color w:val="auto"/>
          <w:kern w:val="0"/>
          <w:highlight w:val="none"/>
        </w:rPr>
      </w:pPr>
      <w:r>
        <w:rPr>
          <w:rFonts w:hint="eastAsia" w:ascii="宋体" w:hAnsi="宋体"/>
          <w:b/>
          <w:bCs/>
          <w:color w:val="auto"/>
          <w:kern w:val="0"/>
          <w:highlight w:val="none"/>
        </w:rPr>
        <w:t>（2）</w:t>
      </w:r>
      <w:r>
        <w:rPr>
          <w:rFonts w:hint="eastAsia" w:ascii="宋体" w:hAnsi="宋体" w:eastAsia="宋体" w:cs="宋体"/>
          <w:b/>
          <w:bCs/>
          <w:color w:val="auto"/>
          <w:highlight w:val="none"/>
        </w:rPr>
        <w:t>拟投入的主要物资计划</w:t>
      </w:r>
      <w:r>
        <w:rPr>
          <w:rFonts w:hint="eastAsia" w:ascii="宋体" w:hAnsi="宋体"/>
          <w:b/>
          <w:bCs/>
          <w:color w:val="auto"/>
          <w:kern w:val="0"/>
          <w:highlight w:val="none"/>
        </w:rPr>
        <w:t>（满分</w:t>
      </w:r>
      <w:r>
        <w:rPr>
          <w:rFonts w:hint="eastAsia" w:ascii="宋体" w:hAnsi="宋体"/>
          <w:b/>
          <w:bCs/>
          <w:color w:val="auto"/>
          <w:kern w:val="0"/>
          <w:highlight w:val="none"/>
          <w:lang w:val="en-US" w:eastAsia="zh-CN"/>
        </w:rPr>
        <w:t>5</w:t>
      </w:r>
      <w:r>
        <w:rPr>
          <w:rFonts w:hint="eastAsia" w:ascii="宋体" w:hAnsi="宋体"/>
          <w:b/>
          <w:bCs/>
          <w:color w:val="auto"/>
          <w:kern w:val="0"/>
          <w:highlight w:val="none"/>
        </w:rPr>
        <w:t>分）</w:t>
      </w:r>
    </w:p>
    <w:p w14:paraId="2428B041">
      <w:pPr>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一档（</w:t>
      </w:r>
      <w:r>
        <w:rPr>
          <w:rFonts w:hint="eastAsia" w:ascii="宋体" w:hAnsi="宋体" w:cs="宋体"/>
          <w:color w:val="auto"/>
          <w:highlight w:val="none"/>
          <w:lang w:val="en-US" w:eastAsia="zh-CN"/>
        </w:rPr>
        <w:t>1</w:t>
      </w:r>
      <w:r>
        <w:rPr>
          <w:rFonts w:hint="eastAsia" w:ascii="宋体" w:hAnsi="宋体" w:eastAsia="宋体" w:cs="宋体"/>
          <w:color w:val="auto"/>
          <w:highlight w:val="none"/>
        </w:rPr>
        <w:t>分）：投入的施工材料有组织计划，基本满足本项目施工需要。各主要施工工序有劳动力安排计划，有各工种劳动力安排计划，基本能满足施工需要。</w:t>
      </w:r>
    </w:p>
    <w:p w14:paraId="5F540011">
      <w:pPr>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二档（</w:t>
      </w:r>
      <w:r>
        <w:rPr>
          <w:rFonts w:hint="eastAsia" w:ascii="宋体" w:hAnsi="宋体" w:cs="宋体"/>
          <w:color w:val="auto"/>
          <w:highlight w:val="none"/>
          <w:lang w:val="en-US" w:eastAsia="zh-CN"/>
        </w:rPr>
        <w:t>3</w:t>
      </w:r>
      <w:r>
        <w:rPr>
          <w:rFonts w:hint="eastAsia" w:ascii="宋体" w:hAnsi="宋体" w:eastAsia="宋体" w:cs="宋体"/>
          <w:color w:val="auto"/>
          <w:highlight w:val="none"/>
        </w:rPr>
        <w:t>分）：投入的主要物资计划与进度计划呼应，满足施工需要，定量定点堆放物资。各主要施工工序有劳动力安排计划，不窝工，有各工种劳动力安排计划，能满足施工需要。</w:t>
      </w:r>
    </w:p>
    <w:p w14:paraId="7AC69056">
      <w:pPr>
        <w:spacing w:line="360" w:lineRule="auto"/>
        <w:ind w:firstLine="420" w:firstLineChars="200"/>
        <w:jc w:val="left"/>
        <w:rPr>
          <w:rFonts w:hint="eastAsia" w:ascii="宋体" w:hAnsi="宋体" w:cs="宋体"/>
          <w:color w:val="auto"/>
          <w:kern w:val="0"/>
          <w:highlight w:val="none"/>
        </w:rPr>
      </w:pPr>
      <w:r>
        <w:rPr>
          <w:rFonts w:hint="eastAsia" w:ascii="宋体" w:hAnsi="宋体" w:eastAsia="宋体" w:cs="宋体"/>
          <w:color w:val="auto"/>
          <w:highlight w:val="none"/>
        </w:rPr>
        <w:t>三档（</w:t>
      </w:r>
      <w:r>
        <w:rPr>
          <w:rFonts w:hint="eastAsia" w:ascii="宋体" w:hAnsi="宋体" w:cs="宋体"/>
          <w:color w:val="auto"/>
          <w:highlight w:val="none"/>
          <w:lang w:val="en-US" w:eastAsia="zh-CN"/>
        </w:rPr>
        <w:t>5</w:t>
      </w:r>
      <w:r>
        <w:rPr>
          <w:rFonts w:hint="eastAsia" w:ascii="宋体" w:hAnsi="宋体" w:eastAsia="宋体" w:cs="宋体"/>
          <w:color w:val="auto"/>
          <w:highlight w:val="none"/>
        </w:rPr>
        <w:t>分）：投入的主要物资计划与进度计划呼应，满足施工需要，</w:t>
      </w:r>
      <w:r>
        <w:rPr>
          <w:rFonts w:hint="eastAsia" w:ascii="宋体" w:hAnsi="宋体" w:eastAsia="宋体" w:cs="宋体"/>
          <w:color w:val="auto"/>
          <w:highlight w:val="none"/>
          <w:lang w:eastAsia="zh-CN"/>
        </w:rPr>
        <w:t>有详细的</w:t>
      </w:r>
      <w:r>
        <w:rPr>
          <w:rFonts w:hint="eastAsia" w:ascii="宋体" w:hAnsi="宋体" w:eastAsia="宋体" w:cs="宋体"/>
          <w:color w:val="auto"/>
          <w:highlight w:val="none"/>
        </w:rPr>
        <w:t>材料物资采购及供应保证措施，定量定点堆放物资。各主要施工工序有</w:t>
      </w:r>
      <w:r>
        <w:rPr>
          <w:rFonts w:hint="eastAsia" w:ascii="宋体" w:hAnsi="宋体" w:eastAsia="宋体" w:cs="宋体"/>
          <w:color w:val="auto"/>
          <w:highlight w:val="none"/>
          <w:lang w:eastAsia="zh-CN"/>
        </w:rPr>
        <w:t>细致</w:t>
      </w:r>
      <w:r>
        <w:rPr>
          <w:rFonts w:hint="eastAsia" w:ascii="宋体" w:hAnsi="宋体" w:eastAsia="宋体" w:cs="宋体"/>
          <w:color w:val="auto"/>
          <w:highlight w:val="none"/>
        </w:rPr>
        <w:t>的劳动力安排计划，不窝工，各工种劳动力安排计划</w:t>
      </w:r>
      <w:r>
        <w:rPr>
          <w:rFonts w:hint="eastAsia" w:ascii="宋体" w:hAnsi="宋体" w:eastAsia="宋体" w:cs="宋体"/>
          <w:color w:val="auto"/>
          <w:highlight w:val="none"/>
          <w:lang w:eastAsia="zh-CN"/>
        </w:rPr>
        <w:t>具有针对性</w:t>
      </w:r>
      <w:r>
        <w:rPr>
          <w:rFonts w:hint="eastAsia" w:ascii="宋体" w:hAnsi="宋体" w:eastAsia="宋体" w:cs="宋体"/>
          <w:color w:val="auto"/>
          <w:highlight w:val="none"/>
        </w:rPr>
        <w:t>，有切实有效的劳动力保障措施，能满足施工需要且衔接得当。</w:t>
      </w:r>
    </w:p>
    <w:p w14:paraId="67C18628">
      <w:pPr>
        <w:spacing w:line="360" w:lineRule="auto"/>
        <w:ind w:firstLine="422" w:firstLineChars="200"/>
        <w:jc w:val="left"/>
        <w:rPr>
          <w:rFonts w:hint="eastAsia" w:ascii="宋体" w:hAnsi="宋体" w:eastAsia="宋体"/>
          <w:b/>
          <w:bCs/>
          <w:color w:val="auto"/>
          <w:kern w:val="0"/>
          <w:highlight w:val="none"/>
          <w:lang w:eastAsia="zh-CN"/>
        </w:rPr>
      </w:pPr>
      <w:r>
        <w:rPr>
          <w:rFonts w:hint="eastAsia" w:ascii="宋体" w:hAnsi="宋体"/>
          <w:b/>
          <w:bCs/>
          <w:color w:val="auto"/>
          <w:kern w:val="0"/>
          <w:highlight w:val="none"/>
        </w:rPr>
        <w:t>（</w:t>
      </w:r>
      <w:r>
        <w:rPr>
          <w:rFonts w:hint="eastAsia" w:ascii="宋体" w:hAnsi="宋体"/>
          <w:b/>
          <w:bCs/>
          <w:color w:val="auto"/>
          <w:kern w:val="0"/>
          <w:highlight w:val="none"/>
          <w:lang w:val="en-US" w:eastAsia="zh-CN"/>
        </w:rPr>
        <w:t>3</w:t>
      </w:r>
      <w:r>
        <w:rPr>
          <w:rFonts w:hint="eastAsia" w:ascii="宋体" w:hAnsi="宋体"/>
          <w:b/>
          <w:bCs/>
          <w:color w:val="auto"/>
          <w:kern w:val="0"/>
          <w:highlight w:val="none"/>
        </w:rPr>
        <w:t>）</w:t>
      </w:r>
      <w:r>
        <w:rPr>
          <w:rFonts w:hint="eastAsia" w:ascii="宋体" w:hAnsi="宋体" w:eastAsia="宋体" w:cs="宋体"/>
          <w:b/>
          <w:bCs/>
          <w:color w:val="auto"/>
          <w:highlight w:val="none"/>
        </w:rPr>
        <w:t>劳动力安排计划</w:t>
      </w:r>
      <w:r>
        <w:rPr>
          <w:rFonts w:hint="eastAsia" w:ascii="宋体" w:hAnsi="宋体" w:cs="宋体"/>
          <w:b/>
          <w:bCs/>
          <w:color w:val="auto"/>
          <w:highlight w:val="none"/>
          <w:lang w:eastAsia="zh-CN"/>
        </w:rPr>
        <w:t>（</w:t>
      </w:r>
      <w:r>
        <w:rPr>
          <w:rFonts w:hint="eastAsia" w:ascii="宋体" w:hAnsi="宋体" w:cs="宋体"/>
          <w:b/>
          <w:bCs/>
          <w:color w:val="auto"/>
          <w:highlight w:val="none"/>
          <w:lang w:val="en-US" w:eastAsia="zh-CN"/>
        </w:rPr>
        <w:t>满分5分</w:t>
      </w:r>
      <w:r>
        <w:rPr>
          <w:rFonts w:hint="eastAsia" w:ascii="宋体" w:hAnsi="宋体" w:cs="宋体"/>
          <w:b/>
          <w:bCs/>
          <w:color w:val="auto"/>
          <w:highlight w:val="none"/>
          <w:lang w:eastAsia="zh-CN"/>
        </w:rPr>
        <w:t>）</w:t>
      </w:r>
    </w:p>
    <w:p w14:paraId="6B58723A">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lang w:val="en-US" w:eastAsia="zh-CN"/>
        </w:rPr>
        <w:t>一档</w:t>
      </w:r>
      <w:r>
        <w:rPr>
          <w:rFonts w:hint="eastAsia" w:ascii="宋体" w:hAnsi="宋体" w:cs="宋体"/>
          <w:color w:val="auto"/>
          <w:kern w:val="0"/>
          <w:highlight w:val="none"/>
        </w:rPr>
        <w:t>（</w:t>
      </w:r>
      <w:r>
        <w:rPr>
          <w:rFonts w:hint="eastAsia" w:ascii="宋体" w:hAnsi="宋体" w:cs="宋体"/>
          <w:color w:val="auto"/>
          <w:kern w:val="0"/>
          <w:highlight w:val="none"/>
          <w:lang w:val="en-US" w:eastAsia="zh-CN"/>
        </w:rPr>
        <w:t>1</w:t>
      </w:r>
      <w:r>
        <w:rPr>
          <w:rFonts w:hint="eastAsia" w:ascii="宋体" w:hAnsi="宋体" w:cs="宋体"/>
          <w:color w:val="auto"/>
          <w:kern w:val="0"/>
          <w:highlight w:val="none"/>
        </w:rPr>
        <w:t>分）：磋商供应商根据本项目施工需要，配置各分部劳动力一般，各主要施工工序有劳动力安排计划，有各工种劳动力安排计划，但劳动力投入不合理，有应急安排计划但不完善，满足项目施工需要。</w:t>
      </w:r>
    </w:p>
    <w:p w14:paraId="293C78AC">
      <w:pPr>
        <w:spacing w:line="360" w:lineRule="auto"/>
        <w:ind w:firstLine="420" w:firstLineChars="200"/>
        <w:jc w:val="left"/>
        <w:rPr>
          <w:rFonts w:hint="eastAsia" w:ascii="宋体" w:hAnsi="宋体" w:cs="宋体"/>
          <w:color w:val="auto"/>
          <w:kern w:val="0"/>
          <w:highlight w:val="none"/>
        </w:rPr>
      </w:pPr>
      <w:r>
        <w:rPr>
          <w:rFonts w:hint="eastAsia" w:ascii="宋体" w:hAnsi="宋体" w:cs="宋体"/>
          <w:color w:val="auto"/>
          <w:kern w:val="0"/>
          <w:highlight w:val="none"/>
          <w:lang w:val="en-US" w:eastAsia="zh-CN"/>
        </w:rPr>
        <w:t>二档</w:t>
      </w:r>
      <w:r>
        <w:rPr>
          <w:rFonts w:hint="eastAsia" w:ascii="宋体" w:hAnsi="宋体" w:cs="宋体"/>
          <w:color w:val="auto"/>
          <w:kern w:val="0"/>
          <w:highlight w:val="none"/>
        </w:rPr>
        <w:t>（</w:t>
      </w:r>
      <w:r>
        <w:rPr>
          <w:rFonts w:hint="eastAsia" w:ascii="宋体" w:hAnsi="宋体" w:cs="宋体"/>
          <w:color w:val="auto"/>
          <w:kern w:val="0"/>
          <w:highlight w:val="none"/>
          <w:lang w:val="en-US" w:eastAsia="zh-CN"/>
        </w:rPr>
        <w:t>3</w:t>
      </w:r>
      <w:r>
        <w:rPr>
          <w:rFonts w:hint="eastAsia" w:ascii="宋体" w:hAnsi="宋体" w:cs="宋体"/>
          <w:color w:val="auto"/>
          <w:kern w:val="0"/>
          <w:highlight w:val="none"/>
        </w:rPr>
        <w:t>分）：磋商供应商根据本项目施工需要，合理配置各分部劳动力，且各主要施工工序有较详细周密的劳动力安排计划，有针对性的安排各工种劳动力，提供人员进退场计划，杜绝人员不足、人员窝工等情况，且安排计划较详细周密、可行，劳动力投入合理，且具有应急安排计划，满足项目平行施工等需要。并承诺拟投入本项目各工种劳动力，特殊工种具备相应的资格证书或合格证书。</w:t>
      </w:r>
    </w:p>
    <w:p w14:paraId="649A6C45">
      <w:pPr>
        <w:spacing w:line="360" w:lineRule="auto"/>
        <w:ind w:firstLine="420" w:firstLineChars="200"/>
        <w:jc w:val="left"/>
        <w:rPr>
          <w:rFonts w:hint="eastAsia" w:ascii="宋体" w:hAnsi="宋体"/>
          <w:b/>
          <w:bCs/>
          <w:color w:val="auto"/>
          <w:kern w:val="0"/>
          <w:highlight w:val="none"/>
        </w:rPr>
      </w:pPr>
      <w:r>
        <w:rPr>
          <w:rFonts w:hint="eastAsia" w:ascii="宋体" w:hAnsi="宋体" w:cs="宋体"/>
          <w:color w:val="auto"/>
          <w:kern w:val="0"/>
          <w:highlight w:val="none"/>
          <w:lang w:val="en-US" w:eastAsia="zh-CN"/>
        </w:rPr>
        <w:t>三档</w:t>
      </w:r>
      <w:r>
        <w:rPr>
          <w:rFonts w:hint="eastAsia" w:ascii="宋体" w:hAnsi="宋体" w:cs="宋体"/>
          <w:color w:val="auto"/>
          <w:kern w:val="0"/>
          <w:highlight w:val="none"/>
        </w:rPr>
        <w:t>（</w:t>
      </w:r>
      <w:r>
        <w:rPr>
          <w:rFonts w:hint="eastAsia" w:ascii="宋体" w:hAnsi="宋体" w:cs="宋体"/>
          <w:color w:val="auto"/>
          <w:kern w:val="0"/>
          <w:highlight w:val="none"/>
          <w:lang w:val="en-US" w:eastAsia="zh-CN"/>
        </w:rPr>
        <w:t>5</w:t>
      </w:r>
      <w:r>
        <w:rPr>
          <w:rFonts w:hint="eastAsia" w:ascii="宋体" w:hAnsi="宋体" w:cs="宋体"/>
          <w:color w:val="auto"/>
          <w:kern w:val="0"/>
          <w:highlight w:val="none"/>
        </w:rPr>
        <w:t>分）：磋商供应商根据本项目施工需要，合理配置各分部劳动力，各主要施工工序有详细周密的劳动力安排计划，有针对性的安排各工种劳动力，提供人员进退场计划，杜绝人员不足、人员窝工等情况，且安排计划详细周密，可行性高，劳动力投入科学合理，具有应急安排计划，完全满足项目平行施工等需要。并承诺拟投入本项目的劳动力稳定，各工种劳动力</w:t>
      </w:r>
      <w:r>
        <w:rPr>
          <w:rFonts w:hint="eastAsia" w:ascii="宋体" w:hAnsi="宋体" w:cs="宋体"/>
          <w:color w:val="auto"/>
          <w:kern w:val="0"/>
          <w:highlight w:val="none"/>
          <w:lang w:val="en-US" w:eastAsia="zh-CN"/>
        </w:rPr>
        <w:t>及</w:t>
      </w:r>
      <w:r>
        <w:rPr>
          <w:rFonts w:hint="eastAsia" w:ascii="宋体" w:hAnsi="宋体" w:cs="宋体"/>
          <w:color w:val="auto"/>
          <w:kern w:val="0"/>
          <w:highlight w:val="none"/>
        </w:rPr>
        <w:t>特殊工种具备相应的资格证书或合格证书。</w:t>
      </w:r>
    </w:p>
    <w:p w14:paraId="14873415">
      <w:pPr>
        <w:spacing w:line="360" w:lineRule="auto"/>
        <w:ind w:firstLine="422" w:firstLineChars="200"/>
        <w:jc w:val="left"/>
        <w:rPr>
          <w:rFonts w:hint="eastAsia" w:ascii="宋体" w:hAnsi="宋体"/>
          <w:b/>
          <w:bCs/>
          <w:color w:val="auto"/>
          <w:kern w:val="0"/>
          <w:highlight w:val="none"/>
        </w:rPr>
      </w:pPr>
      <w:r>
        <w:rPr>
          <w:rFonts w:hint="eastAsia" w:ascii="宋体" w:hAnsi="宋体"/>
          <w:b/>
          <w:bCs/>
          <w:color w:val="auto"/>
          <w:kern w:val="0"/>
          <w:highlight w:val="none"/>
          <w:lang w:eastAsia="zh-CN"/>
        </w:rPr>
        <w:t>（</w:t>
      </w:r>
      <w:r>
        <w:rPr>
          <w:rFonts w:hint="eastAsia" w:ascii="宋体" w:hAnsi="宋体"/>
          <w:b/>
          <w:bCs/>
          <w:color w:val="auto"/>
          <w:kern w:val="0"/>
          <w:highlight w:val="none"/>
          <w:lang w:val="en-US" w:eastAsia="zh-CN"/>
        </w:rPr>
        <w:t>4</w:t>
      </w:r>
      <w:r>
        <w:rPr>
          <w:rFonts w:hint="eastAsia" w:ascii="宋体" w:hAnsi="宋体"/>
          <w:b/>
          <w:bCs/>
          <w:color w:val="auto"/>
          <w:kern w:val="0"/>
          <w:highlight w:val="none"/>
          <w:lang w:eastAsia="zh-CN"/>
        </w:rPr>
        <w:t>）</w:t>
      </w:r>
      <w:r>
        <w:rPr>
          <w:rFonts w:hint="eastAsia" w:ascii="宋体" w:hAnsi="宋体"/>
          <w:b/>
          <w:bCs/>
          <w:color w:val="auto"/>
          <w:kern w:val="0"/>
          <w:highlight w:val="none"/>
        </w:rPr>
        <w:t>确保工程质量的技术组织措施（满分</w:t>
      </w:r>
      <w:r>
        <w:rPr>
          <w:rFonts w:hint="eastAsia" w:ascii="宋体" w:hAnsi="宋体"/>
          <w:b/>
          <w:bCs/>
          <w:color w:val="auto"/>
          <w:kern w:val="0"/>
          <w:highlight w:val="none"/>
          <w:lang w:val="en-US" w:eastAsia="zh-CN"/>
        </w:rPr>
        <w:t>10</w:t>
      </w:r>
      <w:r>
        <w:rPr>
          <w:rFonts w:hint="eastAsia" w:ascii="宋体" w:hAnsi="宋体"/>
          <w:b/>
          <w:bCs/>
          <w:color w:val="auto"/>
          <w:kern w:val="0"/>
          <w:highlight w:val="none"/>
        </w:rPr>
        <w:t>分）</w:t>
      </w:r>
    </w:p>
    <w:p w14:paraId="488C6B56">
      <w:pPr>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一档（</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分）：有质量技术管理班子和制度，主要工序有质量技术保证措施和手段。</w:t>
      </w:r>
    </w:p>
    <w:p w14:paraId="407073E6">
      <w:pPr>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二档（</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分）：有质量技术管理班子和制度，主要工序有质量技术保证措施和手段，有施工准备阶段和施工过程质量控制措施，能保证技术质量，满足采购需求文件的质量要求及验收规范要求。</w:t>
      </w:r>
    </w:p>
    <w:p w14:paraId="0B9F9338">
      <w:pPr>
        <w:widowControl/>
        <w:spacing w:line="360" w:lineRule="auto"/>
        <w:ind w:firstLine="420" w:firstLineChars="200"/>
        <w:rPr>
          <w:rFonts w:hint="eastAsia" w:asciiTheme="minorEastAsia" w:hAnsiTheme="minorEastAsia" w:eastAsiaTheme="minorEastAsia" w:cstheme="minorEastAsia"/>
          <w:color w:val="auto"/>
          <w:kern w:val="0"/>
          <w:highlight w:val="none"/>
        </w:rPr>
      </w:pPr>
      <w:r>
        <w:rPr>
          <w:rFonts w:hint="eastAsia" w:ascii="宋体" w:hAnsi="宋体" w:eastAsia="宋体" w:cs="宋体"/>
          <w:color w:val="auto"/>
          <w:highlight w:val="none"/>
        </w:rPr>
        <w:t>三档（</w:t>
      </w:r>
      <w:r>
        <w:rPr>
          <w:rFonts w:hint="eastAsia" w:ascii="宋体" w:hAnsi="宋体" w:eastAsia="宋体" w:cs="宋体"/>
          <w:color w:val="auto"/>
          <w:highlight w:val="none"/>
          <w:lang w:val="en-US" w:eastAsia="zh-CN"/>
        </w:rPr>
        <w:t>10</w:t>
      </w:r>
      <w:r>
        <w:rPr>
          <w:rFonts w:hint="eastAsia" w:ascii="宋体" w:hAnsi="宋体" w:eastAsia="宋体" w:cs="宋体"/>
          <w:color w:val="auto"/>
          <w:highlight w:val="none"/>
        </w:rPr>
        <w:t>分）：有专门的质量技术管理班子和制度，明确管理班子质量责任，主要工序有质量技术保证措施和手段，有施工准备阶段、施工过程、竣工验收及交工阶段质量控制措施，隐蔽工程检查制度，有施工质量验收制度，工程质量保修方案，保障技术质量，达到承诺的质量标准及验收规范要求</w:t>
      </w:r>
      <w:r>
        <w:rPr>
          <w:rFonts w:hint="eastAsia" w:asciiTheme="minorEastAsia" w:hAnsiTheme="minorEastAsia" w:eastAsiaTheme="minorEastAsia" w:cstheme="minorEastAsia"/>
          <w:color w:val="auto"/>
          <w:kern w:val="0"/>
          <w:highlight w:val="none"/>
        </w:rPr>
        <w:t>。</w:t>
      </w:r>
    </w:p>
    <w:p w14:paraId="59BC5743">
      <w:pPr>
        <w:spacing w:line="360" w:lineRule="auto"/>
        <w:ind w:firstLine="422" w:firstLineChars="200"/>
        <w:jc w:val="left"/>
        <w:rPr>
          <w:rFonts w:hint="eastAsia" w:asciiTheme="minorEastAsia" w:hAnsiTheme="minorEastAsia" w:eastAsiaTheme="minorEastAsia" w:cstheme="minorEastAsia"/>
          <w:b/>
          <w:bCs/>
          <w:color w:val="auto"/>
          <w:kern w:val="0"/>
          <w:highlight w:val="none"/>
        </w:rPr>
      </w:pPr>
      <w:r>
        <w:rPr>
          <w:rFonts w:hint="eastAsia" w:asciiTheme="minorEastAsia" w:hAnsiTheme="minorEastAsia" w:eastAsiaTheme="minorEastAsia" w:cstheme="minorEastAsia"/>
          <w:b/>
          <w:bCs/>
          <w:color w:val="auto"/>
          <w:kern w:val="0"/>
          <w:highlight w:val="none"/>
        </w:rPr>
        <w:t>（</w:t>
      </w:r>
      <w:r>
        <w:rPr>
          <w:rFonts w:hint="eastAsia" w:asciiTheme="minorEastAsia" w:hAnsiTheme="minorEastAsia" w:eastAsiaTheme="minorEastAsia" w:cstheme="minorEastAsia"/>
          <w:b/>
          <w:bCs/>
          <w:color w:val="auto"/>
          <w:kern w:val="0"/>
          <w:highlight w:val="none"/>
          <w:lang w:val="en-US" w:eastAsia="zh-CN"/>
        </w:rPr>
        <w:t>5</w:t>
      </w:r>
      <w:r>
        <w:rPr>
          <w:rFonts w:hint="eastAsia" w:asciiTheme="minorEastAsia" w:hAnsiTheme="minorEastAsia" w:eastAsiaTheme="minorEastAsia" w:cstheme="minorEastAsia"/>
          <w:b/>
          <w:bCs/>
          <w:color w:val="auto"/>
          <w:kern w:val="0"/>
          <w:highlight w:val="none"/>
        </w:rPr>
        <w:t>）确保安全生产的技术组织措施（满分</w:t>
      </w:r>
      <w:r>
        <w:rPr>
          <w:rFonts w:hint="eastAsia" w:asciiTheme="minorEastAsia" w:hAnsiTheme="minorEastAsia" w:eastAsiaTheme="minorEastAsia" w:cstheme="minorEastAsia"/>
          <w:b/>
          <w:bCs/>
          <w:color w:val="auto"/>
          <w:kern w:val="0"/>
          <w:highlight w:val="none"/>
          <w:lang w:val="en-US" w:eastAsia="zh-CN"/>
        </w:rPr>
        <w:t>10</w:t>
      </w:r>
      <w:r>
        <w:rPr>
          <w:rFonts w:hint="eastAsia" w:asciiTheme="minorEastAsia" w:hAnsiTheme="minorEastAsia" w:eastAsiaTheme="minorEastAsia" w:cstheme="minorEastAsia"/>
          <w:b/>
          <w:bCs/>
          <w:color w:val="auto"/>
          <w:kern w:val="0"/>
          <w:highlight w:val="none"/>
        </w:rPr>
        <w:t>分）</w:t>
      </w:r>
    </w:p>
    <w:p w14:paraId="03002ED4">
      <w:pPr>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一档（2分）：</w:t>
      </w:r>
      <w:r>
        <w:rPr>
          <w:rFonts w:hint="eastAsia" w:ascii="宋体" w:hAnsi="宋体" w:eastAsia="宋体" w:cs="宋体"/>
          <w:color w:val="auto"/>
          <w:szCs w:val="21"/>
          <w:highlight w:val="none"/>
        </w:rPr>
        <w:t>有专门的安全管理人员和制度，有各道工序安全技术措施。</w:t>
      </w:r>
    </w:p>
    <w:p w14:paraId="3D26BFFC">
      <w:pPr>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color w:val="auto"/>
          <w:highlight w:val="none"/>
        </w:rPr>
        <w:t>二档（6分）：</w:t>
      </w:r>
      <w:r>
        <w:rPr>
          <w:rFonts w:hint="eastAsia" w:ascii="宋体" w:hAnsi="宋体" w:eastAsia="宋体" w:cs="宋体"/>
          <w:color w:val="auto"/>
          <w:szCs w:val="21"/>
          <w:highlight w:val="none"/>
        </w:rPr>
        <w:t>有专门的安全管理人员和制度，有各道工序安全技术措施，确保</w:t>
      </w:r>
      <w:r>
        <w:rPr>
          <w:rFonts w:hint="eastAsia" w:ascii="宋体" w:hAnsi="宋体" w:eastAsia="宋体" w:cs="宋体"/>
          <w:bCs/>
          <w:color w:val="auto"/>
          <w:highlight w:val="none"/>
        </w:rPr>
        <w:t>工程质量的技术组织措施符合实际且满足有关安全技术标准要求。有现场防火、应急救援、社会治安安全措施。</w:t>
      </w:r>
    </w:p>
    <w:p w14:paraId="4CB06DA8">
      <w:pPr>
        <w:widowControl/>
        <w:spacing w:line="360" w:lineRule="auto"/>
        <w:ind w:firstLine="420" w:firstLineChars="200"/>
        <w:rPr>
          <w:rFonts w:hint="eastAsia" w:asciiTheme="minorEastAsia" w:hAnsiTheme="minorEastAsia" w:eastAsiaTheme="minorEastAsia" w:cstheme="minorEastAsia"/>
          <w:color w:val="auto"/>
          <w:kern w:val="0"/>
          <w:highlight w:val="none"/>
        </w:rPr>
      </w:pPr>
      <w:r>
        <w:rPr>
          <w:rFonts w:hint="eastAsia" w:ascii="宋体" w:hAnsi="宋体" w:eastAsia="宋体" w:cs="宋体"/>
          <w:bCs/>
          <w:color w:val="auto"/>
          <w:highlight w:val="none"/>
        </w:rPr>
        <w:t>三档（10分）：有专门的安全管理人员和制度，各道工序安全技术措施具有针对性，确保工程质量的技术组织措施切合实际且优于有关安全技术标准要求。有</w:t>
      </w:r>
      <w:r>
        <w:rPr>
          <w:rFonts w:hint="eastAsia" w:ascii="宋体" w:hAnsi="宋体" w:eastAsia="宋体" w:cs="宋体"/>
          <w:bCs/>
          <w:color w:val="auto"/>
          <w:highlight w:val="none"/>
          <w:lang w:eastAsia="zh-CN"/>
        </w:rPr>
        <w:t>详细的</w:t>
      </w:r>
      <w:r>
        <w:rPr>
          <w:rFonts w:hint="eastAsia" w:ascii="宋体" w:hAnsi="宋体" w:eastAsia="宋体" w:cs="宋体"/>
          <w:bCs/>
          <w:color w:val="auto"/>
          <w:highlight w:val="none"/>
        </w:rPr>
        <w:t>现场防火、应急救援、社会治安安全措施且有保障性。有安全生产责任、安全生产教育培训制度、施工现场临时用电方案及安全用电措施、安全管理目标</w:t>
      </w:r>
      <w:r>
        <w:rPr>
          <w:rFonts w:hint="eastAsia" w:asciiTheme="minorEastAsia" w:hAnsiTheme="minorEastAsia" w:eastAsiaTheme="minorEastAsia" w:cstheme="minorEastAsia"/>
          <w:color w:val="auto"/>
          <w:kern w:val="0"/>
          <w:highlight w:val="none"/>
        </w:rPr>
        <w:t>。</w:t>
      </w:r>
    </w:p>
    <w:p w14:paraId="3BFC57E8">
      <w:pPr>
        <w:spacing w:line="360" w:lineRule="auto"/>
        <w:ind w:firstLine="422" w:firstLineChars="200"/>
        <w:jc w:val="left"/>
        <w:rPr>
          <w:rFonts w:hint="eastAsia" w:asciiTheme="minorEastAsia" w:hAnsiTheme="minorEastAsia" w:eastAsiaTheme="minorEastAsia" w:cstheme="minorEastAsia"/>
          <w:b/>
          <w:bCs/>
          <w:color w:val="auto"/>
          <w:kern w:val="0"/>
          <w:highlight w:val="none"/>
        </w:rPr>
      </w:pPr>
      <w:r>
        <w:rPr>
          <w:rFonts w:hint="eastAsia" w:asciiTheme="minorEastAsia" w:hAnsiTheme="minorEastAsia" w:eastAsiaTheme="minorEastAsia" w:cstheme="minorEastAsia"/>
          <w:b/>
          <w:bCs/>
          <w:color w:val="auto"/>
          <w:kern w:val="0"/>
          <w:highlight w:val="none"/>
        </w:rPr>
        <w:t>（</w:t>
      </w:r>
      <w:r>
        <w:rPr>
          <w:rFonts w:hint="eastAsia" w:asciiTheme="minorEastAsia" w:hAnsiTheme="minorEastAsia" w:eastAsiaTheme="minorEastAsia" w:cstheme="minorEastAsia"/>
          <w:b/>
          <w:bCs/>
          <w:color w:val="auto"/>
          <w:kern w:val="0"/>
          <w:highlight w:val="none"/>
          <w:lang w:val="en-US" w:eastAsia="zh-CN"/>
        </w:rPr>
        <w:t>6</w:t>
      </w:r>
      <w:r>
        <w:rPr>
          <w:rFonts w:hint="eastAsia" w:asciiTheme="minorEastAsia" w:hAnsiTheme="minorEastAsia" w:eastAsiaTheme="minorEastAsia" w:cstheme="minorEastAsia"/>
          <w:b/>
          <w:bCs/>
          <w:color w:val="auto"/>
          <w:kern w:val="0"/>
          <w:highlight w:val="none"/>
        </w:rPr>
        <w:t>）确保工期的技术组织措施（满分</w:t>
      </w:r>
      <w:r>
        <w:rPr>
          <w:rFonts w:hint="eastAsia" w:asciiTheme="minorEastAsia" w:hAnsiTheme="minorEastAsia" w:eastAsiaTheme="minorEastAsia" w:cstheme="minorEastAsia"/>
          <w:b/>
          <w:bCs/>
          <w:color w:val="auto"/>
          <w:kern w:val="0"/>
          <w:highlight w:val="none"/>
          <w:lang w:val="en-US" w:eastAsia="zh-CN"/>
        </w:rPr>
        <w:t>10</w:t>
      </w:r>
      <w:r>
        <w:rPr>
          <w:rFonts w:hint="eastAsia" w:asciiTheme="minorEastAsia" w:hAnsiTheme="minorEastAsia" w:eastAsiaTheme="minorEastAsia" w:cstheme="minorEastAsia"/>
          <w:b/>
          <w:bCs/>
          <w:color w:val="auto"/>
          <w:kern w:val="0"/>
          <w:highlight w:val="none"/>
        </w:rPr>
        <w:t>分）</w:t>
      </w:r>
    </w:p>
    <w:p w14:paraId="776F93F6">
      <w:pPr>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一档（</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分）：在施工工艺、施工方法、材料选用、劳动力安排、技术方面有保证工期的措施。有控制工期的施工进度计划。</w:t>
      </w:r>
    </w:p>
    <w:p w14:paraId="7E43EEC6">
      <w:pPr>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二档（</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分）：在施工工艺、施工方法、材料选用、劳动力安排、技术方面有保证工期的措施。有控制工期的施工进度计划。有施工总进度表或施工网络图。</w:t>
      </w:r>
    </w:p>
    <w:p w14:paraId="4F068F79">
      <w:pPr>
        <w:widowControl/>
        <w:spacing w:line="360" w:lineRule="auto"/>
        <w:ind w:firstLine="420" w:firstLineChars="200"/>
        <w:rPr>
          <w:rFonts w:hint="eastAsia" w:asciiTheme="minorEastAsia" w:hAnsiTheme="minorEastAsia" w:eastAsiaTheme="minorEastAsia" w:cstheme="minorEastAsia"/>
          <w:color w:val="auto"/>
          <w:kern w:val="0"/>
          <w:highlight w:val="none"/>
        </w:rPr>
      </w:pPr>
      <w:r>
        <w:rPr>
          <w:rFonts w:hint="eastAsia" w:ascii="宋体" w:hAnsi="宋体" w:eastAsia="宋体" w:cs="宋体"/>
          <w:color w:val="auto"/>
          <w:highlight w:val="none"/>
        </w:rPr>
        <w:t>三档（</w:t>
      </w:r>
      <w:r>
        <w:rPr>
          <w:rFonts w:hint="eastAsia" w:ascii="宋体" w:hAnsi="宋体" w:eastAsia="宋体" w:cs="宋体"/>
          <w:color w:val="auto"/>
          <w:highlight w:val="none"/>
          <w:lang w:val="en-US" w:eastAsia="zh-CN"/>
        </w:rPr>
        <w:t>10</w:t>
      </w:r>
      <w:r>
        <w:rPr>
          <w:rFonts w:hint="eastAsia" w:ascii="宋体" w:hAnsi="宋体" w:eastAsia="宋体" w:cs="宋体"/>
          <w:color w:val="auto"/>
          <w:highlight w:val="none"/>
        </w:rPr>
        <w:t>分）：在施工工艺、施工方法、材料选用、劳动力安排、技术方面有保证工期的措施且具有针对性，满足项目需求。有控制工期的施工进度计划</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施工进度计划的执行与控制</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进度偏差管理措施。有</w:t>
      </w:r>
      <w:r>
        <w:rPr>
          <w:rFonts w:hint="eastAsia" w:ascii="宋体" w:hAnsi="宋体" w:eastAsia="宋体" w:cs="宋体"/>
          <w:color w:val="auto"/>
          <w:highlight w:val="none"/>
          <w:lang w:eastAsia="zh-CN"/>
        </w:rPr>
        <w:t>详细的</w:t>
      </w:r>
      <w:r>
        <w:rPr>
          <w:rFonts w:hint="eastAsia" w:ascii="宋体" w:hAnsi="宋体" w:eastAsia="宋体" w:cs="宋体"/>
          <w:color w:val="auto"/>
          <w:highlight w:val="none"/>
        </w:rPr>
        <w:t>施工总进度表或施工网络图</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各项计划图表编制。</w:t>
      </w:r>
    </w:p>
    <w:p w14:paraId="18AD47AD">
      <w:pPr>
        <w:spacing w:line="360" w:lineRule="auto"/>
        <w:ind w:firstLine="422" w:firstLineChars="200"/>
        <w:jc w:val="left"/>
        <w:rPr>
          <w:rFonts w:hint="eastAsia" w:asciiTheme="minorEastAsia" w:hAnsiTheme="minorEastAsia" w:eastAsiaTheme="minorEastAsia" w:cstheme="minorEastAsia"/>
          <w:b/>
          <w:bCs/>
          <w:color w:val="auto"/>
          <w:kern w:val="0"/>
          <w:highlight w:val="none"/>
        </w:rPr>
      </w:pPr>
      <w:r>
        <w:rPr>
          <w:rFonts w:hint="eastAsia" w:asciiTheme="minorEastAsia" w:hAnsiTheme="minorEastAsia" w:eastAsiaTheme="minorEastAsia" w:cstheme="minorEastAsia"/>
          <w:b/>
          <w:bCs/>
          <w:color w:val="auto"/>
          <w:kern w:val="0"/>
          <w:highlight w:val="none"/>
        </w:rPr>
        <w:t>（</w:t>
      </w:r>
      <w:r>
        <w:rPr>
          <w:rFonts w:hint="eastAsia" w:asciiTheme="minorEastAsia" w:hAnsiTheme="minorEastAsia" w:eastAsiaTheme="minorEastAsia" w:cstheme="minorEastAsia"/>
          <w:b/>
          <w:bCs/>
          <w:color w:val="auto"/>
          <w:kern w:val="0"/>
          <w:highlight w:val="none"/>
          <w:lang w:val="en-US" w:eastAsia="zh-CN"/>
        </w:rPr>
        <w:t>7</w:t>
      </w:r>
      <w:r>
        <w:rPr>
          <w:rFonts w:hint="eastAsia" w:asciiTheme="minorEastAsia" w:hAnsiTheme="minorEastAsia" w:eastAsiaTheme="minorEastAsia" w:cstheme="minorEastAsia"/>
          <w:b/>
          <w:bCs/>
          <w:color w:val="auto"/>
          <w:kern w:val="0"/>
          <w:highlight w:val="none"/>
        </w:rPr>
        <w:t>）确保文明施工的技术组织措施（满分</w:t>
      </w:r>
      <w:r>
        <w:rPr>
          <w:rFonts w:hint="eastAsia" w:asciiTheme="minorEastAsia" w:hAnsiTheme="minorEastAsia" w:eastAsiaTheme="minorEastAsia" w:cstheme="minorEastAsia"/>
          <w:b/>
          <w:bCs/>
          <w:color w:val="auto"/>
          <w:kern w:val="0"/>
          <w:highlight w:val="none"/>
          <w:lang w:val="en-US" w:eastAsia="zh-CN"/>
        </w:rPr>
        <w:t>10</w:t>
      </w:r>
      <w:r>
        <w:rPr>
          <w:rFonts w:hint="eastAsia" w:asciiTheme="minorEastAsia" w:hAnsiTheme="minorEastAsia" w:eastAsiaTheme="minorEastAsia" w:cstheme="minorEastAsia"/>
          <w:b/>
          <w:bCs/>
          <w:color w:val="auto"/>
          <w:kern w:val="0"/>
          <w:highlight w:val="none"/>
        </w:rPr>
        <w:t>分）</w:t>
      </w:r>
    </w:p>
    <w:p w14:paraId="32BE9ED5">
      <w:pPr>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一档（</w:t>
      </w:r>
      <w:r>
        <w:rPr>
          <w:rFonts w:hint="eastAsia" w:ascii="宋体" w:hAnsi="宋体" w:cs="宋体"/>
          <w:color w:val="auto"/>
          <w:highlight w:val="none"/>
          <w:lang w:val="en-US" w:eastAsia="zh-CN"/>
        </w:rPr>
        <w:t>2</w:t>
      </w:r>
      <w:r>
        <w:rPr>
          <w:rFonts w:hint="eastAsia" w:ascii="宋体" w:hAnsi="宋体" w:eastAsia="宋体" w:cs="宋体"/>
          <w:color w:val="auto"/>
          <w:highlight w:val="none"/>
        </w:rPr>
        <w:t>分）：文明施工方案达到《建筑施工安全生产检查标准》（JGJ59-2011）合格标准。</w:t>
      </w:r>
    </w:p>
    <w:p w14:paraId="4DE44849">
      <w:pPr>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二档（</w:t>
      </w:r>
      <w:r>
        <w:rPr>
          <w:rFonts w:hint="eastAsia" w:ascii="宋体" w:hAnsi="宋体" w:cs="宋体"/>
          <w:color w:val="auto"/>
          <w:highlight w:val="none"/>
          <w:lang w:val="en-US" w:eastAsia="zh-CN"/>
        </w:rPr>
        <w:t>6</w:t>
      </w:r>
      <w:r>
        <w:rPr>
          <w:rFonts w:hint="eastAsia" w:ascii="宋体" w:hAnsi="宋体" w:eastAsia="宋体" w:cs="宋体"/>
          <w:color w:val="auto"/>
          <w:highlight w:val="none"/>
        </w:rPr>
        <w:t>分）：针对本工程项目特点，有现场文明施工措施，达到 《建筑施工安全生产检查标准》 （JGJ59-2011） 合格标准并符合《广西壮族自治区建筑工程文明施工导则》要求。</w:t>
      </w:r>
    </w:p>
    <w:p w14:paraId="22B6950A">
      <w:pPr>
        <w:spacing w:line="360" w:lineRule="auto"/>
        <w:ind w:firstLine="420" w:firstLineChars="200"/>
        <w:jc w:val="left"/>
        <w:rPr>
          <w:rFonts w:hint="eastAsia" w:asciiTheme="minorEastAsia" w:hAnsiTheme="minorEastAsia" w:eastAsiaTheme="minorEastAsia" w:cstheme="minorEastAsia"/>
          <w:color w:val="auto"/>
          <w:highlight w:val="none"/>
        </w:rPr>
      </w:pPr>
      <w:r>
        <w:rPr>
          <w:rFonts w:hint="eastAsia" w:ascii="宋体" w:hAnsi="宋体" w:eastAsia="宋体" w:cs="宋体"/>
          <w:color w:val="auto"/>
          <w:highlight w:val="none"/>
        </w:rPr>
        <w:t>三档（</w:t>
      </w:r>
      <w:r>
        <w:rPr>
          <w:rFonts w:hint="eastAsia" w:ascii="宋体" w:hAnsi="宋体" w:cs="宋体"/>
          <w:color w:val="auto"/>
          <w:highlight w:val="none"/>
          <w:lang w:val="en-US" w:eastAsia="zh-CN"/>
        </w:rPr>
        <w:t>10</w:t>
      </w:r>
      <w:r>
        <w:rPr>
          <w:rFonts w:hint="eastAsia" w:ascii="宋体" w:hAnsi="宋体" w:eastAsia="宋体" w:cs="宋体"/>
          <w:color w:val="auto"/>
          <w:highlight w:val="none"/>
        </w:rPr>
        <w:t>分）：针对本工程项目特点，有现场文明施工、环境保护措施，且措施内容达到《建筑施工安全生产检查标准》（JGJ59-2011）合格标准并符合《广西壮族自治区建筑工程文明施工导则》要求。各项措施切合项目需求，具有针对性。相关措施符合实现现场文明施工目标的承诺。</w:t>
      </w:r>
    </w:p>
    <w:p w14:paraId="3E1A0431">
      <w:pPr>
        <w:spacing w:line="360" w:lineRule="auto"/>
        <w:ind w:firstLine="422" w:firstLineChars="200"/>
        <w:jc w:val="left"/>
        <w:rPr>
          <w:rFonts w:hint="eastAsia" w:ascii="宋体" w:hAnsi="宋体"/>
          <w:b/>
          <w:bCs/>
          <w:color w:val="auto"/>
          <w:kern w:val="0"/>
          <w:highlight w:val="none"/>
        </w:rPr>
      </w:pPr>
      <w:r>
        <w:rPr>
          <w:rFonts w:hint="eastAsia" w:ascii="宋体" w:hAnsi="宋体"/>
          <w:b/>
          <w:bCs/>
          <w:color w:val="auto"/>
          <w:kern w:val="0"/>
          <w:highlight w:val="none"/>
        </w:rPr>
        <w:t>（8）工程施工的重点和难点及保证措施（满分</w:t>
      </w:r>
      <w:r>
        <w:rPr>
          <w:rFonts w:hint="eastAsia" w:ascii="宋体" w:hAnsi="宋体"/>
          <w:b/>
          <w:bCs/>
          <w:color w:val="auto"/>
          <w:kern w:val="0"/>
          <w:highlight w:val="none"/>
          <w:lang w:eastAsia="zh-CN"/>
        </w:rPr>
        <w:t>1</w:t>
      </w:r>
      <w:r>
        <w:rPr>
          <w:rFonts w:hint="eastAsia" w:ascii="宋体" w:hAnsi="宋体"/>
          <w:b/>
          <w:bCs/>
          <w:color w:val="auto"/>
          <w:kern w:val="0"/>
          <w:highlight w:val="none"/>
          <w:lang w:val="en-US" w:eastAsia="zh-CN"/>
        </w:rPr>
        <w:t>0</w:t>
      </w:r>
      <w:r>
        <w:rPr>
          <w:rFonts w:hint="eastAsia" w:ascii="宋体" w:hAnsi="宋体"/>
          <w:b/>
          <w:bCs/>
          <w:color w:val="auto"/>
          <w:kern w:val="0"/>
          <w:highlight w:val="none"/>
        </w:rPr>
        <w:t>分）</w:t>
      </w:r>
    </w:p>
    <w:p w14:paraId="31214B45">
      <w:pPr>
        <w:spacing w:line="360" w:lineRule="auto"/>
        <w:ind w:firstLine="42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供应商</w:t>
      </w:r>
      <w:r>
        <w:rPr>
          <w:rFonts w:hint="eastAsia" w:asciiTheme="minorEastAsia" w:hAnsiTheme="minorEastAsia" w:eastAsiaTheme="minorEastAsia" w:cstheme="minorEastAsia"/>
          <w:color w:val="auto"/>
          <w:highlight w:val="none"/>
        </w:rPr>
        <w:t>分别针对：①</w:t>
      </w:r>
      <w:r>
        <w:rPr>
          <w:rFonts w:hint="eastAsia" w:asciiTheme="minorEastAsia" w:hAnsiTheme="minorEastAsia" w:eastAsiaTheme="minorEastAsia" w:cstheme="minorEastAsia"/>
          <w:color w:val="auto"/>
          <w:highlight w:val="none"/>
          <w:lang w:val="en-US" w:eastAsia="zh-CN"/>
        </w:rPr>
        <w:t>施工</w:t>
      </w:r>
      <w:r>
        <w:rPr>
          <w:rFonts w:hint="eastAsia" w:asciiTheme="minorEastAsia" w:hAnsiTheme="minorEastAsia" w:eastAsiaTheme="minorEastAsia" w:cstheme="minorEastAsia"/>
          <w:color w:val="auto"/>
          <w:highlight w:val="none"/>
        </w:rPr>
        <w:t>；②</w:t>
      </w:r>
      <w:r>
        <w:rPr>
          <w:rFonts w:hint="eastAsia" w:asciiTheme="minorEastAsia" w:hAnsiTheme="minorEastAsia" w:eastAsiaTheme="minorEastAsia" w:cstheme="minorEastAsia"/>
          <w:color w:val="auto"/>
          <w:highlight w:val="none"/>
          <w:lang w:val="en-US" w:eastAsia="zh-CN"/>
        </w:rPr>
        <w:t>材料运输</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③噪音控制</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④供应商</w:t>
      </w:r>
      <w:r>
        <w:rPr>
          <w:rFonts w:hint="eastAsia" w:asciiTheme="minorEastAsia" w:hAnsiTheme="minorEastAsia" w:eastAsiaTheme="minorEastAsia" w:cstheme="minorEastAsia"/>
          <w:color w:val="auto"/>
          <w:highlight w:val="none"/>
        </w:rPr>
        <w:t>认为的本项目其他特点，阐述本工程的重点和难点，按以下标准计分：</w:t>
      </w:r>
    </w:p>
    <w:p w14:paraId="34A6B955">
      <w:pPr>
        <w:spacing w:line="360" w:lineRule="auto"/>
        <w:ind w:firstLine="42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一档</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rPr>
        <w:t>分)：针对本工程的特点，阐述本工程的重点和难点，解决重点和难点问题的方法有针对性且较为合理。</w:t>
      </w:r>
    </w:p>
    <w:p w14:paraId="614CE320">
      <w:pPr>
        <w:spacing w:line="360" w:lineRule="auto"/>
        <w:ind w:firstLine="42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二档</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eastAsia="zh-CN"/>
        </w:rPr>
        <w:t>6</w:t>
      </w:r>
      <w:r>
        <w:rPr>
          <w:rFonts w:hint="eastAsia" w:asciiTheme="minorEastAsia" w:hAnsiTheme="minorEastAsia" w:eastAsiaTheme="minorEastAsia" w:cstheme="minorEastAsia"/>
          <w:color w:val="auto"/>
          <w:highlight w:val="none"/>
        </w:rPr>
        <w:t>分)：针对本工程的特点，阐述本工程的重点和难点，解决重点和难点问题的方法合理。</w:t>
      </w:r>
    </w:p>
    <w:p w14:paraId="1417FFCA">
      <w:pPr>
        <w:spacing w:line="360" w:lineRule="auto"/>
        <w:ind w:firstLine="42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三档</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eastAsia="zh-CN"/>
        </w:rPr>
        <w:t>1</w:t>
      </w:r>
      <w:r>
        <w:rPr>
          <w:rFonts w:hint="eastAsia" w:asciiTheme="minorEastAsia" w:hAnsiTheme="minorEastAsia" w:eastAsiaTheme="minorEastAsia" w:cstheme="minorEastAsia"/>
          <w:color w:val="auto"/>
          <w:highlight w:val="none"/>
          <w:lang w:val="en-US" w:eastAsia="zh-CN"/>
        </w:rPr>
        <w:t>0</w:t>
      </w:r>
      <w:r>
        <w:rPr>
          <w:rFonts w:hint="eastAsia" w:asciiTheme="minorEastAsia" w:hAnsiTheme="minorEastAsia" w:eastAsiaTheme="minorEastAsia" w:cstheme="minorEastAsia"/>
          <w:color w:val="auto"/>
          <w:highlight w:val="none"/>
        </w:rPr>
        <w:t>分)：针对本工程的特点，阐述本工程的重点和难点，解决重点和难点问题的方法针对性强且科学合理，可行性强。</w:t>
      </w:r>
    </w:p>
    <w:p w14:paraId="7BF50635">
      <w:pPr>
        <w:spacing w:line="360" w:lineRule="auto"/>
        <w:ind w:firstLine="422" w:firstLineChars="200"/>
        <w:jc w:val="left"/>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kern w:val="0"/>
          <w:highlight w:val="none"/>
        </w:rPr>
        <w:t>2.2项目管理机构配备分（满分</w:t>
      </w:r>
      <w:r>
        <w:rPr>
          <w:rFonts w:hint="eastAsia" w:asciiTheme="minorEastAsia" w:hAnsiTheme="minorEastAsia" w:eastAsiaTheme="minorEastAsia" w:cstheme="minorEastAsia"/>
          <w:b/>
          <w:bCs/>
          <w:color w:val="000000" w:themeColor="text1"/>
          <w:kern w:val="0"/>
          <w:highlight w:val="none"/>
          <w:lang w:val="en-US" w:eastAsia="zh-CN"/>
          <w14:textFill>
            <w14:solidFill>
              <w14:schemeClr w14:val="tx1"/>
            </w14:solidFill>
          </w14:textFill>
        </w:rPr>
        <w:t>11</w:t>
      </w:r>
      <w:r>
        <w:rPr>
          <w:rFonts w:hint="eastAsia" w:asciiTheme="minorEastAsia" w:hAnsiTheme="minorEastAsia" w:eastAsiaTheme="minorEastAsia" w:cstheme="minorEastAsia"/>
          <w:b/>
          <w:bCs/>
          <w:color w:val="000000" w:themeColor="text1"/>
          <w:kern w:val="0"/>
          <w:highlight w:val="none"/>
          <w14:textFill>
            <w14:solidFill>
              <w14:schemeClr w14:val="tx1"/>
            </w14:solidFill>
          </w14:textFill>
        </w:rPr>
        <w:t>分</w:t>
      </w:r>
      <w:r>
        <w:rPr>
          <w:rFonts w:hint="eastAsia" w:asciiTheme="minorEastAsia" w:hAnsiTheme="minorEastAsia" w:eastAsiaTheme="minorEastAsia" w:cstheme="minorEastAsia"/>
          <w:b/>
          <w:bCs/>
          <w:color w:val="auto"/>
          <w:kern w:val="0"/>
          <w:highlight w:val="none"/>
        </w:rPr>
        <w:t>）</w:t>
      </w:r>
    </w:p>
    <w:p w14:paraId="24651CC4">
      <w:pPr>
        <w:spacing w:line="360" w:lineRule="auto"/>
        <w:ind w:firstLine="422" w:firstLineChars="200"/>
        <w:jc w:val="left"/>
        <w:rPr>
          <w:rFonts w:hint="eastAsia" w:asciiTheme="minorEastAsia" w:hAnsiTheme="minorEastAsia" w:eastAsiaTheme="minorEastAsia" w:cstheme="minorEastAsia"/>
          <w:bCs/>
          <w:color w:val="auto"/>
          <w:kern w:val="0"/>
          <w:highlight w:val="none"/>
        </w:rPr>
      </w:pPr>
      <w:r>
        <w:rPr>
          <w:rFonts w:hint="eastAsia" w:asciiTheme="minorEastAsia" w:hAnsiTheme="minorEastAsia" w:eastAsiaTheme="minorEastAsia" w:cstheme="minorEastAsia"/>
          <w:b/>
          <w:bCs/>
          <w:color w:val="auto"/>
          <w:kern w:val="0"/>
          <w:highlight w:val="none"/>
        </w:rPr>
        <w:t>（1）项目经理（满分</w:t>
      </w:r>
      <w:r>
        <w:rPr>
          <w:rFonts w:hint="eastAsia" w:asciiTheme="minorEastAsia" w:hAnsiTheme="minorEastAsia" w:eastAsiaTheme="minorEastAsia" w:cstheme="minorEastAsia"/>
          <w:b/>
          <w:bCs/>
          <w:color w:val="auto"/>
          <w:kern w:val="0"/>
          <w:highlight w:val="none"/>
          <w:lang w:val="en-US" w:eastAsia="zh-CN"/>
        </w:rPr>
        <w:t>5</w:t>
      </w:r>
      <w:r>
        <w:rPr>
          <w:rFonts w:hint="eastAsia" w:asciiTheme="minorEastAsia" w:hAnsiTheme="minorEastAsia" w:eastAsiaTheme="minorEastAsia" w:cstheme="minorEastAsia"/>
          <w:b/>
          <w:bCs/>
          <w:color w:val="auto"/>
          <w:kern w:val="0"/>
          <w:highlight w:val="none"/>
        </w:rPr>
        <w:t>分）</w:t>
      </w:r>
      <w:r>
        <w:rPr>
          <w:rFonts w:hint="eastAsia" w:asciiTheme="minorEastAsia" w:hAnsiTheme="minorEastAsia" w:eastAsiaTheme="minorEastAsia" w:cstheme="minorEastAsia"/>
          <w:bCs/>
          <w:color w:val="auto"/>
          <w:kern w:val="0"/>
          <w:highlight w:val="none"/>
        </w:rPr>
        <w:t>：项目经理具有初级工程师职称的得</w:t>
      </w:r>
      <w:r>
        <w:rPr>
          <w:rFonts w:hint="eastAsia" w:asciiTheme="minorEastAsia" w:hAnsiTheme="minorEastAsia" w:eastAsiaTheme="minorEastAsia" w:cstheme="minorEastAsia"/>
          <w:bCs/>
          <w:color w:val="auto"/>
          <w:kern w:val="0"/>
          <w:highlight w:val="none"/>
          <w:lang w:val="en-US" w:eastAsia="zh-CN"/>
        </w:rPr>
        <w:t>2</w:t>
      </w:r>
      <w:r>
        <w:rPr>
          <w:rFonts w:hint="eastAsia" w:asciiTheme="minorEastAsia" w:hAnsiTheme="minorEastAsia" w:eastAsiaTheme="minorEastAsia" w:cstheme="minorEastAsia"/>
          <w:bCs/>
          <w:color w:val="auto"/>
          <w:kern w:val="0"/>
          <w:highlight w:val="none"/>
        </w:rPr>
        <w:t>分，项目经理具有中级工程师职称（或中级工程师以上职称）的得</w:t>
      </w:r>
      <w:r>
        <w:rPr>
          <w:rFonts w:hint="eastAsia" w:asciiTheme="minorEastAsia" w:hAnsiTheme="minorEastAsia" w:eastAsiaTheme="minorEastAsia" w:cstheme="minorEastAsia"/>
          <w:bCs/>
          <w:color w:val="000000" w:themeColor="text1"/>
          <w:kern w:val="0"/>
          <w:highlight w:val="none"/>
          <w:lang w:val="en-US" w:eastAsia="zh-CN"/>
          <w14:textFill>
            <w14:solidFill>
              <w14:schemeClr w14:val="tx1"/>
            </w14:solidFill>
          </w14:textFill>
        </w:rPr>
        <w:t>5</w:t>
      </w:r>
      <w:r>
        <w:rPr>
          <w:rFonts w:hint="eastAsia" w:asciiTheme="minorEastAsia" w:hAnsiTheme="minorEastAsia" w:eastAsiaTheme="minorEastAsia" w:cstheme="minorEastAsia"/>
          <w:bCs/>
          <w:color w:val="auto"/>
          <w:kern w:val="0"/>
          <w:highlight w:val="none"/>
        </w:rPr>
        <w:t>分。</w:t>
      </w:r>
    </w:p>
    <w:p w14:paraId="1CCA9872">
      <w:pPr>
        <w:spacing w:line="360" w:lineRule="auto"/>
        <w:ind w:firstLine="422" w:firstLineChars="200"/>
        <w:jc w:val="left"/>
        <w:rPr>
          <w:rFonts w:hint="eastAsia" w:asciiTheme="minorEastAsia" w:hAnsiTheme="minorEastAsia" w:eastAsiaTheme="minorEastAsia" w:cstheme="minorEastAsia"/>
          <w:b/>
          <w:bCs/>
          <w:color w:val="auto"/>
          <w:kern w:val="0"/>
          <w:highlight w:val="none"/>
        </w:rPr>
      </w:pPr>
      <w:r>
        <w:rPr>
          <w:rFonts w:hint="eastAsia" w:asciiTheme="minorEastAsia" w:hAnsiTheme="minorEastAsia" w:eastAsiaTheme="minorEastAsia" w:cstheme="minorEastAsia"/>
          <w:b/>
          <w:bCs/>
          <w:color w:val="auto"/>
          <w:kern w:val="0"/>
          <w:highlight w:val="none"/>
        </w:rPr>
        <w:t>（2）其他主要管理人员（满分</w:t>
      </w:r>
      <w:r>
        <w:rPr>
          <w:rFonts w:hint="eastAsia" w:asciiTheme="minorEastAsia" w:hAnsiTheme="minorEastAsia" w:eastAsiaTheme="minorEastAsia" w:cstheme="minorEastAsia"/>
          <w:b/>
          <w:bCs/>
          <w:color w:val="auto"/>
          <w:kern w:val="0"/>
          <w:highlight w:val="none"/>
          <w:lang w:val="en-US" w:eastAsia="zh-CN"/>
        </w:rPr>
        <w:t>6</w:t>
      </w:r>
      <w:r>
        <w:rPr>
          <w:rFonts w:hint="eastAsia" w:asciiTheme="minorEastAsia" w:hAnsiTheme="minorEastAsia" w:eastAsiaTheme="minorEastAsia" w:cstheme="minorEastAsia"/>
          <w:b/>
          <w:bCs/>
          <w:color w:val="auto"/>
          <w:kern w:val="0"/>
          <w:highlight w:val="none"/>
        </w:rPr>
        <w:t>分）</w:t>
      </w:r>
    </w:p>
    <w:p w14:paraId="29B4E9FE">
      <w:pPr>
        <w:spacing w:line="360" w:lineRule="auto"/>
        <w:ind w:firstLine="630" w:firstLineChars="300"/>
        <w:jc w:val="left"/>
        <w:rPr>
          <w:rFonts w:hint="eastAsia" w:asciiTheme="minorEastAsia" w:hAnsiTheme="minorEastAsia" w:eastAsiaTheme="minorEastAsia" w:cstheme="minorEastAsia"/>
          <w:bCs/>
          <w:color w:val="auto"/>
          <w:kern w:val="0"/>
          <w:highlight w:val="none"/>
        </w:rPr>
      </w:pPr>
      <w:r>
        <w:rPr>
          <w:rFonts w:hint="eastAsia" w:asciiTheme="minorEastAsia" w:hAnsiTheme="minorEastAsia" w:eastAsiaTheme="minorEastAsia" w:cstheme="minorEastAsia"/>
          <w:bCs/>
          <w:color w:val="auto"/>
          <w:kern w:val="0"/>
          <w:highlight w:val="none"/>
        </w:rPr>
        <w:t>①拟投入本工程的技术负责人有中级工程师以上（含中级工程师）职称的得2分。</w:t>
      </w:r>
    </w:p>
    <w:p w14:paraId="4CAD26CE">
      <w:pPr>
        <w:pStyle w:val="24"/>
        <w:spacing w:line="360" w:lineRule="auto"/>
        <w:ind w:firstLine="630" w:firstLineChars="300"/>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②拟投入本工程的施工员、质量员、安全员、材料员</w:t>
      </w:r>
      <w:r>
        <w:rPr>
          <w:rFonts w:hint="eastAsia" w:hAnsi="宋体"/>
          <w:color w:val="auto"/>
          <w:sz w:val="21"/>
          <w:szCs w:val="21"/>
          <w:highlight w:val="none"/>
        </w:rPr>
        <w:t>配备齐全合理且全部持证上岗经年检合格的得</w:t>
      </w:r>
      <w:r>
        <w:rPr>
          <w:rFonts w:hint="eastAsia" w:hAnsi="宋体"/>
          <w:color w:val="FF0000"/>
          <w:sz w:val="21"/>
          <w:szCs w:val="21"/>
          <w:highlight w:val="none"/>
          <w:lang w:val="en-US" w:eastAsia="zh-CN"/>
        </w:rPr>
        <w:t>4</w:t>
      </w:r>
      <w:r>
        <w:rPr>
          <w:rFonts w:hint="eastAsia" w:hAnsi="宋体"/>
          <w:color w:val="auto"/>
          <w:sz w:val="21"/>
          <w:szCs w:val="21"/>
          <w:highlight w:val="none"/>
        </w:rPr>
        <w:t>分，每缺1员扣</w:t>
      </w:r>
      <w:r>
        <w:rPr>
          <w:rFonts w:hint="eastAsia" w:hAnsi="宋体"/>
          <w:color w:val="FF0000"/>
          <w:sz w:val="21"/>
          <w:szCs w:val="21"/>
          <w:highlight w:val="none"/>
          <w:lang w:val="en-US" w:eastAsia="zh-CN"/>
        </w:rPr>
        <w:t>1</w:t>
      </w:r>
      <w:r>
        <w:rPr>
          <w:rFonts w:hint="eastAsia" w:hAnsi="宋体"/>
          <w:color w:val="auto"/>
          <w:sz w:val="21"/>
          <w:szCs w:val="21"/>
          <w:highlight w:val="none"/>
        </w:rPr>
        <w:t>分（无证或无效证件的算缺员），扣完为止</w:t>
      </w:r>
      <w:r>
        <w:rPr>
          <w:rFonts w:hint="eastAsia" w:asciiTheme="minorEastAsia" w:hAnsiTheme="minorEastAsia" w:eastAsiaTheme="minorEastAsia" w:cstheme="minorEastAsia"/>
          <w:bCs/>
          <w:color w:val="auto"/>
          <w:sz w:val="21"/>
          <w:szCs w:val="21"/>
          <w:highlight w:val="none"/>
        </w:rPr>
        <w:t>。</w:t>
      </w:r>
    </w:p>
    <w:p w14:paraId="058D3697">
      <w:pPr>
        <w:spacing w:line="360" w:lineRule="auto"/>
        <w:ind w:firstLine="422" w:firstLineChars="200"/>
        <w:jc w:val="left"/>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3、企业业绩分</w:t>
      </w:r>
      <w:r>
        <w:rPr>
          <w:rFonts w:hint="eastAsia" w:ascii="宋体" w:cs="宋体"/>
          <w:b/>
          <w:color w:val="auto"/>
          <w:kern w:val="0"/>
          <w:highlight w:val="none"/>
        </w:rPr>
        <w:t>…………………………………………………………………………………</w:t>
      </w:r>
      <w:r>
        <w:rPr>
          <w:rFonts w:hint="eastAsia" w:ascii="宋体" w:cs="宋体"/>
          <w:b/>
          <w:color w:val="auto"/>
          <w:kern w:val="0"/>
          <w:highlight w:val="none"/>
          <w:lang w:val="en-US" w:eastAsia="zh-CN"/>
        </w:rPr>
        <w:t>4</w:t>
      </w:r>
      <w:r>
        <w:rPr>
          <w:rFonts w:hint="eastAsia" w:ascii="宋体" w:cs="宋体"/>
          <w:b/>
          <w:color w:val="auto"/>
          <w:kern w:val="0"/>
          <w:highlight w:val="none"/>
        </w:rPr>
        <w:t>分</w:t>
      </w:r>
    </w:p>
    <w:p w14:paraId="75A23220">
      <w:pPr>
        <w:pStyle w:val="24"/>
        <w:spacing w:line="360" w:lineRule="auto"/>
        <w:ind w:firstLine="420" w:firstLineChars="200"/>
        <w:rPr>
          <w:rFonts w:hint="eastAsia"/>
          <w:highlight w:val="none"/>
        </w:rPr>
      </w:pPr>
      <w:r>
        <w:rPr>
          <w:rFonts w:hint="eastAsia" w:hAnsi="宋体" w:cs="Times New Roman"/>
          <w:bCs/>
          <w:color w:val="auto"/>
          <w:kern w:val="2"/>
          <w:sz w:val="21"/>
          <w:szCs w:val="21"/>
          <w:highlight w:val="none"/>
        </w:rPr>
        <w:t>企业2022年以来在建或完成过类似工程业绩</w:t>
      </w:r>
      <w:r>
        <w:rPr>
          <w:rFonts w:hint="eastAsia"/>
          <w:sz w:val="21"/>
          <w:szCs w:val="21"/>
          <w:highlight w:val="none"/>
          <w:lang w:eastAsia="zh-CN"/>
        </w:rPr>
        <w:t>（</w:t>
      </w:r>
      <w:r>
        <w:rPr>
          <w:rFonts w:hint="eastAsia"/>
          <w:sz w:val="21"/>
          <w:szCs w:val="21"/>
          <w:highlight w:val="none"/>
          <w:lang w:val="en-US" w:eastAsia="zh-CN"/>
        </w:rPr>
        <w:t>类似项目指房屋建筑类业绩</w:t>
      </w:r>
      <w:r>
        <w:rPr>
          <w:rFonts w:hint="eastAsia"/>
          <w:sz w:val="21"/>
          <w:szCs w:val="21"/>
          <w:highlight w:val="none"/>
          <w:lang w:eastAsia="zh-CN"/>
        </w:rPr>
        <w:t>）</w:t>
      </w:r>
      <w:r>
        <w:rPr>
          <w:rFonts w:hint="eastAsia" w:hAnsi="宋体" w:cs="Times New Roman"/>
          <w:bCs/>
          <w:color w:val="auto"/>
          <w:kern w:val="2"/>
          <w:sz w:val="21"/>
          <w:szCs w:val="21"/>
          <w:highlight w:val="none"/>
        </w:rPr>
        <w:t>，</w:t>
      </w:r>
      <w:r>
        <w:rPr>
          <w:rFonts w:hint="eastAsia" w:hAnsi="宋体" w:cs="Times New Roman"/>
          <w:bCs/>
          <w:color w:val="000000" w:themeColor="text1"/>
          <w:kern w:val="2"/>
          <w:sz w:val="21"/>
          <w:szCs w:val="21"/>
          <w:highlight w:val="none"/>
          <w14:textFill>
            <w14:solidFill>
              <w14:schemeClr w14:val="tx1"/>
            </w14:solidFill>
          </w14:textFill>
        </w:rPr>
        <w:t>每个得</w:t>
      </w:r>
      <w:r>
        <w:rPr>
          <w:rFonts w:hint="eastAsia" w:hAnsi="宋体" w:cs="Times New Roman"/>
          <w:bCs/>
          <w:color w:val="000000" w:themeColor="text1"/>
          <w:kern w:val="2"/>
          <w:sz w:val="21"/>
          <w:szCs w:val="21"/>
          <w:highlight w:val="none"/>
          <w:lang w:val="en-US" w:eastAsia="zh-CN"/>
          <w14:textFill>
            <w14:solidFill>
              <w14:schemeClr w14:val="tx1"/>
            </w14:solidFill>
          </w14:textFill>
        </w:rPr>
        <w:t>1</w:t>
      </w:r>
      <w:r>
        <w:rPr>
          <w:rFonts w:hint="eastAsia" w:hAnsi="宋体" w:cs="Times New Roman"/>
          <w:bCs/>
          <w:color w:val="000000" w:themeColor="text1"/>
          <w:kern w:val="2"/>
          <w:sz w:val="21"/>
          <w:szCs w:val="21"/>
          <w:highlight w:val="none"/>
          <w14:textFill>
            <w14:solidFill>
              <w14:schemeClr w14:val="tx1"/>
            </w14:solidFill>
          </w14:textFill>
        </w:rPr>
        <w:t>分，满分</w:t>
      </w:r>
      <w:r>
        <w:rPr>
          <w:rFonts w:hint="eastAsia" w:hAnsi="宋体" w:cs="Times New Roman"/>
          <w:bCs/>
          <w:color w:val="000000" w:themeColor="text1"/>
          <w:kern w:val="2"/>
          <w:sz w:val="21"/>
          <w:szCs w:val="21"/>
          <w:highlight w:val="none"/>
          <w:lang w:val="en-US" w:eastAsia="zh-CN"/>
          <w14:textFill>
            <w14:solidFill>
              <w14:schemeClr w14:val="tx1"/>
            </w14:solidFill>
          </w14:textFill>
        </w:rPr>
        <w:t>4</w:t>
      </w:r>
      <w:r>
        <w:rPr>
          <w:rFonts w:hint="eastAsia" w:hAnsi="宋体" w:cs="Times New Roman"/>
          <w:bCs/>
          <w:color w:val="000000" w:themeColor="text1"/>
          <w:kern w:val="2"/>
          <w:sz w:val="21"/>
          <w:szCs w:val="21"/>
          <w:highlight w:val="none"/>
          <w14:textFill>
            <w14:solidFill>
              <w14:schemeClr w14:val="tx1"/>
            </w14:solidFill>
          </w14:textFill>
        </w:rPr>
        <w:t>分</w:t>
      </w:r>
      <w:r>
        <w:rPr>
          <w:rFonts w:hint="eastAsia" w:hAnsi="宋体" w:cs="Times New Roman"/>
          <w:bCs/>
          <w:color w:val="auto"/>
          <w:kern w:val="2"/>
          <w:sz w:val="21"/>
          <w:szCs w:val="21"/>
          <w:highlight w:val="none"/>
        </w:rPr>
        <w:t>。【以中标通知书（如有）、工程合同协议书有关页面、工程竣工验收证明材料（在建工程不需提供）为准】</w:t>
      </w:r>
      <w:r>
        <w:rPr>
          <w:rFonts w:hint="eastAsia" w:asciiTheme="minorEastAsia" w:hAnsiTheme="minorEastAsia" w:eastAsiaTheme="minorEastAsia" w:cstheme="minorEastAsia"/>
          <w:bCs/>
          <w:color w:val="auto"/>
          <w:sz w:val="21"/>
          <w:szCs w:val="21"/>
          <w:highlight w:val="none"/>
        </w:rPr>
        <w:t>。同一项目，不同标段时按最高金额的标段计分，不重复计分。</w:t>
      </w:r>
    </w:p>
    <w:p w14:paraId="46E83874">
      <w:pPr>
        <w:pStyle w:val="42"/>
        <w:spacing w:line="360" w:lineRule="auto"/>
        <w:ind w:firstLine="422" w:firstLineChars="200"/>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总得分=1+2+3</w:t>
      </w:r>
    </w:p>
    <w:p w14:paraId="382A01A2">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8.终止竞争性磋商采购活动</w:t>
      </w:r>
    </w:p>
    <w:p w14:paraId="478EB780">
      <w:pPr>
        <w:pStyle w:val="42"/>
        <w:spacing w:line="360" w:lineRule="auto"/>
        <w:ind w:firstLine="422"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46C9957A">
      <w:pPr>
        <w:rPr>
          <w:rFonts w:hint="eastAsia" w:ascii="宋体" w:hAnsi="宋体"/>
          <w:color w:val="auto"/>
          <w:highlight w:val="none"/>
        </w:rPr>
      </w:pPr>
    </w:p>
    <w:p w14:paraId="4B61D665">
      <w:pPr>
        <w:pStyle w:val="4"/>
        <w:jc w:val="center"/>
        <w:rPr>
          <w:rFonts w:hint="eastAsia" w:ascii="宋体" w:hAnsi="宋体"/>
          <w:b w:val="0"/>
          <w:color w:val="auto"/>
          <w:highlight w:val="none"/>
        </w:rPr>
      </w:pPr>
      <w:r>
        <w:rPr>
          <w:rFonts w:hint="eastAsia" w:ascii="宋体" w:hAnsi="宋体"/>
          <w:b w:val="0"/>
          <w:color w:val="auto"/>
          <w:highlight w:val="none"/>
        </w:rPr>
        <w:t>第二节 评标报告</w:t>
      </w:r>
      <w:bookmarkEnd w:id="23"/>
      <w:bookmarkEnd w:id="24"/>
    </w:p>
    <w:p w14:paraId="50FE0BF1">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1.成交标准</w:t>
      </w:r>
    </w:p>
    <w:p w14:paraId="6C84BA9B">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color w:val="auto"/>
          <w:highlight w:val="none"/>
        </w:rPr>
        <w:t>由磋商小组根据综合评分情况，按照评审得分由高到低顺序推荐3名以上成交候选供应商</w:t>
      </w:r>
      <w:r>
        <w:rPr>
          <w:rFonts w:hint="eastAsia" w:asciiTheme="minorEastAsia" w:hAnsiTheme="minorEastAsia" w:eastAsiaTheme="minorEastAsia" w:cstheme="minorEastAsia"/>
          <w:color w:val="auto"/>
          <w:highlight w:val="none"/>
        </w:rPr>
        <w:t>,并在线编写电子评审报告</w:t>
      </w:r>
      <w:r>
        <w:rPr>
          <w:rFonts w:hint="eastAsia" w:asciiTheme="minorEastAsia" w:hAnsiTheme="minorEastAsia" w:eastAsiaTheme="minorEastAsia" w:cstheme="minorEastAsia"/>
          <w:bCs/>
          <w:color w:val="auto"/>
          <w:highlight w:val="none"/>
        </w:rPr>
        <w:t>。符合本章第一节第5.3条情形的，可以推荐2家成交候选供应商。评审得分相同的，按照最后报价（不计算价格折扣）由低到高的顺序推荐。评审得分且最后报价（不计算价格折扣）相同的，</w:t>
      </w:r>
      <w:r>
        <w:rPr>
          <w:rFonts w:hint="eastAsia" w:cs="宋体"/>
          <w:color w:val="auto"/>
          <w:highlight w:val="none"/>
        </w:rPr>
        <w:t>以企业信誉实力分高的优先；企业信誉实力分也相等的，以企业用于该项工程投标的资质高的优先；企业用于该项工程投标的资质也相等的，以技术标得分高的优先；技术标得分也相等的</w:t>
      </w:r>
      <w:r>
        <w:rPr>
          <w:rFonts w:hint="eastAsia" w:asciiTheme="minorEastAsia" w:hAnsiTheme="minorEastAsia" w:eastAsiaTheme="minorEastAsia" w:cstheme="minorEastAsia"/>
          <w:bCs/>
          <w:color w:val="auto"/>
          <w:highlight w:val="none"/>
        </w:rPr>
        <w:t>，由磋商小组随机抽取推荐。</w:t>
      </w:r>
    </w:p>
    <w:p w14:paraId="092EB341">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2.评标争议事项处理</w:t>
      </w:r>
    </w:p>
    <w:p w14:paraId="43C01EE8">
      <w:pPr>
        <w:pStyle w:val="172"/>
        <w:spacing w:before="0"/>
        <w:ind w:firstLine="420"/>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磋商小组成员对需要共同认定的事项存在争议的，应当按照少数服从多数的原则作出结论。持不同意见的磋商小组成员应当在评标报告上签署不同意见及理由，否则视为同意评标报告。</w:t>
      </w:r>
    </w:p>
    <w:p w14:paraId="34DD41B1">
      <w:pPr>
        <w:pStyle w:val="4"/>
        <w:jc w:val="center"/>
        <w:rPr>
          <w:rFonts w:hint="eastAsia" w:ascii="宋体" w:hAnsi="宋体"/>
          <w:b w:val="0"/>
          <w:color w:val="auto"/>
          <w:highlight w:val="none"/>
        </w:rPr>
      </w:pPr>
      <w:bookmarkStart w:id="26" w:name="_Toc7829"/>
      <w:bookmarkStart w:id="27" w:name="_Toc80886940"/>
      <w:bookmarkStart w:id="28" w:name="_Toc80205936"/>
      <w:r>
        <w:rPr>
          <w:rFonts w:hint="eastAsia" w:ascii="宋体" w:hAnsi="宋体"/>
          <w:b w:val="0"/>
          <w:color w:val="auto"/>
          <w:highlight w:val="none"/>
        </w:rPr>
        <w:t>第三节 评审过程的保密与录像</w:t>
      </w:r>
      <w:bookmarkEnd w:id="26"/>
      <w:bookmarkEnd w:id="27"/>
      <w:bookmarkEnd w:id="28"/>
    </w:p>
    <w:p w14:paraId="13BFAFCC">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1.保密。</w:t>
      </w:r>
    </w:p>
    <w:p w14:paraId="625BCD54">
      <w:pPr>
        <w:widowControl/>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评审活动在严格保密的情况下进行。评审过程中凡是与采购响应文件评审和比较、成交供应商推荐等评审有关的情况，以及涉及国家秘密和商业秘密等信息，评审委员会成员、采购人和采购机构工作人员、相关监督人员等与评审有关的人员应当予以保密。</w:t>
      </w:r>
    </w:p>
    <w:p w14:paraId="68E21E9D">
      <w:pPr>
        <w:widowControl/>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2.录音录像。</w:t>
      </w:r>
    </w:p>
    <w:p w14:paraId="75031C2F">
      <w:pPr>
        <w:pStyle w:val="42"/>
        <w:spacing w:line="360" w:lineRule="auto"/>
        <w:ind w:firstLine="2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采购代理机构对评审工作现场及操作屏幕进行全过程录音录像，录音录像资料作为采购项目文件随其他文件一并存档。</w:t>
      </w:r>
    </w:p>
    <w:p w14:paraId="53CE21B7">
      <w:pPr>
        <w:pStyle w:val="42"/>
        <w:spacing w:line="360" w:lineRule="auto"/>
        <w:ind w:firstLine="482"/>
        <w:rPr>
          <w:color w:val="auto"/>
          <w:highlight w:val="none"/>
        </w:rPr>
      </w:pPr>
    </w:p>
    <w:p w14:paraId="656E3D17">
      <w:pPr>
        <w:pStyle w:val="42"/>
        <w:spacing w:line="360" w:lineRule="auto"/>
        <w:ind w:firstLine="482"/>
        <w:rPr>
          <w:color w:val="auto"/>
          <w:highlight w:val="none"/>
        </w:rPr>
      </w:pPr>
    </w:p>
    <w:p w14:paraId="1035A4DD">
      <w:pPr>
        <w:pStyle w:val="42"/>
        <w:spacing w:line="360" w:lineRule="auto"/>
        <w:ind w:firstLine="442"/>
        <w:jc w:val="center"/>
        <w:outlineLvl w:val="0"/>
        <w:rPr>
          <w:rFonts w:hint="eastAsia" w:asciiTheme="minorEastAsia" w:hAnsiTheme="minorEastAsia" w:eastAsiaTheme="minorEastAsia" w:cstheme="minorEastAsia"/>
          <w:color w:val="auto"/>
          <w:sz w:val="44"/>
          <w:szCs w:val="44"/>
          <w:highlight w:val="none"/>
        </w:rPr>
        <w:sectPr>
          <w:footerReference r:id="rId4" w:type="default"/>
          <w:pgSz w:w="11910" w:h="16840"/>
          <w:pgMar w:top="1340" w:right="1500" w:bottom="280" w:left="1680" w:header="720" w:footer="720" w:gutter="0"/>
          <w:pgNumType w:start="1"/>
          <w:cols w:space="720" w:num="1"/>
        </w:sectPr>
      </w:pPr>
      <w:bookmarkStart w:id="29" w:name="_Toc44229897"/>
    </w:p>
    <w:p w14:paraId="04B68B35">
      <w:pPr>
        <w:pStyle w:val="4"/>
        <w:numPr>
          <w:ilvl w:val="0"/>
          <w:numId w:val="8"/>
        </w:numPr>
        <w:jc w:val="center"/>
        <w:rPr>
          <w:rFonts w:hint="eastAsia" w:asciiTheme="minorEastAsia" w:hAnsiTheme="minorEastAsia" w:eastAsiaTheme="minorEastAsia" w:cstheme="minorEastAsia"/>
          <w:color w:val="auto"/>
          <w:kern w:val="0"/>
          <w:sz w:val="44"/>
          <w:szCs w:val="44"/>
          <w:highlight w:val="none"/>
        </w:rPr>
      </w:pPr>
      <w:r>
        <w:rPr>
          <w:rFonts w:hint="eastAsia" w:asciiTheme="minorEastAsia" w:hAnsiTheme="minorEastAsia" w:eastAsiaTheme="minorEastAsia" w:cstheme="minorEastAsia"/>
          <w:color w:val="auto"/>
          <w:kern w:val="0"/>
          <w:sz w:val="44"/>
          <w:szCs w:val="44"/>
          <w:highlight w:val="none"/>
        </w:rPr>
        <w:t xml:space="preserve"> </w:t>
      </w:r>
      <w:bookmarkStart w:id="30" w:name="_Toc1580"/>
      <w:r>
        <w:rPr>
          <w:rFonts w:hint="eastAsia" w:asciiTheme="minorEastAsia" w:hAnsiTheme="minorEastAsia" w:eastAsiaTheme="minorEastAsia" w:cstheme="minorEastAsia"/>
          <w:color w:val="auto"/>
          <w:kern w:val="0"/>
          <w:sz w:val="44"/>
          <w:szCs w:val="44"/>
          <w:highlight w:val="none"/>
        </w:rPr>
        <w:t>工程量清单、最高限价及图纸</w:t>
      </w:r>
      <w:bookmarkEnd w:id="30"/>
    </w:p>
    <w:p w14:paraId="61E13102">
      <w:pPr>
        <w:pStyle w:val="4"/>
        <w:spacing w:before="0" w:after="0" w:line="440" w:lineRule="exact"/>
        <w:ind w:firstLine="422" w:firstLineChars="200"/>
        <w:rPr>
          <w:rFonts w:ascii="Times New Roman" w:hAnsi="Times New Roman"/>
          <w:color w:val="auto"/>
          <w:kern w:val="44"/>
          <w:sz w:val="21"/>
          <w:szCs w:val="21"/>
          <w:highlight w:val="none"/>
        </w:rPr>
      </w:pPr>
      <w:bookmarkStart w:id="31" w:name="_Toc78449869"/>
      <w:bookmarkStart w:id="32" w:name="_Toc1392571603"/>
      <w:bookmarkStart w:id="33" w:name="_Toc128638342"/>
      <w:bookmarkStart w:id="34" w:name="_Toc407135284"/>
      <w:bookmarkStart w:id="35" w:name="_Toc1386396751"/>
      <w:r>
        <w:rPr>
          <w:rFonts w:ascii="Times New Roman" w:hAnsi="Times New Roman"/>
          <w:color w:val="auto"/>
          <w:sz w:val="21"/>
          <w:szCs w:val="21"/>
          <w:highlight w:val="none"/>
        </w:rPr>
        <w:t>1.工程量清单编制说明</w:t>
      </w:r>
      <w:bookmarkEnd w:id="31"/>
      <w:bookmarkEnd w:id="32"/>
      <w:bookmarkEnd w:id="33"/>
      <w:bookmarkEnd w:id="34"/>
      <w:bookmarkEnd w:id="35"/>
    </w:p>
    <w:p w14:paraId="3E2C05CD">
      <w:pPr>
        <w:spacing w:line="440" w:lineRule="exact"/>
        <w:ind w:firstLine="420" w:firstLineChars="200"/>
        <w:rPr>
          <w:color w:val="auto"/>
          <w:highlight w:val="none"/>
        </w:rPr>
      </w:pPr>
      <w:r>
        <w:rPr>
          <w:color w:val="auto"/>
          <w:highlight w:val="none"/>
        </w:rPr>
        <w:t>1.1本工程量清单依据</w:t>
      </w:r>
      <w:r>
        <w:rPr>
          <w:rFonts w:hint="eastAsia"/>
          <w:color w:val="auto"/>
          <w:highlight w:val="none"/>
        </w:rPr>
        <w:t>1.《建设工程工程量清单计价规范》（GB 50500-2013）、《房屋建筑与装饰工程工程量计算规范（GB 50854-2013）》；2.《建设工程工程量计算规范广西壮族自治区实施细则（GB 50854～50862-2013）》、《建设工程工程量清单计价规范广西壮族自治区实施细则（GB 50500-2013）》；3.2022版《广西壮族自治区市政工程消耗量定额》及其配套费用定额；4.2024版《广西壮族自治区建筑装饰装修工程消耗量定额》及其配套费用定额；5.《自治区住</w:t>
      </w:r>
      <w:r>
        <w:rPr>
          <w:rFonts w:hint="eastAsia"/>
          <w:color w:val="auto"/>
          <w:highlight w:val="none"/>
          <w:lang w:eastAsia="zh-CN"/>
        </w:rPr>
        <w:t>房和</w:t>
      </w:r>
      <w:r>
        <w:rPr>
          <w:rFonts w:hint="eastAsia"/>
          <w:color w:val="auto"/>
          <w:highlight w:val="none"/>
        </w:rPr>
        <w:t>城乡建设厅关于调整建设工程定额人工费及有关费率的通知》（桂建标〔2023〕7号）；6.《自治区住房城乡建设厅关于调整建设工程计价增值税税率的通知》（桂建标〔2019〕12号）；7.《自治区住房城乡建设厅关于印发广西壮族自治区房屋建筑和市政基础设施工程安全生产责任保险计价规定的通知》（桂建发〔2023〕6 号）的规定；8.施工现场情况、工程特点及常规施工组织设计方案；9.其他现行相关文件、法律法规、标准图集等</w:t>
      </w:r>
      <w:r>
        <w:rPr>
          <w:rFonts w:hint="eastAsia"/>
          <w:color w:val="auto"/>
          <w:highlight w:val="none"/>
          <w:lang w:eastAsia="zh-CN"/>
        </w:rPr>
        <w:t>，</w:t>
      </w:r>
      <w:r>
        <w:rPr>
          <w:rFonts w:hint="eastAsia"/>
          <w:color w:val="auto"/>
          <w:highlight w:val="none"/>
        </w:rPr>
        <w:tab/>
      </w:r>
      <w:r>
        <w:rPr>
          <w:rFonts w:hint="eastAsia"/>
          <w:color w:val="auto"/>
          <w:highlight w:val="none"/>
        </w:rPr>
        <w:t>材料价格参考《南宁建设工程造价信息》</w:t>
      </w:r>
      <w:r>
        <w:rPr>
          <w:rFonts w:hint="eastAsia"/>
          <w:color w:val="auto"/>
          <w:highlight w:val="none"/>
          <w:lang w:eastAsia="zh-CN"/>
        </w:rPr>
        <w:t>2026年</w:t>
      </w:r>
      <w:r>
        <w:rPr>
          <w:rFonts w:hint="eastAsia"/>
          <w:color w:val="auto"/>
          <w:highlight w:val="none"/>
        </w:rPr>
        <w:t>第6期上半月刊，信息价缺项部分按市场询价。</w:t>
      </w:r>
      <w:r>
        <w:rPr>
          <w:rFonts w:hint="eastAsia"/>
          <w:color w:val="auto"/>
          <w:highlight w:val="none"/>
          <w:lang w:val="en-US" w:eastAsia="zh-CN"/>
        </w:rPr>
        <w:t>以及</w:t>
      </w:r>
      <w:r>
        <w:rPr>
          <w:color w:val="auto"/>
          <w:kern w:val="0"/>
          <w:highlight w:val="none"/>
        </w:rPr>
        <w:t>磋商文件</w:t>
      </w:r>
      <w:r>
        <w:rPr>
          <w:color w:val="auto"/>
          <w:highlight w:val="none"/>
        </w:rPr>
        <w:t>、施工图等编制。计算规范中没有的清单项目，应在本章第1.4款约定。</w:t>
      </w:r>
    </w:p>
    <w:p w14:paraId="100A7358">
      <w:pPr>
        <w:spacing w:line="440" w:lineRule="exact"/>
        <w:ind w:firstLine="420" w:firstLineChars="200"/>
        <w:rPr>
          <w:color w:val="auto"/>
          <w:highlight w:val="none"/>
        </w:rPr>
      </w:pPr>
      <w:r>
        <w:rPr>
          <w:color w:val="auto"/>
          <w:highlight w:val="none"/>
        </w:rPr>
        <w:t>1.2 工程量清单应与供应商须知、合同协议条款、合同的通用条款、合同专用条款、技术规范及图纸等文件一起结合使用。</w:t>
      </w:r>
    </w:p>
    <w:p w14:paraId="2BFF0073">
      <w:pPr>
        <w:spacing w:line="440" w:lineRule="exact"/>
        <w:ind w:firstLine="420" w:firstLineChars="200"/>
        <w:rPr>
          <w:color w:val="auto"/>
          <w:highlight w:val="none"/>
        </w:rPr>
      </w:pPr>
      <w:r>
        <w:rPr>
          <w:color w:val="auto"/>
          <w:highlight w:val="none"/>
        </w:rPr>
        <w:t>1.3 工程量清单是磋商文件的组成部分，是工程量清单计价的基础，作为编制最高限价、竞争性磋商报价、计算或调整工程量、索赔等的依据之一。</w:t>
      </w:r>
    </w:p>
    <w:p w14:paraId="1CE6CC8B">
      <w:pPr>
        <w:spacing w:line="440" w:lineRule="exact"/>
        <w:ind w:firstLine="420" w:firstLineChars="200"/>
        <w:rPr>
          <w:color w:val="auto"/>
          <w:highlight w:val="none"/>
        </w:rPr>
      </w:pPr>
      <w:r>
        <w:rPr>
          <w:color w:val="auto"/>
          <w:highlight w:val="none"/>
        </w:rPr>
        <w:t>1.4 补充清单项目的特征、计量单位、工程量计算规则及工作内容说明如下：无。</w:t>
      </w:r>
    </w:p>
    <w:p w14:paraId="20400DB9">
      <w:pPr>
        <w:pStyle w:val="24"/>
        <w:spacing w:line="440" w:lineRule="exact"/>
        <w:ind w:firstLine="420" w:firstLineChars="200"/>
        <w:rPr>
          <w:rFonts w:ascii="Times New Roman" w:hAnsi="Times New Roman"/>
          <w:color w:val="auto"/>
          <w:sz w:val="21"/>
          <w:highlight w:val="none"/>
        </w:rPr>
      </w:pPr>
      <w:r>
        <w:rPr>
          <w:rFonts w:ascii="Times New Roman" w:hAnsi="Times New Roman"/>
          <w:color w:val="auto"/>
          <w:sz w:val="21"/>
          <w:highlight w:val="none"/>
        </w:rPr>
        <w:t>1.5 《允许调整主要材料和工程设备一览表》（表-22，表格编号为计价规范相应表格编号，下同）作为项目实施过程中材料和设备价格风险调整依据。</w:t>
      </w:r>
    </w:p>
    <w:p w14:paraId="324CA1AA">
      <w:pPr>
        <w:pStyle w:val="24"/>
        <w:spacing w:line="440" w:lineRule="exact"/>
        <w:ind w:firstLine="420" w:firstLineChars="200"/>
        <w:rPr>
          <w:rFonts w:ascii="Times New Roman" w:hAnsi="Times New Roman"/>
          <w:color w:val="auto"/>
          <w:sz w:val="21"/>
          <w:highlight w:val="none"/>
        </w:rPr>
      </w:pPr>
      <w:r>
        <w:rPr>
          <w:rFonts w:ascii="Times New Roman" w:hAnsi="Times New Roman"/>
          <w:color w:val="auto"/>
          <w:sz w:val="21"/>
          <w:highlight w:val="none"/>
        </w:rPr>
        <w:t>1.6 本工程暂列金额</w:t>
      </w:r>
      <w:r>
        <w:rPr>
          <w:rFonts w:hint="eastAsia" w:ascii="Times New Roman" w:hAnsi="Times New Roman"/>
          <w:color w:val="auto"/>
          <w:sz w:val="21"/>
          <w:highlight w:val="none"/>
        </w:rPr>
        <w:t>：</w:t>
      </w:r>
      <w:r>
        <w:rPr>
          <w:rFonts w:ascii="Times New Roman" w:hAnsi="Times New Roman"/>
          <w:color w:val="auto"/>
          <w:sz w:val="21"/>
          <w:highlight w:val="none"/>
        </w:rPr>
        <w:t>（约按合同造价</w:t>
      </w:r>
      <w:r>
        <w:rPr>
          <w:rFonts w:ascii="Times New Roman" w:hAnsi="Times New Roman"/>
          <w:color w:val="auto"/>
          <w:sz w:val="21"/>
          <w:highlight w:val="none"/>
          <w:u w:val="single"/>
        </w:rPr>
        <w:t xml:space="preserve"> /  </w:t>
      </w:r>
      <w:r>
        <w:rPr>
          <w:rFonts w:ascii="Times New Roman" w:hAnsi="Times New Roman"/>
          <w:color w:val="auto"/>
          <w:sz w:val="21"/>
          <w:highlight w:val="none"/>
        </w:rPr>
        <w:t>%计算），共</w:t>
      </w:r>
      <w:r>
        <w:rPr>
          <w:rFonts w:ascii="Times New Roman" w:hAnsi="Times New Roman"/>
          <w:color w:val="auto"/>
          <w:sz w:val="21"/>
          <w:highlight w:val="none"/>
          <w:u w:val="single"/>
        </w:rPr>
        <w:t xml:space="preserve">     </w:t>
      </w:r>
      <w:r>
        <w:rPr>
          <w:rFonts w:ascii="Times New Roman" w:hAnsi="Times New Roman"/>
          <w:color w:val="auto"/>
          <w:sz w:val="21"/>
          <w:highlight w:val="none"/>
        </w:rPr>
        <w:t>元（人民币），作为合同签订时尚未确定或者不可预见但施工中可能发生的费用。</w:t>
      </w:r>
    </w:p>
    <w:p w14:paraId="11E886EA">
      <w:pPr>
        <w:pStyle w:val="24"/>
        <w:spacing w:line="440" w:lineRule="exact"/>
        <w:ind w:firstLine="420" w:firstLineChars="200"/>
        <w:rPr>
          <w:rFonts w:ascii="Times New Roman" w:hAnsi="Times New Roman"/>
          <w:color w:val="auto"/>
          <w:sz w:val="21"/>
          <w:highlight w:val="none"/>
        </w:rPr>
      </w:pPr>
      <w:r>
        <w:rPr>
          <w:rFonts w:ascii="Times New Roman" w:hAnsi="Times New Roman"/>
          <w:color w:val="auto"/>
          <w:sz w:val="21"/>
          <w:highlight w:val="none"/>
        </w:rPr>
        <w:t>1.7 本工程发包人提供的材料和设备详见《发包人提供的主要材料和工程设备一览表》（表-21）。</w:t>
      </w:r>
    </w:p>
    <w:p w14:paraId="76D6793B">
      <w:pPr>
        <w:spacing w:line="440" w:lineRule="exact"/>
        <w:ind w:firstLine="420" w:firstLineChars="200"/>
        <w:rPr>
          <w:color w:val="auto"/>
          <w:highlight w:val="none"/>
        </w:rPr>
      </w:pPr>
      <w:r>
        <w:rPr>
          <w:color w:val="auto"/>
          <w:highlight w:val="none"/>
        </w:rPr>
        <w:t>1.8 本工程部分材料和设备在招标时作为暂估价计列，结算按实调整，具体内容详见《材料（工程设备）暂估单价及调整表》（表12-2）。</w:t>
      </w:r>
    </w:p>
    <w:p w14:paraId="151CB324">
      <w:pPr>
        <w:spacing w:line="440" w:lineRule="exact"/>
        <w:ind w:firstLine="420" w:firstLineChars="200"/>
        <w:rPr>
          <w:color w:val="auto"/>
          <w:highlight w:val="none"/>
        </w:rPr>
      </w:pPr>
      <w:r>
        <w:rPr>
          <w:color w:val="auto"/>
          <w:highlight w:val="none"/>
        </w:rPr>
        <w:t>1.9 招标时暂估专业工程的价款属于暂估价，结算按实调整，具体内容详见《专业工程暂估价及结算价表》（表12-3）。</w:t>
      </w:r>
    </w:p>
    <w:p w14:paraId="5CF35A71">
      <w:pPr>
        <w:spacing w:line="440" w:lineRule="exact"/>
        <w:ind w:firstLine="420" w:firstLineChars="200"/>
        <w:rPr>
          <w:color w:val="auto"/>
          <w:highlight w:val="none"/>
        </w:rPr>
      </w:pPr>
      <w:r>
        <w:rPr>
          <w:color w:val="auto"/>
          <w:highlight w:val="none"/>
        </w:rPr>
        <w:t>1.10 本工程量清单编码处标注“*”号的清单项目作为主要清单项目，需要供应商提供《主要清单项目工料机分析表》（表-10）。</w:t>
      </w:r>
    </w:p>
    <w:p w14:paraId="738FE0DF">
      <w:pPr>
        <w:spacing w:line="440" w:lineRule="exact"/>
        <w:ind w:firstLine="420" w:firstLineChars="200"/>
        <w:rPr>
          <w:color w:val="auto"/>
          <w:highlight w:val="none"/>
        </w:rPr>
      </w:pPr>
      <w:r>
        <w:rPr>
          <w:color w:val="auto"/>
          <w:highlight w:val="none"/>
        </w:rPr>
        <w:t>1.11 其它需要说明的问题：</w:t>
      </w:r>
      <w:r>
        <w:rPr>
          <w:color w:val="auto"/>
          <w:highlight w:val="none"/>
          <w:u w:val="single"/>
        </w:rPr>
        <w:t>无</w:t>
      </w:r>
      <w:r>
        <w:rPr>
          <w:color w:val="auto"/>
          <w:highlight w:val="none"/>
        </w:rPr>
        <w:t>。</w:t>
      </w:r>
    </w:p>
    <w:p w14:paraId="244AE715">
      <w:pPr>
        <w:spacing w:line="440" w:lineRule="exact"/>
        <w:ind w:firstLine="420" w:firstLineChars="200"/>
        <w:jc w:val="left"/>
        <w:rPr>
          <w:color w:val="auto"/>
          <w:highlight w:val="none"/>
        </w:rPr>
      </w:pPr>
      <w:r>
        <w:rPr>
          <w:color w:val="auto"/>
          <w:highlight w:val="none"/>
        </w:rPr>
        <w:t>1.12 工程量清单与磋商文件同时发布。 一般计税法建设工程的工程量清单表格按</w:t>
      </w:r>
      <w:r>
        <w:rPr>
          <w:color w:val="auto"/>
          <w:kern w:val="0"/>
          <w:highlight w:val="none"/>
        </w:rPr>
        <w:t>《关于建筑业实施营业税改征增值税后广西壮族自治区建设工程计价依据调整的通知》（桂建标〔2016〕17号）</w:t>
      </w:r>
      <w:r>
        <w:rPr>
          <w:color w:val="auto"/>
          <w:highlight w:val="none"/>
        </w:rPr>
        <w:t>附件“增值税一般计税方法工程计价表”要求提供；简易计税法建设工程按照《计价规范》要求的表格提供，但规费和税费要按照《关于建筑业实施营业税改征增值税后广西壮族自治区建设工程计价依据调整的通知》（桂建标〔2016〕17号）要求调整，具体包括</w:t>
      </w:r>
      <w:r>
        <w:rPr>
          <w:rFonts w:hint="eastAsia"/>
          <w:color w:val="auto"/>
          <w:highlight w:val="none"/>
          <w:lang w:eastAsia="zh-CN"/>
        </w:rPr>
        <w:t>（</w:t>
      </w:r>
      <w:r>
        <w:rPr>
          <w:rFonts w:hint="eastAsia"/>
          <w:color w:val="auto"/>
          <w:highlight w:val="none"/>
          <w:lang w:val="en-US" w:eastAsia="zh-CN"/>
        </w:rPr>
        <w:t>以提供的工程量清单为准</w:t>
      </w:r>
      <w:r>
        <w:rPr>
          <w:rFonts w:hint="eastAsia"/>
          <w:color w:val="auto"/>
          <w:highlight w:val="none"/>
          <w:lang w:eastAsia="zh-CN"/>
        </w:rPr>
        <w:t>）</w:t>
      </w:r>
      <w:r>
        <w:rPr>
          <w:color w:val="auto"/>
          <w:highlight w:val="none"/>
        </w:rPr>
        <w:t>：</w:t>
      </w:r>
    </w:p>
    <w:p w14:paraId="487AF6C0">
      <w:pPr>
        <w:spacing w:line="440" w:lineRule="exact"/>
        <w:ind w:firstLine="420" w:firstLineChars="200"/>
        <w:jc w:val="left"/>
        <w:rPr>
          <w:color w:val="auto"/>
          <w:highlight w:val="none"/>
        </w:rPr>
      </w:pPr>
      <w:r>
        <w:rPr>
          <w:color w:val="auto"/>
          <w:highlight w:val="none"/>
        </w:rPr>
        <w:t>1.1 招标工程量清单（封-1）</w:t>
      </w:r>
    </w:p>
    <w:p w14:paraId="5CC1B059">
      <w:pPr>
        <w:spacing w:line="440" w:lineRule="exact"/>
        <w:ind w:firstLine="420" w:firstLineChars="200"/>
        <w:jc w:val="left"/>
        <w:rPr>
          <w:color w:val="auto"/>
          <w:highlight w:val="none"/>
        </w:rPr>
      </w:pPr>
      <w:r>
        <w:rPr>
          <w:color w:val="auto"/>
          <w:highlight w:val="none"/>
        </w:rPr>
        <w:t>1.2 招标工程量清单（封扉-1）</w:t>
      </w:r>
    </w:p>
    <w:p w14:paraId="67F881FB">
      <w:pPr>
        <w:spacing w:line="440" w:lineRule="exact"/>
        <w:ind w:firstLine="420" w:firstLineChars="200"/>
        <w:jc w:val="left"/>
        <w:rPr>
          <w:color w:val="auto"/>
          <w:highlight w:val="none"/>
        </w:rPr>
      </w:pPr>
      <w:r>
        <w:rPr>
          <w:color w:val="auto"/>
          <w:highlight w:val="none"/>
        </w:rPr>
        <w:t>1.3 总说明（表-01）</w:t>
      </w:r>
    </w:p>
    <w:p w14:paraId="48F6D836">
      <w:pPr>
        <w:spacing w:line="440" w:lineRule="exact"/>
        <w:ind w:firstLine="420" w:firstLineChars="200"/>
        <w:jc w:val="left"/>
        <w:rPr>
          <w:color w:val="auto"/>
          <w:highlight w:val="none"/>
        </w:rPr>
      </w:pPr>
      <w:r>
        <w:rPr>
          <w:color w:val="auto"/>
          <w:highlight w:val="none"/>
        </w:rPr>
        <w:t xml:space="preserve">1.4 </w:t>
      </w:r>
      <w:r>
        <w:rPr>
          <w:rFonts w:hint="eastAsia"/>
          <w:color w:val="auto"/>
          <w:highlight w:val="none"/>
        </w:rPr>
        <w:t>建设项目建筑安装工程费汇总表</w:t>
      </w:r>
      <w:r>
        <w:rPr>
          <w:color w:val="auto"/>
          <w:highlight w:val="none"/>
        </w:rPr>
        <w:t>（表-02）</w:t>
      </w:r>
    </w:p>
    <w:p w14:paraId="6A8C7324">
      <w:pPr>
        <w:spacing w:line="440" w:lineRule="exact"/>
        <w:ind w:firstLine="420" w:firstLineChars="200"/>
        <w:jc w:val="left"/>
        <w:rPr>
          <w:color w:val="auto"/>
          <w:highlight w:val="none"/>
        </w:rPr>
      </w:pPr>
      <w:r>
        <w:rPr>
          <w:color w:val="auto"/>
          <w:highlight w:val="none"/>
        </w:rPr>
        <w:t xml:space="preserve">1.5 </w:t>
      </w:r>
      <w:r>
        <w:rPr>
          <w:rFonts w:hint="eastAsia"/>
          <w:color w:val="auto"/>
          <w:highlight w:val="none"/>
        </w:rPr>
        <w:t>单项工程建筑安装工程费汇总表</w:t>
      </w:r>
      <w:r>
        <w:rPr>
          <w:color w:val="auto"/>
          <w:highlight w:val="none"/>
        </w:rPr>
        <w:t>（表-03）</w:t>
      </w:r>
    </w:p>
    <w:p w14:paraId="5608B2E7">
      <w:pPr>
        <w:spacing w:line="440" w:lineRule="exact"/>
        <w:ind w:firstLine="420" w:firstLineChars="200"/>
        <w:jc w:val="left"/>
        <w:rPr>
          <w:color w:val="auto"/>
          <w:highlight w:val="none"/>
        </w:rPr>
      </w:pPr>
      <w:r>
        <w:rPr>
          <w:color w:val="auto"/>
          <w:highlight w:val="none"/>
        </w:rPr>
        <w:t xml:space="preserve">1.6 </w:t>
      </w:r>
      <w:r>
        <w:rPr>
          <w:rFonts w:hint="eastAsia"/>
          <w:color w:val="auto"/>
          <w:highlight w:val="none"/>
        </w:rPr>
        <w:t>单位工程建筑安装工程费汇总表</w:t>
      </w:r>
      <w:r>
        <w:rPr>
          <w:color w:val="auto"/>
          <w:highlight w:val="none"/>
        </w:rPr>
        <w:t>（表-04）</w:t>
      </w:r>
    </w:p>
    <w:p w14:paraId="6CC4270E">
      <w:pPr>
        <w:spacing w:line="440" w:lineRule="exact"/>
        <w:ind w:firstLine="420" w:firstLineChars="200"/>
        <w:jc w:val="left"/>
        <w:rPr>
          <w:color w:val="auto"/>
          <w:highlight w:val="none"/>
        </w:rPr>
      </w:pPr>
      <w:r>
        <w:rPr>
          <w:color w:val="auto"/>
          <w:highlight w:val="none"/>
        </w:rPr>
        <w:t xml:space="preserve">1.7 </w:t>
      </w:r>
      <w:r>
        <w:rPr>
          <w:rFonts w:hint="eastAsia"/>
          <w:color w:val="auto"/>
          <w:highlight w:val="none"/>
        </w:rPr>
        <w:t>分部分项工程和单价措施项目费用表</w:t>
      </w:r>
      <w:r>
        <w:rPr>
          <w:color w:val="auto"/>
          <w:highlight w:val="none"/>
        </w:rPr>
        <w:t>（表-08）</w:t>
      </w:r>
    </w:p>
    <w:p w14:paraId="437346C2">
      <w:pPr>
        <w:spacing w:line="440" w:lineRule="exact"/>
        <w:ind w:firstLine="420" w:firstLineChars="200"/>
        <w:jc w:val="left"/>
        <w:rPr>
          <w:color w:val="auto"/>
          <w:highlight w:val="none"/>
        </w:rPr>
      </w:pPr>
      <w:r>
        <w:rPr>
          <w:color w:val="auto"/>
          <w:highlight w:val="none"/>
        </w:rPr>
        <w:t xml:space="preserve">1.8 </w:t>
      </w:r>
      <w:r>
        <w:rPr>
          <w:rFonts w:hint="eastAsia"/>
          <w:color w:val="auto"/>
          <w:highlight w:val="none"/>
        </w:rPr>
        <w:t>总价措施项目费用表</w:t>
      </w:r>
      <w:r>
        <w:rPr>
          <w:color w:val="auto"/>
          <w:highlight w:val="none"/>
        </w:rPr>
        <w:t>（表-1</w:t>
      </w:r>
      <w:r>
        <w:rPr>
          <w:rFonts w:hint="eastAsia"/>
          <w:color w:val="auto"/>
          <w:highlight w:val="none"/>
          <w:lang w:val="en-US" w:eastAsia="zh-CN"/>
        </w:rPr>
        <w:t>0</w:t>
      </w:r>
      <w:r>
        <w:rPr>
          <w:color w:val="auto"/>
          <w:highlight w:val="none"/>
        </w:rPr>
        <w:t>）</w:t>
      </w:r>
    </w:p>
    <w:p w14:paraId="50EF88A5">
      <w:pPr>
        <w:spacing w:line="440" w:lineRule="exact"/>
        <w:ind w:firstLine="420" w:firstLineChars="200"/>
        <w:jc w:val="left"/>
        <w:rPr>
          <w:color w:val="auto"/>
          <w:highlight w:val="none"/>
        </w:rPr>
      </w:pPr>
      <w:r>
        <w:rPr>
          <w:color w:val="auto"/>
          <w:highlight w:val="none"/>
        </w:rPr>
        <w:t xml:space="preserve">1.9 </w:t>
      </w:r>
      <w:r>
        <w:rPr>
          <w:rFonts w:hint="eastAsia"/>
          <w:color w:val="auto"/>
          <w:highlight w:val="none"/>
        </w:rPr>
        <w:t>其他项目费用汇总表</w:t>
      </w:r>
      <w:r>
        <w:rPr>
          <w:color w:val="auto"/>
          <w:highlight w:val="none"/>
        </w:rPr>
        <w:t>（表-1</w:t>
      </w:r>
      <w:r>
        <w:rPr>
          <w:rFonts w:hint="eastAsia"/>
          <w:color w:val="auto"/>
          <w:highlight w:val="none"/>
          <w:lang w:val="en-US" w:eastAsia="zh-CN"/>
        </w:rPr>
        <w:t>1</w:t>
      </w:r>
      <w:r>
        <w:rPr>
          <w:color w:val="auto"/>
          <w:highlight w:val="none"/>
        </w:rPr>
        <w:t>）</w:t>
      </w:r>
    </w:p>
    <w:p w14:paraId="6481D530">
      <w:pPr>
        <w:pStyle w:val="4"/>
        <w:spacing w:before="0" w:after="0" w:line="440" w:lineRule="exact"/>
        <w:ind w:firstLine="422" w:firstLineChars="200"/>
        <w:rPr>
          <w:rFonts w:ascii="Times New Roman" w:hAnsi="Times New Roman"/>
          <w:color w:val="auto"/>
          <w:sz w:val="21"/>
          <w:szCs w:val="21"/>
          <w:highlight w:val="none"/>
        </w:rPr>
      </w:pPr>
      <w:bookmarkStart w:id="36" w:name="_Toc78449870"/>
      <w:bookmarkStart w:id="37" w:name="_Toc407135285"/>
      <w:bookmarkStart w:id="38" w:name="_Toc128638343"/>
      <w:bookmarkStart w:id="39" w:name="_Toc990933621"/>
      <w:bookmarkStart w:id="40" w:name="_Toc347872619"/>
      <w:r>
        <w:rPr>
          <w:rFonts w:ascii="Times New Roman" w:hAnsi="Times New Roman"/>
          <w:color w:val="auto"/>
          <w:sz w:val="21"/>
          <w:szCs w:val="21"/>
          <w:highlight w:val="none"/>
        </w:rPr>
        <w:t>2.最高限价编制说明</w:t>
      </w:r>
      <w:bookmarkEnd w:id="36"/>
      <w:bookmarkEnd w:id="37"/>
      <w:bookmarkEnd w:id="38"/>
      <w:bookmarkEnd w:id="39"/>
      <w:bookmarkEnd w:id="40"/>
    </w:p>
    <w:p w14:paraId="46B624A4">
      <w:pPr>
        <w:spacing w:line="440" w:lineRule="exact"/>
        <w:ind w:firstLine="420" w:firstLineChars="200"/>
        <w:rPr>
          <w:color w:val="auto"/>
          <w:highlight w:val="none"/>
        </w:rPr>
      </w:pPr>
      <w:r>
        <w:rPr>
          <w:color w:val="auto"/>
          <w:highlight w:val="none"/>
        </w:rPr>
        <w:t>2.1 最高限价编制依据：</w:t>
      </w:r>
    </w:p>
    <w:p w14:paraId="2F00CF51">
      <w:pPr>
        <w:spacing w:line="440" w:lineRule="exact"/>
        <w:ind w:firstLine="420" w:firstLineChars="200"/>
        <w:rPr>
          <w:rFonts w:hint="eastAsia"/>
          <w:color w:val="auto"/>
          <w:highlight w:val="none"/>
        </w:rPr>
      </w:pPr>
      <w:r>
        <w:rPr>
          <w:rFonts w:hint="eastAsia"/>
          <w:color w:val="auto"/>
          <w:highlight w:val="none"/>
        </w:rPr>
        <w:t>1.《建设工程工程量清单计价规范》（GB 50500-2013）、《房屋建筑与装饰工程工程量计算规范（GB 50854-2013）》；</w:t>
      </w:r>
      <w:r>
        <w:rPr>
          <w:rFonts w:hint="eastAsia"/>
          <w:color w:val="auto"/>
          <w:highlight w:val="none"/>
        </w:rPr>
        <w:tab/>
      </w:r>
    </w:p>
    <w:p w14:paraId="0C705664">
      <w:pPr>
        <w:spacing w:line="440" w:lineRule="exact"/>
        <w:ind w:firstLine="630" w:firstLineChars="300"/>
        <w:rPr>
          <w:rFonts w:hint="eastAsia"/>
          <w:color w:val="auto"/>
          <w:highlight w:val="none"/>
        </w:rPr>
      </w:pPr>
      <w:r>
        <w:rPr>
          <w:rFonts w:hint="eastAsia"/>
          <w:color w:val="auto"/>
          <w:highlight w:val="none"/>
        </w:rPr>
        <w:t>2.《建设工程工程量计算规范广西壮族自治区实施细则（GB 50854～50862-2013）》、《建设工程工程量清单计价规范广西壮族自治区实施细则（GB 50500-2013）》；</w:t>
      </w:r>
      <w:r>
        <w:rPr>
          <w:rFonts w:hint="eastAsia"/>
          <w:color w:val="auto"/>
          <w:highlight w:val="none"/>
        </w:rPr>
        <w:tab/>
      </w:r>
    </w:p>
    <w:p w14:paraId="5252B3FD">
      <w:pPr>
        <w:spacing w:line="440" w:lineRule="exact"/>
        <w:ind w:firstLine="630" w:firstLineChars="300"/>
        <w:rPr>
          <w:rFonts w:hint="eastAsia"/>
          <w:color w:val="auto"/>
          <w:highlight w:val="none"/>
        </w:rPr>
      </w:pPr>
      <w:r>
        <w:rPr>
          <w:rFonts w:hint="eastAsia"/>
          <w:color w:val="auto"/>
          <w:highlight w:val="none"/>
        </w:rPr>
        <w:t>3.2022版《广西壮族自治区市政工程消耗量定额》及其配套费用定额；</w:t>
      </w:r>
      <w:r>
        <w:rPr>
          <w:rFonts w:hint="eastAsia"/>
          <w:color w:val="auto"/>
          <w:highlight w:val="none"/>
        </w:rPr>
        <w:tab/>
      </w:r>
    </w:p>
    <w:p w14:paraId="01A51FDD">
      <w:pPr>
        <w:spacing w:line="440" w:lineRule="exact"/>
        <w:ind w:firstLine="630" w:firstLineChars="300"/>
        <w:rPr>
          <w:rFonts w:hint="eastAsia"/>
          <w:color w:val="auto"/>
          <w:highlight w:val="none"/>
        </w:rPr>
      </w:pPr>
      <w:r>
        <w:rPr>
          <w:rFonts w:hint="eastAsia"/>
          <w:color w:val="auto"/>
          <w:highlight w:val="none"/>
        </w:rPr>
        <w:t>4.2024版《广西壮族自治区建筑装饰装修工程消耗量定额》及其配套费用定额；</w:t>
      </w:r>
      <w:r>
        <w:rPr>
          <w:rFonts w:hint="eastAsia"/>
          <w:color w:val="auto"/>
          <w:highlight w:val="none"/>
        </w:rPr>
        <w:tab/>
      </w:r>
    </w:p>
    <w:p w14:paraId="78B3BF58">
      <w:pPr>
        <w:spacing w:line="440" w:lineRule="exact"/>
        <w:ind w:firstLine="630" w:firstLineChars="300"/>
        <w:rPr>
          <w:rFonts w:hint="eastAsia"/>
          <w:color w:val="auto"/>
          <w:highlight w:val="none"/>
        </w:rPr>
      </w:pPr>
      <w:r>
        <w:rPr>
          <w:rFonts w:hint="eastAsia"/>
          <w:color w:val="auto"/>
          <w:highlight w:val="none"/>
        </w:rPr>
        <w:t>5.《自治区住房城乡建设厅关于调整建设工程定额人工费及有关费率的通知》（桂建标〔2023〕7号）；</w:t>
      </w:r>
      <w:r>
        <w:rPr>
          <w:rFonts w:hint="eastAsia"/>
          <w:color w:val="auto"/>
          <w:highlight w:val="none"/>
        </w:rPr>
        <w:tab/>
      </w:r>
    </w:p>
    <w:p w14:paraId="639E02D5">
      <w:pPr>
        <w:spacing w:line="440" w:lineRule="exact"/>
        <w:ind w:firstLine="630" w:firstLineChars="300"/>
        <w:rPr>
          <w:rFonts w:hint="eastAsia"/>
          <w:color w:val="auto"/>
          <w:highlight w:val="none"/>
        </w:rPr>
      </w:pPr>
      <w:r>
        <w:rPr>
          <w:rFonts w:hint="eastAsia"/>
          <w:color w:val="auto"/>
          <w:highlight w:val="none"/>
        </w:rPr>
        <w:t>6.《自治区住房城乡建设厅关于调整建设工程计价增值税税率的通知》（桂建标〔2019〕12号）；</w:t>
      </w:r>
      <w:r>
        <w:rPr>
          <w:rFonts w:hint="eastAsia"/>
          <w:color w:val="auto"/>
          <w:highlight w:val="none"/>
        </w:rPr>
        <w:tab/>
      </w:r>
    </w:p>
    <w:p w14:paraId="0F2C7B3A">
      <w:pPr>
        <w:spacing w:line="440" w:lineRule="exact"/>
        <w:ind w:firstLine="630" w:firstLineChars="300"/>
        <w:rPr>
          <w:rFonts w:hint="eastAsia"/>
          <w:color w:val="auto"/>
          <w:highlight w:val="none"/>
        </w:rPr>
      </w:pPr>
      <w:r>
        <w:rPr>
          <w:rFonts w:hint="eastAsia"/>
          <w:color w:val="auto"/>
          <w:highlight w:val="none"/>
        </w:rPr>
        <w:t>7.《自治区住房城乡建设厅关于印发广西壮族自治区房屋建筑和市政基础设施工程安全生产责任保险计价规定的通知》（桂建发〔2023〕6 号）的规定；</w:t>
      </w:r>
      <w:r>
        <w:rPr>
          <w:rFonts w:hint="eastAsia"/>
          <w:color w:val="auto"/>
          <w:highlight w:val="none"/>
        </w:rPr>
        <w:tab/>
      </w:r>
    </w:p>
    <w:p w14:paraId="23AAAA77">
      <w:pPr>
        <w:spacing w:line="440" w:lineRule="exact"/>
        <w:ind w:firstLine="630" w:firstLineChars="300"/>
        <w:rPr>
          <w:rFonts w:hint="eastAsia"/>
          <w:color w:val="auto"/>
          <w:highlight w:val="none"/>
        </w:rPr>
      </w:pPr>
      <w:r>
        <w:rPr>
          <w:rFonts w:hint="eastAsia"/>
          <w:color w:val="auto"/>
          <w:highlight w:val="none"/>
        </w:rPr>
        <w:t>8.施工现场情况、工程特点及常规施工组织设计方案；</w:t>
      </w:r>
      <w:r>
        <w:rPr>
          <w:rFonts w:hint="eastAsia"/>
          <w:color w:val="auto"/>
          <w:highlight w:val="none"/>
        </w:rPr>
        <w:tab/>
      </w:r>
    </w:p>
    <w:p w14:paraId="409E03B8">
      <w:pPr>
        <w:spacing w:line="440" w:lineRule="exact"/>
        <w:ind w:firstLine="630" w:firstLineChars="300"/>
        <w:rPr>
          <w:rFonts w:hint="eastAsia"/>
          <w:color w:val="auto"/>
          <w:highlight w:val="none"/>
        </w:rPr>
      </w:pPr>
      <w:r>
        <w:rPr>
          <w:rFonts w:hint="eastAsia"/>
          <w:color w:val="auto"/>
          <w:highlight w:val="none"/>
        </w:rPr>
        <w:t>9.其他现行相关文件、法律法规、标准图集等。</w:t>
      </w:r>
      <w:r>
        <w:rPr>
          <w:rFonts w:hint="eastAsia"/>
          <w:color w:val="auto"/>
          <w:highlight w:val="none"/>
        </w:rPr>
        <w:tab/>
      </w:r>
    </w:p>
    <w:p w14:paraId="6B8E3766">
      <w:pPr>
        <w:spacing w:line="440" w:lineRule="exact"/>
        <w:ind w:firstLine="630" w:firstLineChars="300"/>
        <w:rPr>
          <w:rFonts w:hint="eastAsia"/>
          <w:color w:val="auto"/>
          <w:highlight w:val="none"/>
        </w:rPr>
      </w:pPr>
      <w:r>
        <w:rPr>
          <w:rFonts w:hint="eastAsia"/>
          <w:color w:val="auto"/>
          <w:highlight w:val="none"/>
        </w:rPr>
        <w:t>材料价格:材料价格参考《南宁建设工程造价信息》</w:t>
      </w:r>
      <w:r>
        <w:rPr>
          <w:rFonts w:hint="eastAsia"/>
          <w:color w:val="auto"/>
          <w:highlight w:val="none"/>
          <w:lang w:eastAsia="zh-CN"/>
        </w:rPr>
        <w:t>2026年</w:t>
      </w:r>
      <w:r>
        <w:rPr>
          <w:rFonts w:hint="eastAsia"/>
          <w:color w:val="auto"/>
          <w:highlight w:val="none"/>
        </w:rPr>
        <w:t>第6期上半月刊，信息价缺项部分按市场询价。</w:t>
      </w:r>
      <w:r>
        <w:rPr>
          <w:rFonts w:hint="eastAsia"/>
          <w:color w:val="auto"/>
          <w:highlight w:val="none"/>
        </w:rPr>
        <w:tab/>
      </w:r>
    </w:p>
    <w:p w14:paraId="7BE9BACC">
      <w:pPr>
        <w:spacing w:line="440" w:lineRule="exact"/>
        <w:ind w:firstLine="630" w:firstLineChars="300"/>
        <w:rPr>
          <w:rFonts w:hint="eastAsia" w:eastAsia="宋体"/>
          <w:color w:val="auto"/>
          <w:highlight w:val="none"/>
          <w:lang w:eastAsia="zh-CN"/>
        </w:rPr>
      </w:pPr>
      <w:r>
        <w:rPr>
          <w:rFonts w:hint="eastAsia"/>
          <w:color w:val="auto"/>
          <w:highlight w:val="none"/>
        </w:rPr>
        <w:t>其他说明</w:t>
      </w:r>
      <w:r>
        <w:rPr>
          <w:rFonts w:hint="eastAsia"/>
          <w:color w:val="auto"/>
          <w:highlight w:val="none"/>
          <w:lang w:eastAsia="zh-CN"/>
        </w:rPr>
        <w:t>：</w:t>
      </w:r>
    </w:p>
    <w:p w14:paraId="2E92BF49">
      <w:pPr>
        <w:spacing w:line="440" w:lineRule="exact"/>
        <w:ind w:firstLine="630" w:firstLineChars="300"/>
        <w:rPr>
          <w:rFonts w:hint="eastAsia"/>
          <w:color w:val="auto"/>
          <w:highlight w:val="none"/>
        </w:rPr>
      </w:pPr>
      <w:r>
        <w:rPr>
          <w:rFonts w:hint="eastAsia"/>
          <w:color w:val="auto"/>
          <w:highlight w:val="none"/>
          <w:lang w:eastAsia="zh-CN"/>
        </w:rPr>
        <w:t>（</w:t>
      </w:r>
      <w:r>
        <w:rPr>
          <w:rFonts w:hint="eastAsia"/>
          <w:color w:val="auto"/>
          <w:highlight w:val="none"/>
          <w:lang w:val="en-US" w:eastAsia="zh-CN"/>
        </w:rPr>
        <w:t>1</w:t>
      </w:r>
      <w:r>
        <w:rPr>
          <w:rFonts w:hint="eastAsia"/>
          <w:color w:val="auto"/>
          <w:highlight w:val="none"/>
          <w:lang w:eastAsia="zh-CN"/>
        </w:rPr>
        <w:t>）</w:t>
      </w:r>
      <w:r>
        <w:rPr>
          <w:rFonts w:hint="eastAsia"/>
          <w:color w:val="auto"/>
          <w:highlight w:val="none"/>
        </w:rPr>
        <w:t>本工程采用增值税一般计税法计价，即税率为9%；</w:t>
      </w:r>
      <w:r>
        <w:rPr>
          <w:rFonts w:hint="eastAsia"/>
          <w:color w:val="auto"/>
          <w:highlight w:val="none"/>
        </w:rPr>
        <w:tab/>
      </w:r>
    </w:p>
    <w:p w14:paraId="06778C20">
      <w:pPr>
        <w:spacing w:line="440" w:lineRule="exact"/>
        <w:ind w:firstLine="630" w:firstLineChars="300"/>
        <w:rPr>
          <w:rFonts w:hint="eastAsia"/>
          <w:color w:val="auto"/>
          <w:highlight w:val="none"/>
        </w:rPr>
      </w:pPr>
      <w:r>
        <w:rPr>
          <w:rFonts w:hint="eastAsia"/>
          <w:color w:val="auto"/>
          <w:highlight w:val="none"/>
          <w:lang w:eastAsia="zh-CN"/>
        </w:rPr>
        <w:t>（</w:t>
      </w:r>
      <w:r>
        <w:rPr>
          <w:rFonts w:hint="eastAsia"/>
          <w:color w:val="auto"/>
          <w:highlight w:val="none"/>
          <w:lang w:val="en-US" w:eastAsia="zh-CN"/>
        </w:rPr>
        <w:t>2</w:t>
      </w:r>
      <w:r>
        <w:rPr>
          <w:rFonts w:hint="eastAsia"/>
          <w:color w:val="auto"/>
          <w:highlight w:val="none"/>
          <w:lang w:eastAsia="zh-CN"/>
        </w:rPr>
        <w:t>）</w:t>
      </w:r>
      <w:r>
        <w:rPr>
          <w:rFonts w:hint="eastAsia"/>
          <w:color w:val="auto"/>
          <w:highlight w:val="none"/>
        </w:rPr>
        <w:t>安全生产责任保险费按分部分项工程费及措施项目费（含单价及总价措施项目费）为计算基数乘以0.2%计入暂估价，工程结算时，由发承包双方根据工程实际情况确认的安全生产责任保险费计入工程造价</w:t>
      </w:r>
      <w:r>
        <w:rPr>
          <w:rFonts w:hint="eastAsia"/>
          <w:color w:val="auto"/>
          <w:highlight w:val="none"/>
          <w:lang w:eastAsia="zh-CN"/>
        </w:rPr>
        <w:t>，投标人在编制投标报价文件时，安责险应按招标工程量清单中给出的安责险暂估价的具体金额填写，不得调整</w:t>
      </w:r>
      <w:r>
        <w:rPr>
          <w:rFonts w:hint="eastAsia"/>
          <w:color w:val="auto"/>
          <w:highlight w:val="none"/>
        </w:rPr>
        <w:t>。</w:t>
      </w:r>
      <w:r>
        <w:rPr>
          <w:rFonts w:hint="eastAsia"/>
          <w:color w:val="auto"/>
          <w:highlight w:val="none"/>
        </w:rPr>
        <w:tab/>
      </w:r>
    </w:p>
    <w:p w14:paraId="7663358E">
      <w:pPr>
        <w:spacing w:line="440" w:lineRule="exact"/>
        <w:ind w:firstLine="420" w:firstLineChars="200"/>
        <w:rPr>
          <w:color w:val="auto"/>
          <w:highlight w:val="none"/>
          <w:u w:val="single"/>
        </w:rPr>
      </w:pPr>
      <w:r>
        <w:rPr>
          <w:color w:val="auto"/>
          <w:highlight w:val="none"/>
        </w:rPr>
        <w:t>（3）建设工程设计文件及相关资料：</w:t>
      </w:r>
      <w:r>
        <w:rPr>
          <w:color w:val="auto"/>
          <w:highlight w:val="none"/>
          <w:u w:val="single"/>
        </w:rPr>
        <w:t>详见施工图纸</w:t>
      </w:r>
      <w:r>
        <w:rPr>
          <w:color w:val="auto"/>
          <w:highlight w:val="none"/>
        </w:rPr>
        <w:t xml:space="preserve">。 </w:t>
      </w:r>
    </w:p>
    <w:p w14:paraId="65F20769">
      <w:pPr>
        <w:spacing w:line="440" w:lineRule="exact"/>
        <w:ind w:firstLine="420" w:firstLineChars="200"/>
        <w:rPr>
          <w:color w:val="auto"/>
          <w:highlight w:val="none"/>
        </w:rPr>
      </w:pPr>
      <w:r>
        <w:rPr>
          <w:color w:val="auto"/>
          <w:highlight w:val="none"/>
        </w:rPr>
        <w:t>（4）本工程磋商文件及工程量清单；</w:t>
      </w:r>
    </w:p>
    <w:p w14:paraId="5F22ADC7">
      <w:pPr>
        <w:spacing w:line="440" w:lineRule="exact"/>
        <w:ind w:firstLine="420" w:firstLineChars="200"/>
        <w:rPr>
          <w:color w:val="auto"/>
          <w:highlight w:val="none"/>
        </w:rPr>
      </w:pPr>
      <w:r>
        <w:rPr>
          <w:color w:val="auto"/>
          <w:highlight w:val="none"/>
        </w:rPr>
        <w:t>（5）与建设项目相关的标准、规范、技术资料；</w:t>
      </w:r>
    </w:p>
    <w:p w14:paraId="2E91FCDF">
      <w:pPr>
        <w:spacing w:line="440" w:lineRule="exact"/>
        <w:ind w:firstLine="420" w:firstLineChars="200"/>
        <w:rPr>
          <w:color w:val="auto"/>
          <w:highlight w:val="none"/>
        </w:rPr>
      </w:pPr>
      <w:r>
        <w:rPr>
          <w:color w:val="auto"/>
          <w:highlight w:val="none"/>
        </w:rPr>
        <w:t>（6）施工现场情况、工程特点及常规施工方案；</w:t>
      </w:r>
    </w:p>
    <w:p w14:paraId="09581645">
      <w:pPr>
        <w:spacing w:line="440" w:lineRule="exact"/>
        <w:ind w:firstLine="420" w:firstLineChars="200"/>
        <w:rPr>
          <w:color w:val="auto"/>
          <w:highlight w:val="none"/>
        </w:rPr>
      </w:pPr>
      <w:r>
        <w:rPr>
          <w:color w:val="auto"/>
          <w:highlight w:val="none"/>
        </w:rPr>
        <w:t>（7）材料价格信息：材料价格按《</w:t>
      </w:r>
      <w:r>
        <w:rPr>
          <w:rStyle w:val="57"/>
          <w:rFonts w:hint="eastAsia" w:ascii="Calibri" w:hAnsi="Calibri" w:cs="Calibri"/>
          <w:color w:val="auto"/>
          <w:highlight w:val="none"/>
          <w:lang w:val="en-US" w:eastAsia="zh-CN"/>
        </w:rPr>
        <w:t>南宁</w:t>
      </w:r>
      <w:r>
        <w:rPr>
          <w:color w:val="auto"/>
          <w:highlight w:val="none"/>
        </w:rPr>
        <w:t>建设工程造价信息》</w:t>
      </w:r>
      <w:r>
        <w:rPr>
          <w:rFonts w:hint="eastAsia"/>
          <w:color w:val="auto"/>
          <w:highlight w:val="none"/>
          <w:lang w:eastAsia="zh-CN"/>
        </w:rPr>
        <w:t>2026年第6期</w:t>
      </w:r>
      <w:r>
        <w:rPr>
          <w:color w:val="auto"/>
          <w:highlight w:val="none"/>
        </w:rPr>
        <w:t>（</w:t>
      </w:r>
      <w:r>
        <w:rPr>
          <w:rFonts w:hint="eastAsia"/>
          <w:color w:val="auto"/>
          <w:highlight w:val="none"/>
          <w:lang w:val="en-US" w:eastAsia="zh-CN"/>
        </w:rPr>
        <w:t>上</w:t>
      </w:r>
      <w:r>
        <w:rPr>
          <w:color w:val="auto"/>
          <w:highlight w:val="none"/>
        </w:rPr>
        <w:t>半月刊）计取，</w:t>
      </w:r>
      <w:r>
        <w:rPr>
          <w:rFonts w:hint="eastAsia"/>
          <w:color w:val="auto"/>
          <w:highlight w:val="none"/>
          <w:lang w:val="en-US" w:eastAsia="zh-CN"/>
        </w:rPr>
        <w:t>信息价缺项部分按市场询价</w:t>
      </w:r>
      <w:r>
        <w:rPr>
          <w:color w:val="auto"/>
          <w:highlight w:val="none"/>
        </w:rPr>
        <w:t>。</w:t>
      </w:r>
    </w:p>
    <w:p w14:paraId="3E9D2F4B">
      <w:pPr>
        <w:spacing w:line="440" w:lineRule="exact"/>
        <w:ind w:firstLine="420" w:firstLineChars="200"/>
        <w:rPr>
          <w:color w:val="auto"/>
          <w:highlight w:val="none"/>
        </w:rPr>
      </w:pPr>
      <w:r>
        <w:rPr>
          <w:color w:val="auto"/>
          <w:highlight w:val="none"/>
        </w:rPr>
        <w:t>2.2 分部分项及单价措施项目综合单价应包括磋商文件中采购人要求供应商所承担的风险内容及其范围（幅度）产生的风险费用。</w:t>
      </w:r>
    </w:p>
    <w:p w14:paraId="7B8AFFB6">
      <w:pPr>
        <w:spacing w:line="440" w:lineRule="exact"/>
        <w:ind w:firstLine="420" w:firstLineChars="200"/>
        <w:rPr>
          <w:color w:val="auto"/>
          <w:highlight w:val="none"/>
        </w:rPr>
      </w:pPr>
      <w:r>
        <w:rPr>
          <w:color w:val="auto"/>
          <w:highlight w:val="none"/>
        </w:rPr>
        <w:t>2.3 总价措施项目应根据拟定的磋商文件和常规施工方案按《计价规范》和《计算规范》规定编制。</w:t>
      </w:r>
    </w:p>
    <w:p w14:paraId="63E030E7">
      <w:pPr>
        <w:spacing w:line="440" w:lineRule="exact"/>
        <w:ind w:firstLine="420" w:firstLineChars="200"/>
        <w:rPr>
          <w:color w:val="auto"/>
          <w:highlight w:val="none"/>
        </w:rPr>
      </w:pPr>
      <w:r>
        <w:rPr>
          <w:color w:val="auto"/>
          <w:highlight w:val="none"/>
        </w:rPr>
        <w:t>2.4 其他项目费应按下列规定报价：</w:t>
      </w:r>
    </w:p>
    <w:p w14:paraId="531C3B1A">
      <w:pPr>
        <w:spacing w:line="440" w:lineRule="exact"/>
        <w:ind w:firstLine="420" w:firstLineChars="200"/>
        <w:rPr>
          <w:color w:val="auto"/>
          <w:highlight w:val="none"/>
        </w:rPr>
      </w:pPr>
      <w:r>
        <w:rPr>
          <w:color w:val="auto"/>
          <w:highlight w:val="none"/>
        </w:rPr>
        <w:t>（1）暂列金额应按工程量清单中列出的金额填写；</w:t>
      </w:r>
    </w:p>
    <w:p w14:paraId="61666CD7">
      <w:pPr>
        <w:pStyle w:val="168"/>
        <w:spacing w:line="440" w:lineRule="exact"/>
        <w:ind w:firstLine="420" w:firstLineChars="200"/>
        <w:rPr>
          <w:color w:val="auto"/>
          <w:highlight w:val="none"/>
        </w:rPr>
      </w:pPr>
      <w:r>
        <w:rPr>
          <w:color w:val="auto"/>
          <w:highlight w:val="none"/>
        </w:rPr>
        <w:t>（2）材料、工程设备暂估价应按工程量清单中列出的单价计入综合单价；</w:t>
      </w:r>
    </w:p>
    <w:p w14:paraId="24578AD3">
      <w:pPr>
        <w:spacing w:line="440" w:lineRule="exact"/>
        <w:ind w:firstLine="420" w:firstLineChars="200"/>
        <w:rPr>
          <w:color w:val="auto"/>
          <w:highlight w:val="none"/>
        </w:rPr>
      </w:pPr>
      <w:r>
        <w:rPr>
          <w:color w:val="auto"/>
          <w:highlight w:val="none"/>
        </w:rPr>
        <w:t>（3）专业工程暂估价应按工程量清单中列出的金额填写，</w:t>
      </w:r>
      <w:r>
        <w:rPr>
          <w:b/>
          <w:bCs/>
          <w:color w:val="auto"/>
          <w:highlight w:val="none"/>
        </w:rPr>
        <w:t>安全生产责任保险费暂估价应按工程量清单中列出的金额填写</w:t>
      </w:r>
      <w:r>
        <w:rPr>
          <w:color w:val="auto"/>
          <w:highlight w:val="none"/>
        </w:rPr>
        <w:t>；</w:t>
      </w:r>
    </w:p>
    <w:p w14:paraId="65255432">
      <w:pPr>
        <w:spacing w:line="440" w:lineRule="exact"/>
        <w:ind w:firstLine="420" w:firstLineChars="200"/>
        <w:rPr>
          <w:color w:val="auto"/>
          <w:highlight w:val="none"/>
        </w:rPr>
      </w:pPr>
      <w:r>
        <w:rPr>
          <w:color w:val="auto"/>
          <w:highlight w:val="none"/>
        </w:rPr>
        <w:t>（4）计日工应按工程量清单中列出的项目和数量，根据工程特点和有关计价依据确定的综合单价计算；</w:t>
      </w:r>
    </w:p>
    <w:p w14:paraId="1AD10AE3">
      <w:pPr>
        <w:spacing w:line="440" w:lineRule="exact"/>
        <w:ind w:firstLine="420" w:firstLineChars="200"/>
        <w:rPr>
          <w:color w:val="auto"/>
          <w:highlight w:val="none"/>
        </w:rPr>
      </w:pPr>
      <w:r>
        <w:rPr>
          <w:color w:val="auto"/>
          <w:highlight w:val="none"/>
        </w:rPr>
        <w:t>（5）总承包服务费应根据工程量清单列出的内容和要求，按自治区住</w:t>
      </w:r>
      <w:r>
        <w:rPr>
          <w:rFonts w:hint="eastAsia"/>
          <w:color w:val="auto"/>
          <w:highlight w:val="none"/>
          <w:lang w:eastAsia="zh-CN"/>
        </w:rPr>
        <w:t>房和</w:t>
      </w:r>
      <w:r>
        <w:rPr>
          <w:color w:val="auto"/>
          <w:highlight w:val="none"/>
        </w:rPr>
        <w:t>城乡建设行政主管部门颁发的计价定额及有关规定计算。</w:t>
      </w:r>
    </w:p>
    <w:p w14:paraId="55D4DA7E">
      <w:pPr>
        <w:spacing w:line="440" w:lineRule="exact"/>
        <w:ind w:firstLine="420" w:firstLineChars="200"/>
        <w:rPr>
          <w:color w:val="auto"/>
          <w:highlight w:val="none"/>
        </w:rPr>
      </w:pPr>
      <w:r>
        <w:rPr>
          <w:color w:val="auto"/>
          <w:highlight w:val="none"/>
        </w:rPr>
        <w:t>（6）对建设单位创建优质工程的，鼓励在最高限价和预算中按广西区工程建设定额规定计列工程优质费，并明确工程优质费不可竞争。</w:t>
      </w:r>
    </w:p>
    <w:p w14:paraId="23DA3D63">
      <w:pPr>
        <w:spacing w:line="440" w:lineRule="exact"/>
        <w:ind w:firstLine="420" w:firstLineChars="200"/>
        <w:rPr>
          <w:color w:val="auto"/>
          <w:highlight w:val="none"/>
        </w:rPr>
      </w:pPr>
      <w:r>
        <w:rPr>
          <w:color w:val="auto"/>
          <w:highlight w:val="none"/>
        </w:rPr>
        <w:t>2.5 规费和增值税应按规定确定，作为不可竞争费用。</w:t>
      </w:r>
    </w:p>
    <w:p w14:paraId="4FD695B3">
      <w:pPr>
        <w:spacing w:line="440" w:lineRule="exact"/>
        <w:ind w:firstLine="420" w:firstLineChars="200"/>
        <w:rPr>
          <w:color w:val="auto"/>
          <w:highlight w:val="none"/>
        </w:rPr>
      </w:pPr>
      <w:r>
        <w:rPr>
          <w:color w:val="auto"/>
          <w:highlight w:val="none"/>
        </w:rPr>
        <w:t>2.6 其它需要说明的问题：</w:t>
      </w:r>
      <w:r>
        <w:rPr>
          <w:color w:val="auto"/>
          <w:highlight w:val="none"/>
          <w:u w:val="single"/>
        </w:rPr>
        <w:t>无</w:t>
      </w:r>
      <w:r>
        <w:rPr>
          <w:color w:val="auto"/>
          <w:highlight w:val="none"/>
        </w:rPr>
        <w:t>。</w:t>
      </w:r>
    </w:p>
    <w:p w14:paraId="3C6F6EFF">
      <w:pPr>
        <w:pStyle w:val="24"/>
        <w:spacing w:line="360" w:lineRule="auto"/>
        <w:jc w:val="center"/>
        <w:rPr>
          <w:rStyle w:val="63"/>
          <w:rFonts w:hint="eastAsia" w:asciiTheme="minorEastAsia" w:hAnsiTheme="minorEastAsia" w:eastAsiaTheme="minorEastAsia" w:cstheme="minorEastAsia"/>
          <w:color w:val="auto"/>
          <w:sz w:val="36"/>
          <w:szCs w:val="36"/>
          <w:highlight w:val="none"/>
        </w:rPr>
      </w:pPr>
    </w:p>
    <w:p w14:paraId="1201DA9A">
      <w:pPr>
        <w:pStyle w:val="24"/>
        <w:spacing w:line="360" w:lineRule="auto"/>
        <w:jc w:val="center"/>
        <w:rPr>
          <w:rStyle w:val="63"/>
          <w:rFonts w:hint="eastAsia" w:asciiTheme="minorEastAsia" w:hAnsiTheme="minorEastAsia" w:eastAsiaTheme="minorEastAsia" w:cstheme="minorEastAsia"/>
          <w:color w:val="auto"/>
          <w:sz w:val="36"/>
          <w:szCs w:val="36"/>
          <w:highlight w:val="none"/>
        </w:rPr>
      </w:pPr>
      <w:bookmarkStart w:id="41" w:name="_Toc30817"/>
      <w:r>
        <w:rPr>
          <w:rStyle w:val="63"/>
          <w:rFonts w:hint="eastAsia" w:asciiTheme="minorEastAsia" w:hAnsiTheme="minorEastAsia" w:eastAsiaTheme="minorEastAsia" w:cstheme="minorEastAsia"/>
          <w:color w:val="auto"/>
          <w:sz w:val="36"/>
          <w:szCs w:val="36"/>
          <w:highlight w:val="none"/>
        </w:rPr>
        <w:t>本项目工程量清单及图纸另册发放。</w:t>
      </w:r>
    </w:p>
    <w:bookmarkEnd w:id="41"/>
    <w:p w14:paraId="5EB0B240">
      <w:pPr>
        <w:pStyle w:val="42"/>
        <w:spacing w:line="360" w:lineRule="auto"/>
        <w:ind w:firstLine="442"/>
        <w:jc w:val="center"/>
        <w:outlineLvl w:val="0"/>
        <w:rPr>
          <w:rFonts w:hint="eastAsia" w:asciiTheme="minorEastAsia" w:hAnsiTheme="minorEastAsia" w:eastAsiaTheme="minorEastAsia" w:cstheme="minorEastAsia"/>
          <w:color w:val="auto"/>
          <w:sz w:val="44"/>
          <w:szCs w:val="44"/>
          <w:highlight w:val="none"/>
        </w:rPr>
        <w:sectPr>
          <w:pgSz w:w="11910" w:h="16840"/>
          <w:pgMar w:top="1340" w:right="1500" w:bottom="280" w:left="1680" w:header="720" w:footer="720" w:gutter="0"/>
          <w:cols w:space="720" w:num="1"/>
        </w:sectPr>
      </w:pPr>
    </w:p>
    <w:p w14:paraId="0311FE90">
      <w:pPr>
        <w:pStyle w:val="42"/>
        <w:spacing w:line="360" w:lineRule="auto"/>
        <w:ind w:firstLine="442"/>
        <w:jc w:val="center"/>
        <w:outlineLvl w:val="0"/>
        <w:rPr>
          <w:rFonts w:hint="eastAsia" w:asciiTheme="minorEastAsia" w:hAnsiTheme="minorEastAsia" w:eastAsiaTheme="minorEastAsia" w:cstheme="minorEastAsia"/>
          <w:color w:val="auto"/>
          <w:sz w:val="44"/>
          <w:szCs w:val="44"/>
          <w:highlight w:val="none"/>
        </w:rPr>
      </w:pPr>
      <w:bookmarkStart w:id="42" w:name="_Toc30166"/>
      <w:r>
        <w:rPr>
          <w:rFonts w:hint="eastAsia" w:asciiTheme="minorEastAsia" w:hAnsiTheme="minorEastAsia" w:eastAsiaTheme="minorEastAsia" w:cstheme="minorEastAsia"/>
          <w:color w:val="auto"/>
          <w:sz w:val="44"/>
          <w:szCs w:val="44"/>
          <w:highlight w:val="none"/>
        </w:rPr>
        <w:t>第六章  响应文件格式</w:t>
      </w:r>
      <w:bookmarkEnd w:id="42"/>
    </w:p>
    <w:p w14:paraId="56E57609">
      <w:pPr>
        <w:pStyle w:val="4"/>
        <w:jc w:val="center"/>
        <w:rPr>
          <w:rFonts w:hint="eastAsia" w:ascii="宋体" w:hAnsi="宋体"/>
          <w:bCs w:val="0"/>
          <w:color w:val="auto"/>
          <w:highlight w:val="none"/>
        </w:rPr>
      </w:pPr>
      <w:r>
        <w:rPr>
          <w:rFonts w:hint="eastAsia" w:ascii="宋体" w:hAnsi="宋体"/>
          <w:bCs w:val="0"/>
          <w:color w:val="auto"/>
          <w:highlight w:val="none"/>
        </w:rPr>
        <w:t>第一节 封面格式</w:t>
      </w:r>
    </w:p>
    <w:p w14:paraId="3B12EFB4">
      <w:pPr>
        <w:rPr>
          <w:rFonts w:hint="eastAsia" w:ascii="宋体" w:hAnsi="宋体"/>
          <w:b/>
          <w:bCs/>
          <w:color w:val="auto"/>
          <w:sz w:val="32"/>
          <w:szCs w:val="32"/>
          <w:highlight w:val="none"/>
        </w:rPr>
      </w:pPr>
      <w:r>
        <w:rPr>
          <w:rFonts w:hint="eastAsia" w:ascii="宋体" w:hAnsi="宋体"/>
          <w:b/>
          <w:color w:val="auto"/>
          <w:sz w:val="32"/>
          <w:szCs w:val="32"/>
          <w:highlight w:val="none"/>
        </w:rPr>
        <w:t>（</w:t>
      </w:r>
      <w:r>
        <w:rPr>
          <w:rFonts w:hint="eastAsia" w:ascii="宋体" w:hAnsi="宋体"/>
          <w:b/>
          <w:bCs/>
          <w:color w:val="auto"/>
          <w:sz w:val="32"/>
          <w:szCs w:val="32"/>
          <w:highlight w:val="none"/>
        </w:rPr>
        <w:t>响应文件外层包装封面格式</w:t>
      </w:r>
      <w:r>
        <w:rPr>
          <w:rFonts w:hint="eastAsia" w:ascii="宋体" w:hAnsi="宋体"/>
          <w:b/>
          <w:color w:val="auto"/>
          <w:sz w:val="32"/>
          <w:szCs w:val="32"/>
          <w:highlight w:val="none"/>
        </w:rPr>
        <w:t xml:space="preserve"> ）</w:t>
      </w:r>
    </w:p>
    <w:p w14:paraId="724523CB">
      <w:pPr>
        <w:snapToGrid w:val="0"/>
        <w:spacing w:before="120" w:beforeLines="50" w:after="50"/>
        <w:rPr>
          <w:rFonts w:hint="eastAsia" w:ascii="宋体" w:hAnsi="宋体"/>
          <w:color w:val="auto"/>
          <w:sz w:val="24"/>
          <w:szCs w:val="20"/>
          <w:highlight w:val="none"/>
        </w:rPr>
      </w:pPr>
    </w:p>
    <w:p w14:paraId="3E6862A8">
      <w:pPr>
        <w:snapToGrid w:val="0"/>
        <w:spacing w:before="120" w:beforeLines="50" w:after="50"/>
        <w:jc w:val="center"/>
        <w:rPr>
          <w:rFonts w:hint="eastAsia" w:ascii="宋体" w:hAnsi="宋体"/>
          <w:bCs/>
          <w:color w:val="auto"/>
          <w:sz w:val="24"/>
          <w:szCs w:val="20"/>
          <w:highlight w:val="none"/>
        </w:rPr>
      </w:pPr>
    </w:p>
    <w:p w14:paraId="14880F17">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响  应  文  件</w:t>
      </w:r>
    </w:p>
    <w:p w14:paraId="54F94770">
      <w:pPr>
        <w:snapToGrid w:val="0"/>
        <w:spacing w:before="120" w:beforeLines="50" w:after="50"/>
        <w:rPr>
          <w:rFonts w:hint="eastAsia" w:ascii="宋体" w:hAnsi="宋体"/>
          <w:bCs/>
          <w:color w:val="auto"/>
          <w:sz w:val="24"/>
          <w:szCs w:val="20"/>
          <w:highlight w:val="none"/>
        </w:rPr>
      </w:pPr>
    </w:p>
    <w:p w14:paraId="48B2F27E">
      <w:pPr>
        <w:snapToGrid w:val="0"/>
        <w:spacing w:before="120" w:beforeLines="50" w:after="50"/>
        <w:rPr>
          <w:rFonts w:hint="eastAsia" w:ascii="宋体" w:hAnsi="宋体"/>
          <w:bCs/>
          <w:color w:val="auto"/>
          <w:sz w:val="24"/>
          <w:szCs w:val="20"/>
          <w:highlight w:val="none"/>
        </w:rPr>
      </w:pPr>
    </w:p>
    <w:p w14:paraId="2C8A5E7D">
      <w:pPr>
        <w:snapToGrid w:val="0"/>
        <w:spacing w:before="120" w:beforeLines="50" w:after="50"/>
        <w:rPr>
          <w:rFonts w:hint="eastAsia" w:ascii="仿宋_GB2312" w:hAnsi="仿宋_GB2312" w:eastAsia="仿宋_GB2312" w:cs="仿宋_GB2312"/>
          <w:bCs/>
          <w:color w:val="auto"/>
          <w:sz w:val="32"/>
          <w:szCs w:val="32"/>
          <w:highlight w:val="none"/>
        </w:rPr>
      </w:pPr>
    </w:p>
    <w:p w14:paraId="39BA08A7">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210869C0">
      <w:pPr>
        <w:snapToGrid w:val="0"/>
        <w:spacing w:before="120" w:beforeLines="50" w:after="50"/>
        <w:ind w:firstLine="480" w:firstLineChars="150"/>
        <w:rPr>
          <w:rFonts w:hint="eastAsia" w:ascii="宋体" w:hAnsi="宋体" w:cs="仿宋_GB2312"/>
          <w:bCs/>
          <w:color w:val="auto"/>
          <w:sz w:val="32"/>
          <w:szCs w:val="32"/>
          <w:highlight w:val="none"/>
        </w:rPr>
      </w:pPr>
    </w:p>
    <w:p w14:paraId="76644D96">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6D1FFDC4">
      <w:pPr>
        <w:snapToGrid w:val="0"/>
        <w:spacing w:before="120" w:beforeLines="50" w:after="50"/>
        <w:ind w:firstLine="480" w:firstLineChars="150"/>
        <w:rPr>
          <w:rFonts w:hint="eastAsia" w:ascii="宋体" w:hAnsi="宋体" w:cs="仿宋_GB2312"/>
          <w:bCs/>
          <w:color w:val="auto"/>
          <w:sz w:val="32"/>
          <w:szCs w:val="32"/>
          <w:highlight w:val="none"/>
        </w:rPr>
      </w:pPr>
    </w:p>
    <w:p w14:paraId="3A8ED2E3">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036BA9D1">
      <w:pPr>
        <w:snapToGrid w:val="0"/>
        <w:spacing w:before="120" w:beforeLines="50" w:after="50"/>
        <w:rPr>
          <w:rFonts w:hint="eastAsia" w:ascii="宋体" w:hAnsi="宋体" w:cs="仿宋_GB2312"/>
          <w:bCs/>
          <w:color w:val="auto"/>
          <w:sz w:val="32"/>
          <w:szCs w:val="32"/>
          <w:highlight w:val="none"/>
        </w:rPr>
      </w:pPr>
    </w:p>
    <w:p w14:paraId="5DCD8EC8">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22B04442">
      <w:pPr>
        <w:snapToGrid w:val="0"/>
        <w:spacing w:before="120" w:beforeLines="50" w:after="50"/>
        <w:rPr>
          <w:rFonts w:hint="eastAsia" w:ascii="宋体" w:hAnsi="宋体" w:cs="仿宋_GB2312"/>
          <w:bCs/>
          <w:color w:val="auto"/>
          <w:sz w:val="32"/>
          <w:szCs w:val="32"/>
          <w:highlight w:val="none"/>
        </w:rPr>
      </w:pPr>
    </w:p>
    <w:p w14:paraId="72E4F11C">
      <w:pPr>
        <w:snapToGrid w:val="0"/>
        <w:spacing w:before="120" w:beforeLines="50" w:after="50"/>
        <w:ind w:firstLine="480" w:firstLineChars="150"/>
        <w:jc w:val="center"/>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首次响应文件提交截止时间前不得解密</w:t>
      </w:r>
    </w:p>
    <w:p w14:paraId="12F4570C">
      <w:pPr>
        <w:snapToGrid w:val="0"/>
        <w:spacing w:before="120" w:beforeLines="50" w:after="50"/>
        <w:ind w:firstLine="5440" w:firstLineChars="1700"/>
        <w:jc w:val="center"/>
        <w:rPr>
          <w:rFonts w:hint="eastAsia" w:ascii="宋体" w:hAnsi="宋体" w:cs="仿宋_GB2312"/>
          <w:bCs/>
          <w:color w:val="auto"/>
          <w:sz w:val="32"/>
          <w:szCs w:val="32"/>
          <w:highlight w:val="none"/>
        </w:rPr>
      </w:pPr>
    </w:p>
    <w:p w14:paraId="54F46318">
      <w:pPr>
        <w:snapToGrid w:val="0"/>
        <w:spacing w:before="120" w:beforeLines="50" w:after="50"/>
        <w:ind w:firstLine="645"/>
        <w:jc w:val="center"/>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年    月    日</w:t>
      </w:r>
    </w:p>
    <w:p w14:paraId="32E195FD">
      <w:pPr>
        <w:rPr>
          <w:color w:val="auto"/>
          <w:highlight w:val="none"/>
        </w:rPr>
        <w:sectPr>
          <w:pgSz w:w="11910" w:h="16840"/>
          <w:pgMar w:top="1340" w:right="1500" w:bottom="280" w:left="1680" w:header="720" w:footer="720" w:gutter="0"/>
          <w:cols w:space="720" w:num="1"/>
        </w:sectPr>
      </w:pPr>
    </w:p>
    <w:p w14:paraId="6B85AF7A">
      <w:pPr>
        <w:pStyle w:val="4"/>
        <w:jc w:val="center"/>
        <w:rPr>
          <w:rFonts w:hint="eastAsia" w:ascii="宋体" w:hAnsi="宋体"/>
          <w:bCs w:val="0"/>
          <w:color w:val="auto"/>
          <w:highlight w:val="none"/>
        </w:rPr>
      </w:pPr>
      <w:r>
        <w:rPr>
          <w:rFonts w:hint="eastAsia" w:ascii="宋体" w:hAnsi="宋体"/>
          <w:bCs w:val="0"/>
          <w:color w:val="auto"/>
          <w:highlight w:val="none"/>
        </w:rPr>
        <w:t>第二节 资格证明文件格式</w:t>
      </w:r>
    </w:p>
    <w:p w14:paraId="5ACE2224">
      <w:pPr>
        <w:snapToGrid w:val="0"/>
        <w:spacing w:before="120"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全流程电子文件</w:t>
      </w:r>
    </w:p>
    <w:p w14:paraId="44AFA3DB">
      <w:pPr>
        <w:snapToGrid w:val="0"/>
        <w:spacing w:before="120" w:beforeLines="50" w:after="50"/>
        <w:rPr>
          <w:rFonts w:hint="eastAsia" w:ascii="宋体" w:hAnsi="宋体"/>
          <w:color w:val="auto"/>
          <w:sz w:val="24"/>
          <w:szCs w:val="20"/>
          <w:highlight w:val="none"/>
        </w:rPr>
      </w:pPr>
    </w:p>
    <w:p w14:paraId="3A85AC5D">
      <w:pPr>
        <w:snapToGrid w:val="0"/>
        <w:spacing w:before="120" w:beforeLines="50" w:after="50"/>
        <w:rPr>
          <w:rFonts w:hint="eastAsia" w:ascii="宋体" w:hAnsi="宋体"/>
          <w:color w:val="auto"/>
          <w:sz w:val="24"/>
          <w:szCs w:val="20"/>
          <w:highlight w:val="none"/>
        </w:rPr>
      </w:pPr>
    </w:p>
    <w:p w14:paraId="6EE7F13B">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资  格  证  明  文  件（封面）</w:t>
      </w:r>
    </w:p>
    <w:p w14:paraId="6A396889">
      <w:pPr>
        <w:snapToGrid w:val="0"/>
        <w:spacing w:before="120" w:beforeLines="50" w:after="50"/>
        <w:rPr>
          <w:rFonts w:hint="eastAsia" w:ascii="宋体" w:hAnsi="宋体"/>
          <w:bCs/>
          <w:color w:val="auto"/>
          <w:sz w:val="24"/>
          <w:szCs w:val="20"/>
          <w:highlight w:val="none"/>
        </w:rPr>
      </w:pPr>
    </w:p>
    <w:p w14:paraId="6D66A48A">
      <w:pPr>
        <w:snapToGrid w:val="0"/>
        <w:spacing w:before="120" w:beforeLines="50" w:after="50"/>
        <w:rPr>
          <w:rFonts w:hint="eastAsia" w:ascii="宋体" w:hAnsi="宋体"/>
          <w:bCs/>
          <w:color w:val="auto"/>
          <w:sz w:val="24"/>
          <w:szCs w:val="20"/>
          <w:highlight w:val="none"/>
        </w:rPr>
      </w:pPr>
    </w:p>
    <w:p w14:paraId="61B80F37">
      <w:pPr>
        <w:snapToGrid w:val="0"/>
        <w:spacing w:before="120" w:beforeLines="50" w:after="50"/>
        <w:rPr>
          <w:rFonts w:hint="eastAsia" w:ascii="宋体" w:hAnsi="宋体"/>
          <w:bCs/>
          <w:color w:val="auto"/>
          <w:sz w:val="24"/>
          <w:szCs w:val="20"/>
          <w:highlight w:val="none"/>
        </w:rPr>
      </w:pPr>
    </w:p>
    <w:p w14:paraId="15035960">
      <w:pPr>
        <w:snapToGrid w:val="0"/>
        <w:spacing w:before="120" w:beforeLines="50" w:after="50"/>
        <w:rPr>
          <w:rFonts w:hint="eastAsia" w:ascii="宋体" w:hAnsi="宋体"/>
          <w:bCs/>
          <w:color w:val="auto"/>
          <w:sz w:val="24"/>
          <w:szCs w:val="20"/>
          <w:highlight w:val="none"/>
        </w:rPr>
      </w:pPr>
    </w:p>
    <w:p w14:paraId="73730072">
      <w:pPr>
        <w:snapToGrid w:val="0"/>
        <w:spacing w:before="120" w:beforeLines="50" w:after="50"/>
        <w:rPr>
          <w:rFonts w:hint="eastAsia" w:ascii="宋体" w:hAnsi="宋体"/>
          <w:bCs/>
          <w:color w:val="auto"/>
          <w:sz w:val="24"/>
          <w:szCs w:val="20"/>
          <w:highlight w:val="none"/>
        </w:rPr>
      </w:pPr>
    </w:p>
    <w:p w14:paraId="556F6917">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2BAAD884">
      <w:pPr>
        <w:snapToGrid w:val="0"/>
        <w:spacing w:before="120" w:beforeLines="50" w:after="50"/>
        <w:ind w:firstLine="720" w:firstLineChars="225"/>
        <w:rPr>
          <w:rFonts w:hint="eastAsia" w:ascii="宋体" w:hAnsi="宋体" w:cs="仿宋_GB2312"/>
          <w:bCs/>
          <w:color w:val="auto"/>
          <w:sz w:val="32"/>
          <w:szCs w:val="32"/>
          <w:highlight w:val="none"/>
        </w:rPr>
      </w:pPr>
    </w:p>
    <w:p w14:paraId="4C6D8957">
      <w:pPr>
        <w:snapToGrid w:val="0"/>
        <w:spacing w:before="120"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4900DF29">
      <w:pPr>
        <w:snapToGrid w:val="0"/>
        <w:spacing w:before="120"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4928E061">
      <w:pPr>
        <w:snapToGrid w:val="0"/>
        <w:spacing w:before="120"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537BEFE1">
      <w:pPr>
        <w:snapToGrid w:val="0"/>
        <w:spacing w:before="120" w:beforeLines="50" w:after="50"/>
        <w:ind w:firstLine="720" w:firstLineChars="225"/>
        <w:rPr>
          <w:rFonts w:hint="eastAsia" w:ascii="宋体" w:hAnsi="宋体" w:cs="仿宋_GB2312"/>
          <w:bCs/>
          <w:color w:val="auto"/>
          <w:sz w:val="32"/>
          <w:szCs w:val="32"/>
          <w:highlight w:val="none"/>
        </w:rPr>
      </w:pPr>
    </w:p>
    <w:p w14:paraId="249BD4BF">
      <w:pPr>
        <w:pStyle w:val="8"/>
        <w:snapToGrid w:val="0"/>
        <w:spacing w:before="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77FA0F01">
      <w:pPr>
        <w:pStyle w:val="8"/>
        <w:snapToGrid w:val="0"/>
        <w:spacing w:before="50" w:after="50"/>
        <w:ind w:firstLine="720" w:firstLineChars="225"/>
        <w:rPr>
          <w:rFonts w:hint="eastAsia" w:ascii="宋体" w:hAnsi="宋体" w:cs="仿宋_GB2312"/>
          <w:bCs/>
          <w:color w:val="auto"/>
          <w:sz w:val="32"/>
          <w:szCs w:val="32"/>
          <w:highlight w:val="none"/>
        </w:rPr>
      </w:pPr>
    </w:p>
    <w:p w14:paraId="37D8613D">
      <w:pPr>
        <w:pStyle w:val="8"/>
        <w:snapToGrid w:val="0"/>
        <w:spacing w:before="50" w:after="50"/>
        <w:ind w:firstLine="720" w:firstLineChars="225"/>
        <w:rPr>
          <w:rFonts w:hint="eastAsia" w:ascii="宋体" w:hAnsi="宋体" w:cs="仿宋_GB2312"/>
          <w:bCs/>
          <w:color w:val="auto"/>
          <w:sz w:val="32"/>
          <w:szCs w:val="32"/>
          <w:highlight w:val="none"/>
        </w:rPr>
      </w:pPr>
    </w:p>
    <w:p w14:paraId="5BB6A638">
      <w:pPr>
        <w:pStyle w:val="8"/>
        <w:snapToGrid w:val="0"/>
        <w:spacing w:before="50" w:after="50"/>
        <w:ind w:firstLine="720" w:firstLineChars="225"/>
        <w:rPr>
          <w:rFonts w:hint="eastAsia" w:ascii="宋体" w:hAnsi="宋体" w:cs="仿宋_GB2312"/>
          <w:bCs/>
          <w:color w:val="auto"/>
          <w:sz w:val="32"/>
          <w:szCs w:val="32"/>
          <w:highlight w:val="none"/>
        </w:rPr>
      </w:pPr>
    </w:p>
    <w:p w14:paraId="7AE4091E">
      <w:pPr>
        <w:pStyle w:val="8"/>
        <w:snapToGrid w:val="0"/>
        <w:spacing w:before="50" w:after="50"/>
        <w:ind w:firstLine="1280" w:firstLineChars="400"/>
        <w:rPr>
          <w:rFonts w:hint="eastAsia" w:ascii="宋体" w:hAnsi="宋体" w:cs="仿宋_GB2312"/>
          <w:bCs/>
          <w:color w:val="auto"/>
          <w:sz w:val="32"/>
          <w:szCs w:val="32"/>
          <w:highlight w:val="none"/>
        </w:rPr>
      </w:pPr>
    </w:p>
    <w:p w14:paraId="609BBF68">
      <w:pPr>
        <w:snapToGrid w:val="0"/>
        <w:spacing w:before="120"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1B8EFE75">
      <w:pPr>
        <w:pStyle w:val="42"/>
        <w:spacing w:line="360" w:lineRule="auto"/>
        <w:ind w:firstLine="0" w:firstLineChars="0"/>
        <w:rPr>
          <w:color w:val="auto"/>
          <w:sz w:val="21"/>
          <w:szCs w:val="21"/>
          <w:highlight w:val="none"/>
        </w:rPr>
      </w:pPr>
      <w:r>
        <w:rPr>
          <w:rFonts w:ascii="宋体" w:hAnsi="宋体"/>
          <w:color w:val="auto"/>
          <w:sz w:val="24"/>
          <w:highlight w:val="none"/>
        </w:rPr>
        <w:br w:type="page"/>
      </w:r>
    </w:p>
    <w:p w14:paraId="6210419C">
      <w:pPr>
        <w:snapToGrid w:val="0"/>
        <w:spacing w:before="120" w:beforeLines="50" w:after="50"/>
        <w:jc w:val="left"/>
        <w:rPr>
          <w:rFonts w:hint="eastAsia" w:ascii="宋体" w:hAnsi="宋体"/>
          <w:b/>
          <w:color w:val="auto"/>
          <w:sz w:val="32"/>
          <w:szCs w:val="32"/>
          <w:highlight w:val="none"/>
        </w:rPr>
      </w:pPr>
    </w:p>
    <w:p w14:paraId="1A7BBD4B">
      <w:pPr>
        <w:snapToGrid w:val="0"/>
        <w:spacing w:before="120" w:beforeLines="50" w:after="50"/>
        <w:jc w:val="center"/>
        <w:rPr>
          <w:rFonts w:hint="eastAsia" w:ascii="宋体" w:hAnsi="宋体"/>
          <w:b/>
          <w:bCs/>
          <w:color w:val="auto"/>
          <w:sz w:val="32"/>
          <w:szCs w:val="32"/>
          <w:highlight w:val="none"/>
        </w:rPr>
      </w:pPr>
      <w:r>
        <w:rPr>
          <w:rFonts w:hint="eastAsia" w:ascii="宋体" w:hAnsi="宋体"/>
          <w:b/>
          <w:bCs/>
          <w:color w:val="auto"/>
          <w:sz w:val="32"/>
          <w:szCs w:val="32"/>
          <w:highlight w:val="none"/>
        </w:rPr>
        <w:t>资格证明文件目录</w:t>
      </w:r>
    </w:p>
    <w:p w14:paraId="1AA083B9">
      <w:pPr>
        <w:pStyle w:val="62"/>
        <w:rPr>
          <w:color w:val="auto"/>
          <w:highlight w:val="none"/>
        </w:rPr>
      </w:pPr>
    </w:p>
    <w:p w14:paraId="499A1878">
      <w:pPr>
        <w:spacing w:line="360" w:lineRule="auto"/>
        <w:jc w:val="distribute"/>
        <w:rPr>
          <w:rFonts w:hint="eastAsia" w:ascii="宋体" w:hAnsi="宋体"/>
          <w:color w:val="auto"/>
          <w:spacing w:val="2"/>
          <w:highlight w:val="none"/>
        </w:rPr>
      </w:pPr>
      <w:r>
        <w:rPr>
          <w:rFonts w:hint="eastAsia" w:ascii="宋体" w:hAnsi="宋体"/>
          <w:color w:val="auto"/>
          <w:spacing w:val="2"/>
          <w:highlight w:val="none"/>
        </w:rPr>
        <w:t>一、</w:t>
      </w:r>
      <w:r>
        <w:rPr>
          <w:rFonts w:hint="eastAsia" w:asciiTheme="minorEastAsia" w:hAnsiTheme="minorEastAsia" w:eastAsiaTheme="minorEastAsia" w:cstheme="minorEastAsia"/>
          <w:color w:val="auto"/>
          <w:highlight w:val="none"/>
        </w:rPr>
        <w:t>供应商为法人或者其他组织的提供其营业执照等证明文件（如营业执照或者事业单位法人证书或者执业许可证等），供应商为自然人的提供其身份证复印件</w:t>
      </w:r>
      <w:r>
        <w:rPr>
          <w:rFonts w:hint="eastAsia" w:ascii="宋体" w:hAnsi="宋体"/>
          <w:color w:val="auto"/>
          <w:spacing w:val="2"/>
          <w:highlight w:val="none"/>
        </w:rPr>
        <w:t>………………………………………………（页码）</w:t>
      </w:r>
    </w:p>
    <w:p w14:paraId="58400FC3">
      <w:pPr>
        <w:spacing w:line="360" w:lineRule="auto"/>
        <w:jc w:val="distribute"/>
        <w:rPr>
          <w:rFonts w:hint="eastAsia" w:ascii="宋体" w:hAnsi="宋体"/>
          <w:color w:val="auto"/>
          <w:spacing w:val="2"/>
          <w:highlight w:val="none"/>
        </w:rPr>
      </w:pPr>
      <w:r>
        <w:rPr>
          <w:rFonts w:hint="eastAsia" w:ascii="宋体" w:hAnsi="宋体"/>
          <w:color w:val="auto"/>
          <w:spacing w:val="2"/>
          <w:highlight w:val="none"/>
        </w:rPr>
        <w:t>二、有效的资质证书、安全生产许可证复印件</w:t>
      </w:r>
      <w:r>
        <w:rPr>
          <w:rFonts w:ascii="宋体" w:hAnsi="宋体"/>
          <w:color w:val="auto"/>
          <w:spacing w:val="2"/>
          <w:highlight w:val="none"/>
        </w:rPr>
        <w:t>………………………………………………</w:t>
      </w:r>
      <w:r>
        <w:rPr>
          <w:rFonts w:hint="eastAsia" w:ascii="宋体" w:hAnsi="宋体"/>
          <w:color w:val="auto"/>
          <w:spacing w:val="2"/>
          <w:highlight w:val="none"/>
        </w:rPr>
        <w:t>（页码）</w:t>
      </w:r>
    </w:p>
    <w:p w14:paraId="300B049B">
      <w:pPr>
        <w:autoSpaceDE w:val="0"/>
        <w:autoSpaceDN w:val="0"/>
        <w:adjustRightInd w:val="0"/>
        <w:spacing w:line="360" w:lineRule="auto"/>
        <w:jc w:val="left"/>
        <w:rPr>
          <w:rFonts w:hint="eastAsia" w:asciiTheme="minorEastAsia" w:hAnsiTheme="minorEastAsia" w:eastAsiaTheme="minorEastAsia" w:cstheme="minorEastAsia"/>
          <w:color w:val="auto"/>
          <w:highlight w:val="none"/>
        </w:rPr>
      </w:pPr>
      <w:r>
        <w:rPr>
          <w:rFonts w:hint="eastAsia" w:ascii="宋体" w:hAnsi="宋体" w:cs="宋体"/>
          <w:color w:val="auto"/>
          <w:kern w:val="0"/>
          <w:highlight w:val="none"/>
        </w:rPr>
        <w:t>三、</w:t>
      </w:r>
      <w:r>
        <w:rPr>
          <w:rFonts w:hint="eastAsia" w:asciiTheme="minorEastAsia" w:hAnsiTheme="minorEastAsia" w:eastAsiaTheme="minorEastAsia" w:cstheme="minorEastAsia"/>
          <w:color w:val="auto"/>
          <w:highlight w:val="none"/>
        </w:rPr>
        <w:t>项目经理:有效的注册建造师资质证书、安全生产考核合格证书（B类）复印件</w:t>
      </w:r>
      <w:r>
        <w:rPr>
          <w:rFonts w:ascii="宋体" w:hAnsi="宋体"/>
          <w:color w:val="auto"/>
          <w:spacing w:val="2"/>
          <w:highlight w:val="none"/>
        </w:rPr>
        <w:t>……</w:t>
      </w:r>
      <w:r>
        <w:rPr>
          <w:rFonts w:hint="eastAsia" w:ascii="宋体" w:hAnsi="宋体"/>
          <w:color w:val="auto"/>
          <w:spacing w:val="2"/>
          <w:highlight w:val="none"/>
        </w:rPr>
        <w:t>（页码）</w:t>
      </w:r>
    </w:p>
    <w:p w14:paraId="043E164C">
      <w:pPr>
        <w:autoSpaceDE w:val="0"/>
        <w:autoSpaceDN w:val="0"/>
        <w:adjustRightInd w:val="0"/>
        <w:spacing w:line="360" w:lineRule="auto"/>
        <w:jc w:val="left"/>
        <w:rPr>
          <w:rFonts w:hint="eastAsia" w:hAnsi="宋体"/>
          <w:color w:val="auto"/>
          <w:spacing w:val="2"/>
          <w:highlight w:val="none"/>
        </w:rPr>
      </w:pPr>
      <w:r>
        <w:rPr>
          <w:rFonts w:hint="eastAsia" w:asciiTheme="minorEastAsia" w:hAnsiTheme="minorEastAsia" w:eastAsiaTheme="minorEastAsia" w:cstheme="minorEastAsia"/>
          <w:color w:val="auto"/>
          <w:highlight w:val="none"/>
        </w:rPr>
        <w:t>四、专职安全生产管理人员：有效的安全员证书及安全生产考核合格证书(C类)复印件</w:t>
      </w:r>
      <w:r>
        <w:rPr>
          <w:rFonts w:ascii="宋体" w:hAnsi="宋体"/>
          <w:color w:val="auto"/>
          <w:spacing w:val="2"/>
          <w:highlight w:val="none"/>
        </w:rPr>
        <w:t>…</w:t>
      </w:r>
      <w:r>
        <w:rPr>
          <w:rFonts w:hint="eastAsia" w:ascii="宋体" w:hAnsi="宋体"/>
          <w:color w:val="auto"/>
          <w:spacing w:val="2"/>
          <w:highlight w:val="none"/>
        </w:rPr>
        <w:t>（页码）</w:t>
      </w:r>
    </w:p>
    <w:p w14:paraId="603E7D1C">
      <w:pPr>
        <w:spacing w:line="360" w:lineRule="auto"/>
        <w:jc w:val="distribute"/>
        <w:rPr>
          <w:rFonts w:hint="eastAsia" w:ascii="宋体" w:hAnsi="宋体"/>
          <w:color w:val="auto"/>
          <w:spacing w:val="2"/>
          <w:highlight w:val="none"/>
        </w:rPr>
      </w:pPr>
      <w:r>
        <w:rPr>
          <w:rFonts w:hint="eastAsia" w:ascii="宋体" w:hAnsi="宋体"/>
          <w:color w:val="auto"/>
          <w:spacing w:val="2"/>
          <w:highlight w:val="none"/>
        </w:rPr>
        <w:t>五、</w:t>
      </w:r>
      <w:r>
        <w:rPr>
          <w:rFonts w:hint="eastAsia" w:asciiTheme="minorEastAsia" w:hAnsiTheme="minorEastAsia" w:eastAsiaTheme="minorEastAsia" w:cstheme="minorEastAsia"/>
          <w:color w:val="auto"/>
          <w:highlight w:val="none"/>
          <w:lang w:val="en-US" w:eastAsia="zh-CN"/>
        </w:rPr>
        <w:t>供应商</w:t>
      </w:r>
      <w:r>
        <w:rPr>
          <w:rFonts w:hint="eastAsia" w:ascii="宋体" w:hAnsi="宋体" w:cs="宋体"/>
          <w:color w:val="auto"/>
          <w:highlight w:val="none"/>
        </w:rPr>
        <w:t>依法缴纳税收的相关材料（开标截止之日起半年内任意</w:t>
      </w:r>
      <w:r>
        <w:rPr>
          <w:rFonts w:hint="eastAsia" w:ascii="宋体" w:hAnsi="宋体" w:cs="宋体"/>
          <w:color w:val="auto"/>
          <w:highlight w:val="none"/>
          <w:lang w:val="en-US" w:eastAsia="zh-CN"/>
        </w:rPr>
        <w:t>1个月</w:t>
      </w:r>
      <w:r>
        <w:rPr>
          <w:rFonts w:hint="eastAsia" w:ascii="宋体" w:hAnsi="宋体" w:cs="宋体"/>
          <w:color w:val="auto"/>
          <w:highlight w:val="none"/>
        </w:rPr>
        <w:t>的依法缴纳税收的凭据复印件；依法免税的供应商，必须提供相应文件证明其依法免税。从成立之日起到</w:t>
      </w:r>
      <w:r>
        <w:rPr>
          <w:rFonts w:hint="eastAsia" w:ascii="宋体" w:hAnsi="宋体" w:cs="宋体"/>
          <w:color w:val="auto"/>
          <w:highlight w:val="none"/>
          <w:lang w:eastAsia="zh-CN"/>
        </w:rPr>
        <w:t>响应文件</w:t>
      </w:r>
      <w:r>
        <w:rPr>
          <w:rFonts w:hint="eastAsia" w:ascii="宋体" w:hAnsi="宋体" w:cs="宋体"/>
          <w:color w:val="auto"/>
          <w:highlight w:val="none"/>
        </w:rPr>
        <w:t>提交截止时间止不足要求月数的，只需提供从成立之日起的依法缴纳税收相应证明文件）</w:t>
      </w:r>
      <w:r>
        <w:rPr>
          <w:rFonts w:ascii="宋体" w:hAnsi="宋体"/>
          <w:color w:val="auto"/>
          <w:spacing w:val="2"/>
          <w:highlight w:val="none"/>
        </w:rPr>
        <w:t>…………</w:t>
      </w:r>
      <w:r>
        <w:rPr>
          <w:rFonts w:hint="eastAsia" w:ascii="宋体" w:hAnsi="宋体"/>
          <w:color w:val="auto"/>
          <w:spacing w:val="2"/>
          <w:highlight w:val="none"/>
        </w:rPr>
        <w:t>（页码）</w:t>
      </w:r>
    </w:p>
    <w:p w14:paraId="55F7B29E">
      <w:pPr>
        <w:spacing w:line="360" w:lineRule="auto"/>
        <w:jc w:val="distribute"/>
        <w:rPr>
          <w:rFonts w:hint="eastAsia" w:ascii="宋体" w:hAnsi="宋体" w:cs="宋体"/>
          <w:color w:val="auto"/>
          <w:highlight w:val="none"/>
        </w:rPr>
      </w:pPr>
      <w:r>
        <w:rPr>
          <w:rFonts w:hint="eastAsia" w:ascii="宋体" w:hAnsi="宋体" w:cs="宋体"/>
          <w:color w:val="auto"/>
          <w:highlight w:val="none"/>
        </w:rPr>
        <w:t>六、</w:t>
      </w:r>
      <w:r>
        <w:rPr>
          <w:rFonts w:hint="eastAsia" w:asciiTheme="minorEastAsia" w:hAnsiTheme="minorEastAsia" w:eastAsiaTheme="minorEastAsia" w:cstheme="minorEastAsia"/>
          <w:color w:val="auto"/>
          <w:highlight w:val="none"/>
          <w:lang w:val="en-US" w:eastAsia="zh-CN"/>
        </w:rPr>
        <w:t>供应商</w:t>
      </w:r>
      <w:r>
        <w:rPr>
          <w:rFonts w:hint="eastAsia" w:ascii="宋体" w:hAnsi="宋体" w:cs="宋体"/>
          <w:color w:val="auto"/>
          <w:highlight w:val="none"/>
        </w:rPr>
        <w:t>依法缴纳社会保障资金的相关材料[开标截止之日起半年内任意</w:t>
      </w:r>
      <w:r>
        <w:rPr>
          <w:rFonts w:hint="eastAsia" w:ascii="宋体" w:hAnsi="宋体" w:cs="宋体"/>
          <w:color w:val="auto"/>
          <w:highlight w:val="none"/>
          <w:lang w:val="en-US" w:eastAsia="zh-CN"/>
        </w:rPr>
        <w:t>1个月</w:t>
      </w:r>
      <w:r>
        <w:rPr>
          <w:rFonts w:hint="eastAsia" w:ascii="宋体" w:hAnsi="宋体" w:cs="宋体"/>
          <w:color w:val="auto"/>
          <w:highlight w:val="none"/>
        </w:rPr>
        <w:t>的依法缴纳社会保障资金的缴费凭证（专用收据或者社会保险缴纳清单）复印件；依法不需要缴纳社会保障资金的供应商，必须提供相应文件证明不需要缴纳社会保障资金。从成立之日起到</w:t>
      </w:r>
      <w:r>
        <w:rPr>
          <w:rFonts w:hint="eastAsia" w:ascii="宋体" w:hAnsi="宋体" w:cs="宋体"/>
          <w:color w:val="auto"/>
          <w:highlight w:val="none"/>
          <w:lang w:eastAsia="zh-CN"/>
        </w:rPr>
        <w:t>响应文件</w:t>
      </w:r>
      <w:r>
        <w:rPr>
          <w:rFonts w:hint="eastAsia" w:ascii="宋体" w:hAnsi="宋体" w:cs="宋体"/>
          <w:color w:val="auto"/>
          <w:highlight w:val="none"/>
        </w:rPr>
        <w:t>提交截止时间止不足要求月数的只需提供从成立之日起的依法缴纳社会保障资金的相应证明文件]</w:t>
      </w:r>
      <w:r>
        <w:rPr>
          <w:rFonts w:ascii="宋体" w:hAnsi="宋体"/>
          <w:color w:val="auto"/>
          <w:spacing w:val="2"/>
          <w:highlight w:val="none"/>
        </w:rPr>
        <w:t>…………</w:t>
      </w:r>
      <w:r>
        <w:rPr>
          <w:rFonts w:hint="eastAsia" w:ascii="宋体" w:hAnsi="宋体"/>
          <w:color w:val="auto"/>
          <w:spacing w:val="2"/>
          <w:highlight w:val="none"/>
        </w:rPr>
        <w:t>（页码）</w:t>
      </w:r>
    </w:p>
    <w:p w14:paraId="68B65270">
      <w:pPr>
        <w:spacing w:line="360" w:lineRule="auto"/>
        <w:jc w:val="distribute"/>
        <w:rPr>
          <w:rFonts w:hint="eastAsia" w:ascii="宋体" w:hAnsi="宋体" w:cs="宋体"/>
          <w:color w:val="auto"/>
          <w:spacing w:val="2"/>
          <w:highlight w:val="none"/>
        </w:rPr>
      </w:pPr>
      <w:r>
        <w:rPr>
          <w:rFonts w:hint="eastAsia" w:ascii="宋体" w:hAnsi="宋体" w:cs="宋体"/>
          <w:color w:val="auto"/>
          <w:highlight w:val="none"/>
        </w:rPr>
        <w:t>七、</w:t>
      </w:r>
      <w:r>
        <w:rPr>
          <w:rFonts w:hint="eastAsia" w:asciiTheme="minorEastAsia" w:hAnsiTheme="minorEastAsia" w:eastAsiaTheme="minorEastAsia" w:cstheme="minorEastAsia"/>
          <w:color w:val="auto"/>
          <w:highlight w:val="none"/>
          <w:lang w:val="en-US" w:eastAsia="zh-CN"/>
        </w:rPr>
        <w:t>供应商</w:t>
      </w:r>
      <w:r>
        <w:rPr>
          <w:rFonts w:hint="eastAsia" w:ascii="宋体" w:hAnsi="宋体" w:cs="宋体"/>
          <w:color w:val="auto"/>
          <w:highlight w:val="none"/>
        </w:rPr>
        <w:t>财务状况报告（</w:t>
      </w:r>
      <w:r>
        <w:rPr>
          <w:rFonts w:hint="eastAsia" w:asciiTheme="minorEastAsia" w:hAnsiTheme="minorEastAsia" w:eastAsiaTheme="minorEastAsia" w:cstheme="minorEastAsia"/>
          <w:color w:val="auto"/>
          <w:highlight w:val="none"/>
        </w:rPr>
        <w:t>202</w:t>
      </w:r>
      <w:r>
        <w:rPr>
          <w:rFonts w:hint="eastAsia" w:asciiTheme="minorEastAsia" w:hAnsiTheme="minorEastAsia" w:eastAsiaTheme="minorEastAsia" w:cstheme="minorEastAsia"/>
          <w:color w:val="auto"/>
          <w:highlight w:val="none"/>
          <w:lang w:val="en-US" w:eastAsia="zh-CN"/>
        </w:rPr>
        <w:t>4</w:t>
      </w:r>
      <w:r>
        <w:rPr>
          <w:rFonts w:hint="eastAsia" w:asciiTheme="minorEastAsia" w:hAnsiTheme="minorEastAsia" w:eastAsiaTheme="minorEastAsia" w:cstheme="minorEastAsia"/>
          <w:color w:val="auto"/>
          <w:highlight w:val="none"/>
        </w:rPr>
        <w:t>年度</w:t>
      </w:r>
      <w:r>
        <w:rPr>
          <w:rFonts w:hint="eastAsia" w:asciiTheme="minorEastAsia" w:hAnsiTheme="minorEastAsia" w:eastAsiaTheme="minorEastAsia" w:cstheme="minorEastAsia"/>
          <w:color w:val="auto"/>
          <w:highlight w:val="none"/>
          <w:lang w:val="en-US" w:eastAsia="zh-CN"/>
        </w:rPr>
        <w:t>或2025年度</w:t>
      </w:r>
      <w:r>
        <w:rPr>
          <w:rFonts w:hint="eastAsia" w:ascii="宋体" w:hAnsi="宋体" w:cs="宋体"/>
          <w:color w:val="auto"/>
          <w:highlight w:val="none"/>
        </w:rPr>
        <w:t>财务报表复印件或者银行出具的资信证明；</w:t>
      </w:r>
      <w:r>
        <w:rPr>
          <w:rFonts w:hint="eastAsia" w:asciiTheme="minorEastAsia" w:hAnsiTheme="minorEastAsia" w:eastAsiaTheme="minorEastAsia" w:cstheme="minorEastAsia"/>
          <w:color w:val="auto"/>
          <w:highlight w:val="none"/>
          <w:lang w:val="en-US" w:eastAsia="zh-CN"/>
        </w:rPr>
        <w:t>供应商</w:t>
      </w:r>
      <w:r>
        <w:rPr>
          <w:rFonts w:hint="eastAsia" w:ascii="宋体" w:hAnsi="宋体" w:cs="宋体"/>
          <w:color w:val="auto"/>
          <w:highlight w:val="none"/>
        </w:rPr>
        <w:t>属于成立时间在规定年度之后的法人或其他组织，需提供成立之日起至投标截止时间前的月报表或银行出具的资信证明；资信证明应在有效期内，未注明有效期的，银行出具时间至</w:t>
      </w:r>
      <w:r>
        <w:rPr>
          <w:rFonts w:hint="eastAsia" w:ascii="宋体" w:hAnsi="宋体" w:cs="宋体"/>
          <w:color w:val="auto"/>
          <w:highlight w:val="none"/>
          <w:lang w:val="en-US" w:eastAsia="zh-CN"/>
        </w:rPr>
        <w:t>响应</w:t>
      </w:r>
      <w:r>
        <w:rPr>
          <w:rFonts w:hint="eastAsia" w:ascii="宋体" w:hAnsi="宋体" w:cs="宋体"/>
          <w:color w:val="auto"/>
          <w:highlight w:val="none"/>
        </w:rPr>
        <w:t>截止时间不超过一年）</w:t>
      </w:r>
      <w:r>
        <w:rPr>
          <w:rFonts w:ascii="宋体" w:hAnsi="宋体"/>
          <w:color w:val="auto"/>
          <w:spacing w:val="2"/>
          <w:highlight w:val="none"/>
        </w:rPr>
        <w:t>…………</w:t>
      </w:r>
      <w:r>
        <w:rPr>
          <w:rFonts w:hint="eastAsia" w:ascii="宋体" w:hAnsi="宋体"/>
          <w:color w:val="auto"/>
          <w:spacing w:val="2"/>
          <w:highlight w:val="none"/>
        </w:rPr>
        <w:t>（页码）</w:t>
      </w:r>
    </w:p>
    <w:p w14:paraId="29187405">
      <w:pPr>
        <w:spacing w:line="360" w:lineRule="auto"/>
        <w:rPr>
          <w:rFonts w:hint="eastAsia" w:ascii="仿宋_GB2312" w:hAnsi="仿宋_GB2312" w:eastAsia="仿宋_GB2312" w:cs="仿宋_GB2312"/>
          <w:b/>
          <w:bCs/>
          <w:color w:val="auto"/>
          <w:sz w:val="24"/>
          <w:highlight w:val="none"/>
        </w:rPr>
      </w:pPr>
    </w:p>
    <w:p w14:paraId="77AA65DF">
      <w:pPr>
        <w:spacing w:line="360" w:lineRule="auto"/>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注：以上目录是编制供应商响应文件的基本格式要求，各供应商可根据自身情况进一步细化。</w:t>
      </w:r>
    </w:p>
    <w:p w14:paraId="42842382">
      <w:pPr>
        <w:pStyle w:val="24"/>
        <w:spacing w:line="360" w:lineRule="auto"/>
        <w:ind w:firstLine="40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w:t>
      </w:r>
    </w:p>
    <w:p w14:paraId="539C9795">
      <w:pPr>
        <w:pStyle w:val="24"/>
        <w:spacing w:line="360" w:lineRule="auto"/>
        <w:ind w:firstLine="40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w:t>
      </w:r>
    </w:p>
    <w:p w14:paraId="2FBF0DD5">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p>
    <w:p w14:paraId="75F76F7A">
      <w:pPr>
        <w:pStyle w:val="24"/>
        <w:spacing w:line="360" w:lineRule="auto"/>
        <w:ind w:firstLine="602" w:firstLineChars="200"/>
        <w:rPr>
          <w:rFonts w:hint="eastAsia" w:asciiTheme="minorEastAsia" w:hAnsiTheme="minorEastAsia" w:eastAsiaTheme="minorEastAsia" w:cstheme="minorEastAsia"/>
          <w:b/>
          <w:color w:val="auto"/>
          <w:sz w:val="30"/>
          <w:szCs w:val="30"/>
          <w:highlight w:val="none"/>
        </w:rPr>
      </w:pPr>
      <w:r>
        <w:rPr>
          <w:rFonts w:hint="eastAsia" w:asciiTheme="minorEastAsia" w:hAnsiTheme="minorEastAsia" w:eastAsiaTheme="minorEastAsia" w:cstheme="minorEastAsia"/>
          <w:b/>
          <w:color w:val="auto"/>
          <w:sz w:val="30"/>
          <w:szCs w:val="30"/>
          <w:highlight w:val="none"/>
        </w:rPr>
        <w:t>一、供应商为法人或者其他组织的提供其营业执照等证明文件（如营业执照或者事业单位法人证书或者执业许可证等），供应商为自然人的提供其身份证复印件</w:t>
      </w:r>
    </w:p>
    <w:p w14:paraId="0588BBCF">
      <w:pPr>
        <w:pStyle w:val="24"/>
        <w:spacing w:line="360" w:lineRule="auto"/>
        <w:ind w:firstLine="602" w:firstLineChars="200"/>
        <w:rPr>
          <w:rFonts w:hint="eastAsia" w:asciiTheme="minorEastAsia" w:hAnsiTheme="minorEastAsia" w:eastAsiaTheme="minorEastAsia" w:cstheme="minorEastAsia"/>
          <w:b/>
          <w:color w:val="auto"/>
          <w:sz w:val="30"/>
          <w:szCs w:val="30"/>
          <w:highlight w:val="none"/>
        </w:rPr>
      </w:pPr>
    </w:p>
    <w:p w14:paraId="6A49B2C9">
      <w:pPr>
        <w:autoSpaceDE w:val="0"/>
        <w:autoSpaceDN w:val="0"/>
        <w:spacing w:line="360" w:lineRule="auto"/>
        <w:ind w:left="4365" w:leftChars="1850" w:hanging="480" w:hangingChars="200"/>
        <w:rPr>
          <w:rFonts w:hint="eastAsia" w:asciiTheme="minorEastAsia" w:hAnsiTheme="minorEastAsia" w:eastAsiaTheme="minorEastAsia" w:cstheme="minorEastAsia"/>
          <w:color w:val="auto"/>
          <w:kern w:val="0"/>
          <w:sz w:val="24"/>
          <w:highlight w:val="none"/>
        </w:rPr>
      </w:pPr>
    </w:p>
    <w:p w14:paraId="7CCAF65A">
      <w:pPr>
        <w:autoSpaceDE w:val="0"/>
        <w:autoSpaceDN w:val="0"/>
        <w:spacing w:line="360" w:lineRule="auto"/>
        <w:ind w:left="4365" w:leftChars="1850" w:hanging="480" w:hangingChars="200"/>
        <w:rPr>
          <w:rFonts w:hint="eastAsia" w:asciiTheme="minorEastAsia" w:hAnsiTheme="minorEastAsia" w:eastAsiaTheme="minorEastAsia" w:cstheme="minorEastAsia"/>
          <w:color w:val="auto"/>
          <w:kern w:val="0"/>
          <w:sz w:val="24"/>
          <w:highlight w:val="none"/>
        </w:rPr>
      </w:pPr>
    </w:p>
    <w:p w14:paraId="752D63DB">
      <w:pPr>
        <w:autoSpaceDE w:val="0"/>
        <w:autoSpaceDN w:val="0"/>
        <w:spacing w:line="360" w:lineRule="auto"/>
        <w:ind w:left="4365" w:leftChars="1850" w:hanging="480" w:hangingChars="200"/>
        <w:rPr>
          <w:rFonts w:hint="eastAsia" w:asciiTheme="minorEastAsia" w:hAnsiTheme="minorEastAsia" w:eastAsiaTheme="minorEastAsia" w:cstheme="minorEastAsia"/>
          <w:color w:val="auto"/>
          <w:kern w:val="0"/>
          <w:sz w:val="24"/>
          <w:highlight w:val="none"/>
        </w:rPr>
      </w:pPr>
    </w:p>
    <w:p w14:paraId="6D0E9320">
      <w:pPr>
        <w:autoSpaceDE w:val="0"/>
        <w:autoSpaceDN w:val="0"/>
        <w:spacing w:line="360" w:lineRule="auto"/>
        <w:ind w:left="4365" w:leftChars="1850" w:hanging="480" w:hangingChars="200"/>
        <w:rPr>
          <w:rFonts w:hint="eastAsia" w:asciiTheme="minorEastAsia" w:hAnsiTheme="minorEastAsia" w:eastAsiaTheme="minorEastAsia" w:cstheme="minorEastAsia"/>
          <w:color w:val="auto"/>
          <w:kern w:val="0"/>
          <w:sz w:val="24"/>
          <w:highlight w:val="none"/>
        </w:rPr>
      </w:pPr>
    </w:p>
    <w:p w14:paraId="5A079425">
      <w:pPr>
        <w:autoSpaceDE w:val="0"/>
        <w:autoSpaceDN w:val="0"/>
        <w:spacing w:line="360" w:lineRule="auto"/>
        <w:ind w:left="4365" w:leftChars="1850" w:hanging="480" w:hangingChars="200"/>
        <w:rPr>
          <w:rFonts w:hint="eastAsia" w:asciiTheme="minorEastAsia" w:hAnsiTheme="minorEastAsia" w:eastAsiaTheme="minorEastAsia" w:cstheme="minorEastAsia"/>
          <w:color w:val="auto"/>
          <w:kern w:val="0"/>
          <w:sz w:val="24"/>
          <w:highlight w:val="none"/>
        </w:rPr>
      </w:pPr>
    </w:p>
    <w:p w14:paraId="2D84CA54">
      <w:pPr>
        <w:autoSpaceDE w:val="0"/>
        <w:autoSpaceDN w:val="0"/>
        <w:spacing w:line="360" w:lineRule="auto"/>
        <w:ind w:left="4365" w:leftChars="1850" w:hanging="480" w:hangingChars="2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475142A8">
      <w:pPr>
        <w:pStyle w:val="42"/>
        <w:ind w:firstLine="240"/>
        <w:jc w:val="righ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val="0"/>
          <w:bCs w:val="0"/>
          <w:color w:val="auto"/>
          <w:sz w:val="24"/>
          <w:highlight w:val="none"/>
          <w:lang w:val="zh-CN"/>
        </w:rPr>
        <w:t>日期：  年  月</w:t>
      </w:r>
      <w:r>
        <w:rPr>
          <w:rFonts w:hint="eastAsia" w:asciiTheme="minorEastAsia" w:hAnsiTheme="minorEastAsia" w:eastAsiaTheme="minorEastAsia" w:cstheme="minorEastAsia"/>
          <w:color w:val="auto"/>
          <w:sz w:val="24"/>
          <w:highlight w:val="none"/>
          <w:lang w:val="zh-CN"/>
        </w:rPr>
        <w:t xml:space="preserve"> </w:t>
      </w:r>
      <w:r>
        <w:rPr>
          <w:rFonts w:hint="eastAsia" w:asciiTheme="minorEastAsia" w:hAnsiTheme="minorEastAsia" w:eastAsiaTheme="minorEastAsia" w:cstheme="minorEastAsia"/>
          <w:b w:val="0"/>
          <w:bCs w:val="0"/>
          <w:color w:val="auto"/>
          <w:sz w:val="24"/>
          <w:highlight w:val="none"/>
          <w:lang w:val="zh-CN"/>
        </w:rPr>
        <w:t xml:space="preserve">  日</w:t>
      </w:r>
    </w:p>
    <w:p w14:paraId="7A6B6072">
      <w:pPr>
        <w:snapToGrid w:val="0"/>
        <w:spacing w:before="50" w:after="120" w:afterLines="50" w:line="440" w:lineRule="exact"/>
        <w:jc w:val="center"/>
        <w:rPr>
          <w:rFonts w:hint="eastAsia" w:asciiTheme="minorEastAsia" w:hAnsiTheme="minorEastAsia" w:eastAsiaTheme="minorEastAsia" w:cstheme="minorEastAsia"/>
          <w:b/>
          <w:color w:val="auto"/>
          <w:sz w:val="44"/>
          <w:szCs w:val="44"/>
          <w:highlight w:val="none"/>
        </w:rPr>
      </w:pPr>
    </w:p>
    <w:p w14:paraId="5D0164EF">
      <w:pPr>
        <w:pStyle w:val="6"/>
        <w:rPr>
          <w:rFonts w:hint="eastAsia" w:asciiTheme="minorEastAsia" w:hAnsiTheme="minorEastAsia" w:eastAsiaTheme="minorEastAsia" w:cstheme="minorEastAsia"/>
          <w:color w:val="auto"/>
          <w:sz w:val="44"/>
          <w:szCs w:val="44"/>
          <w:highlight w:val="none"/>
        </w:rPr>
      </w:pPr>
    </w:p>
    <w:p w14:paraId="6C1F7AEE">
      <w:pPr>
        <w:rPr>
          <w:rFonts w:hint="eastAsia" w:asciiTheme="minorEastAsia" w:hAnsiTheme="minorEastAsia" w:eastAsiaTheme="minorEastAsia" w:cstheme="minorEastAsia"/>
          <w:b/>
          <w:color w:val="auto"/>
          <w:sz w:val="44"/>
          <w:szCs w:val="44"/>
          <w:highlight w:val="none"/>
        </w:rPr>
      </w:pPr>
    </w:p>
    <w:p w14:paraId="345BDFA0">
      <w:pPr>
        <w:pStyle w:val="6"/>
        <w:rPr>
          <w:color w:val="auto"/>
          <w:highlight w:val="none"/>
        </w:rPr>
      </w:pPr>
    </w:p>
    <w:p w14:paraId="054CDC99">
      <w:pPr>
        <w:numPr>
          <w:ilvl w:val="0"/>
          <w:numId w:val="10"/>
        </w:numPr>
        <w:rPr>
          <w:rFonts w:hint="eastAsia" w:asciiTheme="minorEastAsia" w:hAnsiTheme="minorEastAsia" w:eastAsiaTheme="minorEastAsia" w:cstheme="minorEastAsia"/>
          <w:b/>
          <w:color w:val="auto"/>
          <w:sz w:val="30"/>
          <w:szCs w:val="30"/>
          <w:highlight w:val="none"/>
        </w:rPr>
      </w:pPr>
      <w:r>
        <w:rPr>
          <w:rFonts w:hint="eastAsia" w:asciiTheme="minorEastAsia" w:hAnsiTheme="minorEastAsia" w:eastAsiaTheme="minorEastAsia" w:cstheme="minorEastAsia"/>
          <w:b/>
          <w:color w:val="auto"/>
          <w:sz w:val="30"/>
          <w:szCs w:val="30"/>
          <w:highlight w:val="none"/>
        </w:rPr>
        <w:t>有效的资质证书、安全生产许可证复印件</w:t>
      </w:r>
    </w:p>
    <w:p w14:paraId="55D12F57">
      <w:pPr>
        <w:pStyle w:val="6"/>
        <w:rPr>
          <w:color w:val="auto"/>
          <w:highlight w:val="none"/>
        </w:rPr>
      </w:pPr>
    </w:p>
    <w:p w14:paraId="60644870">
      <w:pPr>
        <w:pStyle w:val="24"/>
        <w:spacing w:line="360" w:lineRule="auto"/>
        <w:ind w:firstLine="602" w:firstLineChars="200"/>
        <w:rPr>
          <w:rFonts w:hint="eastAsia" w:asciiTheme="minorEastAsia" w:hAnsiTheme="minorEastAsia" w:eastAsiaTheme="minorEastAsia" w:cstheme="minorEastAsia"/>
          <w:b/>
          <w:color w:val="auto"/>
          <w:sz w:val="30"/>
          <w:szCs w:val="30"/>
          <w:highlight w:val="none"/>
        </w:rPr>
      </w:pPr>
    </w:p>
    <w:p w14:paraId="517FE462">
      <w:pPr>
        <w:rPr>
          <w:rFonts w:hint="eastAsia" w:asciiTheme="minorEastAsia" w:hAnsiTheme="minorEastAsia" w:eastAsiaTheme="minorEastAsia" w:cstheme="minorEastAsia"/>
          <w:b/>
          <w:color w:val="auto"/>
          <w:sz w:val="30"/>
          <w:szCs w:val="30"/>
          <w:highlight w:val="none"/>
        </w:rPr>
      </w:pPr>
    </w:p>
    <w:p w14:paraId="66CB4EF0">
      <w:pPr>
        <w:pStyle w:val="62"/>
        <w:rPr>
          <w:color w:val="auto"/>
          <w:highlight w:val="none"/>
        </w:rPr>
      </w:pPr>
    </w:p>
    <w:p w14:paraId="6908BC2B">
      <w:pPr>
        <w:autoSpaceDE w:val="0"/>
        <w:autoSpaceDN w:val="0"/>
        <w:spacing w:line="360" w:lineRule="auto"/>
        <w:ind w:left="4365" w:leftChars="1850" w:hanging="480" w:hangingChars="2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64332673">
      <w:pPr>
        <w:jc w:val="right"/>
        <w:rPr>
          <w:color w:val="auto"/>
          <w:highlight w:val="none"/>
        </w:rPr>
      </w:pPr>
      <w:r>
        <w:rPr>
          <w:rFonts w:hint="eastAsia" w:asciiTheme="minorEastAsia" w:hAnsiTheme="minorEastAsia" w:eastAsiaTheme="minorEastAsia" w:cstheme="minorEastAsia"/>
          <w:color w:val="auto"/>
          <w:kern w:val="0"/>
          <w:sz w:val="24"/>
          <w:highlight w:val="none"/>
          <w:lang w:val="zh-CN"/>
        </w:rPr>
        <w:t>日期：  年  月   日</w:t>
      </w:r>
    </w:p>
    <w:p w14:paraId="38E4E5AC">
      <w:pPr>
        <w:pStyle w:val="6"/>
        <w:rPr>
          <w:color w:val="auto"/>
          <w:highlight w:val="none"/>
        </w:rPr>
      </w:pPr>
    </w:p>
    <w:p w14:paraId="35F0E264">
      <w:pPr>
        <w:rPr>
          <w:color w:val="auto"/>
          <w:highlight w:val="none"/>
        </w:rPr>
      </w:pPr>
    </w:p>
    <w:p w14:paraId="44E3877E">
      <w:pPr>
        <w:pStyle w:val="62"/>
        <w:rPr>
          <w:color w:val="auto"/>
          <w:highlight w:val="none"/>
        </w:rPr>
      </w:pPr>
    </w:p>
    <w:p w14:paraId="30A43710">
      <w:pPr>
        <w:rPr>
          <w:color w:val="auto"/>
          <w:highlight w:val="none"/>
        </w:rPr>
      </w:pPr>
    </w:p>
    <w:p w14:paraId="4E7F4C0A">
      <w:pPr>
        <w:rPr>
          <w:color w:val="auto"/>
          <w:highlight w:val="none"/>
        </w:rPr>
      </w:pPr>
    </w:p>
    <w:p w14:paraId="442BB4AD">
      <w:pPr>
        <w:pStyle w:val="42"/>
        <w:ind w:firstLine="301"/>
        <w:jc w:val="left"/>
        <w:rPr>
          <w:rFonts w:hint="eastAsia" w:asciiTheme="minorEastAsia" w:hAnsiTheme="minorEastAsia" w:eastAsiaTheme="minorEastAsia" w:cstheme="minorEastAsia"/>
          <w:color w:val="auto"/>
          <w:sz w:val="30"/>
          <w:szCs w:val="30"/>
          <w:highlight w:val="none"/>
        </w:rPr>
      </w:pPr>
      <w:r>
        <w:rPr>
          <w:rFonts w:hint="eastAsia" w:asciiTheme="minorEastAsia" w:hAnsiTheme="minorEastAsia" w:eastAsiaTheme="minorEastAsia" w:cstheme="minorEastAsia"/>
          <w:color w:val="auto"/>
          <w:kern w:val="2"/>
          <w:sz w:val="30"/>
          <w:szCs w:val="30"/>
          <w:highlight w:val="none"/>
        </w:rPr>
        <w:t>三、</w:t>
      </w:r>
      <w:r>
        <w:rPr>
          <w:rFonts w:hint="eastAsia" w:asciiTheme="minorEastAsia" w:hAnsiTheme="minorEastAsia" w:eastAsiaTheme="minorEastAsia" w:cstheme="minorEastAsia"/>
          <w:color w:val="auto"/>
          <w:sz w:val="30"/>
          <w:szCs w:val="30"/>
          <w:highlight w:val="none"/>
        </w:rPr>
        <w:t>项目经理:有效的注册建造师资质证书、安全生产考核合格证书（B类）复印件；</w:t>
      </w:r>
    </w:p>
    <w:p w14:paraId="1C28047F">
      <w:pPr>
        <w:pStyle w:val="42"/>
        <w:ind w:firstLine="602" w:firstLineChars="200"/>
        <w:rPr>
          <w:rFonts w:hint="eastAsia" w:asciiTheme="minorEastAsia" w:hAnsiTheme="minorEastAsia" w:eastAsiaTheme="minorEastAsia" w:cstheme="minorEastAsia"/>
          <w:color w:val="auto"/>
          <w:sz w:val="30"/>
          <w:szCs w:val="30"/>
          <w:highlight w:val="none"/>
        </w:rPr>
      </w:pPr>
    </w:p>
    <w:p w14:paraId="6398EC4B">
      <w:pPr>
        <w:autoSpaceDE w:val="0"/>
        <w:autoSpaceDN w:val="0"/>
        <w:spacing w:line="360" w:lineRule="auto"/>
        <w:ind w:left="4365" w:leftChars="1850" w:hanging="480" w:hangingChars="200"/>
        <w:rPr>
          <w:rFonts w:hint="eastAsia" w:asciiTheme="minorEastAsia" w:hAnsiTheme="minorEastAsia" w:eastAsiaTheme="minorEastAsia" w:cstheme="minorEastAsia"/>
          <w:color w:val="auto"/>
          <w:kern w:val="0"/>
          <w:sz w:val="24"/>
          <w:highlight w:val="none"/>
        </w:rPr>
      </w:pPr>
    </w:p>
    <w:p w14:paraId="2752B8F6">
      <w:pPr>
        <w:pStyle w:val="62"/>
        <w:rPr>
          <w:color w:val="auto"/>
          <w:highlight w:val="none"/>
        </w:rPr>
      </w:pPr>
    </w:p>
    <w:p w14:paraId="49288C65">
      <w:pPr>
        <w:autoSpaceDE w:val="0"/>
        <w:autoSpaceDN w:val="0"/>
        <w:spacing w:line="360" w:lineRule="auto"/>
        <w:ind w:left="4365" w:leftChars="1850" w:hanging="480" w:hangingChars="200"/>
        <w:rPr>
          <w:rFonts w:hint="eastAsia" w:asciiTheme="minorEastAsia" w:hAnsiTheme="minorEastAsia" w:eastAsiaTheme="minorEastAsia" w:cstheme="minorEastAsia"/>
          <w:color w:val="auto"/>
          <w:kern w:val="0"/>
          <w:sz w:val="24"/>
          <w:highlight w:val="none"/>
        </w:rPr>
      </w:pPr>
    </w:p>
    <w:p w14:paraId="012585C7">
      <w:pPr>
        <w:autoSpaceDE w:val="0"/>
        <w:autoSpaceDN w:val="0"/>
        <w:spacing w:line="360" w:lineRule="auto"/>
        <w:ind w:left="4365" w:leftChars="1850" w:hanging="480" w:hangingChars="200"/>
        <w:rPr>
          <w:rFonts w:hint="eastAsia" w:asciiTheme="minorEastAsia" w:hAnsiTheme="minorEastAsia" w:eastAsiaTheme="minorEastAsia" w:cstheme="minorEastAsia"/>
          <w:color w:val="auto"/>
          <w:kern w:val="0"/>
          <w:sz w:val="24"/>
          <w:highlight w:val="none"/>
        </w:rPr>
      </w:pPr>
    </w:p>
    <w:p w14:paraId="5C1D3DB2">
      <w:pPr>
        <w:autoSpaceDE w:val="0"/>
        <w:autoSpaceDN w:val="0"/>
        <w:spacing w:line="360" w:lineRule="auto"/>
        <w:ind w:left="4365" w:leftChars="1850" w:hanging="480" w:hangingChars="2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4E1D9612">
      <w:pPr>
        <w:jc w:val="right"/>
        <w:rPr>
          <w:color w:val="auto"/>
          <w:highlight w:val="none"/>
        </w:rPr>
      </w:pPr>
      <w:r>
        <w:rPr>
          <w:rFonts w:hint="eastAsia" w:asciiTheme="minorEastAsia" w:hAnsiTheme="minorEastAsia" w:eastAsiaTheme="minorEastAsia" w:cstheme="minorEastAsia"/>
          <w:color w:val="auto"/>
          <w:kern w:val="0"/>
          <w:sz w:val="24"/>
          <w:highlight w:val="none"/>
          <w:lang w:val="zh-CN"/>
        </w:rPr>
        <w:t>日期：  年  月   日</w:t>
      </w:r>
    </w:p>
    <w:p w14:paraId="4DDA8C50">
      <w:pPr>
        <w:pStyle w:val="6"/>
        <w:rPr>
          <w:color w:val="auto"/>
          <w:highlight w:val="none"/>
        </w:rPr>
      </w:pPr>
    </w:p>
    <w:p w14:paraId="42702DF2">
      <w:pPr>
        <w:rPr>
          <w:color w:val="auto"/>
          <w:highlight w:val="none"/>
        </w:rPr>
      </w:pPr>
    </w:p>
    <w:p w14:paraId="09DD46E0">
      <w:pPr>
        <w:pStyle w:val="62"/>
        <w:rPr>
          <w:color w:val="auto"/>
          <w:highlight w:val="none"/>
        </w:rPr>
      </w:pPr>
    </w:p>
    <w:p w14:paraId="0723BA9C">
      <w:pPr>
        <w:rPr>
          <w:color w:val="auto"/>
          <w:highlight w:val="none"/>
        </w:rPr>
      </w:pPr>
    </w:p>
    <w:p w14:paraId="33E911C6">
      <w:pPr>
        <w:ind w:left="451"/>
        <w:rPr>
          <w:rFonts w:hint="eastAsia" w:asciiTheme="minorEastAsia" w:hAnsiTheme="minorEastAsia" w:eastAsiaTheme="minorEastAsia" w:cstheme="minorEastAsia"/>
          <w:b/>
          <w:color w:val="auto"/>
          <w:sz w:val="30"/>
          <w:szCs w:val="30"/>
          <w:highlight w:val="none"/>
        </w:rPr>
      </w:pPr>
    </w:p>
    <w:p w14:paraId="21754E00">
      <w:pPr>
        <w:pStyle w:val="42"/>
        <w:ind w:firstLine="301"/>
        <w:jc w:val="left"/>
        <w:rPr>
          <w:rFonts w:hint="eastAsia" w:asciiTheme="minorEastAsia" w:hAnsiTheme="minorEastAsia" w:eastAsiaTheme="minorEastAsia" w:cstheme="minorEastAsia"/>
          <w:color w:val="auto"/>
          <w:sz w:val="30"/>
          <w:szCs w:val="30"/>
          <w:highlight w:val="none"/>
        </w:rPr>
      </w:pPr>
      <w:r>
        <w:rPr>
          <w:rFonts w:hint="eastAsia" w:asciiTheme="minorEastAsia" w:hAnsiTheme="minorEastAsia" w:eastAsiaTheme="minorEastAsia" w:cstheme="minorEastAsia"/>
          <w:color w:val="auto"/>
          <w:kern w:val="2"/>
          <w:sz w:val="30"/>
          <w:szCs w:val="30"/>
          <w:highlight w:val="none"/>
        </w:rPr>
        <w:t>四、专职安全生产管理人员</w:t>
      </w:r>
      <w:r>
        <w:rPr>
          <w:rFonts w:hint="eastAsia" w:asciiTheme="minorEastAsia" w:hAnsiTheme="minorEastAsia" w:eastAsiaTheme="minorEastAsia" w:cstheme="minorEastAsia"/>
          <w:color w:val="auto"/>
          <w:sz w:val="30"/>
          <w:szCs w:val="30"/>
          <w:highlight w:val="none"/>
        </w:rPr>
        <w:t>：有效的安全员证书及安全生产考核合格证书(C类)复印件</w:t>
      </w:r>
    </w:p>
    <w:p w14:paraId="5D4F92DC">
      <w:pPr>
        <w:pStyle w:val="42"/>
        <w:ind w:firstLine="602" w:firstLineChars="200"/>
        <w:rPr>
          <w:rFonts w:hint="eastAsia" w:asciiTheme="minorEastAsia" w:hAnsiTheme="minorEastAsia" w:eastAsiaTheme="minorEastAsia" w:cstheme="minorEastAsia"/>
          <w:color w:val="auto"/>
          <w:sz w:val="30"/>
          <w:szCs w:val="30"/>
          <w:highlight w:val="none"/>
        </w:rPr>
      </w:pPr>
    </w:p>
    <w:p w14:paraId="4F10F9F0">
      <w:pPr>
        <w:autoSpaceDE w:val="0"/>
        <w:autoSpaceDN w:val="0"/>
        <w:spacing w:line="360" w:lineRule="auto"/>
        <w:ind w:left="4365" w:leftChars="1850" w:hanging="480" w:hangingChars="200"/>
        <w:rPr>
          <w:rFonts w:hint="eastAsia" w:asciiTheme="minorEastAsia" w:hAnsiTheme="minorEastAsia" w:eastAsiaTheme="minorEastAsia" w:cstheme="minorEastAsia"/>
          <w:color w:val="auto"/>
          <w:kern w:val="0"/>
          <w:sz w:val="24"/>
          <w:highlight w:val="none"/>
        </w:rPr>
      </w:pPr>
    </w:p>
    <w:p w14:paraId="302BBCD3">
      <w:pPr>
        <w:pStyle w:val="62"/>
        <w:rPr>
          <w:color w:val="auto"/>
          <w:highlight w:val="none"/>
        </w:rPr>
      </w:pPr>
    </w:p>
    <w:p w14:paraId="3EFE1832">
      <w:pPr>
        <w:autoSpaceDE w:val="0"/>
        <w:autoSpaceDN w:val="0"/>
        <w:spacing w:line="360" w:lineRule="auto"/>
        <w:ind w:left="4365" w:leftChars="1850" w:hanging="480" w:hangingChars="200"/>
        <w:rPr>
          <w:rFonts w:hint="eastAsia" w:asciiTheme="minorEastAsia" w:hAnsiTheme="minorEastAsia" w:eastAsiaTheme="minorEastAsia" w:cstheme="minorEastAsia"/>
          <w:color w:val="auto"/>
          <w:kern w:val="0"/>
          <w:sz w:val="24"/>
          <w:highlight w:val="none"/>
        </w:rPr>
      </w:pPr>
    </w:p>
    <w:p w14:paraId="1DBE5F05">
      <w:pPr>
        <w:autoSpaceDE w:val="0"/>
        <w:autoSpaceDN w:val="0"/>
        <w:spacing w:line="360" w:lineRule="auto"/>
        <w:ind w:left="4365" w:leftChars="1850" w:hanging="480" w:hangingChars="200"/>
        <w:rPr>
          <w:rFonts w:hint="eastAsia" w:asciiTheme="minorEastAsia" w:hAnsiTheme="minorEastAsia" w:eastAsiaTheme="minorEastAsia" w:cstheme="minorEastAsia"/>
          <w:color w:val="auto"/>
          <w:kern w:val="0"/>
          <w:sz w:val="24"/>
          <w:highlight w:val="none"/>
        </w:rPr>
      </w:pPr>
    </w:p>
    <w:p w14:paraId="04A6779B">
      <w:pPr>
        <w:autoSpaceDE w:val="0"/>
        <w:autoSpaceDN w:val="0"/>
        <w:spacing w:line="360" w:lineRule="auto"/>
        <w:ind w:left="4365" w:leftChars="1850" w:hanging="480" w:hangingChars="2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67094C1F">
      <w:pPr>
        <w:jc w:val="right"/>
        <w:rPr>
          <w:color w:val="auto"/>
          <w:highlight w:val="none"/>
        </w:rPr>
      </w:pPr>
      <w:r>
        <w:rPr>
          <w:rFonts w:hint="eastAsia" w:asciiTheme="minorEastAsia" w:hAnsiTheme="minorEastAsia" w:eastAsiaTheme="minorEastAsia" w:cstheme="minorEastAsia"/>
          <w:color w:val="auto"/>
          <w:kern w:val="0"/>
          <w:sz w:val="24"/>
          <w:highlight w:val="none"/>
          <w:lang w:val="zh-CN"/>
        </w:rPr>
        <w:t>日期：  年  月   日</w:t>
      </w:r>
    </w:p>
    <w:p w14:paraId="7F3152FA">
      <w:pPr>
        <w:pStyle w:val="6"/>
        <w:rPr>
          <w:color w:val="auto"/>
          <w:highlight w:val="none"/>
        </w:rPr>
      </w:pPr>
    </w:p>
    <w:p w14:paraId="3716581F">
      <w:pPr>
        <w:ind w:left="451"/>
        <w:rPr>
          <w:rFonts w:hint="eastAsia" w:asciiTheme="minorEastAsia" w:hAnsiTheme="minorEastAsia" w:eastAsiaTheme="minorEastAsia" w:cstheme="minorEastAsia"/>
          <w:b/>
          <w:color w:val="auto"/>
          <w:sz w:val="30"/>
          <w:szCs w:val="30"/>
          <w:highlight w:val="none"/>
        </w:rPr>
      </w:pPr>
    </w:p>
    <w:p w14:paraId="327D8CB6">
      <w:pPr>
        <w:ind w:left="451"/>
        <w:rPr>
          <w:rFonts w:hint="eastAsia" w:asciiTheme="minorEastAsia" w:hAnsiTheme="minorEastAsia" w:eastAsiaTheme="minorEastAsia" w:cstheme="minorEastAsia"/>
          <w:b/>
          <w:color w:val="auto"/>
          <w:sz w:val="30"/>
          <w:szCs w:val="30"/>
          <w:highlight w:val="none"/>
        </w:rPr>
      </w:pPr>
    </w:p>
    <w:p w14:paraId="6E492A6B">
      <w:pPr>
        <w:rPr>
          <w:rFonts w:hint="eastAsia" w:asciiTheme="minorEastAsia" w:hAnsiTheme="minorEastAsia" w:eastAsiaTheme="minorEastAsia" w:cstheme="minorEastAsia"/>
          <w:b/>
          <w:color w:val="auto"/>
          <w:sz w:val="30"/>
          <w:szCs w:val="30"/>
          <w:highlight w:val="none"/>
        </w:rPr>
      </w:pPr>
    </w:p>
    <w:p w14:paraId="793F59A8">
      <w:pPr>
        <w:pStyle w:val="42"/>
        <w:ind w:firstLine="0" w:firstLineChars="0"/>
        <w:rPr>
          <w:rFonts w:hint="eastAsia" w:asciiTheme="minorEastAsia" w:hAnsiTheme="minorEastAsia" w:eastAsiaTheme="minorEastAsia" w:cstheme="minorEastAsia"/>
          <w:color w:val="auto"/>
          <w:sz w:val="30"/>
          <w:szCs w:val="30"/>
          <w:highlight w:val="none"/>
        </w:rPr>
      </w:pPr>
      <w:r>
        <w:rPr>
          <w:rFonts w:hint="eastAsia" w:asciiTheme="minorEastAsia" w:hAnsiTheme="minorEastAsia" w:eastAsiaTheme="minorEastAsia" w:cstheme="minorEastAsia"/>
          <w:color w:val="auto"/>
          <w:sz w:val="30"/>
          <w:szCs w:val="30"/>
          <w:highlight w:val="none"/>
        </w:rPr>
        <w:t>五、</w:t>
      </w:r>
      <w:r>
        <w:rPr>
          <w:rFonts w:hint="eastAsia" w:asciiTheme="minorEastAsia" w:hAnsiTheme="minorEastAsia" w:eastAsiaTheme="minorEastAsia" w:cstheme="minorEastAsia"/>
          <w:color w:val="auto"/>
          <w:sz w:val="30"/>
          <w:szCs w:val="30"/>
          <w:highlight w:val="none"/>
          <w:lang w:val="en-US" w:eastAsia="zh-CN"/>
        </w:rPr>
        <w:t>供应商</w:t>
      </w:r>
      <w:r>
        <w:rPr>
          <w:rFonts w:hint="eastAsia" w:asciiTheme="minorEastAsia" w:hAnsiTheme="minorEastAsia" w:eastAsiaTheme="minorEastAsia" w:cstheme="minorEastAsia"/>
          <w:color w:val="auto"/>
          <w:sz w:val="30"/>
          <w:szCs w:val="30"/>
          <w:highlight w:val="none"/>
        </w:rPr>
        <w:t>依法缴纳税收的相关材料（开标截止之日起半年内任意任意</w:t>
      </w:r>
      <w:r>
        <w:rPr>
          <w:rFonts w:hint="eastAsia" w:asciiTheme="minorEastAsia" w:hAnsiTheme="minorEastAsia" w:eastAsiaTheme="minorEastAsia" w:cstheme="minorEastAsia"/>
          <w:color w:val="auto"/>
          <w:sz w:val="30"/>
          <w:szCs w:val="30"/>
          <w:highlight w:val="none"/>
          <w:lang w:val="en-US" w:eastAsia="zh-CN"/>
        </w:rPr>
        <w:t>1个月</w:t>
      </w:r>
      <w:r>
        <w:rPr>
          <w:rFonts w:hint="eastAsia" w:asciiTheme="minorEastAsia" w:hAnsiTheme="minorEastAsia" w:eastAsiaTheme="minorEastAsia" w:cstheme="minorEastAsia"/>
          <w:color w:val="auto"/>
          <w:sz w:val="30"/>
          <w:szCs w:val="30"/>
          <w:highlight w:val="none"/>
        </w:rPr>
        <w:t>的依法缴纳税收的凭据复印件；依法免税的供应商，必须提供相应文件证明其依法免税。从成立之日起到</w:t>
      </w:r>
      <w:r>
        <w:rPr>
          <w:rFonts w:hint="eastAsia" w:asciiTheme="minorEastAsia" w:hAnsiTheme="minorEastAsia" w:eastAsiaTheme="minorEastAsia" w:cstheme="minorEastAsia"/>
          <w:color w:val="auto"/>
          <w:sz w:val="30"/>
          <w:szCs w:val="30"/>
          <w:highlight w:val="none"/>
          <w:lang w:eastAsia="zh-CN"/>
        </w:rPr>
        <w:t>响应文件</w:t>
      </w:r>
      <w:r>
        <w:rPr>
          <w:rFonts w:hint="eastAsia" w:asciiTheme="minorEastAsia" w:hAnsiTheme="minorEastAsia" w:eastAsiaTheme="minorEastAsia" w:cstheme="minorEastAsia"/>
          <w:color w:val="auto"/>
          <w:sz w:val="30"/>
          <w:szCs w:val="30"/>
          <w:highlight w:val="none"/>
        </w:rPr>
        <w:t>提交截止时间止不足要求月数的，只需提供从成立之日起的依法缴纳税收相应证明文件）；（必须提供，否则按</w:t>
      </w:r>
      <w:r>
        <w:rPr>
          <w:rFonts w:hint="eastAsia" w:asciiTheme="minorEastAsia" w:hAnsiTheme="minorEastAsia" w:eastAsiaTheme="minorEastAsia" w:cstheme="minorEastAsia"/>
          <w:color w:val="auto"/>
          <w:sz w:val="30"/>
          <w:szCs w:val="30"/>
          <w:highlight w:val="none"/>
          <w:lang w:eastAsia="zh-CN"/>
        </w:rPr>
        <w:t>无效响应处理</w:t>
      </w:r>
      <w:r>
        <w:rPr>
          <w:rFonts w:hint="eastAsia" w:asciiTheme="minorEastAsia" w:hAnsiTheme="minorEastAsia" w:eastAsiaTheme="minorEastAsia" w:cstheme="minorEastAsia"/>
          <w:color w:val="auto"/>
          <w:sz w:val="30"/>
          <w:szCs w:val="30"/>
          <w:highlight w:val="none"/>
        </w:rPr>
        <w:t>）</w:t>
      </w:r>
    </w:p>
    <w:p w14:paraId="1B4FDA82">
      <w:pPr>
        <w:pStyle w:val="42"/>
        <w:ind w:firstLine="301"/>
        <w:jc w:val="center"/>
        <w:rPr>
          <w:rFonts w:hint="eastAsia" w:asciiTheme="minorEastAsia" w:hAnsiTheme="minorEastAsia" w:eastAsiaTheme="minorEastAsia" w:cstheme="minorEastAsia"/>
          <w:color w:val="auto"/>
          <w:sz w:val="30"/>
          <w:szCs w:val="30"/>
          <w:highlight w:val="none"/>
        </w:rPr>
      </w:pPr>
    </w:p>
    <w:p w14:paraId="25537496">
      <w:pPr>
        <w:rPr>
          <w:rFonts w:hint="eastAsia" w:asciiTheme="minorEastAsia" w:hAnsiTheme="minorEastAsia" w:eastAsiaTheme="minorEastAsia" w:cstheme="minorEastAsia"/>
          <w:color w:val="auto"/>
          <w:sz w:val="30"/>
          <w:szCs w:val="30"/>
          <w:highlight w:val="none"/>
        </w:rPr>
      </w:pPr>
      <w:r>
        <w:rPr>
          <w:rFonts w:hint="eastAsia" w:asciiTheme="minorEastAsia" w:hAnsiTheme="minorEastAsia" w:eastAsiaTheme="minorEastAsia" w:cstheme="minorEastAsia"/>
          <w:color w:val="auto"/>
          <w:sz w:val="30"/>
          <w:szCs w:val="30"/>
          <w:highlight w:val="none"/>
        </w:rPr>
        <w:br w:type="page"/>
      </w:r>
    </w:p>
    <w:p w14:paraId="6F8AD236">
      <w:pPr>
        <w:pStyle w:val="42"/>
        <w:numPr>
          <w:ilvl w:val="0"/>
          <w:numId w:val="11"/>
        </w:numPr>
        <w:ind w:firstLine="0" w:firstLineChars="0"/>
        <w:rPr>
          <w:rFonts w:hint="eastAsia" w:asciiTheme="minorEastAsia" w:hAnsiTheme="minorEastAsia" w:eastAsiaTheme="minorEastAsia" w:cstheme="minorEastAsia"/>
          <w:color w:val="auto"/>
          <w:sz w:val="30"/>
          <w:szCs w:val="30"/>
          <w:highlight w:val="none"/>
        </w:rPr>
      </w:pPr>
      <w:r>
        <w:rPr>
          <w:rFonts w:hint="eastAsia" w:asciiTheme="minorEastAsia" w:hAnsiTheme="minorEastAsia" w:eastAsiaTheme="minorEastAsia" w:cstheme="minorEastAsia"/>
          <w:color w:val="auto"/>
          <w:sz w:val="30"/>
          <w:szCs w:val="30"/>
          <w:highlight w:val="none"/>
        </w:rPr>
        <w:t>供应商依法缴纳社会保障资金的相关材料[开标截止之日起半年内任意任意</w:t>
      </w:r>
      <w:r>
        <w:rPr>
          <w:rFonts w:hint="eastAsia" w:asciiTheme="minorEastAsia" w:hAnsiTheme="minorEastAsia" w:eastAsiaTheme="minorEastAsia" w:cstheme="minorEastAsia"/>
          <w:color w:val="auto"/>
          <w:sz w:val="30"/>
          <w:szCs w:val="30"/>
          <w:highlight w:val="none"/>
          <w:lang w:val="en-US" w:eastAsia="zh-CN"/>
        </w:rPr>
        <w:t>1个月</w:t>
      </w:r>
      <w:r>
        <w:rPr>
          <w:rFonts w:hint="eastAsia" w:asciiTheme="minorEastAsia" w:hAnsiTheme="minorEastAsia" w:eastAsiaTheme="minorEastAsia" w:cstheme="minorEastAsia"/>
          <w:color w:val="auto"/>
          <w:sz w:val="30"/>
          <w:szCs w:val="30"/>
          <w:highlight w:val="none"/>
        </w:rPr>
        <w:t>的依法缴纳社会保障资金的缴费凭证（专用收据或者社会保险缴纳清单）复印件；依法不需要缴纳社会保障资金的供应商，必须提供相应文件证明不需要缴纳社会保障资金。从成立之日起到</w:t>
      </w:r>
      <w:r>
        <w:rPr>
          <w:rFonts w:hint="eastAsia" w:asciiTheme="minorEastAsia" w:hAnsiTheme="minorEastAsia" w:eastAsiaTheme="minorEastAsia" w:cstheme="minorEastAsia"/>
          <w:color w:val="auto"/>
          <w:sz w:val="30"/>
          <w:szCs w:val="30"/>
          <w:highlight w:val="none"/>
          <w:lang w:eastAsia="zh-CN"/>
        </w:rPr>
        <w:t>响应文件</w:t>
      </w:r>
      <w:r>
        <w:rPr>
          <w:rFonts w:hint="eastAsia" w:asciiTheme="minorEastAsia" w:hAnsiTheme="minorEastAsia" w:eastAsiaTheme="minorEastAsia" w:cstheme="minorEastAsia"/>
          <w:color w:val="auto"/>
          <w:sz w:val="30"/>
          <w:szCs w:val="30"/>
          <w:highlight w:val="none"/>
        </w:rPr>
        <w:t>提交截止时间止不足要求月数的只需提供从成立之日起的依法缴纳社会保障资金的相应证明文件]；（必须提供，否则按</w:t>
      </w:r>
      <w:r>
        <w:rPr>
          <w:rFonts w:hint="eastAsia" w:asciiTheme="minorEastAsia" w:hAnsiTheme="minorEastAsia" w:eastAsiaTheme="minorEastAsia" w:cstheme="minorEastAsia"/>
          <w:color w:val="auto"/>
          <w:sz w:val="30"/>
          <w:szCs w:val="30"/>
          <w:highlight w:val="none"/>
          <w:lang w:eastAsia="zh-CN"/>
        </w:rPr>
        <w:t>无效响应处理</w:t>
      </w:r>
      <w:r>
        <w:rPr>
          <w:rFonts w:hint="eastAsia" w:asciiTheme="minorEastAsia" w:hAnsiTheme="minorEastAsia" w:eastAsiaTheme="minorEastAsia" w:cstheme="minorEastAsia"/>
          <w:color w:val="auto"/>
          <w:sz w:val="30"/>
          <w:szCs w:val="30"/>
          <w:highlight w:val="none"/>
        </w:rPr>
        <w:t>）</w:t>
      </w:r>
    </w:p>
    <w:p w14:paraId="3017CB88">
      <w:pPr>
        <w:pStyle w:val="42"/>
        <w:ind w:firstLine="0" w:firstLineChars="0"/>
        <w:rPr>
          <w:rFonts w:hint="eastAsia" w:asciiTheme="minorEastAsia" w:hAnsiTheme="minorEastAsia" w:eastAsiaTheme="minorEastAsia" w:cstheme="minorEastAsia"/>
          <w:color w:val="auto"/>
          <w:sz w:val="30"/>
          <w:szCs w:val="30"/>
          <w:highlight w:val="none"/>
        </w:rPr>
      </w:pPr>
    </w:p>
    <w:p w14:paraId="2C7C7CE4">
      <w:pPr>
        <w:pStyle w:val="42"/>
        <w:ind w:firstLine="0" w:firstLineChars="0"/>
        <w:rPr>
          <w:rFonts w:hint="eastAsia" w:asciiTheme="minorEastAsia" w:hAnsiTheme="minorEastAsia" w:eastAsiaTheme="minorEastAsia" w:cstheme="minorEastAsia"/>
          <w:bCs w:val="0"/>
          <w:color w:val="auto"/>
          <w:sz w:val="30"/>
          <w:szCs w:val="30"/>
          <w:highlight w:val="none"/>
        </w:rPr>
      </w:pPr>
      <w:r>
        <w:rPr>
          <w:rFonts w:hint="eastAsia" w:asciiTheme="minorEastAsia" w:hAnsiTheme="minorEastAsia" w:eastAsiaTheme="minorEastAsia" w:cstheme="minorEastAsia"/>
          <w:color w:val="auto"/>
          <w:sz w:val="30"/>
          <w:szCs w:val="30"/>
          <w:highlight w:val="none"/>
        </w:rPr>
        <w:t>七、供应商财务状况报告（202</w:t>
      </w:r>
      <w:r>
        <w:rPr>
          <w:rFonts w:hint="eastAsia" w:asciiTheme="minorEastAsia" w:hAnsiTheme="minorEastAsia" w:eastAsiaTheme="minorEastAsia" w:cstheme="minorEastAsia"/>
          <w:color w:val="auto"/>
          <w:sz w:val="30"/>
          <w:szCs w:val="30"/>
          <w:highlight w:val="none"/>
          <w:lang w:val="en-US" w:eastAsia="zh-CN"/>
        </w:rPr>
        <w:t>4</w:t>
      </w:r>
      <w:r>
        <w:rPr>
          <w:rFonts w:hint="eastAsia" w:asciiTheme="minorEastAsia" w:hAnsiTheme="minorEastAsia" w:eastAsiaTheme="minorEastAsia" w:cstheme="minorEastAsia"/>
          <w:color w:val="auto"/>
          <w:sz w:val="30"/>
          <w:szCs w:val="30"/>
          <w:highlight w:val="none"/>
        </w:rPr>
        <w:t>年度</w:t>
      </w:r>
      <w:r>
        <w:rPr>
          <w:rFonts w:hint="eastAsia" w:asciiTheme="minorEastAsia" w:hAnsiTheme="minorEastAsia" w:eastAsiaTheme="minorEastAsia" w:cstheme="minorEastAsia"/>
          <w:color w:val="auto"/>
          <w:sz w:val="30"/>
          <w:szCs w:val="30"/>
          <w:highlight w:val="none"/>
          <w:lang w:val="en-US" w:eastAsia="zh-CN"/>
        </w:rPr>
        <w:t>或2025年度</w:t>
      </w:r>
      <w:r>
        <w:rPr>
          <w:rFonts w:hint="eastAsia" w:asciiTheme="minorEastAsia" w:hAnsiTheme="minorEastAsia" w:eastAsiaTheme="minorEastAsia" w:cstheme="minorEastAsia"/>
          <w:color w:val="auto"/>
          <w:sz w:val="30"/>
          <w:szCs w:val="30"/>
          <w:highlight w:val="none"/>
        </w:rPr>
        <w:t>财务报表复印件或者银行出具的资信证明；</w:t>
      </w:r>
      <w:r>
        <w:rPr>
          <w:rFonts w:hint="eastAsia" w:asciiTheme="minorEastAsia" w:hAnsiTheme="minorEastAsia" w:eastAsiaTheme="minorEastAsia" w:cstheme="minorEastAsia"/>
          <w:color w:val="auto"/>
          <w:sz w:val="30"/>
          <w:szCs w:val="30"/>
          <w:highlight w:val="none"/>
          <w:lang w:val="en-US" w:eastAsia="zh-CN"/>
        </w:rPr>
        <w:t>供应商</w:t>
      </w:r>
      <w:r>
        <w:rPr>
          <w:rFonts w:hint="eastAsia" w:asciiTheme="minorEastAsia" w:hAnsiTheme="minorEastAsia" w:eastAsiaTheme="minorEastAsia" w:cstheme="minorEastAsia"/>
          <w:color w:val="auto"/>
          <w:sz w:val="30"/>
          <w:szCs w:val="30"/>
          <w:highlight w:val="none"/>
        </w:rPr>
        <w:t>属于成立时间在规定年度之后的法人或其他组织，需提供成立之日起至</w:t>
      </w:r>
      <w:r>
        <w:rPr>
          <w:rFonts w:hint="eastAsia" w:asciiTheme="minorEastAsia" w:hAnsiTheme="minorEastAsia" w:eastAsiaTheme="minorEastAsia" w:cstheme="minorEastAsia"/>
          <w:color w:val="auto"/>
          <w:sz w:val="30"/>
          <w:szCs w:val="30"/>
          <w:highlight w:val="none"/>
          <w:lang w:val="en-US" w:eastAsia="zh-CN"/>
        </w:rPr>
        <w:t>响应</w:t>
      </w:r>
      <w:r>
        <w:rPr>
          <w:rFonts w:hint="eastAsia" w:asciiTheme="minorEastAsia" w:hAnsiTheme="minorEastAsia" w:eastAsiaTheme="minorEastAsia" w:cstheme="minorEastAsia"/>
          <w:color w:val="auto"/>
          <w:sz w:val="30"/>
          <w:szCs w:val="30"/>
          <w:highlight w:val="none"/>
        </w:rPr>
        <w:t>截止时间前的月报表或银行出具的资信证明；资信证明应在有效期内，未注明有效期的，银行出具时间至</w:t>
      </w:r>
      <w:r>
        <w:rPr>
          <w:rFonts w:hint="eastAsia" w:asciiTheme="minorEastAsia" w:hAnsiTheme="minorEastAsia" w:eastAsiaTheme="minorEastAsia" w:cstheme="minorEastAsia"/>
          <w:color w:val="auto"/>
          <w:sz w:val="30"/>
          <w:szCs w:val="30"/>
          <w:highlight w:val="none"/>
          <w:lang w:val="en-US" w:eastAsia="zh-CN"/>
        </w:rPr>
        <w:t>响应</w:t>
      </w:r>
      <w:r>
        <w:rPr>
          <w:rFonts w:hint="eastAsia" w:asciiTheme="minorEastAsia" w:hAnsiTheme="minorEastAsia" w:eastAsiaTheme="minorEastAsia" w:cstheme="minorEastAsia"/>
          <w:color w:val="auto"/>
          <w:sz w:val="30"/>
          <w:szCs w:val="30"/>
          <w:highlight w:val="none"/>
        </w:rPr>
        <w:t>截止时间不超过一年）；（必须提供，否则按无效</w:t>
      </w:r>
      <w:r>
        <w:rPr>
          <w:rFonts w:hint="eastAsia" w:asciiTheme="minorEastAsia" w:hAnsiTheme="minorEastAsia" w:eastAsiaTheme="minorEastAsia" w:cstheme="minorEastAsia"/>
          <w:color w:val="auto"/>
          <w:sz w:val="30"/>
          <w:szCs w:val="30"/>
          <w:highlight w:val="none"/>
          <w:lang w:val="en-US" w:eastAsia="zh-CN"/>
        </w:rPr>
        <w:t>响应</w:t>
      </w:r>
      <w:r>
        <w:rPr>
          <w:rFonts w:hint="eastAsia" w:asciiTheme="minorEastAsia" w:hAnsiTheme="minorEastAsia" w:eastAsiaTheme="minorEastAsia" w:cstheme="minorEastAsia"/>
          <w:color w:val="auto"/>
          <w:sz w:val="30"/>
          <w:szCs w:val="30"/>
          <w:highlight w:val="none"/>
        </w:rPr>
        <w:t>处理）</w:t>
      </w:r>
    </w:p>
    <w:p w14:paraId="7CD5B204">
      <w:pPr>
        <w:pStyle w:val="42"/>
        <w:ind w:firstLine="482"/>
        <w:rPr>
          <w:rFonts w:hint="eastAsia" w:asciiTheme="minorEastAsia" w:hAnsiTheme="minorEastAsia" w:eastAsiaTheme="minorEastAsia" w:cstheme="minorEastAsia"/>
          <w:color w:val="auto"/>
          <w:highlight w:val="none"/>
        </w:rPr>
      </w:pPr>
    </w:p>
    <w:p w14:paraId="37128640">
      <w:pPr>
        <w:rPr>
          <w:rFonts w:hint="eastAsia" w:asciiTheme="minorEastAsia" w:hAnsiTheme="minorEastAsia" w:eastAsiaTheme="minorEastAsia" w:cstheme="minorEastAsia"/>
          <w:b/>
          <w:bCs/>
          <w:color w:val="auto"/>
          <w:kern w:val="0"/>
          <w:sz w:val="30"/>
          <w:szCs w:val="30"/>
          <w:highlight w:val="none"/>
        </w:rPr>
      </w:pPr>
      <w:r>
        <w:rPr>
          <w:rFonts w:hint="eastAsia" w:asciiTheme="minorEastAsia" w:hAnsiTheme="minorEastAsia" w:eastAsiaTheme="minorEastAsia" w:cstheme="minorEastAsia"/>
          <w:b/>
          <w:bCs/>
          <w:color w:val="auto"/>
          <w:kern w:val="0"/>
          <w:sz w:val="30"/>
          <w:szCs w:val="30"/>
          <w:highlight w:val="none"/>
        </w:rPr>
        <w:br w:type="page"/>
      </w:r>
    </w:p>
    <w:p w14:paraId="633DA18D">
      <w:pPr>
        <w:pStyle w:val="4"/>
        <w:jc w:val="center"/>
        <w:rPr>
          <w:rFonts w:hint="eastAsia" w:ascii="宋体" w:hAnsi="宋体"/>
          <w:b w:val="0"/>
          <w:color w:val="auto"/>
          <w:highlight w:val="none"/>
        </w:rPr>
      </w:pPr>
      <w:r>
        <w:rPr>
          <w:rFonts w:hint="eastAsia" w:ascii="宋体" w:hAnsi="宋体"/>
          <w:b w:val="0"/>
          <w:bCs w:val="0"/>
          <w:color w:val="auto"/>
          <w:highlight w:val="none"/>
        </w:rPr>
        <w:t xml:space="preserve">第三节 </w:t>
      </w:r>
      <w:r>
        <w:rPr>
          <w:rFonts w:hint="eastAsia" w:ascii="宋体" w:hAnsi="宋体"/>
          <w:b w:val="0"/>
          <w:color w:val="auto"/>
          <w:highlight w:val="none"/>
        </w:rPr>
        <w:t>商务技术文件格式</w:t>
      </w:r>
    </w:p>
    <w:p w14:paraId="42B318FE">
      <w:pPr>
        <w:snapToGrid w:val="0"/>
        <w:spacing w:before="120"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全流程电子文件</w:t>
      </w:r>
    </w:p>
    <w:p w14:paraId="1078A015">
      <w:pPr>
        <w:snapToGrid w:val="0"/>
        <w:spacing w:before="120" w:beforeLines="50" w:after="50"/>
        <w:rPr>
          <w:rFonts w:hint="eastAsia" w:ascii="宋体" w:hAnsi="宋体"/>
          <w:color w:val="auto"/>
          <w:sz w:val="24"/>
          <w:szCs w:val="20"/>
          <w:highlight w:val="none"/>
        </w:rPr>
      </w:pPr>
    </w:p>
    <w:p w14:paraId="765D8D71">
      <w:pPr>
        <w:snapToGrid w:val="0"/>
        <w:spacing w:before="120" w:beforeLines="50" w:after="50"/>
        <w:rPr>
          <w:rFonts w:hint="eastAsia" w:ascii="宋体" w:hAnsi="宋体"/>
          <w:color w:val="auto"/>
          <w:sz w:val="24"/>
          <w:szCs w:val="20"/>
          <w:highlight w:val="none"/>
        </w:rPr>
      </w:pPr>
    </w:p>
    <w:p w14:paraId="7ACBCAC2">
      <w:pPr>
        <w:snapToGrid w:val="0"/>
        <w:spacing w:before="120" w:beforeLines="50" w:after="50"/>
        <w:rPr>
          <w:rFonts w:hint="eastAsia" w:ascii="宋体" w:hAnsi="宋体"/>
          <w:color w:val="auto"/>
          <w:sz w:val="24"/>
          <w:szCs w:val="20"/>
          <w:highlight w:val="none"/>
        </w:rPr>
      </w:pPr>
    </w:p>
    <w:p w14:paraId="58D34F79">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  务  技  术  文  件（封面）</w:t>
      </w:r>
    </w:p>
    <w:p w14:paraId="1B12A01E">
      <w:pPr>
        <w:snapToGrid w:val="0"/>
        <w:spacing w:before="120" w:beforeLines="50" w:after="50"/>
        <w:rPr>
          <w:rFonts w:hint="eastAsia" w:ascii="宋体" w:hAnsi="宋体"/>
          <w:bCs/>
          <w:color w:val="auto"/>
          <w:sz w:val="24"/>
          <w:szCs w:val="20"/>
          <w:highlight w:val="none"/>
        </w:rPr>
      </w:pPr>
    </w:p>
    <w:p w14:paraId="173658C2">
      <w:pPr>
        <w:snapToGrid w:val="0"/>
        <w:spacing w:before="120" w:beforeLines="50" w:after="50"/>
        <w:rPr>
          <w:rFonts w:hint="eastAsia" w:ascii="宋体" w:hAnsi="宋体"/>
          <w:bCs/>
          <w:color w:val="auto"/>
          <w:sz w:val="24"/>
          <w:szCs w:val="20"/>
          <w:highlight w:val="none"/>
        </w:rPr>
      </w:pPr>
    </w:p>
    <w:p w14:paraId="420C7947">
      <w:pPr>
        <w:snapToGrid w:val="0"/>
        <w:spacing w:before="120" w:beforeLines="50" w:after="50"/>
        <w:rPr>
          <w:rFonts w:hint="eastAsia" w:ascii="宋体" w:hAnsi="宋体"/>
          <w:bCs/>
          <w:color w:val="auto"/>
          <w:sz w:val="24"/>
          <w:szCs w:val="20"/>
          <w:highlight w:val="none"/>
        </w:rPr>
      </w:pPr>
    </w:p>
    <w:p w14:paraId="59040CD6">
      <w:pPr>
        <w:snapToGrid w:val="0"/>
        <w:spacing w:before="120" w:beforeLines="50" w:after="50"/>
        <w:rPr>
          <w:rFonts w:hint="eastAsia" w:ascii="宋体" w:hAnsi="宋体"/>
          <w:bCs/>
          <w:color w:val="auto"/>
          <w:sz w:val="24"/>
          <w:szCs w:val="20"/>
          <w:highlight w:val="none"/>
        </w:rPr>
      </w:pPr>
    </w:p>
    <w:p w14:paraId="3ADE77DE">
      <w:pPr>
        <w:snapToGrid w:val="0"/>
        <w:spacing w:before="120" w:beforeLines="50" w:after="50"/>
        <w:rPr>
          <w:rFonts w:hint="eastAsia" w:ascii="宋体" w:hAnsi="宋体"/>
          <w:bCs/>
          <w:color w:val="auto"/>
          <w:sz w:val="24"/>
          <w:szCs w:val="20"/>
          <w:highlight w:val="none"/>
        </w:rPr>
      </w:pPr>
    </w:p>
    <w:p w14:paraId="4ECD6C30">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7A9B6315">
      <w:pPr>
        <w:snapToGrid w:val="0"/>
        <w:spacing w:before="120" w:beforeLines="50" w:after="50"/>
        <w:ind w:firstLine="720" w:firstLineChars="225"/>
        <w:rPr>
          <w:rFonts w:hint="eastAsia" w:ascii="宋体" w:hAnsi="宋体" w:cs="仿宋_GB2312"/>
          <w:bCs/>
          <w:color w:val="auto"/>
          <w:sz w:val="32"/>
          <w:szCs w:val="32"/>
          <w:highlight w:val="none"/>
        </w:rPr>
      </w:pPr>
    </w:p>
    <w:p w14:paraId="660BA36C">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2378B055">
      <w:pPr>
        <w:snapToGrid w:val="0"/>
        <w:spacing w:before="120"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1885CE78">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2B2A4982">
      <w:pPr>
        <w:snapToGrid w:val="0"/>
        <w:spacing w:before="120" w:beforeLines="50" w:after="50"/>
        <w:ind w:firstLine="720" w:firstLineChars="225"/>
        <w:rPr>
          <w:rFonts w:hint="eastAsia" w:ascii="宋体" w:hAnsi="宋体" w:cs="仿宋_GB2312"/>
          <w:bCs/>
          <w:color w:val="auto"/>
          <w:sz w:val="32"/>
          <w:szCs w:val="32"/>
          <w:highlight w:val="none"/>
        </w:rPr>
      </w:pPr>
    </w:p>
    <w:p w14:paraId="2AD8579A">
      <w:pPr>
        <w:pStyle w:val="8"/>
        <w:snapToGrid w:val="0"/>
        <w:spacing w:before="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612DE7FE">
      <w:pPr>
        <w:pStyle w:val="8"/>
        <w:snapToGrid w:val="0"/>
        <w:spacing w:before="50" w:after="50"/>
        <w:ind w:firstLine="720" w:firstLineChars="225"/>
        <w:rPr>
          <w:rFonts w:hint="eastAsia" w:ascii="宋体" w:hAnsi="宋体" w:cs="仿宋_GB2312"/>
          <w:bCs/>
          <w:color w:val="auto"/>
          <w:sz w:val="32"/>
          <w:szCs w:val="32"/>
          <w:highlight w:val="none"/>
        </w:rPr>
      </w:pPr>
    </w:p>
    <w:p w14:paraId="15A30028">
      <w:pPr>
        <w:pStyle w:val="8"/>
        <w:snapToGrid w:val="0"/>
        <w:spacing w:before="50" w:after="50"/>
        <w:ind w:firstLine="720" w:firstLineChars="225"/>
        <w:rPr>
          <w:rFonts w:hint="eastAsia" w:ascii="宋体" w:hAnsi="宋体" w:cs="仿宋_GB2312"/>
          <w:bCs/>
          <w:color w:val="auto"/>
          <w:sz w:val="32"/>
          <w:szCs w:val="32"/>
          <w:highlight w:val="none"/>
        </w:rPr>
      </w:pPr>
    </w:p>
    <w:p w14:paraId="77536781">
      <w:pPr>
        <w:pStyle w:val="8"/>
        <w:snapToGrid w:val="0"/>
        <w:spacing w:before="50" w:after="50"/>
        <w:ind w:firstLine="1280" w:firstLineChars="400"/>
        <w:rPr>
          <w:rFonts w:hint="eastAsia" w:ascii="宋体" w:hAnsi="宋体" w:cs="仿宋_GB2312"/>
          <w:bCs/>
          <w:color w:val="auto"/>
          <w:sz w:val="32"/>
          <w:szCs w:val="32"/>
          <w:highlight w:val="none"/>
        </w:rPr>
      </w:pPr>
    </w:p>
    <w:p w14:paraId="53FF4963">
      <w:pPr>
        <w:snapToGrid w:val="0"/>
        <w:spacing w:before="120"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0FEFEE19">
      <w:pPr>
        <w:snapToGrid w:val="0"/>
        <w:spacing w:before="120" w:beforeLines="50" w:after="50" w:line="360" w:lineRule="auto"/>
        <w:ind w:left="142" w:firstLine="643" w:firstLineChars="200"/>
        <w:jc w:val="left"/>
        <w:rPr>
          <w:rFonts w:hint="eastAsia" w:ascii="宋体" w:hAnsi="宋体"/>
          <w:b/>
          <w:bCs/>
          <w:color w:val="auto"/>
          <w:sz w:val="32"/>
          <w:szCs w:val="32"/>
          <w:highlight w:val="none"/>
        </w:rPr>
        <w:sectPr>
          <w:pgSz w:w="11910" w:h="16840"/>
          <w:pgMar w:top="1340" w:right="1500" w:bottom="280" w:left="1680" w:header="720" w:footer="720" w:gutter="0"/>
          <w:cols w:space="720" w:num="1"/>
        </w:sectPr>
      </w:pPr>
    </w:p>
    <w:p w14:paraId="74EFA891">
      <w:pPr>
        <w:pStyle w:val="42"/>
        <w:spacing w:line="360" w:lineRule="auto"/>
        <w:ind w:firstLine="321"/>
        <w:rPr>
          <w:rFonts w:hint="eastAsia" w:ascii="宋体" w:hAnsi="宋体" w:eastAsia="宋体" w:cs="Times New Roman"/>
          <w:color w:val="auto"/>
          <w:kern w:val="2"/>
          <w:sz w:val="32"/>
          <w:szCs w:val="32"/>
          <w:highlight w:val="none"/>
        </w:rPr>
      </w:pPr>
    </w:p>
    <w:p w14:paraId="00ADFF8C">
      <w:pPr>
        <w:pStyle w:val="42"/>
        <w:spacing w:line="360" w:lineRule="auto"/>
        <w:ind w:firstLine="321"/>
        <w:jc w:val="center"/>
        <w:rPr>
          <w:rFonts w:hint="eastAsia" w:ascii="宋体" w:hAnsi="宋体" w:eastAsia="宋体" w:cs="Times New Roman"/>
          <w:color w:val="auto"/>
          <w:kern w:val="2"/>
          <w:sz w:val="32"/>
          <w:szCs w:val="32"/>
          <w:highlight w:val="none"/>
        </w:rPr>
      </w:pPr>
      <w:r>
        <w:rPr>
          <w:rFonts w:hint="eastAsia" w:ascii="宋体" w:hAnsi="宋体" w:eastAsia="宋体" w:cs="Times New Roman"/>
          <w:color w:val="auto"/>
          <w:kern w:val="2"/>
          <w:sz w:val="32"/>
          <w:szCs w:val="32"/>
          <w:highlight w:val="none"/>
        </w:rPr>
        <w:t>商务技术文件目录</w:t>
      </w:r>
    </w:p>
    <w:p w14:paraId="7C3EA0EA">
      <w:pPr>
        <w:pStyle w:val="42"/>
        <w:spacing w:line="360" w:lineRule="auto"/>
        <w:ind w:firstLine="321"/>
        <w:jc w:val="center"/>
        <w:rPr>
          <w:rFonts w:hint="eastAsia" w:ascii="宋体" w:hAnsi="宋体" w:eastAsia="宋体" w:cs="Times New Roman"/>
          <w:color w:val="auto"/>
          <w:kern w:val="2"/>
          <w:sz w:val="32"/>
          <w:szCs w:val="32"/>
          <w:highlight w:val="none"/>
        </w:rPr>
      </w:pPr>
    </w:p>
    <w:p w14:paraId="5033EDCF">
      <w:pPr>
        <w:spacing w:line="360" w:lineRule="auto"/>
        <w:jc w:val="distribute"/>
        <w:rPr>
          <w:rFonts w:hint="eastAsia" w:ascii="宋体" w:hAnsi="宋体"/>
          <w:color w:val="auto"/>
          <w:spacing w:val="2"/>
          <w:highlight w:val="none"/>
        </w:rPr>
      </w:pPr>
      <w:r>
        <w:rPr>
          <w:rFonts w:hint="eastAsia" w:ascii="宋体" w:hAnsi="宋体"/>
          <w:color w:val="auto"/>
          <w:spacing w:val="2"/>
          <w:highlight w:val="none"/>
        </w:rPr>
        <w:t>一、法定代表人身份证明书……………………………………………………………（页码）</w:t>
      </w:r>
    </w:p>
    <w:p w14:paraId="0FD9FF75">
      <w:pPr>
        <w:spacing w:line="360" w:lineRule="auto"/>
        <w:jc w:val="distribute"/>
        <w:rPr>
          <w:rFonts w:hint="eastAsia" w:ascii="宋体" w:hAnsi="宋体"/>
          <w:color w:val="auto"/>
          <w:spacing w:val="2"/>
          <w:highlight w:val="none"/>
        </w:rPr>
      </w:pPr>
      <w:r>
        <w:rPr>
          <w:rFonts w:hint="eastAsia" w:ascii="宋体" w:hAnsi="宋体"/>
          <w:color w:val="auto"/>
          <w:spacing w:val="2"/>
          <w:highlight w:val="none"/>
        </w:rPr>
        <w:t>二、响应文件签署授权委托书原件及委托代理人身份证正反面复印件……………（页码）</w:t>
      </w:r>
    </w:p>
    <w:p w14:paraId="005C5910">
      <w:pPr>
        <w:spacing w:line="360" w:lineRule="auto"/>
        <w:jc w:val="distribute"/>
        <w:rPr>
          <w:rFonts w:hint="eastAsia" w:ascii="宋体" w:hAnsi="宋体"/>
          <w:color w:val="auto"/>
          <w:spacing w:val="2"/>
          <w:highlight w:val="none"/>
        </w:rPr>
      </w:pPr>
      <w:r>
        <w:rPr>
          <w:rFonts w:hint="eastAsia" w:ascii="宋体" w:hAnsi="宋体"/>
          <w:color w:val="auto"/>
          <w:spacing w:val="2"/>
          <w:highlight w:val="none"/>
        </w:rPr>
        <w:t>三、农民工工资保障金的交纳与使用承诺书…………………………………………（页码）</w:t>
      </w:r>
    </w:p>
    <w:p w14:paraId="28E0BB91">
      <w:pPr>
        <w:spacing w:line="360" w:lineRule="auto"/>
        <w:jc w:val="distribute"/>
        <w:rPr>
          <w:rFonts w:hint="eastAsia" w:ascii="宋体" w:hAnsi="宋体"/>
          <w:color w:val="auto"/>
          <w:spacing w:val="2"/>
          <w:highlight w:val="none"/>
        </w:rPr>
      </w:pPr>
      <w:r>
        <w:rPr>
          <w:rFonts w:hint="eastAsia" w:ascii="宋体" w:hAnsi="宋体"/>
          <w:color w:val="auto"/>
          <w:spacing w:val="2"/>
          <w:highlight w:val="none"/>
        </w:rPr>
        <w:t>四、建设工程项目管理承诺书…………………………………………………………（页码）</w:t>
      </w:r>
    </w:p>
    <w:p w14:paraId="28CD4237">
      <w:pPr>
        <w:spacing w:line="360" w:lineRule="auto"/>
        <w:jc w:val="distribute"/>
        <w:rPr>
          <w:rFonts w:hint="eastAsia" w:ascii="宋体" w:hAnsi="宋体"/>
          <w:color w:val="auto"/>
          <w:spacing w:val="2"/>
          <w:highlight w:val="none"/>
        </w:rPr>
      </w:pPr>
      <w:r>
        <w:rPr>
          <w:rFonts w:hint="eastAsia" w:ascii="宋体" w:hAnsi="宋体"/>
          <w:color w:val="auto"/>
          <w:spacing w:val="2"/>
          <w:highlight w:val="none"/>
        </w:rPr>
        <w:t>五、供应商认为需要提供的其他有关资料……………………………………………（页码）</w:t>
      </w:r>
    </w:p>
    <w:p w14:paraId="69BF675C">
      <w:pPr>
        <w:spacing w:line="360" w:lineRule="auto"/>
        <w:jc w:val="distribute"/>
        <w:rPr>
          <w:rFonts w:hint="eastAsia" w:ascii="宋体" w:hAnsi="宋体"/>
          <w:color w:val="auto"/>
          <w:spacing w:val="2"/>
          <w:highlight w:val="none"/>
        </w:rPr>
      </w:pPr>
      <w:r>
        <w:rPr>
          <w:rFonts w:hint="eastAsia" w:ascii="宋体" w:hAnsi="宋体"/>
          <w:color w:val="auto"/>
          <w:spacing w:val="2"/>
          <w:highlight w:val="none"/>
        </w:rPr>
        <w:t>六、施工组织设计……………………………………………………………………（页码）</w:t>
      </w:r>
    </w:p>
    <w:p w14:paraId="4F20639D">
      <w:pPr>
        <w:spacing w:line="360" w:lineRule="auto"/>
        <w:jc w:val="distribute"/>
        <w:rPr>
          <w:rFonts w:hint="eastAsia" w:ascii="宋体" w:hAnsi="宋体"/>
          <w:color w:val="auto"/>
          <w:spacing w:val="2"/>
          <w:highlight w:val="none"/>
        </w:rPr>
      </w:pPr>
      <w:r>
        <w:rPr>
          <w:rFonts w:hint="eastAsia" w:ascii="宋体" w:hAnsi="宋体"/>
          <w:color w:val="auto"/>
          <w:spacing w:val="2"/>
          <w:highlight w:val="none"/>
        </w:rPr>
        <w:t>七、项目管理机构………………………………………………………………………（页码）</w:t>
      </w:r>
    </w:p>
    <w:p w14:paraId="37132BE4">
      <w:pPr>
        <w:spacing w:line="360" w:lineRule="auto"/>
        <w:jc w:val="distribute"/>
        <w:rPr>
          <w:rFonts w:hint="eastAsia" w:ascii="宋体" w:hAnsi="宋体"/>
          <w:color w:val="auto"/>
          <w:spacing w:val="2"/>
          <w:highlight w:val="none"/>
        </w:rPr>
      </w:pPr>
      <w:r>
        <w:rPr>
          <w:rFonts w:hint="eastAsia" w:ascii="宋体" w:hAnsi="宋体"/>
          <w:color w:val="auto"/>
          <w:spacing w:val="2"/>
          <w:highlight w:val="none"/>
        </w:rPr>
        <w:t xml:space="preserve">  1、项目管理机构配备情况表………………………………………………………（页码）</w:t>
      </w:r>
    </w:p>
    <w:p w14:paraId="1A0CE83E">
      <w:pPr>
        <w:spacing w:line="360" w:lineRule="auto"/>
        <w:jc w:val="distribute"/>
        <w:rPr>
          <w:rFonts w:hint="eastAsia" w:ascii="宋体" w:hAnsi="宋体"/>
          <w:color w:val="auto"/>
          <w:spacing w:val="2"/>
          <w:highlight w:val="none"/>
        </w:rPr>
      </w:pPr>
      <w:r>
        <w:rPr>
          <w:rFonts w:hint="eastAsia" w:ascii="宋体" w:hAnsi="宋体"/>
          <w:color w:val="auto"/>
          <w:spacing w:val="2"/>
          <w:highlight w:val="none"/>
        </w:rPr>
        <w:t xml:space="preserve">  2、项目经理（注册建造师）简历表………………………………………………（页码）</w:t>
      </w:r>
    </w:p>
    <w:p w14:paraId="2DE9EE5A">
      <w:pPr>
        <w:spacing w:line="360" w:lineRule="auto"/>
        <w:jc w:val="distribute"/>
        <w:rPr>
          <w:rFonts w:hint="eastAsia" w:ascii="宋体" w:hAnsi="宋体"/>
          <w:color w:val="auto"/>
          <w:spacing w:val="2"/>
          <w:highlight w:val="none"/>
        </w:rPr>
      </w:pPr>
      <w:r>
        <w:rPr>
          <w:rFonts w:hint="eastAsia" w:ascii="宋体" w:hAnsi="宋体"/>
          <w:color w:val="auto"/>
          <w:spacing w:val="2"/>
          <w:highlight w:val="none"/>
        </w:rPr>
        <w:t xml:space="preserve">  3、项目技术负责人简历表…………………………………………………………（页码）八、企业业绩（如有）…………………………………………………………………（页码）</w:t>
      </w:r>
    </w:p>
    <w:p w14:paraId="0C3011AF">
      <w:pPr>
        <w:pStyle w:val="42"/>
        <w:ind w:firstLine="482"/>
        <w:rPr>
          <w:color w:val="auto"/>
          <w:highlight w:val="none"/>
        </w:rPr>
      </w:pPr>
    </w:p>
    <w:p w14:paraId="25E30624">
      <w:pPr>
        <w:spacing w:line="360" w:lineRule="auto"/>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注：以上目录是编制供应商响应文件的基本格式要求，各供应商可根据自身情况进一步细化。</w:t>
      </w:r>
    </w:p>
    <w:p w14:paraId="6125538F">
      <w:pPr>
        <w:pStyle w:val="62"/>
        <w:rPr>
          <w:color w:val="auto"/>
          <w:highlight w:val="none"/>
        </w:rPr>
      </w:pPr>
    </w:p>
    <w:p w14:paraId="58C79C13">
      <w:pPr>
        <w:pStyle w:val="42"/>
        <w:ind w:firstLine="482"/>
        <w:rPr>
          <w:color w:val="auto"/>
          <w:highlight w:val="none"/>
        </w:rPr>
      </w:pPr>
    </w:p>
    <w:p w14:paraId="39C1D259">
      <w:pPr>
        <w:pStyle w:val="42"/>
        <w:ind w:firstLine="482"/>
        <w:rPr>
          <w:color w:val="auto"/>
          <w:highlight w:val="none"/>
        </w:rPr>
      </w:pPr>
    </w:p>
    <w:p w14:paraId="7EB89344">
      <w:pPr>
        <w:pStyle w:val="42"/>
        <w:ind w:firstLine="482"/>
        <w:rPr>
          <w:color w:val="auto"/>
          <w:highlight w:val="none"/>
        </w:rPr>
      </w:pPr>
    </w:p>
    <w:p w14:paraId="1690F7E8">
      <w:pPr>
        <w:pStyle w:val="42"/>
        <w:ind w:firstLine="482"/>
        <w:rPr>
          <w:color w:val="auto"/>
          <w:highlight w:val="none"/>
        </w:rPr>
      </w:pPr>
    </w:p>
    <w:p w14:paraId="7F75E2AC">
      <w:pPr>
        <w:pStyle w:val="42"/>
        <w:ind w:firstLine="482"/>
        <w:rPr>
          <w:color w:val="auto"/>
          <w:highlight w:val="none"/>
        </w:rPr>
      </w:pPr>
    </w:p>
    <w:p w14:paraId="38E3ED69">
      <w:pPr>
        <w:pStyle w:val="42"/>
        <w:ind w:firstLine="301"/>
        <w:jc w:val="center"/>
        <w:rPr>
          <w:rFonts w:hint="eastAsia" w:asciiTheme="minorEastAsia" w:hAnsiTheme="minorEastAsia" w:eastAsiaTheme="minorEastAsia" w:cstheme="minorEastAsia"/>
          <w:color w:val="auto"/>
          <w:sz w:val="30"/>
          <w:szCs w:val="30"/>
          <w:highlight w:val="none"/>
        </w:rPr>
      </w:pPr>
    </w:p>
    <w:p w14:paraId="5B4FB732">
      <w:pPr>
        <w:rPr>
          <w:rFonts w:hint="eastAsia" w:asciiTheme="minorEastAsia" w:hAnsiTheme="minorEastAsia" w:eastAsiaTheme="minorEastAsia" w:cstheme="minorEastAsia"/>
          <w:b/>
          <w:color w:val="auto"/>
          <w:sz w:val="30"/>
          <w:szCs w:val="30"/>
          <w:highlight w:val="none"/>
        </w:rPr>
      </w:pPr>
      <w:r>
        <w:rPr>
          <w:rFonts w:hint="eastAsia" w:asciiTheme="minorEastAsia" w:hAnsiTheme="minorEastAsia" w:eastAsiaTheme="minorEastAsia" w:cstheme="minorEastAsia"/>
          <w:b/>
          <w:color w:val="auto"/>
          <w:sz w:val="30"/>
          <w:szCs w:val="30"/>
          <w:highlight w:val="none"/>
        </w:rPr>
        <w:br w:type="page"/>
      </w:r>
    </w:p>
    <w:p w14:paraId="3DD077CB">
      <w:pPr>
        <w:pStyle w:val="42"/>
        <w:ind w:firstLine="301"/>
        <w:jc w:val="center"/>
        <w:rPr>
          <w:color w:val="auto"/>
          <w:highlight w:val="none"/>
        </w:rPr>
      </w:pPr>
      <w:r>
        <w:rPr>
          <w:rFonts w:hint="eastAsia" w:asciiTheme="minorEastAsia" w:hAnsiTheme="minorEastAsia" w:eastAsiaTheme="minorEastAsia" w:cstheme="minorEastAsia"/>
          <w:color w:val="auto"/>
          <w:sz w:val="30"/>
          <w:szCs w:val="30"/>
          <w:highlight w:val="none"/>
        </w:rPr>
        <w:t>一、法定代表人身份证明书</w:t>
      </w:r>
    </w:p>
    <w:p w14:paraId="3F8B4A98">
      <w:pPr>
        <w:jc w:val="center"/>
        <w:rPr>
          <w:rFonts w:hint="eastAsia" w:asciiTheme="minorEastAsia" w:hAnsiTheme="minorEastAsia" w:eastAsiaTheme="minorEastAsia" w:cstheme="minorEastAsia"/>
          <w:b/>
          <w:color w:val="auto"/>
          <w:highlight w:val="none"/>
        </w:rPr>
      </w:pPr>
    </w:p>
    <w:p w14:paraId="36EE4D1C">
      <w:pPr>
        <w:rPr>
          <w:rFonts w:hint="eastAsia" w:asciiTheme="minorEastAsia" w:hAnsiTheme="minorEastAsia" w:eastAsiaTheme="minorEastAsia" w:cstheme="minorEastAsia"/>
          <w:b/>
          <w:color w:val="auto"/>
          <w:highlight w:val="none"/>
        </w:rPr>
      </w:pPr>
    </w:p>
    <w:p w14:paraId="344166A0">
      <w:pPr>
        <w:pStyle w:val="62"/>
        <w:rPr>
          <w:color w:val="auto"/>
          <w:highlight w:val="none"/>
        </w:rPr>
      </w:pPr>
    </w:p>
    <w:p w14:paraId="166AC25D">
      <w:pPr>
        <w:spacing w:line="360" w:lineRule="auto"/>
        <w:ind w:firstLine="61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单位名称：</w:t>
      </w:r>
      <w:r>
        <w:rPr>
          <w:rFonts w:hint="eastAsia" w:asciiTheme="minorEastAsia" w:hAnsiTheme="minorEastAsia" w:eastAsiaTheme="minorEastAsia" w:cstheme="minorEastAsia"/>
          <w:color w:val="auto"/>
          <w:highlight w:val="none"/>
          <w:u w:val="single"/>
        </w:rPr>
        <w:tab/>
      </w:r>
      <w:r>
        <w:rPr>
          <w:rFonts w:hint="eastAsia" w:asciiTheme="minorEastAsia" w:hAnsiTheme="minorEastAsia" w:eastAsiaTheme="minorEastAsia" w:cstheme="minorEastAsia"/>
          <w:color w:val="auto"/>
          <w:highlight w:val="none"/>
          <w:u w:val="single"/>
        </w:rPr>
        <w:tab/>
      </w:r>
      <w:r>
        <w:rPr>
          <w:rFonts w:hint="eastAsia" w:asciiTheme="minorEastAsia" w:hAnsiTheme="minorEastAsia" w:eastAsiaTheme="minorEastAsia" w:cstheme="minorEastAsia"/>
          <w:color w:val="auto"/>
          <w:highlight w:val="none"/>
          <w:u w:val="single"/>
        </w:rPr>
        <w:tab/>
      </w:r>
      <w:r>
        <w:rPr>
          <w:rFonts w:hint="eastAsia" w:asciiTheme="minorEastAsia" w:hAnsiTheme="minorEastAsia" w:eastAsiaTheme="minorEastAsia" w:cstheme="minorEastAsia"/>
          <w:color w:val="auto"/>
          <w:highlight w:val="none"/>
          <w:u w:val="single"/>
        </w:rPr>
        <w:tab/>
      </w:r>
      <w:r>
        <w:rPr>
          <w:rFonts w:hint="eastAsia" w:asciiTheme="minorEastAsia" w:hAnsiTheme="minorEastAsia" w:eastAsiaTheme="minorEastAsia" w:cstheme="minorEastAsia"/>
          <w:color w:val="auto"/>
          <w:highlight w:val="none"/>
          <w:u w:val="single"/>
        </w:rPr>
        <w:tab/>
      </w:r>
      <w:r>
        <w:rPr>
          <w:rFonts w:hint="eastAsia" w:asciiTheme="minorEastAsia" w:hAnsiTheme="minorEastAsia" w:eastAsiaTheme="minorEastAsia" w:cstheme="minorEastAsia"/>
          <w:color w:val="auto"/>
          <w:highlight w:val="none"/>
          <w:u w:val="single"/>
        </w:rPr>
        <w:tab/>
      </w:r>
      <w:r>
        <w:rPr>
          <w:rFonts w:hint="eastAsia" w:asciiTheme="minorEastAsia" w:hAnsiTheme="minorEastAsia" w:eastAsiaTheme="minorEastAsia" w:cstheme="minorEastAsia"/>
          <w:color w:val="auto"/>
          <w:highlight w:val="none"/>
          <w:u w:val="single"/>
        </w:rPr>
        <w:tab/>
      </w:r>
      <w:r>
        <w:rPr>
          <w:rFonts w:hint="eastAsia" w:asciiTheme="minorEastAsia" w:hAnsiTheme="minorEastAsia" w:eastAsiaTheme="minorEastAsia" w:cstheme="minorEastAsia"/>
          <w:color w:val="auto"/>
          <w:highlight w:val="none"/>
          <w:u w:val="single"/>
        </w:rPr>
        <w:tab/>
      </w:r>
      <w:r>
        <w:rPr>
          <w:rFonts w:hint="eastAsia" w:asciiTheme="minorEastAsia" w:hAnsiTheme="minorEastAsia" w:eastAsiaTheme="minorEastAsia" w:cstheme="minorEastAsia"/>
          <w:color w:val="auto"/>
          <w:highlight w:val="none"/>
          <w:u w:val="single"/>
        </w:rPr>
        <w:tab/>
      </w:r>
      <w:r>
        <w:rPr>
          <w:rFonts w:hint="eastAsia" w:asciiTheme="minorEastAsia" w:hAnsiTheme="minorEastAsia" w:eastAsiaTheme="minorEastAsia" w:cstheme="minorEastAsia"/>
          <w:color w:val="auto"/>
          <w:highlight w:val="none"/>
          <w:u w:val="single"/>
        </w:rPr>
        <w:tab/>
      </w:r>
    </w:p>
    <w:p w14:paraId="0DCDD55C">
      <w:pPr>
        <w:spacing w:line="360" w:lineRule="auto"/>
        <w:ind w:firstLine="612"/>
        <w:rPr>
          <w:rFonts w:hint="eastAsia" w:asciiTheme="minorEastAsia" w:hAnsiTheme="minorEastAsia" w:eastAsiaTheme="minorEastAsia" w:cstheme="minorEastAsia"/>
          <w:color w:val="auto"/>
          <w:highlight w:val="none"/>
        </w:rPr>
      </w:pPr>
    </w:p>
    <w:p w14:paraId="126E7685">
      <w:pPr>
        <w:spacing w:line="360" w:lineRule="auto"/>
        <w:ind w:firstLine="61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单位性质：</w:t>
      </w:r>
      <w:r>
        <w:rPr>
          <w:rFonts w:hint="eastAsia" w:asciiTheme="minorEastAsia" w:hAnsiTheme="minorEastAsia" w:eastAsiaTheme="minorEastAsia" w:cstheme="minorEastAsia"/>
          <w:color w:val="auto"/>
          <w:highlight w:val="none"/>
          <w:u w:val="single"/>
        </w:rPr>
        <w:tab/>
      </w:r>
      <w:r>
        <w:rPr>
          <w:rFonts w:hint="eastAsia" w:asciiTheme="minorEastAsia" w:hAnsiTheme="minorEastAsia" w:eastAsiaTheme="minorEastAsia" w:cstheme="minorEastAsia"/>
          <w:color w:val="auto"/>
          <w:highlight w:val="none"/>
          <w:u w:val="single"/>
        </w:rPr>
        <w:tab/>
      </w:r>
      <w:r>
        <w:rPr>
          <w:rFonts w:hint="eastAsia" w:asciiTheme="minorEastAsia" w:hAnsiTheme="minorEastAsia" w:eastAsiaTheme="minorEastAsia" w:cstheme="minorEastAsia"/>
          <w:color w:val="auto"/>
          <w:highlight w:val="none"/>
          <w:u w:val="single"/>
        </w:rPr>
        <w:tab/>
      </w:r>
      <w:r>
        <w:rPr>
          <w:rFonts w:hint="eastAsia" w:asciiTheme="minorEastAsia" w:hAnsiTheme="minorEastAsia" w:eastAsiaTheme="minorEastAsia" w:cstheme="minorEastAsia"/>
          <w:color w:val="auto"/>
          <w:highlight w:val="none"/>
          <w:u w:val="single"/>
        </w:rPr>
        <w:tab/>
      </w:r>
      <w:r>
        <w:rPr>
          <w:rFonts w:hint="eastAsia" w:asciiTheme="minorEastAsia" w:hAnsiTheme="minorEastAsia" w:eastAsiaTheme="minorEastAsia" w:cstheme="minorEastAsia"/>
          <w:color w:val="auto"/>
          <w:highlight w:val="none"/>
          <w:u w:val="single"/>
        </w:rPr>
        <w:tab/>
      </w:r>
      <w:r>
        <w:rPr>
          <w:rFonts w:hint="eastAsia" w:asciiTheme="minorEastAsia" w:hAnsiTheme="minorEastAsia" w:eastAsiaTheme="minorEastAsia" w:cstheme="minorEastAsia"/>
          <w:color w:val="auto"/>
          <w:highlight w:val="none"/>
          <w:u w:val="single"/>
        </w:rPr>
        <w:tab/>
      </w:r>
      <w:r>
        <w:rPr>
          <w:rFonts w:hint="eastAsia" w:asciiTheme="minorEastAsia" w:hAnsiTheme="minorEastAsia" w:eastAsiaTheme="minorEastAsia" w:cstheme="minorEastAsia"/>
          <w:color w:val="auto"/>
          <w:highlight w:val="none"/>
          <w:u w:val="single"/>
        </w:rPr>
        <w:tab/>
      </w:r>
      <w:r>
        <w:rPr>
          <w:rFonts w:hint="eastAsia" w:asciiTheme="minorEastAsia" w:hAnsiTheme="minorEastAsia" w:eastAsiaTheme="minorEastAsia" w:cstheme="minorEastAsia"/>
          <w:color w:val="auto"/>
          <w:highlight w:val="none"/>
          <w:u w:val="single"/>
        </w:rPr>
        <w:tab/>
      </w:r>
      <w:r>
        <w:rPr>
          <w:rFonts w:hint="eastAsia" w:asciiTheme="minorEastAsia" w:hAnsiTheme="minorEastAsia" w:eastAsiaTheme="minorEastAsia" w:cstheme="minorEastAsia"/>
          <w:color w:val="auto"/>
          <w:highlight w:val="none"/>
          <w:u w:val="single"/>
        </w:rPr>
        <w:tab/>
      </w:r>
      <w:r>
        <w:rPr>
          <w:rFonts w:hint="eastAsia" w:asciiTheme="minorEastAsia" w:hAnsiTheme="minorEastAsia" w:eastAsiaTheme="minorEastAsia" w:cstheme="minorEastAsia"/>
          <w:color w:val="auto"/>
          <w:highlight w:val="none"/>
          <w:u w:val="single"/>
        </w:rPr>
        <w:tab/>
      </w:r>
    </w:p>
    <w:p w14:paraId="26D6847D">
      <w:pPr>
        <w:spacing w:line="360" w:lineRule="auto"/>
        <w:ind w:firstLine="610"/>
        <w:rPr>
          <w:rFonts w:hint="eastAsia" w:asciiTheme="minorEastAsia" w:hAnsiTheme="minorEastAsia" w:eastAsiaTheme="minorEastAsia" w:cstheme="minorEastAsia"/>
          <w:color w:val="auto"/>
          <w:highlight w:val="none"/>
        </w:rPr>
      </w:pPr>
    </w:p>
    <w:p w14:paraId="32EB1A64">
      <w:pPr>
        <w:spacing w:line="360" w:lineRule="auto"/>
        <w:ind w:firstLine="61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地    址：</w:t>
      </w:r>
      <w:r>
        <w:rPr>
          <w:rFonts w:hint="eastAsia" w:asciiTheme="minorEastAsia" w:hAnsiTheme="minorEastAsia" w:eastAsiaTheme="minorEastAsia" w:cstheme="minorEastAsia"/>
          <w:color w:val="auto"/>
          <w:highlight w:val="none"/>
          <w:u w:val="single"/>
        </w:rPr>
        <w:tab/>
      </w:r>
      <w:r>
        <w:rPr>
          <w:rFonts w:hint="eastAsia" w:asciiTheme="minorEastAsia" w:hAnsiTheme="minorEastAsia" w:eastAsiaTheme="minorEastAsia" w:cstheme="minorEastAsia"/>
          <w:color w:val="auto"/>
          <w:highlight w:val="none"/>
          <w:u w:val="single"/>
        </w:rPr>
        <w:tab/>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rPr>
        <w:tab/>
      </w:r>
      <w:r>
        <w:rPr>
          <w:rFonts w:hint="eastAsia" w:asciiTheme="minorEastAsia" w:hAnsiTheme="minorEastAsia" w:eastAsiaTheme="minorEastAsia" w:cstheme="minorEastAsia"/>
          <w:color w:val="auto"/>
          <w:highlight w:val="none"/>
          <w:u w:val="single"/>
        </w:rPr>
        <w:tab/>
      </w:r>
      <w:r>
        <w:rPr>
          <w:rFonts w:hint="eastAsia" w:asciiTheme="minorEastAsia" w:hAnsiTheme="minorEastAsia" w:eastAsiaTheme="minorEastAsia" w:cstheme="minorEastAsia"/>
          <w:color w:val="auto"/>
          <w:highlight w:val="none"/>
          <w:u w:val="single"/>
        </w:rPr>
        <w:tab/>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rPr>
        <w:tab/>
      </w:r>
      <w:r>
        <w:rPr>
          <w:rFonts w:hint="eastAsia" w:asciiTheme="minorEastAsia" w:hAnsiTheme="minorEastAsia" w:eastAsiaTheme="minorEastAsia" w:cstheme="minorEastAsia"/>
          <w:color w:val="auto"/>
          <w:highlight w:val="none"/>
          <w:u w:val="single"/>
        </w:rPr>
        <w:tab/>
      </w:r>
      <w:r>
        <w:rPr>
          <w:rFonts w:hint="eastAsia" w:asciiTheme="minorEastAsia" w:hAnsiTheme="minorEastAsia" w:eastAsiaTheme="minorEastAsia" w:cstheme="minorEastAsia"/>
          <w:color w:val="auto"/>
          <w:highlight w:val="none"/>
          <w:u w:val="single"/>
        </w:rPr>
        <w:tab/>
      </w:r>
      <w:r>
        <w:rPr>
          <w:rFonts w:hint="eastAsia" w:asciiTheme="minorEastAsia" w:hAnsiTheme="minorEastAsia" w:eastAsiaTheme="minorEastAsia" w:cstheme="minorEastAsia"/>
          <w:color w:val="auto"/>
          <w:highlight w:val="none"/>
          <w:u w:val="single"/>
        </w:rPr>
        <w:tab/>
      </w:r>
    </w:p>
    <w:p w14:paraId="0DBC2634">
      <w:pPr>
        <w:spacing w:line="360" w:lineRule="auto"/>
        <w:ind w:firstLine="610"/>
        <w:rPr>
          <w:rFonts w:hint="eastAsia" w:asciiTheme="minorEastAsia" w:hAnsiTheme="minorEastAsia" w:eastAsiaTheme="minorEastAsia" w:cstheme="minorEastAsia"/>
          <w:color w:val="auto"/>
          <w:highlight w:val="none"/>
        </w:rPr>
      </w:pPr>
    </w:p>
    <w:p w14:paraId="047838ED">
      <w:pPr>
        <w:spacing w:line="360" w:lineRule="auto"/>
        <w:ind w:firstLine="61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成立时间：</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年</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月</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日</w:t>
      </w:r>
    </w:p>
    <w:p w14:paraId="723387D1">
      <w:pPr>
        <w:spacing w:line="360" w:lineRule="auto"/>
        <w:ind w:firstLine="610"/>
        <w:rPr>
          <w:rFonts w:hint="eastAsia" w:asciiTheme="minorEastAsia" w:hAnsiTheme="minorEastAsia" w:eastAsiaTheme="minorEastAsia" w:cstheme="minorEastAsia"/>
          <w:color w:val="auto"/>
          <w:highlight w:val="none"/>
          <w:u w:val="single"/>
        </w:rPr>
      </w:pPr>
    </w:p>
    <w:p w14:paraId="22E00D61">
      <w:pPr>
        <w:spacing w:line="360" w:lineRule="auto"/>
        <w:ind w:firstLine="610"/>
        <w:rPr>
          <w:rFonts w:hint="eastAsia" w:asciiTheme="minorEastAsia" w:hAnsiTheme="minorEastAsia" w:eastAsiaTheme="minorEastAsia" w:cstheme="minorEastAsia"/>
          <w:color w:val="auto"/>
          <w:highlight w:val="none"/>
        </w:rPr>
      </w:pPr>
    </w:p>
    <w:p w14:paraId="51B016EF">
      <w:pPr>
        <w:spacing w:line="360" w:lineRule="auto"/>
        <w:ind w:firstLine="61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姓    名：</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 xml:space="preserve"> 性别：</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年龄：</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 xml:space="preserve"> 职务：</w:t>
      </w:r>
      <w:r>
        <w:rPr>
          <w:rFonts w:hint="eastAsia" w:asciiTheme="minorEastAsia" w:hAnsiTheme="minorEastAsia" w:eastAsiaTheme="minorEastAsia" w:cstheme="minorEastAsia"/>
          <w:color w:val="auto"/>
          <w:highlight w:val="none"/>
          <w:u w:val="single"/>
        </w:rPr>
        <w:tab/>
      </w:r>
      <w:r>
        <w:rPr>
          <w:rFonts w:hint="eastAsia" w:asciiTheme="minorEastAsia" w:hAnsiTheme="minorEastAsia" w:eastAsiaTheme="minorEastAsia" w:cstheme="minorEastAsia"/>
          <w:color w:val="auto"/>
          <w:highlight w:val="none"/>
          <w:u w:val="single"/>
        </w:rPr>
        <w:tab/>
      </w:r>
      <w:r>
        <w:rPr>
          <w:rFonts w:hint="eastAsia" w:asciiTheme="minorEastAsia" w:hAnsiTheme="minorEastAsia" w:eastAsiaTheme="minorEastAsia" w:cstheme="minorEastAsia"/>
          <w:color w:val="auto"/>
          <w:highlight w:val="none"/>
          <w:u w:val="single"/>
        </w:rPr>
        <w:t xml:space="preserve"> </w:t>
      </w:r>
    </w:p>
    <w:p w14:paraId="66E71C79">
      <w:pPr>
        <w:spacing w:line="360" w:lineRule="auto"/>
        <w:ind w:firstLine="610"/>
        <w:rPr>
          <w:color w:val="auto"/>
          <w:highlight w:val="none"/>
        </w:rPr>
      </w:pPr>
      <w:r>
        <w:rPr>
          <w:rFonts w:hint="eastAsia" w:asciiTheme="minorEastAsia" w:hAnsiTheme="minorEastAsia" w:eastAsiaTheme="minorEastAsia" w:cstheme="minorEastAsia"/>
          <w:color w:val="auto"/>
          <w:highlight w:val="none"/>
        </w:rPr>
        <w:t>身份证号码：</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 xml:space="preserve"> </w:t>
      </w:r>
    </w:p>
    <w:p w14:paraId="0BE1BF37">
      <w:pPr>
        <w:spacing w:line="360" w:lineRule="auto"/>
        <w:ind w:firstLine="610"/>
        <w:rPr>
          <w:rFonts w:hint="eastAsia" w:asciiTheme="minorEastAsia" w:hAnsiTheme="minorEastAsia" w:eastAsiaTheme="minorEastAsia" w:cstheme="minorEastAsia"/>
          <w:color w:val="auto"/>
          <w:highlight w:val="none"/>
        </w:rPr>
      </w:pPr>
    </w:p>
    <w:p w14:paraId="586147CD">
      <w:pPr>
        <w:spacing w:line="360" w:lineRule="auto"/>
        <w:ind w:firstLine="61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系</w:t>
      </w:r>
      <w:r>
        <w:rPr>
          <w:rFonts w:hint="eastAsia" w:asciiTheme="minorEastAsia" w:hAnsiTheme="minorEastAsia" w:eastAsiaTheme="minorEastAsia" w:cstheme="minorEastAsia"/>
          <w:color w:val="auto"/>
          <w:highlight w:val="none"/>
          <w:u w:val="single"/>
        </w:rPr>
        <w:t xml:space="preserve">          （磋商供应商单位名称）         </w:t>
      </w:r>
      <w:r>
        <w:rPr>
          <w:rFonts w:hint="eastAsia" w:asciiTheme="minorEastAsia" w:hAnsiTheme="minorEastAsia" w:eastAsiaTheme="minorEastAsia" w:cstheme="minorEastAsia"/>
          <w:color w:val="auto"/>
          <w:highlight w:val="none"/>
        </w:rPr>
        <w:t>的法定代表人。</w:t>
      </w:r>
    </w:p>
    <w:p w14:paraId="021D7872">
      <w:pPr>
        <w:spacing w:line="360" w:lineRule="auto"/>
        <w:ind w:firstLine="610"/>
        <w:rPr>
          <w:rFonts w:hint="eastAsia" w:asciiTheme="minorEastAsia" w:hAnsiTheme="minorEastAsia" w:eastAsiaTheme="minorEastAsia" w:cstheme="minorEastAsia"/>
          <w:color w:val="auto"/>
          <w:highlight w:val="none"/>
        </w:rPr>
      </w:pPr>
    </w:p>
    <w:p w14:paraId="41925E93">
      <w:pPr>
        <w:spacing w:line="360" w:lineRule="auto"/>
        <w:ind w:firstLine="61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特此证明。</w:t>
      </w:r>
    </w:p>
    <w:p w14:paraId="5A188299">
      <w:pPr>
        <w:tabs>
          <w:tab w:val="left" w:pos="720"/>
          <w:tab w:val="left" w:pos="900"/>
        </w:tabs>
        <w:spacing w:line="360" w:lineRule="auto"/>
        <w:ind w:firstLine="420" w:firstLineChars="200"/>
        <w:rPr>
          <w:rFonts w:hint="eastAsia" w:asciiTheme="minorEastAsia" w:hAnsiTheme="minorEastAsia" w:eastAsiaTheme="minorEastAsia" w:cstheme="minorEastAsia"/>
          <w:color w:val="auto"/>
          <w:highlight w:val="none"/>
        </w:rPr>
      </w:pPr>
    </w:p>
    <w:p w14:paraId="0BAE98C4">
      <w:pPr>
        <w:tabs>
          <w:tab w:val="left" w:pos="720"/>
          <w:tab w:val="left" w:pos="900"/>
        </w:tabs>
        <w:spacing w:line="360" w:lineRule="auto"/>
        <w:ind w:firstLine="420" w:firstLineChars="200"/>
        <w:rPr>
          <w:rFonts w:hint="eastAsia" w:asciiTheme="minorEastAsia" w:hAnsiTheme="minorEastAsia" w:eastAsiaTheme="minorEastAsia" w:cstheme="minorEastAsia"/>
          <w:color w:val="auto"/>
          <w:highlight w:val="none"/>
        </w:rPr>
      </w:pPr>
    </w:p>
    <w:p w14:paraId="787E1977">
      <w:pPr>
        <w:tabs>
          <w:tab w:val="left" w:pos="720"/>
          <w:tab w:val="left" w:pos="900"/>
        </w:tabs>
        <w:spacing w:line="360" w:lineRule="auto"/>
        <w:ind w:firstLine="3990" w:firstLineChars="1900"/>
        <w:rPr>
          <w:rFonts w:hint="eastAsia" w:asciiTheme="minorEastAsia" w:hAnsiTheme="minorEastAsia" w:eastAsiaTheme="minorEastAsia" w:cstheme="minorEastAsia"/>
          <w:color w:val="auto"/>
          <w:highlight w:val="none"/>
        </w:rPr>
      </w:pPr>
    </w:p>
    <w:p w14:paraId="567E81B6">
      <w:pPr>
        <w:tabs>
          <w:tab w:val="left" w:pos="720"/>
          <w:tab w:val="left" w:pos="900"/>
        </w:tabs>
        <w:spacing w:line="360" w:lineRule="auto"/>
        <w:ind w:firstLine="4410" w:firstLineChars="21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磋商供应商：</w:t>
      </w:r>
      <w:r>
        <w:rPr>
          <w:rFonts w:hint="eastAsia" w:asciiTheme="minorEastAsia" w:hAnsiTheme="minorEastAsia" w:eastAsiaTheme="minorEastAsia" w:cstheme="minorEastAsia"/>
          <w:color w:val="auto"/>
          <w:highlight w:val="none"/>
          <w:u w:val="single"/>
        </w:rPr>
        <w:t xml:space="preserve">             （盖公章）</w:t>
      </w:r>
    </w:p>
    <w:p w14:paraId="7E372335">
      <w:pPr>
        <w:ind w:firstLine="4410" w:firstLineChars="21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日  期：</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年</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月</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日</w:t>
      </w:r>
    </w:p>
    <w:p w14:paraId="0282BD03">
      <w:pPr>
        <w:ind w:firstLine="4410" w:firstLineChars="2100"/>
        <w:rPr>
          <w:rFonts w:hint="eastAsia" w:asciiTheme="minorEastAsia" w:hAnsiTheme="minorEastAsia" w:eastAsiaTheme="minorEastAsia" w:cstheme="minorEastAsia"/>
          <w:color w:val="auto"/>
          <w:highlight w:val="none"/>
        </w:rPr>
      </w:pPr>
    </w:p>
    <w:p w14:paraId="44664505">
      <w:pPr>
        <w:pStyle w:val="42"/>
        <w:ind w:firstLine="301"/>
        <w:rPr>
          <w:rFonts w:hint="eastAsia" w:asciiTheme="minorEastAsia" w:hAnsiTheme="minorEastAsia" w:eastAsiaTheme="minorEastAsia" w:cstheme="minorEastAsia"/>
          <w:color w:val="auto"/>
          <w:sz w:val="30"/>
          <w:szCs w:val="30"/>
          <w:highlight w:val="none"/>
        </w:rPr>
      </w:pPr>
    </w:p>
    <w:p w14:paraId="280059BB">
      <w:pPr>
        <w:pStyle w:val="42"/>
        <w:ind w:firstLine="301"/>
        <w:rPr>
          <w:rFonts w:hint="eastAsia" w:asciiTheme="minorEastAsia" w:hAnsiTheme="minorEastAsia" w:eastAsiaTheme="minorEastAsia" w:cstheme="minorEastAsia"/>
          <w:color w:val="auto"/>
          <w:sz w:val="30"/>
          <w:szCs w:val="30"/>
          <w:highlight w:val="none"/>
        </w:rPr>
      </w:pPr>
    </w:p>
    <w:p w14:paraId="7BEB1048">
      <w:pPr>
        <w:pStyle w:val="42"/>
        <w:ind w:firstLine="301"/>
        <w:rPr>
          <w:rFonts w:hint="eastAsia" w:asciiTheme="minorEastAsia" w:hAnsiTheme="minorEastAsia" w:eastAsiaTheme="minorEastAsia" w:cstheme="minorEastAsia"/>
          <w:color w:val="auto"/>
          <w:sz w:val="30"/>
          <w:szCs w:val="30"/>
          <w:highlight w:val="none"/>
        </w:rPr>
      </w:pPr>
    </w:p>
    <w:p w14:paraId="37BF2BB1">
      <w:pPr>
        <w:snapToGrid w:val="0"/>
        <w:ind w:firstLine="472" w:firstLineChars="196"/>
        <w:jc w:val="center"/>
        <w:rPr>
          <w:rFonts w:hint="eastAsia" w:ascii="宋体" w:hAnsi="宋体"/>
          <w:b/>
          <w:color w:val="auto"/>
          <w:sz w:val="24"/>
          <w:highlight w:val="none"/>
        </w:rPr>
      </w:pPr>
    </w:p>
    <w:p w14:paraId="2EFFAC9F">
      <w:pPr>
        <w:snapToGrid w:val="0"/>
        <w:ind w:firstLine="472" w:firstLineChars="196"/>
        <w:jc w:val="center"/>
        <w:rPr>
          <w:rFonts w:hint="eastAsia" w:ascii="宋体" w:hAnsi="宋体"/>
          <w:b/>
          <w:color w:val="auto"/>
          <w:sz w:val="24"/>
          <w:highlight w:val="none"/>
        </w:rPr>
      </w:pPr>
      <w:r>
        <w:rPr>
          <w:rFonts w:hint="eastAsia" w:ascii="宋体" w:hAnsi="宋体"/>
          <w:b/>
          <w:color w:val="auto"/>
          <w:sz w:val="24"/>
          <w:highlight w:val="none"/>
        </w:rPr>
        <w:t>法定代表人身份证复印件</w:t>
      </w:r>
    </w:p>
    <w:p w14:paraId="7E5FD599">
      <w:pPr>
        <w:rPr>
          <w:rFonts w:hint="eastAsia" w:ascii="宋体" w:hAnsi="宋体"/>
          <w:color w:val="auto"/>
          <w:highlight w:val="none"/>
        </w:rPr>
      </w:pPr>
    </w:p>
    <w:p w14:paraId="05877D8F">
      <w:pPr>
        <w:rPr>
          <w:rFonts w:hint="eastAsia" w:ascii="宋体" w:hAnsi="宋体"/>
          <w:color w:val="auto"/>
          <w:highlight w:val="none"/>
        </w:rPr>
      </w:pPr>
      <w:r>
        <w:rPr>
          <w:rFonts w:hint="eastAsia" w:ascii="宋体" w:hAnsi="宋体"/>
          <w:color w:val="auto"/>
          <w:highlight w:val="none"/>
          <w:lang w:val="en-US" w:eastAsia="zh-CN"/>
        </w:rPr>
        <w:t>供应商</w:t>
      </w:r>
      <w:r>
        <w:rPr>
          <w:rFonts w:hint="eastAsia" w:ascii="宋体" w:hAnsi="宋体"/>
          <w:color w:val="auto"/>
          <w:highlight w:val="none"/>
        </w:rPr>
        <w:t>法定代表人身份证复印件：</w:t>
      </w:r>
    </w:p>
    <w:p w14:paraId="62E47A97">
      <w:pPr>
        <w:rPr>
          <w:rFonts w:hint="eastAsia" w:ascii="宋体" w:hAnsi="宋体"/>
          <w:color w:val="auto"/>
          <w:highlight w:val="none"/>
        </w:rPr>
      </w:pPr>
    </w:p>
    <w:tbl>
      <w:tblPr>
        <w:tblStyle w:val="44"/>
        <w:tblW w:w="6948" w:type="dxa"/>
        <w:tblInd w:w="13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8"/>
      </w:tblGrid>
      <w:tr w14:paraId="5C340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6" w:hRule="atLeast"/>
        </w:trPr>
        <w:tc>
          <w:tcPr>
            <w:tcW w:w="6948" w:type="dxa"/>
            <w:vAlign w:val="center"/>
          </w:tcPr>
          <w:p w14:paraId="74280004">
            <w:pPr>
              <w:jc w:val="center"/>
              <w:rPr>
                <w:rFonts w:hint="eastAsia" w:ascii="宋体" w:hAnsi="宋体"/>
                <w:color w:val="auto"/>
                <w:highlight w:val="none"/>
              </w:rPr>
            </w:pPr>
            <w:r>
              <w:rPr>
                <w:rFonts w:hint="eastAsia" w:ascii="宋体" w:hAnsi="宋体"/>
                <w:color w:val="auto"/>
                <w:highlight w:val="none"/>
              </w:rPr>
              <w:t>身份证（正面）</w:t>
            </w:r>
          </w:p>
        </w:tc>
      </w:tr>
    </w:tbl>
    <w:p w14:paraId="11D32908">
      <w:pPr>
        <w:rPr>
          <w:rFonts w:hint="eastAsia" w:ascii="宋体" w:hAnsi="宋体"/>
          <w:color w:val="auto"/>
          <w:highlight w:val="none"/>
        </w:rPr>
      </w:pPr>
    </w:p>
    <w:tbl>
      <w:tblPr>
        <w:tblStyle w:val="44"/>
        <w:tblW w:w="6948" w:type="dxa"/>
        <w:tblInd w:w="13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8"/>
      </w:tblGrid>
      <w:tr w14:paraId="2F2D3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7" w:hRule="atLeast"/>
        </w:trPr>
        <w:tc>
          <w:tcPr>
            <w:tcW w:w="6948" w:type="dxa"/>
            <w:vAlign w:val="center"/>
          </w:tcPr>
          <w:p w14:paraId="18E72FF0">
            <w:pPr>
              <w:jc w:val="center"/>
              <w:rPr>
                <w:rFonts w:hint="eastAsia" w:ascii="宋体" w:hAnsi="宋体"/>
                <w:color w:val="auto"/>
                <w:highlight w:val="none"/>
              </w:rPr>
            </w:pPr>
            <w:r>
              <w:rPr>
                <w:rFonts w:hint="eastAsia" w:ascii="宋体" w:hAnsi="宋体"/>
                <w:color w:val="auto"/>
                <w:highlight w:val="none"/>
              </w:rPr>
              <w:t>身份证（反面）</w:t>
            </w:r>
          </w:p>
          <w:p w14:paraId="3D381ADB">
            <w:pPr>
              <w:jc w:val="center"/>
              <w:rPr>
                <w:rFonts w:hint="eastAsia" w:ascii="宋体" w:hAnsi="宋体"/>
                <w:color w:val="auto"/>
                <w:highlight w:val="none"/>
              </w:rPr>
            </w:pPr>
          </w:p>
        </w:tc>
      </w:tr>
    </w:tbl>
    <w:p w14:paraId="61780DE2">
      <w:pPr>
        <w:rPr>
          <w:rFonts w:hint="eastAsia" w:ascii="宋体" w:hAnsi="宋体"/>
          <w:color w:val="auto"/>
          <w:highlight w:val="none"/>
        </w:rPr>
      </w:pPr>
    </w:p>
    <w:p w14:paraId="4DEAD950">
      <w:pPr>
        <w:rPr>
          <w:rFonts w:hint="eastAsia" w:ascii="宋体" w:hAnsi="宋体"/>
          <w:color w:val="auto"/>
          <w:highlight w:val="none"/>
        </w:rPr>
      </w:pPr>
    </w:p>
    <w:p w14:paraId="037DAA43">
      <w:pPr>
        <w:spacing w:line="360" w:lineRule="auto"/>
        <w:jc w:val="center"/>
        <w:rPr>
          <w:rFonts w:hint="eastAsia" w:ascii="宋体" w:hAnsi="宋体"/>
          <w:color w:val="auto"/>
          <w:highlight w:val="none"/>
        </w:rPr>
      </w:pPr>
      <w:r>
        <w:rPr>
          <w:rFonts w:hint="eastAsia" w:ascii="宋体" w:hAnsi="宋体"/>
          <w:color w:val="auto"/>
          <w:highlight w:val="none"/>
        </w:rPr>
        <w:t xml:space="preserve">                 </w:t>
      </w:r>
    </w:p>
    <w:p w14:paraId="4CA83F5B">
      <w:pPr>
        <w:spacing w:line="360" w:lineRule="auto"/>
        <w:jc w:val="center"/>
        <w:rPr>
          <w:rFonts w:hint="eastAsia" w:ascii="宋体" w:hAnsi="宋体"/>
          <w:color w:val="auto"/>
          <w:highlight w:val="none"/>
        </w:rPr>
      </w:pPr>
    </w:p>
    <w:p w14:paraId="080C15A7">
      <w:pPr>
        <w:spacing w:line="360" w:lineRule="auto"/>
        <w:jc w:val="center"/>
        <w:rPr>
          <w:rFonts w:hint="eastAsia" w:ascii="宋体" w:hAnsi="宋体"/>
          <w:color w:val="auto"/>
          <w:highlight w:val="none"/>
          <w:u w:val="single"/>
        </w:rPr>
      </w:pPr>
      <w:r>
        <w:rPr>
          <w:rFonts w:hint="eastAsia" w:ascii="宋体" w:hAnsi="宋体"/>
          <w:color w:val="auto"/>
          <w:highlight w:val="none"/>
        </w:rPr>
        <w:t xml:space="preserve">                 法定代表人（签字或盖章）：</w:t>
      </w:r>
      <w:r>
        <w:rPr>
          <w:rFonts w:hint="eastAsia" w:ascii="宋体" w:hAnsi="宋体"/>
          <w:color w:val="auto"/>
          <w:highlight w:val="none"/>
          <w:u w:val="single"/>
        </w:rPr>
        <w:t xml:space="preserve">               </w:t>
      </w:r>
    </w:p>
    <w:p w14:paraId="20DCB4C2">
      <w:pPr>
        <w:tabs>
          <w:tab w:val="left" w:pos="720"/>
          <w:tab w:val="left" w:pos="900"/>
        </w:tabs>
        <w:spacing w:line="360" w:lineRule="auto"/>
        <w:ind w:firstLine="4410" w:firstLineChars="21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磋商供应商（盖公章）：</w:t>
      </w:r>
      <w:r>
        <w:rPr>
          <w:rFonts w:hint="eastAsia" w:asciiTheme="minorEastAsia" w:hAnsiTheme="minorEastAsia" w:eastAsiaTheme="minorEastAsia" w:cstheme="minorEastAsia"/>
          <w:color w:val="auto"/>
          <w:highlight w:val="none"/>
          <w:u w:val="single"/>
        </w:rPr>
        <w:t xml:space="preserve">             </w:t>
      </w:r>
    </w:p>
    <w:p w14:paraId="0B7FC22B">
      <w:pPr>
        <w:spacing w:line="360" w:lineRule="auto"/>
        <w:ind w:firstLine="4410" w:firstLineChars="21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日  期：</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年</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月</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日</w:t>
      </w:r>
    </w:p>
    <w:p w14:paraId="358CD9ED">
      <w:pPr>
        <w:pStyle w:val="42"/>
        <w:ind w:firstLine="482"/>
        <w:rPr>
          <w:rFonts w:hint="eastAsia" w:asciiTheme="minorEastAsia" w:hAnsiTheme="minorEastAsia" w:eastAsiaTheme="minorEastAsia" w:cstheme="minorEastAsia"/>
          <w:color w:val="auto"/>
          <w:sz w:val="30"/>
          <w:szCs w:val="30"/>
          <w:highlight w:val="none"/>
        </w:rPr>
      </w:pPr>
      <w:r>
        <w:rPr>
          <w:rFonts w:ascii="宋体" w:hAnsi="宋体"/>
          <w:color w:val="auto"/>
          <w:highlight w:val="none"/>
        </w:rPr>
        <w:br w:type="page"/>
      </w:r>
    </w:p>
    <w:p w14:paraId="31B33045">
      <w:pPr>
        <w:pStyle w:val="42"/>
        <w:ind w:firstLine="301"/>
        <w:rPr>
          <w:rFonts w:hint="eastAsia" w:asciiTheme="minorEastAsia" w:hAnsiTheme="minorEastAsia" w:eastAsiaTheme="minorEastAsia" w:cstheme="minorEastAsia"/>
          <w:color w:val="auto"/>
          <w:sz w:val="30"/>
          <w:szCs w:val="30"/>
          <w:highlight w:val="none"/>
        </w:rPr>
      </w:pPr>
      <w:r>
        <w:rPr>
          <w:rFonts w:hint="eastAsia" w:asciiTheme="minorEastAsia" w:hAnsiTheme="minorEastAsia" w:eastAsiaTheme="minorEastAsia" w:cstheme="minorEastAsia"/>
          <w:color w:val="auto"/>
          <w:sz w:val="30"/>
          <w:szCs w:val="30"/>
          <w:highlight w:val="none"/>
        </w:rPr>
        <w:t>二、响应文件签署授权委托书原件及委托代理人身份证正反面复印件</w:t>
      </w:r>
    </w:p>
    <w:p w14:paraId="67F8E747">
      <w:pPr>
        <w:pStyle w:val="5"/>
        <w:spacing w:line="50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（委托代理时必须提供）</w:t>
      </w:r>
    </w:p>
    <w:p w14:paraId="2DBCCE32">
      <w:pPr>
        <w:spacing w:after="156"/>
        <w:rPr>
          <w:rFonts w:hint="eastAsia" w:asciiTheme="minorEastAsia" w:hAnsiTheme="minorEastAsia" w:eastAsiaTheme="minorEastAsia" w:cstheme="minorEastAsia"/>
          <w:b/>
          <w:color w:val="auto"/>
          <w:highlight w:val="none"/>
        </w:rPr>
      </w:pPr>
    </w:p>
    <w:p w14:paraId="27E497F2">
      <w:pPr>
        <w:spacing w:line="360" w:lineRule="auto"/>
        <w:ind w:firstLine="61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本授权委托书声明：我</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（姓名）系</w:t>
      </w:r>
      <w:r>
        <w:rPr>
          <w:rFonts w:hint="eastAsia" w:asciiTheme="minorEastAsia" w:hAnsiTheme="minorEastAsia" w:eastAsiaTheme="minorEastAsia" w:cstheme="minorEastAsia"/>
          <w:color w:val="auto"/>
          <w:highlight w:val="none"/>
          <w:u w:val="single"/>
        </w:rPr>
        <w:t xml:space="preserve">        （竞 标 人 名 称）</w:t>
      </w:r>
      <w:r>
        <w:rPr>
          <w:rFonts w:hint="eastAsia" w:asciiTheme="minorEastAsia" w:hAnsiTheme="minorEastAsia" w:eastAsiaTheme="minorEastAsia" w:cstheme="minorEastAsia"/>
          <w:color w:val="auto"/>
          <w:highlight w:val="none"/>
        </w:rPr>
        <w:t>的法定代表人，现授权委托</w:t>
      </w:r>
      <w:r>
        <w:rPr>
          <w:rFonts w:hint="eastAsia" w:asciiTheme="minorEastAsia" w:hAnsiTheme="minorEastAsia" w:eastAsiaTheme="minorEastAsia" w:cstheme="minorEastAsia"/>
          <w:color w:val="auto"/>
          <w:highlight w:val="none"/>
          <w:u w:val="single"/>
        </w:rPr>
        <w:t xml:space="preserve">      （单 位 名 称）     </w:t>
      </w:r>
      <w:r>
        <w:rPr>
          <w:rFonts w:hint="eastAsia" w:asciiTheme="minorEastAsia" w:hAnsiTheme="minorEastAsia" w:eastAsiaTheme="minorEastAsia" w:cstheme="minorEastAsia"/>
          <w:color w:val="auto"/>
          <w:highlight w:val="none"/>
        </w:rPr>
        <w:t>的</w:t>
      </w:r>
      <w:r>
        <w:rPr>
          <w:rFonts w:hint="eastAsia" w:asciiTheme="minorEastAsia" w:hAnsiTheme="minorEastAsia" w:eastAsiaTheme="minorEastAsia" w:cstheme="minorEastAsia"/>
          <w:color w:val="auto"/>
          <w:highlight w:val="none"/>
          <w:u w:val="single"/>
        </w:rPr>
        <w:t xml:space="preserve">    （姓名）    </w:t>
      </w:r>
      <w:r>
        <w:rPr>
          <w:rFonts w:hint="eastAsia" w:asciiTheme="minorEastAsia" w:hAnsiTheme="minorEastAsia" w:eastAsiaTheme="minorEastAsia" w:cstheme="minorEastAsia"/>
          <w:color w:val="auto"/>
          <w:highlight w:val="none"/>
        </w:rPr>
        <w:t>为我公司签署本工程的响应文件的法定代表人授权委托代理人，我承认代理人全权代表我所签署的本工程的响应文件的内容。</w:t>
      </w:r>
    </w:p>
    <w:p w14:paraId="267D7191">
      <w:pPr>
        <w:spacing w:line="360" w:lineRule="auto"/>
        <w:ind w:firstLine="610"/>
        <w:rPr>
          <w:rFonts w:hint="eastAsia" w:asciiTheme="minorEastAsia" w:hAnsiTheme="minorEastAsia" w:eastAsiaTheme="minorEastAsia" w:cstheme="minorEastAsia"/>
          <w:color w:val="auto"/>
          <w:highlight w:val="none"/>
        </w:rPr>
      </w:pPr>
    </w:p>
    <w:p w14:paraId="059091E8">
      <w:pPr>
        <w:spacing w:line="360" w:lineRule="auto"/>
        <w:ind w:firstLine="697"/>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代理人无转委托权，特此委托。</w:t>
      </w:r>
    </w:p>
    <w:p w14:paraId="6C7430B5">
      <w:pPr>
        <w:ind w:left="1260"/>
        <w:rPr>
          <w:rFonts w:hint="eastAsia" w:asciiTheme="minorEastAsia" w:hAnsiTheme="minorEastAsia" w:eastAsiaTheme="minorEastAsia" w:cstheme="minorEastAsia"/>
          <w:color w:val="auto"/>
          <w:highlight w:val="none"/>
        </w:rPr>
      </w:pPr>
    </w:p>
    <w:p w14:paraId="0D7D7120">
      <w:pPr>
        <w:ind w:left="1260"/>
        <w:rPr>
          <w:rFonts w:hint="eastAsia" w:asciiTheme="minorEastAsia" w:hAnsiTheme="minorEastAsia" w:eastAsiaTheme="minorEastAsia" w:cstheme="minorEastAsia"/>
          <w:color w:val="auto"/>
          <w:highlight w:val="none"/>
        </w:rPr>
      </w:pPr>
    </w:p>
    <w:p w14:paraId="7496EB62">
      <w:pPr>
        <w:ind w:left="1260"/>
        <w:rPr>
          <w:rFonts w:hint="eastAsia" w:asciiTheme="minorEastAsia" w:hAnsiTheme="minorEastAsia" w:eastAsiaTheme="minorEastAsia" w:cstheme="minorEastAsia"/>
          <w:color w:val="auto"/>
          <w:highlight w:val="none"/>
        </w:rPr>
      </w:pPr>
    </w:p>
    <w:p w14:paraId="15540FEC">
      <w:pPr>
        <w:ind w:left="1260"/>
        <w:rPr>
          <w:rFonts w:hint="eastAsia" w:asciiTheme="minorEastAsia" w:hAnsiTheme="minorEastAsia" w:eastAsiaTheme="minorEastAsia" w:cstheme="minorEastAsia"/>
          <w:color w:val="auto"/>
          <w:highlight w:val="none"/>
        </w:rPr>
      </w:pPr>
    </w:p>
    <w:p w14:paraId="7E6ABD67">
      <w:pPr>
        <w:ind w:left="1260"/>
        <w:rPr>
          <w:rFonts w:hint="eastAsia" w:asciiTheme="minorEastAsia" w:hAnsiTheme="minorEastAsia" w:eastAsiaTheme="minorEastAsia" w:cstheme="minorEastAsia"/>
          <w:color w:val="auto"/>
          <w:highlight w:val="none"/>
        </w:rPr>
      </w:pPr>
    </w:p>
    <w:p w14:paraId="2482CBD8">
      <w:pPr>
        <w:ind w:left="1260"/>
        <w:rPr>
          <w:rFonts w:hint="eastAsia" w:asciiTheme="minorEastAsia" w:hAnsiTheme="minorEastAsia" w:eastAsiaTheme="minorEastAsia" w:cstheme="minorEastAsia"/>
          <w:color w:val="auto"/>
          <w:highlight w:val="none"/>
        </w:rPr>
      </w:pPr>
    </w:p>
    <w:p w14:paraId="019C24C2">
      <w:pPr>
        <w:ind w:left="1260"/>
        <w:rPr>
          <w:rFonts w:hint="eastAsia" w:asciiTheme="minorEastAsia" w:hAnsiTheme="minorEastAsia" w:eastAsiaTheme="minorEastAsia" w:cstheme="minorEastAsia"/>
          <w:color w:val="auto"/>
          <w:highlight w:val="none"/>
        </w:rPr>
      </w:pPr>
    </w:p>
    <w:p w14:paraId="2E8ECD87">
      <w:pPr>
        <w:ind w:left="1260"/>
        <w:rPr>
          <w:rFonts w:hint="eastAsia" w:asciiTheme="minorEastAsia" w:hAnsiTheme="minorEastAsia" w:eastAsiaTheme="minorEastAsia" w:cstheme="minorEastAsia"/>
          <w:color w:val="auto"/>
          <w:highlight w:val="none"/>
        </w:rPr>
      </w:pPr>
    </w:p>
    <w:p w14:paraId="3981A806">
      <w:pPr>
        <w:ind w:left="1260"/>
        <w:rPr>
          <w:rFonts w:hint="eastAsia" w:asciiTheme="minorEastAsia" w:hAnsiTheme="minorEastAsia" w:eastAsiaTheme="minorEastAsia" w:cstheme="minorEastAsia"/>
          <w:color w:val="auto"/>
          <w:highlight w:val="none"/>
        </w:rPr>
      </w:pPr>
    </w:p>
    <w:p w14:paraId="562E1172">
      <w:pPr>
        <w:ind w:left="1260"/>
        <w:rPr>
          <w:rFonts w:hint="eastAsia" w:asciiTheme="minorEastAsia" w:hAnsiTheme="minorEastAsia" w:eastAsiaTheme="minorEastAsia" w:cstheme="minorEastAsia"/>
          <w:color w:val="auto"/>
          <w:highlight w:val="none"/>
        </w:rPr>
      </w:pPr>
    </w:p>
    <w:p w14:paraId="75FEA5BD">
      <w:pPr>
        <w:ind w:left="1260"/>
        <w:rPr>
          <w:rFonts w:hint="eastAsia" w:asciiTheme="minorEastAsia" w:hAnsiTheme="minorEastAsia" w:eastAsiaTheme="minorEastAsia" w:cstheme="minorEastAsia"/>
          <w:color w:val="auto"/>
          <w:highlight w:val="none"/>
        </w:rPr>
      </w:pPr>
    </w:p>
    <w:p w14:paraId="166D29A4">
      <w:pPr>
        <w:ind w:left="1260"/>
        <w:rPr>
          <w:rFonts w:hint="eastAsia" w:asciiTheme="minorEastAsia" w:hAnsiTheme="minorEastAsia" w:eastAsiaTheme="minorEastAsia" w:cstheme="minorEastAsia"/>
          <w:color w:val="auto"/>
          <w:highlight w:val="none"/>
        </w:rPr>
      </w:pPr>
    </w:p>
    <w:p w14:paraId="75C69E7C">
      <w:pPr>
        <w:ind w:left="1260"/>
        <w:rPr>
          <w:rFonts w:hint="eastAsia" w:asciiTheme="minorEastAsia" w:hAnsiTheme="minorEastAsia" w:eastAsiaTheme="minorEastAsia" w:cstheme="minorEastAsia"/>
          <w:color w:val="auto"/>
          <w:highlight w:val="none"/>
        </w:rPr>
      </w:pPr>
    </w:p>
    <w:p w14:paraId="1DF2C8D9">
      <w:pPr>
        <w:spacing w:line="360" w:lineRule="auto"/>
        <w:ind w:left="2699"/>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代理人（签字或盖章）：</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性别 ：</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年龄：</w:t>
      </w:r>
      <w:r>
        <w:rPr>
          <w:rFonts w:hint="eastAsia" w:asciiTheme="minorEastAsia" w:hAnsiTheme="minorEastAsia" w:eastAsiaTheme="minorEastAsia" w:cstheme="minorEastAsia"/>
          <w:color w:val="auto"/>
          <w:highlight w:val="none"/>
          <w:u w:val="single"/>
        </w:rPr>
        <w:t xml:space="preserve">        </w:t>
      </w:r>
    </w:p>
    <w:p w14:paraId="5B329D0D">
      <w:pPr>
        <w:spacing w:line="360" w:lineRule="auto"/>
        <w:ind w:left="2699"/>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身份证号码：</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职务：</w:t>
      </w:r>
      <w:r>
        <w:rPr>
          <w:rFonts w:hint="eastAsia" w:asciiTheme="minorEastAsia" w:hAnsiTheme="minorEastAsia" w:eastAsiaTheme="minorEastAsia" w:cstheme="minorEastAsia"/>
          <w:color w:val="auto"/>
          <w:highlight w:val="none"/>
          <w:u w:val="single"/>
        </w:rPr>
        <w:t xml:space="preserve">         </w:t>
      </w:r>
    </w:p>
    <w:p w14:paraId="5541237D">
      <w:pPr>
        <w:spacing w:line="360" w:lineRule="auto"/>
        <w:ind w:left="2699"/>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磋商供应商（盖章）：</w:t>
      </w:r>
      <w:r>
        <w:rPr>
          <w:rFonts w:hint="eastAsia" w:asciiTheme="minorEastAsia" w:hAnsiTheme="minorEastAsia" w:eastAsiaTheme="minorEastAsia" w:cstheme="minorEastAsia"/>
          <w:color w:val="auto"/>
          <w:highlight w:val="none"/>
          <w:u w:val="single"/>
        </w:rPr>
        <w:t xml:space="preserve">                                    </w:t>
      </w:r>
    </w:p>
    <w:p w14:paraId="175C37F2">
      <w:pPr>
        <w:spacing w:line="360" w:lineRule="auto"/>
        <w:ind w:left="2699"/>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法定代表人（签字或盖章）：</w:t>
      </w:r>
      <w:r>
        <w:rPr>
          <w:rFonts w:hint="eastAsia" w:asciiTheme="minorEastAsia" w:hAnsiTheme="minorEastAsia" w:eastAsiaTheme="minorEastAsia" w:cstheme="minorEastAsia"/>
          <w:color w:val="auto"/>
          <w:highlight w:val="none"/>
          <w:u w:val="single"/>
        </w:rPr>
        <w:t xml:space="preserve">                            </w:t>
      </w:r>
    </w:p>
    <w:p w14:paraId="0AEE52FF">
      <w:pPr>
        <w:pStyle w:val="17"/>
        <w:rPr>
          <w:color w:val="auto"/>
          <w:highlight w:val="none"/>
        </w:rPr>
      </w:pPr>
    </w:p>
    <w:p w14:paraId="473BA277">
      <w:pPr>
        <w:pStyle w:val="42"/>
        <w:ind w:firstLine="482"/>
        <w:rPr>
          <w:color w:val="auto"/>
          <w:highlight w:val="none"/>
        </w:rPr>
      </w:pPr>
    </w:p>
    <w:p w14:paraId="5CFA86E8">
      <w:pPr>
        <w:pStyle w:val="42"/>
        <w:ind w:firstLine="482"/>
        <w:rPr>
          <w:color w:val="auto"/>
          <w:highlight w:val="none"/>
        </w:rPr>
      </w:pPr>
    </w:p>
    <w:p w14:paraId="365AE1C5">
      <w:pPr>
        <w:pStyle w:val="42"/>
        <w:ind w:firstLine="482"/>
        <w:rPr>
          <w:color w:val="auto"/>
          <w:highlight w:val="none"/>
        </w:rPr>
      </w:pPr>
    </w:p>
    <w:p w14:paraId="1294E5B2">
      <w:pPr>
        <w:spacing w:line="400" w:lineRule="exact"/>
        <w:jc w:val="center"/>
        <w:rPr>
          <w:rFonts w:hint="eastAsia" w:asciiTheme="minorEastAsia" w:hAnsiTheme="minorEastAsia" w:eastAsiaTheme="minorEastAsia" w:cstheme="minorEastAsia"/>
          <w:b/>
          <w:bCs/>
          <w:color w:val="auto"/>
          <w:kern w:val="0"/>
          <w:sz w:val="30"/>
          <w:szCs w:val="30"/>
          <w:highlight w:val="none"/>
        </w:rPr>
      </w:pPr>
    </w:p>
    <w:p w14:paraId="5B232DE6">
      <w:pPr>
        <w:rPr>
          <w:rFonts w:hint="eastAsia" w:asciiTheme="minorEastAsia" w:hAnsiTheme="minorEastAsia" w:eastAsiaTheme="minorEastAsia" w:cstheme="minorEastAsia"/>
          <w:b/>
          <w:bCs/>
          <w:color w:val="auto"/>
          <w:kern w:val="0"/>
          <w:sz w:val="30"/>
          <w:szCs w:val="30"/>
          <w:highlight w:val="none"/>
        </w:rPr>
      </w:pPr>
      <w:r>
        <w:rPr>
          <w:rFonts w:hint="eastAsia" w:asciiTheme="minorEastAsia" w:hAnsiTheme="minorEastAsia" w:eastAsiaTheme="minorEastAsia" w:cstheme="minorEastAsia"/>
          <w:b/>
          <w:bCs/>
          <w:color w:val="auto"/>
          <w:kern w:val="0"/>
          <w:sz w:val="30"/>
          <w:szCs w:val="30"/>
          <w:highlight w:val="none"/>
        </w:rPr>
        <w:br w:type="page"/>
      </w:r>
    </w:p>
    <w:p w14:paraId="00C0276F">
      <w:pPr>
        <w:spacing w:line="400" w:lineRule="exact"/>
        <w:jc w:val="center"/>
        <w:rPr>
          <w:rFonts w:hint="eastAsia" w:asciiTheme="minorEastAsia" w:hAnsiTheme="minorEastAsia" w:eastAsiaTheme="minorEastAsia" w:cstheme="minorEastAsia"/>
          <w:b/>
          <w:bCs/>
          <w:color w:val="auto"/>
          <w:kern w:val="0"/>
          <w:sz w:val="30"/>
          <w:szCs w:val="30"/>
          <w:highlight w:val="none"/>
        </w:rPr>
      </w:pPr>
      <w:r>
        <w:rPr>
          <w:rFonts w:hint="eastAsia" w:asciiTheme="minorEastAsia" w:hAnsiTheme="minorEastAsia" w:eastAsiaTheme="minorEastAsia" w:cstheme="minorEastAsia"/>
          <w:b/>
          <w:bCs/>
          <w:color w:val="auto"/>
          <w:kern w:val="0"/>
          <w:sz w:val="30"/>
          <w:szCs w:val="30"/>
          <w:highlight w:val="none"/>
        </w:rPr>
        <w:t>三、农民工工资保障金的交纳与使用承诺书</w:t>
      </w:r>
    </w:p>
    <w:p w14:paraId="544C1485">
      <w:pPr>
        <w:pStyle w:val="8"/>
        <w:spacing w:line="480" w:lineRule="auto"/>
        <w:ind w:firstLine="400" w:firstLineChars="167"/>
        <w:rPr>
          <w:rFonts w:hint="eastAsia" w:asciiTheme="minorEastAsia" w:hAnsiTheme="minorEastAsia" w:eastAsiaTheme="minorEastAsia" w:cstheme="minorEastAsia"/>
          <w:color w:val="auto"/>
          <w:sz w:val="24"/>
          <w:szCs w:val="24"/>
          <w:highlight w:val="none"/>
        </w:rPr>
      </w:pPr>
    </w:p>
    <w:p w14:paraId="34F8E79D">
      <w:pPr>
        <w:pStyle w:val="8"/>
        <w:spacing w:line="480" w:lineRule="auto"/>
        <w:ind w:firstLine="400" w:firstLineChars="16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致：</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sz w:val="24"/>
          <w:szCs w:val="24"/>
          <w:highlight w:val="none"/>
        </w:rPr>
        <w:t>（采购单位名称）</w:t>
      </w:r>
    </w:p>
    <w:p w14:paraId="0F16459D">
      <w:pPr>
        <w:pStyle w:val="8"/>
        <w:spacing w:line="480" w:lineRule="auto"/>
        <w:ind w:firstLine="400" w:firstLineChars="16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如我公司在贵单位的</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项目成交，根据广西壮族自治区劳动和社会保障厅、广西壮族自治区建设厅桂劳社发[2009]50号规定，我方在此向采购人承诺： </w:t>
      </w:r>
    </w:p>
    <w:p w14:paraId="51D2B8DB">
      <w:pPr>
        <w:pStyle w:val="8"/>
        <w:spacing w:line="480" w:lineRule="auto"/>
        <w:ind w:firstLine="880" w:firstLineChars="36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1、我方保证在</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项目的磋商文件中，如实反映我方以前所承建工程中工资支付的情况，并特别注明至提交磋商文件截止之日止，不存在拖欠或克扣农民工工资的行为。 </w:t>
      </w:r>
    </w:p>
    <w:p w14:paraId="51A5BA99">
      <w:pPr>
        <w:pStyle w:val="8"/>
        <w:spacing w:line="480" w:lineRule="auto"/>
        <w:ind w:firstLine="880" w:firstLineChars="36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2、我方参与磋商的</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项目，一旦成交，我方保证在收到成交通知书之日起 7个工作日内，及时并足额将农民工工资保证金存入指定帐户，作为本项目农民工工资保证金。 </w:t>
      </w:r>
    </w:p>
    <w:p w14:paraId="68BAD82B">
      <w:pPr>
        <w:pStyle w:val="8"/>
        <w:spacing w:line="480" w:lineRule="auto"/>
        <w:ind w:firstLine="880" w:firstLineChars="36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3、如我方在承包</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项目中出现欠或克扣农民工工资和其它职工工资情况的，由建设行政主管部门从本企业缴纳的农民工工资保证金中先予划支。 </w:t>
      </w:r>
    </w:p>
    <w:p w14:paraId="55891DEE">
      <w:pPr>
        <w:pStyle w:val="8"/>
        <w:spacing w:line="480" w:lineRule="auto"/>
        <w:ind w:firstLine="880" w:firstLineChars="36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4、如我方不按时、足额存入农民工工资保证金，采购人有权取消我方成交资格。 </w:t>
      </w:r>
    </w:p>
    <w:p w14:paraId="0768DBB1">
      <w:pPr>
        <w:pStyle w:val="8"/>
        <w:spacing w:line="360" w:lineRule="auto"/>
        <w:ind w:firstLine="400" w:firstLineChars="167"/>
        <w:rPr>
          <w:rFonts w:hint="eastAsia" w:asciiTheme="minorEastAsia" w:hAnsiTheme="minorEastAsia" w:eastAsiaTheme="minorEastAsia" w:cstheme="minorEastAsia"/>
          <w:color w:val="auto"/>
          <w:sz w:val="24"/>
          <w:szCs w:val="24"/>
          <w:highlight w:val="none"/>
        </w:rPr>
      </w:pPr>
    </w:p>
    <w:p w14:paraId="2A2563CE">
      <w:pPr>
        <w:pStyle w:val="8"/>
        <w:spacing w:line="360" w:lineRule="auto"/>
        <w:ind w:firstLine="400" w:firstLineChars="167"/>
        <w:rPr>
          <w:rFonts w:hint="eastAsia" w:asciiTheme="minorEastAsia" w:hAnsiTheme="minorEastAsia" w:eastAsiaTheme="minorEastAsia" w:cstheme="minorEastAsia"/>
          <w:color w:val="auto"/>
          <w:sz w:val="24"/>
          <w:szCs w:val="24"/>
          <w:highlight w:val="none"/>
        </w:rPr>
      </w:pPr>
    </w:p>
    <w:p w14:paraId="6BEF6604">
      <w:pPr>
        <w:spacing w:line="360" w:lineRule="auto"/>
        <w:jc w:val="center"/>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磋商供应商（盖章）：</w:t>
      </w:r>
      <w:r>
        <w:rPr>
          <w:rFonts w:hint="eastAsia" w:asciiTheme="minorEastAsia" w:hAnsiTheme="minorEastAsia" w:eastAsiaTheme="minorEastAsia" w:cstheme="minorEastAsia"/>
          <w:color w:val="auto"/>
          <w:sz w:val="24"/>
          <w:szCs w:val="24"/>
          <w:highlight w:val="none"/>
          <w:u w:val="single"/>
        </w:rPr>
        <w:t xml:space="preserve">                     </w:t>
      </w:r>
    </w:p>
    <w:p w14:paraId="004C6EF4">
      <w:pPr>
        <w:spacing w:line="360" w:lineRule="auto"/>
        <w:jc w:val="center"/>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法定代表人或授权代理人（签字或盖章）：</w:t>
      </w:r>
      <w:r>
        <w:rPr>
          <w:rFonts w:hint="eastAsia" w:asciiTheme="minorEastAsia" w:hAnsiTheme="minorEastAsia" w:eastAsiaTheme="minorEastAsia" w:cstheme="minorEastAsia"/>
          <w:color w:val="auto"/>
          <w:sz w:val="24"/>
          <w:szCs w:val="24"/>
          <w:highlight w:val="none"/>
          <w:u w:val="single"/>
        </w:rPr>
        <w:t xml:space="preserve">              </w:t>
      </w:r>
    </w:p>
    <w:p w14:paraId="6B77CE4B">
      <w:pPr>
        <w:spacing w:line="40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日期：</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w:t>
      </w:r>
    </w:p>
    <w:p w14:paraId="7BE61CC7">
      <w:pPr>
        <w:spacing w:line="400" w:lineRule="exact"/>
        <w:jc w:val="center"/>
        <w:rPr>
          <w:rFonts w:hint="eastAsia" w:asciiTheme="minorEastAsia" w:hAnsiTheme="minorEastAsia" w:eastAsiaTheme="minorEastAsia" w:cstheme="minorEastAsia"/>
          <w:color w:val="auto"/>
          <w:highlight w:val="none"/>
        </w:rPr>
      </w:pPr>
    </w:p>
    <w:p w14:paraId="71BE9FC7">
      <w:pPr>
        <w:spacing w:line="400" w:lineRule="exact"/>
        <w:jc w:val="center"/>
        <w:rPr>
          <w:rFonts w:hint="eastAsia" w:asciiTheme="minorEastAsia" w:hAnsiTheme="minorEastAsia" w:eastAsiaTheme="minorEastAsia" w:cstheme="minorEastAsia"/>
          <w:color w:val="auto"/>
          <w:highlight w:val="none"/>
        </w:rPr>
      </w:pPr>
    </w:p>
    <w:p w14:paraId="50F7993D">
      <w:pPr>
        <w:spacing w:line="400" w:lineRule="exact"/>
        <w:jc w:val="center"/>
        <w:rPr>
          <w:rFonts w:hint="eastAsia" w:asciiTheme="minorEastAsia" w:hAnsiTheme="minorEastAsia" w:eastAsiaTheme="minorEastAsia" w:cstheme="minorEastAsia"/>
          <w:color w:val="auto"/>
          <w:highlight w:val="none"/>
        </w:rPr>
      </w:pPr>
    </w:p>
    <w:p w14:paraId="5941ED24">
      <w:pPr>
        <w:rPr>
          <w:rFonts w:hint="eastAsia" w:asciiTheme="minorEastAsia" w:hAnsiTheme="minorEastAsia" w:eastAsiaTheme="minorEastAsia" w:cstheme="minorEastAsia"/>
          <w:b/>
          <w:bCs/>
          <w:color w:val="auto"/>
          <w:kern w:val="0"/>
          <w:sz w:val="30"/>
          <w:szCs w:val="30"/>
          <w:highlight w:val="none"/>
        </w:rPr>
      </w:pPr>
      <w:r>
        <w:rPr>
          <w:rFonts w:hint="eastAsia" w:asciiTheme="minorEastAsia" w:hAnsiTheme="minorEastAsia" w:eastAsiaTheme="minorEastAsia" w:cstheme="minorEastAsia"/>
          <w:b/>
          <w:bCs/>
          <w:color w:val="auto"/>
          <w:kern w:val="0"/>
          <w:sz w:val="30"/>
          <w:szCs w:val="30"/>
          <w:highlight w:val="none"/>
        </w:rPr>
        <w:br w:type="page"/>
      </w:r>
    </w:p>
    <w:p w14:paraId="794A53EE">
      <w:pPr>
        <w:spacing w:line="400" w:lineRule="exact"/>
        <w:jc w:val="center"/>
        <w:rPr>
          <w:rFonts w:hint="eastAsia" w:asciiTheme="minorEastAsia" w:hAnsiTheme="minorEastAsia" w:eastAsiaTheme="minorEastAsia" w:cstheme="minorEastAsia"/>
          <w:b/>
          <w:bCs/>
          <w:color w:val="auto"/>
          <w:kern w:val="0"/>
          <w:sz w:val="30"/>
          <w:szCs w:val="30"/>
          <w:highlight w:val="none"/>
        </w:rPr>
      </w:pPr>
      <w:r>
        <w:rPr>
          <w:rFonts w:hint="eastAsia" w:asciiTheme="minorEastAsia" w:hAnsiTheme="minorEastAsia" w:eastAsiaTheme="minorEastAsia" w:cstheme="minorEastAsia"/>
          <w:b/>
          <w:bCs/>
          <w:color w:val="auto"/>
          <w:kern w:val="0"/>
          <w:sz w:val="30"/>
          <w:szCs w:val="30"/>
          <w:highlight w:val="none"/>
        </w:rPr>
        <w:t>四、建设工程项目管理承诺书</w:t>
      </w:r>
    </w:p>
    <w:p w14:paraId="59BBF529">
      <w:pPr>
        <w:spacing w:line="360" w:lineRule="auto"/>
        <w:jc w:val="left"/>
        <w:rPr>
          <w:rFonts w:hint="eastAsia" w:asciiTheme="minorEastAsia" w:hAnsiTheme="minorEastAsia" w:eastAsiaTheme="minorEastAsia" w:cstheme="minorEastAsia"/>
          <w:color w:val="auto"/>
          <w:highlight w:val="none"/>
        </w:rPr>
      </w:pPr>
    </w:p>
    <w:p w14:paraId="0005BB3B">
      <w:pPr>
        <w:spacing w:line="360" w:lineRule="auto"/>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致</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（采购单位名称）：</w:t>
      </w:r>
    </w:p>
    <w:p w14:paraId="6A12AF7B">
      <w:pPr>
        <w:spacing w:line="360" w:lineRule="auto"/>
        <w:ind w:left="-10" w:firstLine="455" w:firstLineChars="217"/>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作为参与</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（工程名称）项目的投标方，根据国家、自治区相关文件规定，我方在此向招标人承诺：</w:t>
      </w:r>
    </w:p>
    <w:p w14:paraId="51F1CF92">
      <w:pPr>
        <w:spacing w:line="520" w:lineRule="exact"/>
        <w:ind w:left="-10" w:firstLine="455" w:firstLineChars="217"/>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1、一旦</w:t>
      </w:r>
      <w:r>
        <w:rPr>
          <w:rFonts w:hint="eastAsia" w:asciiTheme="minorEastAsia" w:hAnsiTheme="minorEastAsia" w:eastAsiaTheme="minorEastAsia" w:cstheme="minorEastAsia"/>
          <w:color w:val="auto"/>
          <w:highlight w:val="none"/>
          <w:lang w:val="en-US" w:eastAsia="zh-CN"/>
        </w:rPr>
        <w:t>成交</w:t>
      </w:r>
      <w:r>
        <w:rPr>
          <w:rFonts w:hint="eastAsia" w:asciiTheme="minorEastAsia" w:hAnsiTheme="minorEastAsia" w:eastAsiaTheme="minorEastAsia" w:cstheme="minorEastAsia"/>
          <w:color w:val="auto"/>
          <w:highlight w:val="none"/>
        </w:rPr>
        <w:t>，我方保证按照政府相关部门的规定，在发出</w:t>
      </w:r>
      <w:r>
        <w:rPr>
          <w:rFonts w:hint="eastAsia" w:asciiTheme="minorEastAsia" w:hAnsiTheme="minorEastAsia" w:eastAsiaTheme="minorEastAsia" w:cstheme="minorEastAsia"/>
          <w:color w:val="auto"/>
          <w:highlight w:val="none"/>
          <w:lang w:val="en-US" w:eastAsia="zh-CN"/>
        </w:rPr>
        <w:t>成交</w:t>
      </w:r>
      <w:r>
        <w:rPr>
          <w:rFonts w:hint="eastAsia" w:asciiTheme="minorEastAsia" w:hAnsiTheme="minorEastAsia" w:eastAsiaTheme="minorEastAsia" w:cstheme="minorEastAsia"/>
          <w:color w:val="auto"/>
          <w:highlight w:val="none"/>
        </w:rPr>
        <w:t>通知书之日起7个工作日内足额将农民工工资保障金转入农民工工资保障金专用账户。一旦我方所承包的该项目中出现拖欠农民工工资情况，由劳动保障、住</w:t>
      </w:r>
      <w:r>
        <w:rPr>
          <w:rFonts w:hint="eastAsia" w:asciiTheme="minorEastAsia" w:hAnsiTheme="minorEastAsia" w:eastAsiaTheme="minorEastAsia" w:cstheme="minorEastAsia"/>
          <w:color w:val="auto"/>
          <w:highlight w:val="none"/>
          <w:lang w:eastAsia="zh-CN"/>
        </w:rPr>
        <w:t>房和</w:t>
      </w:r>
      <w:r>
        <w:rPr>
          <w:rFonts w:hint="eastAsia" w:asciiTheme="minorEastAsia" w:hAnsiTheme="minorEastAsia" w:eastAsiaTheme="minorEastAsia" w:cstheme="minorEastAsia"/>
          <w:color w:val="auto"/>
          <w:highlight w:val="none"/>
        </w:rPr>
        <w:t>城乡建设行政主管部门按照《关于进一步完善建筑行业农民工工资保证金制度的通知》（桂劳社发〔2009〕50号）从我方农民工工资保障金中先予划支。</w:t>
      </w:r>
    </w:p>
    <w:p w14:paraId="704E7978">
      <w:pPr>
        <w:spacing w:line="520" w:lineRule="exact"/>
        <w:ind w:left="-10" w:firstLine="455" w:firstLineChars="217"/>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2、一旦</w:t>
      </w:r>
      <w:r>
        <w:rPr>
          <w:rFonts w:hint="eastAsia" w:asciiTheme="minorEastAsia" w:hAnsiTheme="minorEastAsia" w:eastAsiaTheme="minorEastAsia" w:cstheme="minorEastAsia"/>
          <w:color w:val="auto"/>
          <w:highlight w:val="none"/>
          <w:lang w:val="en-US" w:eastAsia="zh-CN"/>
        </w:rPr>
        <w:t>成交</w:t>
      </w:r>
      <w:r>
        <w:rPr>
          <w:rFonts w:hint="eastAsia" w:asciiTheme="minorEastAsia" w:hAnsiTheme="minorEastAsia" w:eastAsiaTheme="minorEastAsia" w:cstheme="minorEastAsia"/>
          <w:color w:val="auto"/>
          <w:highlight w:val="none"/>
        </w:rPr>
        <w:t>，我方保证在施工过程中，严格执行《广西壮族自治区建筑工程安全文明施工费使用管理细则》（桂建质〔2015〕16号）的有关规定，确保建设工程各项安全防护、文明施工措施落实到位。如我方在该项目的承包中出现未按桂建质〔2006〕22号文附件一规定执行的情形，我方愿意按照相关规定接受建设单位及有关主管部门的处罚。</w:t>
      </w:r>
    </w:p>
    <w:p w14:paraId="7DBFDE99">
      <w:pPr>
        <w:spacing w:line="520" w:lineRule="exact"/>
        <w:ind w:left="-2" w:leftChars="-1" w:firstLine="449" w:firstLineChars="214"/>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3、一旦</w:t>
      </w:r>
      <w:r>
        <w:rPr>
          <w:rFonts w:hint="eastAsia" w:asciiTheme="minorEastAsia" w:hAnsiTheme="minorEastAsia" w:eastAsiaTheme="minorEastAsia" w:cstheme="minorEastAsia"/>
          <w:color w:val="auto"/>
          <w:highlight w:val="none"/>
          <w:lang w:val="en-US" w:eastAsia="zh-CN"/>
        </w:rPr>
        <w:t>成交</w:t>
      </w:r>
      <w:r>
        <w:rPr>
          <w:rFonts w:hint="eastAsia" w:asciiTheme="minorEastAsia" w:hAnsiTheme="minorEastAsia" w:eastAsiaTheme="minorEastAsia" w:cstheme="minorEastAsia"/>
          <w:color w:val="auto"/>
          <w:highlight w:val="none"/>
        </w:rPr>
        <w:t>，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38325F41">
      <w:pPr>
        <w:spacing w:line="520" w:lineRule="exact"/>
        <w:ind w:left="-10" w:firstLine="455" w:firstLineChars="217"/>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4、一旦</w:t>
      </w:r>
      <w:r>
        <w:rPr>
          <w:rFonts w:hint="eastAsia" w:asciiTheme="minorEastAsia" w:hAnsiTheme="minorEastAsia" w:eastAsiaTheme="minorEastAsia" w:cstheme="minorEastAsia"/>
          <w:color w:val="auto"/>
          <w:highlight w:val="none"/>
          <w:lang w:val="en-US" w:eastAsia="zh-CN"/>
        </w:rPr>
        <w:t>成交</w:t>
      </w:r>
      <w:r>
        <w:rPr>
          <w:rFonts w:hint="eastAsia" w:asciiTheme="minorEastAsia" w:hAnsiTheme="minorEastAsia" w:eastAsiaTheme="minorEastAsia" w:cstheme="minorEastAsia"/>
          <w:color w:val="auto"/>
          <w:highlight w:val="none"/>
        </w:rPr>
        <w:t>，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14:paraId="375EF32C">
      <w:pPr>
        <w:spacing w:line="520" w:lineRule="exact"/>
        <w:ind w:left="-10" w:firstLine="455" w:firstLineChars="217"/>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5、一旦</w:t>
      </w:r>
      <w:r>
        <w:rPr>
          <w:rFonts w:hint="eastAsia" w:asciiTheme="minorEastAsia" w:hAnsiTheme="minorEastAsia" w:eastAsiaTheme="minorEastAsia" w:cstheme="minorEastAsia"/>
          <w:color w:val="auto"/>
          <w:highlight w:val="none"/>
          <w:lang w:val="en-US" w:eastAsia="zh-CN"/>
        </w:rPr>
        <w:t>成交</w:t>
      </w:r>
      <w:r>
        <w:rPr>
          <w:rFonts w:hint="eastAsia" w:asciiTheme="minorEastAsia" w:hAnsiTheme="minorEastAsia" w:eastAsiaTheme="minorEastAsia" w:cstheme="minorEastAsia"/>
          <w:color w:val="auto"/>
          <w:highlight w:val="none"/>
        </w:rPr>
        <w:t>，我方保证严格执行《危险性较大的分部分项工程安全管理办法》（建质〔2009〕87号）的规定，强化对深基坑、高切坡、高大模板、人工挖孔桩、起重吊装、临时活动板房等重大危险源的专项施工方案的编制、论证、审批、实施、检测的风险管理。</w:t>
      </w:r>
    </w:p>
    <w:p w14:paraId="40044CB7">
      <w:pPr>
        <w:spacing w:line="360" w:lineRule="auto"/>
        <w:ind w:firstLine="4410" w:firstLineChars="2100"/>
        <w:jc w:val="left"/>
        <w:rPr>
          <w:rFonts w:hint="eastAsia" w:asciiTheme="minorEastAsia" w:hAnsiTheme="minorEastAsia" w:eastAsiaTheme="minorEastAsia" w:cstheme="minorEastAsia"/>
          <w:color w:val="auto"/>
          <w:highlight w:val="none"/>
        </w:rPr>
      </w:pPr>
    </w:p>
    <w:p w14:paraId="7F2EB0C6">
      <w:pPr>
        <w:spacing w:line="360" w:lineRule="auto"/>
        <w:jc w:val="center"/>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磋商供应商（盖章）：</w:t>
      </w:r>
      <w:r>
        <w:rPr>
          <w:rFonts w:hint="eastAsia" w:asciiTheme="minorEastAsia" w:hAnsiTheme="minorEastAsia" w:eastAsiaTheme="minorEastAsia" w:cstheme="minorEastAsia"/>
          <w:color w:val="auto"/>
          <w:highlight w:val="none"/>
          <w:u w:val="single"/>
        </w:rPr>
        <w:t xml:space="preserve">                     </w:t>
      </w:r>
    </w:p>
    <w:p w14:paraId="67C483D7">
      <w:pPr>
        <w:spacing w:line="360" w:lineRule="auto"/>
        <w:jc w:val="center"/>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法定代表人或授权代理人（签字或盖章）：</w:t>
      </w:r>
      <w:r>
        <w:rPr>
          <w:rFonts w:hint="eastAsia" w:asciiTheme="minorEastAsia" w:hAnsiTheme="minorEastAsia" w:eastAsiaTheme="minorEastAsia" w:cstheme="minorEastAsia"/>
          <w:color w:val="auto"/>
          <w:highlight w:val="none"/>
          <w:u w:val="single"/>
        </w:rPr>
        <w:t xml:space="preserve">              </w:t>
      </w:r>
    </w:p>
    <w:p w14:paraId="0AF8A51F">
      <w:pPr>
        <w:spacing w:line="40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日期：</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年</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月</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日</w:t>
      </w:r>
    </w:p>
    <w:p w14:paraId="112F55DA">
      <w:pPr>
        <w:pStyle w:val="2"/>
        <w:rPr>
          <w:color w:val="auto"/>
          <w:highlight w:val="none"/>
        </w:rPr>
      </w:pPr>
      <w:r>
        <w:rPr>
          <w:rFonts w:hint="eastAsia" w:asciiTheme="minorEastAsia" w:hAnsiTheme="minorEastAsia" w:eastAsiaTheme="minorEastAsia" w:cstheme="minorEastAsia"/>
          <w:color w:val="auto"/>
          <w:highlight w:val="none"/>
        </w:rPr>
        <w:br w:type="page"/>
      </w:r>
    </w:p>
    <w:p w14:paraId="635F5ED5">
      <w:pPr>
        <w:spacing w:line="400" w:lineRule="exact"/>
        <w:jc w:val="center"/>
        <w:rPr>
          <w:rFonts w:hint="eastAsia" w:asciiTheme="minorEastAsia" w:hAnsiTheme="minorEastAsia" w:eastAsiaTheme="minorEastAsia" w:cstheme="minorEastAsia"/>
          <w:b/>
          <w:bCs/>
          <w:color w:val="auto"/>
          <w:kern w:val="0"/>
          <w:sz w:val="30"/>
          <w:szCs w:val="30"/>
          <w:highlight w:val="none"/>
        </w:rPr>
      </w:pPr>
      <w:r>
        <w:rPr>
          <w:rFonts w:hint="eastAsia" w:asciiTheme="minorEastAsia" w:hAnsiTheme="minorEastAsia" w:eastAsiaTheme="minorEastAsia" w:cstheme="minorEastAsia"/>
          <w:b/>
          <w:bCs/>
          <w:color w:val="auto"/>
          <w:kern w:val="0"/>
          <w:sz w:val="30"/>
          <w:szCs w:val="30"/>
          <w:highlight w:val="none"/>
        </w:rPr>
        <w:t>五、供应商认为需要提供的其他有关资料</w:t>
      </w:r>
    </w:p>
    <w:p w14:paraId="5CA80586">
      <w:pPr>
        <w:spacing w:line="400" w:lineRule="exact"/>
        <w:jc w:val="left"/>
        <w:rPr>
          <w:rFonts w:hint="eastAsia" w:asciiTheme="minorEastAsia" w:hAnsiTheme="minorEastAsia" w:eastAsiaTheme="minorEastAsia" w:cstheme="minorEastAsia"/>
          <w:b/>
          <w:bCs/>
          <w:color w:val="auto"/>
          <w:kern w:val="0"/>
          <w:sz w:val="30"/>
          <w:szCs w:val="30"/>
          <w:highlight w:val="none"/>
        </w:rPr>
      </w:pPr>
    </w:p>
    <w:p w14:paraId="5C7497A9">
      <w:pPr>
        <w:spacing w:line="400" w:lineRule="exact"/>
        <w:jc w:val="left"/>
        <w:rPr>
          <w:rFonts w:hint="eastAsia" w:asciiTheme="minorEastAsia" w:hAnsiTheme="minorEastAsia" w:eastAsiaTheme="minorEastAsia" w:cstheme="minorEastAsia"/>
          <w:b/>
          <w:bCs/>
          <w:color w:val="auto"/>
          <w:kern w:val="0"/>
          <w:sz w:val="30"/>
          <w:szCs w:val="30"/>
          <w:highlight w:val="none"/>
        </w:rPr>
      </w:pPr>
    </w:p>
    <w:p w14:paraId="3980AED2">
      <w:pPr>
        <w:spacing w:line="400" w:lineRule="exact"/>
        <w:jc w:val="left"/>
        <w:rPr>
          <w:rFonts w:hint="eastAsia" w:asciiTheme="minorEastAsia" w:hAnsiTheme="minorEastAsia" w:eastAsiaTheme="minorEastAsia" w:cstheme="minorEastAsia"/>
          <w:b/>
          <w:bCs/>
          <w:color w:val="auto"/>
          <w:kern w:val="0"/>
          <w:sz w:val="30"/>
          <w:szCs w:val="30"/>
          <w:highlight w:val="none"/>
        </w:rPr>
      </w:pPr>
    </w:p>
    <w:p w14:paraId="711F4504">
      <w:pPr>
        <w:spacing w:line="400" w:lineRule="exact"/>
        <w:jc w:val="left"/>
        <w:rPr>
          <w:rFonts w:hint="eastAsia" w:asciiTheme="minorEastAsia" w:hAnsiTheme="minorEastAsia" w:eastAsiaTheme="minorEastAsia" w:cstheme="minorEastAsia"/>
          <w:b/>
          <w:bCs/>
          <w:color w:val="auto"/>
          <w:kern w:val="0"/>
          <w:sz w:val="30"/>
          <w:szCs w:val="30"/>
          <w:highlight w:val="none"/>
        </w:rPr>
      </w:pPr>
    </w:p>
    <w:p w14:paraId="52DF4FB8">
      <w:pPr>
        <w:spacing w:line="400" w:lineRule="exact"/>
        <w:jc w:val="left"/>
        <w:rPr>
          <w:rFonts w:hint="eastAsia" w:asciiTheme="minorEastAsia" w:hAnsiTheme="minorEastAsia" w:eastAsiaTheme="minorEastAsia" w:cstheme="minorEastAsia"/>
          <w:b/>
          <w:bCs/>
          <w:color w:val="auto"/>
          <w:kern w:val="0"/>
          <w:sz w:val="30"/>
          <w:szCs w:val="30"/>
          <w:highlight w:val="none"/>
        </w:rPr>
      </w:pPr>
    </w:p>
    <w:p w14:paraId="4DBAE02B">
      <w:pPr>
        <w:spacing w:line="400" w:lineRule="exact"/>
        <w:jc w:val="left"/>
        <w:rPr>
          <w:rFonts w:hint="eastAsia" w:asciiTheme="minorEastAsia" w:hAnsiTheme="minorEastAsia" w:eastAsiaTheme="minorEastAsia" w:cstheme="minorEastAsia"/>
          <w:b/>
          <w:bCs/>
          <w:color w:val="auto"/>
          <w:kern w:val="0"/>
          <w:sz w:val="30"/>
          <w:szCs w:val="30"/>
          <w:highlight w:val="none"/>
        </w:rPr>
      </w:pPr>
    </w:p>
    <w:p w14:paraId="32D7EEEE">
      <w:pPr>
        <w:spacing w:line="400" w:lineRule="exact"/>
        <w:jc w:val="left"/>
        <w:rPr>
          <w:rFonts w:hint="eastAsia" w:asciiTheme="minorEastAsia" w:hAnsiTheme="minorEastAsia" w:eastAsiaTheme="minorEastAsia" w:cstheme="minorEastAsia"/>
          <w:b/>
          <w:bCs/>
          <w:color w:val="auto"/>
          <w:kern w:val="0"/>
          <w:sz w:val="30"/>
          <w:szCs w:val="30"/>
          <w:highlight w:val="none"/>
        </w:rPr>
      </w:pPr>
    </w:p>
    <w:p w14:paraId="34B5573C">
      <w:pPr>
        <w:spacing w:line="400" w:lineRule="exact"/>
        <w:jc w:val="left"/>
        <w:rPr>
          <w:rFonts w:hint="eastAsia" w:asciiTheme="minorEastAsia" w:hAnsiTheme="minorEastAsia" w:eastAsiaTheme="minorEastAsia" w:cstheme="minorEastAsia"/>
          <w:b/>
          <w:bCs/>
          <w:color w:val="auto"/>
          <w:kern w:val="0"/>
          <w:sz w:val="30"/>
          <w:szCs w:val="30"/>
          <w:highlight w:val="none"/>
        </w:rPr>
      </w:pPr>
    </w:p>
    <w:p w14:paraId="364C6574">
      <w:pPr>
        <w:spacing w:line="400" w:lineRule="exact"/>
        <w:jc w:val="left"/>
        <w:rPr>
          <w:rFonts w:hint="eastAsia" w:asciiTheme="minorEastAsia" w:hAnsiTheme="minorEastAsia" w:eastAsiaTheme="minorEastAsia" w:cstheme="minorEastAsia"/>
          <w:b/>
          <w:bCs/>
          <w:color w:val="auto"/>
          <w:kern w:val="0"/>
          <w:sz w:val="30"/>
          <w:szCs w:val="30"/>
          <w:highlight w:val="none"/>
        </w:rPr>
      </w:pPr>
    </w:p>
    <w:p w14:paraId="7F7C7EC2">
      <w:pPr>
        <w:spacing w:line="400" w:lineRule="exact"/>
        <w:jc w:val="left"/>
        <w:rPr>
          <w:rFonts w:hint="eastAsia" w:asciiTheme="minorEastAsia" w:hAnsiTheme="minorEastAsia" w:eastAsiaTheme="minorEastAsia" w:cstheme="minorEastAsia"/>
          <w:b/>
          <w:bCs/>
          <w:color w:val="auto"/>
          <w:kern w:val="0"/>
          <w:sz w:val="30"/>
          <w:szCs w:val="30"/>
          <w:highlight w:val="none"/>
        </w:rPr>
      </w:pPr>
    </w:p>
    <w:p w14:paraId="63DDBA78">
      <w:pPr>
        <w:pStyle w:val="62"/>
        <w:rPr>
          <w:color w:val="auto"/>
          <w:highlight w:val="none"/>
        </w:rPr>
      </w:pPr>
    </w:p>
    <w:p w14:paraId="2D32CB07">
      <w:pPr>
        <w:spacing w:line="400" w:lineRule="exact"/>
        <w:jc w:val="left"/>
        <w:rPr>
          <w:rFonts w:hint="eastAsia" w:asciiTheme="minorEastAsia" w:hAnsiTheme="minorEastAsia" w:eastAsiaTheme="minorEastAsia" w:cstheme="minorEastAsia"/>
          <w:b/>
          <w:bCs/>
          <w:color w:val="auto"/>
          <w:kern w:val="0"/>
          <w:sz w:val="30"/>
          <w:szCs w:val="30"/>
          <w:highlight w:val="none"/>
        </w:rPr>
      </w:pPr>
    </w:p>
    <w:p w14:paraId="674200F7">
      <w:pPr>
        <w:spacing w:line="400" w:lineRule="exact"/>
        <w:jc w:val="left"/>
        <w:rPr>
          <w:rFonts w:hint="eastAsia" w:asciiTheme="minorEastAsia" w:hAnsiTheme="minorEastAsia" w:eastAsiaTheme="minorEastAsia" w:cstheme="minorEastAsia"/>
          <w:b/>
          <w:bCs/>
          <w:color w:val="auto"/>
          <w:kern w:val="0"/>
          <w:sz w:val="30"/>
          <w:szCs w:val="30"/>
          <w:highlight w:val="none"/>
        </w:rPr>
      </w:pPr>
    </w:p>
    <w:p w14:paraId="17FBE09F">
      <w:pPr>
        <w:spacing w:line="400" w:lineRule="exact"/>
        <w:jc w:val="left"/>
        <w:rPr>
          <w:rFonts w:hint="eastAsia" w:asciiTheme="minorEastAsia" w:hAnsiTheme="minorEastAsia" w:eastAsiaTheme="minorEastAsia" w:cstheme="minorEastAsia"/>
          <w:b/>
          <w:bCs/>
          <w:color w:val="auto"/>
          <w:kern w:val="0"/>
          <w:sz w:val="30"/>
          <w:szCs w:val="30"/>
          <w:highlight w:val="none"/>
        </w:rPr>
      </w:pPr>
    </w:p>
    <w:p w14:paraId="532D7E87">
      <w:pPr>
        <w:spacing w:line="400" w:lineRule="exact"/>
        <w:jc w:val="left"/>
        <w:rPr>
          <w:rFonts w:hint="eastAsia" w:asciiTheme="minorEastAsia" w:hAnsiTheme="minorEastAsia" w:eastAsiaTheme="minorEastAsia" w:cstheme="minorEastAsia"/>
          <w:b/>
          <w:bCs/>
          <w:color w:val="auto"/>
          <w:kern w:val="0"/>
          <w:sz w:val="30"/>
          <w:szCs w:val="30"/>
          <w:highlight w:val="none"/>
        </w:rPr>
      </w:pPr>
    </w:p>
    <w:p w14:paraId="5799640D">
      <w:pPr>
        <w:spacing w:line="400" w:lineRule="exact"/>
        <w:jc w:val="left"/>
        <w:rPr>
          <w:rFonts w:hint="eastAsia" w:asciiTheme="minorEastAsia" w:hAnsiTheme="minorEastAsia" w:eastAsiaTheme="minorEastAsia" w:cstheme="minorEastAsia"/>
          <w:b/>
          <w:bCs/>
          <w:color w:val="auto"/>
          <w:kern w:val="0"/>
          <w:sz w:val="30"/>
          <w:szCs w:val="30"/>
          <w:highlight w:val="none"/>
        </w:rPr>
      </w:pPr>
    </w:p>
    <w:p w14:paraId="4C2B9501">
      <w:pPr>
        <w:spacing w:line="400" w:lineRule="exact"/>
        <w:jc w:val="left"/>
        <w:rPr>
          <w:rFonts w:hint="eastAsia" w:asciiTheme="minorEastAsia" w:hAnsiTheme="minorEastAsia" w:eastAsiaTheme="minorEastAsia" w:cstheme="minorEastAsia"/>
          <w:b/>
          <w:bCs/>
          <w:color w:val="auto"/>
          <w:kern w:val="0"/>
          <w:sz w:val="30"/>
          <w:szCs w:val="30"/>
          <w:highlight w:val="none"/>
        </w:rPr>
      </w:pPr>
    </w:p>
    <w:p w14:paraId="4488CEDB">
      <w:pPr>
        <w:spacing w:line="400" w:lineRule="exact"/>
        <w:jc w:val="left"/>
        <w:rPr>
          <w:rFonts w:hint="eastAsia" w:asciiTheme="minorEastAsia" w:hAnsiTheme="minorEastAsia" w:eastAsiaTheme="minorEastAsia" w:cstheme="minorEastAsia"/>
          <w:b/>
          <w:bCs/>
          <w:color w:val="auto"/>
          <w:kern w:val="0"/>
          <w:sz w:val="30"/>
          <w:szCs w:val="30"/>
          <w:highlight w:val="none"/>
        </w:rPr>
      </w:pPr>
    </w:p>
    <w:p w14:paraId="18938794">
      <w:pPr>
        <w:spacing w:line="400" w:lineRule="exact"/>
        <w:jc w:val="left"/>
        <w:rPr>
          <w:rFonts w:hint="eastAsia" w:asciiTheme="minorEastAsia" w:hAnsiTheme="minorEastAsia" w:eastAsiaTheme="minorEastAsia" w:cstheme="minorEastAsia"/>
          <w:b/>
          <w:bCs/>
          <w:color w:val="auto"/>
          <w:kern w:val="0"/>
          <w:sz w:val="30"/>
          <w:szCs w:val="30"/>
          <w:highlight w:val="none"/>
        </w:rPr>
      </w:pPr>
    </w:p>
    <w:p w14:paraId="0D81F567">
      <w:pPr>
        <w:spacing w:line="400" w:lineRule="exact"/>
        <w:jc w:val="left"/>
        <w:rPr>
          <w:rFonts w:hint="eastAsia" w:asciiTheme="minorEastAsia" w:hAnsiTheme="minorEastAsia" w:eastAsiaTheme="minorEastAsia" w:cstheme="minorEastAsia"/>
          <w:b/>
          <w:bCs/>
          <w:color w:val="auto"/>
          <w:kern w:val="0"/>
          <w:sz w:val="30"/>
          <w:szCs w:val="30"/>
          <w:highlight w:val="none"/>
        </w:rPr>
      </w:pPr>
    </w:p>
    <w:p w14:paraId="70863F74">
      <w:pPr>
        <w:spacing w:line="400" w:lineRule="exact"/>
        <w:jc w:val="left"/>
        <w:rPr>
          <w:rFonts w:hint="eastAsia" w:asciiTheme="minorEastAsia" w:hAnsiTheme="minorEastAsia" w:eastAsiaTheme="minorEastAsia" w:cstheme="minorEastAsia"/>
          <w:b/>
          <w:bCs/>
          <w:color w:val="auto"/>
          <w:kern w:val="0"/>
          <w:sz w:val="30"/>
          <w:szCs w:val="30"/>
          <w:highlight w:val="none"/>
        </w:rPr>
      </w:pPr>
    </w:p>
    <w:p w14:paraId="6244309E">
      <w:pPr>
        <w:spacing w:line="400" w:lineRule="exact"/>
        <w:jc w:val="left"/>
        <w:rPr>
          <w:rFonts w:hint="eastAsia" w:asciiTheme="minorEastAsia" w:hAnsiTheme="minorEastAsia" w:eastAsiaTheme="minorEastAsia" w:cstheme="minorEastAsia"/>
          <w:b/>
          <w:bCs/>
          <w:color w:val="auto"/>
          <w:kern w:val="0"/>
          <w:sz w:val="30"/>
          <w:szCs w:val="30"/>
          <w:highlight w:val="none"/>
        </w:rPr>
      </w:pPr>
    </w:p>
    <w:p w14:paraId="616D3BDF">
      <w:pPr>
        <w:spacing w:line="400" w:lineRule="exact"/>
        <w:jc w:val="left"/>
        <w:rPr>
          <w:rFonts w:hint="eastAsia" w:asciiTheme="minorEastAsia" w:hAnsiTheme="minorEastAsia" w:eastAsiaTheme="minorEastAsia" w:cstheme="minorEastAsia"/>
          <w:b/>
          <w:bCs/>
          <w:color w:val="auto"/>
          <w:kern w:val="0"/>
          <w:sz w:val="30"/>
          <w:szCs w:val="30"/>
          <w:highlight w:val="none"/>
        </w:rPr>
      </w:pPr>
    </w:p>
    <w:p w14:paraId="384A7293">
      <w:pPr>
        <w:spacing w:line="400" w:lineRule="exact"/>
        <w:jc w:val="left"/>
        <w:rPr>
          <w:rFonts w:hint="eastAsia" w:asciiTheme="minorEastAsia" w:hAnsiTheme="minorEastAsia" w:eastAsiaTheme="minorEastAsia" w:cstheme="minorEastAsia"/>
          <w:b/>
          <w:bCs/>
          <w:color w:val="auto"/>
          <w:kern w:val="0"/>
          <w:sz w:val="30"/>
          <w:szCs w:val="30"/>
          <w:highlight w:val="none"/>
        </w:rPr>
      </w:pPr>
    </w:p>
    <w:p w14:paraId="30FA005C">
      <w:pPr>
        <w:spacing w:line="400" w:lineRule="exact"/>
        <w:jc w:val="left"/>
        <w:rPr>
          <w:rFonts w:hint="eastAsia" w:asciiTheme="minorEastAsia" w:hAnsiTheme="minorEastAsia" w:eastAsiaTheme="minorEastAsia" w:cstheme="minorEastAsia"/>
          <w:b/>
          <w:bCs/>
          <w:color w:val="auto"/>
          <w:kern w:val="0"/>
          <w:sz w:val="30"/>
          <w:szCs w:val="30"/>
          <w:highlight w:val="none"/>
        </w:rPr>
      </w:pPr>
    </w:p>
    <w:p w14:paraId="4349F774">
      <w:pPr>
        <w:spacing w:line="400" w:lineRule="exact"/>
        <w:jc w:val="left"/>
        <w:rPr>
          <w:rFonts w:hint="eastAsia" w:asciiTheme="minorEastAsia" w:hAnsiTheme="minorEastAsia" w:eastAsiaTheme="minorEastAsia" w:cstheme="minorEastAsia"/>
          <w:b/>
          <w:bCs/>
          <w:color w:val="auto"/>
          <w:kern w:val="0"/>
          <w:sz w:val="30"/>
          <w:szCs w:val="30"/>
          <w:highlight w:val="none"/>
        </w:rPr>
      </w:pPr>
    </w:p>
    <w:p w14:paraId="3876FF3F">
      <w:pPr>
        <w:spacing w:line="400" w:lineRule="exact"/>
        <w:jc w:val="left"/>
        <w:rPr>
          <w:rFonts w:hint="eastAsia" w:asciiTheme="minorEastAsia" w:hAnsiTheme="minorEastAsia" w:eastAsiaTheme="minorEastAsia" w:cstheme="minorEastAsia"/>
          <w:b/>
          <w:bCs/>
          <w:color w:val="auto"/>
          <w:kern w:val="0"/>
          <w:sz w:val="30"/>
          <w:szCs w:val="30"/>
          <w:highlight w:val="none"/>
        </w:rPr>
      </w:pPr>
    </w:p>
    <w:p w14:paraId="3EC48248">
      <w:pPr>
        <w:spacing w:line="400" w:lineRule="exact"/>
        <w:jc w:val="left"/>
        <w:rPr>
          <w:rFonts w:hint="eastAsia" w:asciiTheme="minorEastAsia" w:hAnsiTheme="minorEastAsia" w:eastAsiaTheme="minorEastAsia" w:cstheme="minorEastAsia"/>
          <w:b/>
          <w:bCs/>
          <w:color w:val="auto"/>
          <w:kern w:val="0"/>
          <w:sz w:val="30"/>
          <w:szCs w:val="30"/>
          <w:highlight w:val="none"/>
        </w:rPr>
      </w:pPr>
    </w:p>
    <w:p w14:paraId="20F86D8D">
      <w:pPr>
        <w:spacing w:line="400" w:lineRule="exact"/>
        <w:jc w:val="left"/>
        <w:rPr>
          <w:rFonts w:hint="eastAsia" w:asciiTheme="minorEastAsia" w:hAnsiTheme="minorEastAsia" w:eastAsiaTheme="minorEastAsia" w:cstheme="minorEastAsia"/>
          <w:b/>
          <w:bCs/>
          <w:color w:val="auto"/>
          <w:kern w:val="0"/>
          <w:sz w:val="30"/>
          <w:szCs w:val="30"/>
          <w:highlight w:val="none"/>
        </w:rPr>
      </w:pPr>
    </w:p>
    <w:p w14:paraId="2BA1E0A6">
      <w:pPr>
        <w:spacing w:line="400" w:lineRule="exact"/>
        <w:jc w:val="left"/>
        <w:rPr>
          <w:rFonts w:hint="eastAsia" w:asciiTheme="minorEastAsia" w:hAnsiTheme="minorEastAsia" w:eastAsiaTheme="minorEastAsia" w:cstheme="minorEastAsia"/>
          <w:b/>
          <w:bCs/>
          <w:color w:val="auto"/>
          <w:kern w:val="0"/>
          <w:sz w:val="30"/>
          <w:szCs w:val="30"/>
          <w:highlight w:val="none"/>
        </w:rPr>
      </w:pPr>
    </w:p>
    <w:p w14:paraId="74947DD4">
      <w:pPr>
        <w:spacing w:line="400" w:lineRule="exact"/>
        <w:jc w:val="left"/>
        <w:rPr>
          <w:rFonts w:hint="eastAsia" w:asciiTheme="minorEastAsia" w:hAnsiTheme="minorEastAsia" w:eastAsiaTheme="minorEastAsia" w:cstheme="minorEastAsia"/>
          <w:b/>
          <w:bCs/>
          <w:color w:val="auto"/>
          <w:kern w:val="0"/>
          <w:sz w:val="30"/>
          <w:szCs w:val="30"/>
          <w:highlight w:val="none"/>
        </w:rPr>
      </w:pPr>
    </w:p>
    <w:p w14:paraId="61AF25A9">
      <w:pPr>
        <w:spacing w:line="400" w:lineRule="exact"/>
        <w:jc w:val="left"/>
        <w:rPr>
          <w:rFonts w:hint="eastAsia" w:asciiTheme="minorEastAsia" w:hAnsiTheme="minorEastAsia" w:eastAsiaTheme="minorEastAsia" w:cstheme="minorEastAsia"/>
          <w:b/>
          <w:bCs/>
          <w:color w:val="auto"/>
          <w:kern w:val="0"/>
          <w:sz w:val="30"/>
          <w:szCs w:val="30"/>
          <w:highlight w:val="none"/>
        </w:rPr>
      </w:pPr>
    </w:p>
    <w:p w14:paraId="76E54EE1">
      <w:pPr>
        <w:spacing w:line="400" w:lineRule="exact"/>
        <w:jc w:val="center"/>
        <w:rPr>
          <w:rFonts w:hint="eastAsia" w:asciiTheme="minorEastAsia" w:hAnsiTheme="minorEastAsia" w:eastAsiaTheme="minorEastAsia" w:cstheme="minorEastAsia"/>
          <w:b/>
          <w:bCs/>
          <w:color w:val="auto"/>
          <w:kern w:val="0"/>
          <w:sz w:val="30"/>
          <w:szCs w:val="30"/>
          <w:highlight w:val="none"/>
        </w:rPr>
      </w:pPr>
    </w:p>
    <w:p w14:paraId="75CB3BAE">
      <w:pPr>
        <w:rPr>
          <w:rFonts w:hint="eastAsia" w:asciiTheme="minorEastAsia" w:hAnsiTheme="minorEastAsia" w:eastAsiaTheme="minorEastAsia" w:cstheme="minorEastAsia"/>
          <w:b/>
          <w:bCs/>
          <w:color w:val="auto"/>
          <w:kern w:val="0"/>
          <w:sz w:val="30"/>
          <w:szCs w:val="30"/>
          <w:highlight w:val="none"/>
        </w:rPr>
      </w:pPr>
      <w:r>
        <w:rPr>
          <w:rFonts w:hint="eastAsia" w:asciiTheme="minorEastAsia" w:hAnsiTheme="minorEastAsia" w:eastAsiaTheme="minorEastAsia" w:cstheme="minorEastAsia"/>
          <w:b/>
          <w:bCs/>
          <w:color w:val="auto"/>
          <w:kern w:val="0"/>
          <w:sz w:val="30"/>
          <w:szCs w:val="30"/>
          <w:highlight w:val="none"/>
        </w:rPr>
        <w:br w:type="page"/>
      </w:r>
    </w:p>
    <w:p w14:paraId="36DBB060">
      <w:pPr>
        <w:spacing w:line="400" w:lineRule="exact"/>
        <w:jc w:val="center"/>
        <w:rPr>
          <w:rFonts w:hint="eastAsia" w:asciiTheme="minorEastAsia" w:hAnsiTheme="minorEastAsia" w:eastAsiaTheme="minorEastAsia" w:cstheme="minorEastAsia"/>
          <w:b/>
          <w:bCs/>
          <w:color w:val="auto"/>
          <w:kern w:val="0"/>
          <w:sz w:val="30"/>
          <w:szCs w:val="30"/>
          <w:highlight w:val="none"/>
        </w:rPr>
      </w:pPr>
      <w:r>
        <w:rPr>
          <w:rFonts w:hint="eastAsia" w:asciiTheme="minorEastAsia" w:hAnsiTheme="minorEastAsia" w:eastAsiaTheme="minorEastAsia" w:cstheme="minorEastAsia"/>
          <w:b/>
          <w:bCs/>
          <w:color w:val="auto"/>
          <w:kern w:val="0"/>
          <w:sz w:val="30"/>
          <w:szCs w:val="30"/>
          <w:highlight w:val="none"/>
        </w:rPr>
        <w:t>六、施工组织设计</w:t>
      </w:r>
    </w:p>
    <w:p w14:paraId="4C339C81">
      <w:pPr>
        <w:spacing w:line="460" w:lineRule="exact"/>
        <w:ind w:firstLine="420" w:firstLineChars="200"/>
        <w:rPr>
          <w:rFonts w:hint="eastAsia" w:asciiTheme="minorEastAsia" w:hAnsiTheme="minorEastAsia" w:eastAsiaTheme="minorEastAsia" w:cstheme="minorEastAsia"/>
          <w:color w:val="auto"/>
          <w:highlight w:val="none"/>
        </w:rPr>
      </w:pPr>
    </w:p>
    <w:p w14:paraId="7EFA1525">
      <w:pPr>
        <w:spacing w:line="46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供应商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458D52B8">
      <w:pPr>
        <w:spacing w:line="46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2．施工组织设计除采用文字表述外可附下列图表，图表及格式要求附后。</w:t>
      </w:r>
    </w:p>
    <w:p w14:paraId="0E24E657">
      <w:pPr>
        <w:spacing w:line="46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附表一  拟投入本工程的主要施工设备表</w:t>
      </w:r>
    </w:p>
    <w:p w14:paraId="25978E21">
      <w:pPr>
        <w:spacing w:line="46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附表二  拟配备本工程的试验和检测仪器设备表</w:t>
      </w:r>
    </w:p>
    <w:p w14:paraId="5DEF0DFD">
      <w:pPr>
        <w:spacing w:line="46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附表三  劳动力计划表</w:t>
      </w:r>
    </w:p>
    <w:p w14:paraId="2823461C">
      <w:pPr>
        <w:spacing w:line="46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附表四  计划开、竣工日期和施工进度网络图</w:t>
      </w:r>
    </w:p>
    <w:p w14:paraId="05764D61">
      <w:pPr>
        <w:spacing w:line="46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附表</w:t>
      </w:r>
      <w:r>
        <w:rPr>
          <w:rFonts w:hint="eastAsia" w:asciiTheme="minorEastAsia" w:hAnsiTheme="minorEastAsia" w:eastAsiaTheme="minorEastAsia" w:cstheme="minorEastAsia"/>
          <w:color w:val="auto"/>
          <w:highlight w:val="none"/>
          <w:lang w:val="en-US" w:eastAsia="zh-CN"/>
        </w:rPr>
        <w:t>五</w:t>
      </w:r>
      <w:r>
        <w:rPr>
          <w:rFonts w:hint="eastAsia" w:asciiTheme="minorEastAsia" w:hAnsiTheme="minorEastAsia" w:eastAsiaTheme="minorEastAsia" w:cstheme="minorEastAsia"/>
          <w:color w:val="auto"/>
          <w:highlight w:val="none"/>
        </w:rPr>
        <w:t xml:space="preserve">  临时用地表</w:t>
      </w:r>
    </w:p>
    <w:p w14:paraId="1B7D5601">
      <w:pPr>
        <w:spacing w:line="460" w:lineRule="exact"/>
        <w:ind w:firstLine="420" w:firstLineChars="200"/>
        <w:rPr>
          <w:rFonts w:hint="eastAsia" w:asciiTheme="minorEastAsia" w:hAnsiTheme="minorEastAsia" w:eastAsiaTheme="minorEastAsia" w:cstheme="minorEastAsia"/>
          <w:color w:val="auto"/>
          <w:highlight w:val="none"/>
        </w:rPr>
      </w:pPr>
    </w:p>
    <w:p w14:paraId="5B76EF80">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附表一：拟投入本工程的主要施工设备表</w:t>
      </w:r>
    </w:p>
    <w:tbl>
      <w:tblPr>
        <w:tblStyle w:val="44"/>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851"/>
        <w:gridCol w:w="1134"/>
        <w:gridCol w:w="992"/>
        <w:gridCol w:w="1134"/>
        <w:gridCol w:w="992"/>
      </w:tblGrid>
      <w:tr w14:paraId="69514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14:paraId="53C98A87">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序号</w:t>
            </w:r>
          </w:p>
        </w:tc>
        <w:tc>
          <w:tcPr>
            <w:tcW w:w="1226" w:type="dxa"/>
            <w:tcBorders>
              <w:top w:val="single" w:color="auto" w:sz="4" w:space="0"/>
              <w:left w:val="single" w:color="auto" w:sz="4" w:space="0"/>
              <w:bottom w:val="single" w:color="auto" w:sz="4" w:space="0"/>
              <w:right w:val="single" w:color="auto" w:sz="4" w:space="0"/>
            </w:tcBorders>
            <w:vAlign w:val="center"/>
          </w:tcPr>
          <w:p w14:paraId="39D86943">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设备名称</w:t>
            </w:r>
          </w:p>
        </w:tc>
        <w:tc>
          <w:tcPr>
            <w:tcW w:w="851" w:type="dxa"/>
            <w:tcBorders>
              <w:top w:val="single" w:color="auto" w:sz="4" w:space="0"/>
              <w:left w:val="single" w:color="auto" w:sz="4" w:space="0"/>
              <w:bottom w:val="single" w:color="auto" w:sz="4" w:space="0"/>
              <w:right w:val="single" w:color="auto" w:sz="4" w:space="0"/>
            </w:tcBorders>
            <w:vAlign w:val="center"/>
          </w:tcPr>
          <w:p w14:paraId="70BAE9F4">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型号</w:t>
            </w:r>
          </w:p>
          <w:p w14:paraId="6509C8B1">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规格</w:t>
            </w:r>
          </w:p>
        </w:tc>
        <w:tc>
          <w:tcPr>
            <w:tcW w:w="708" w:type="dxa"/>
            <w:tcBorders>
              <w:top w:val="single" w:color="auto" w:sz="4" w:space="0"/>
              <w:left w:val="single" w:color="auto" w:sz="4" w:space="0"/>
              <w:bottom w:val="single" w:color="auto" w:sz="4" w:space="0"/>
              <w:right w:val="single" w:color="auto" w:sz="4" w:space="0"/>
            </w:tcBorders>
            <w:vAlign w:val="center"/>
          </w:tcPr>
          <w:p w14:paraId="0DD05905">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数量</w:t>
            </w:r>
          </w:p>
        </w:tc>
        <w:tc>
          <w:tcPr>
            <w:tcW w:w="709" w:type="dxa"/>
            <w:tcBorders>
              <w:top w:val="single" w:color="auto" w:sz="4" w:space="0"/>
              <w:left w:val="single" w:color="auto" w:sz="4" w:space="0"/>
              <w:bottom w:val="single" w:color="auto" w:sz="4" w:space="0"/>
              <w:right w:val="single" w:color="auto" w:sz="4" w:space="0"/>
            </w:tcBorders>
            <w:vAlign w:val="center"/>
          </w:tcPr>
          <w:p w14:paraId="219ABFCA">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国别</w:t>
            </w:r>
          </w:p>
          <w:p w14:paraId="25ED9F00">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产地</w:t>
            </w:r>
          </w:p>
        </w:tc>
        <w:tc>
          <w:tcPr>
            <w:tcW w:w="851" w:type="dxa"/>
            <w:tcBorders>
              <w:top w:val="single" w:color="auto" w:sz="4" w:space="0"/>
              <w:left w:val="single" w:color="auto" w:sz="4" w:space="0"/>
              <w:bottom w:val="single" w:color="auto" w:sz="4" w:space="0"/>
              <w:right w:val="single" w:color="auto" w:sz="4" w:space="0"/>
            </w:tcBorders>
            <w:vAlign w:val="center"/>
          </w:tcPr>
          <w:p w14:paraId="0F3D875A">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制造</w:t>
            </w:r>
          </w:p>
          <w:p w14:paraId="411345A1">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年份</w:t>
            </w:r>
          </w:p>
        </w:tc>
        <w:tc>
          <w:tcPr>
            <w:tcW w:w="1134" w:type="dxa"/>
            <w:tcBorders>
              <w:top w:val="single" w:color="auto" w:sz="4" w:space="0"/>
              <w:left w:val="single" w:color="auto" w:sz="4" w:space="0"/>
              <w:bottom w:val="single" w:color="auto" w:sz="4" w:space="0"/>
              <w:right w:val="single" w:color="auto" w:sz="4" w:space="0"/>
            </w:tcBorders>
            <w:vAlign w:val="center"/>
          </w:tcPr>
          <w:p w14:paraId="3D06C421">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额定功率</w:t>
            </w:r>
          </w:p>
          <w:p w14:paraId="7E50A6EB">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（KW）</w:t>
            </w:r>
          </w:p>
        </w:tc>
        <w:tc>
          <w:tcPr>
            <w:tcW w:w="992" w:type="dxa"/>
            <w:tcBorders>
              <w:top w:val="single" w:color="auto" w:sz="4" w:space="0"/>
              <w:left w:val="single" w:color="auto" w:sz="4" w:space="0"/>
              <w:bottom w:val="single" w:color="auto" w:sz="4" w:space="0"/>
              <w:right w:val="single" w:color="auto" w:sz="4" w:space="0"/>
            </w:tcBorders>
            <w:vAlign w:val="center"/>
          </w:tcPr>
          <w:p w14:paraId="71DD0B30">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生产</w:t>
            </w:r>
          </w:p>
          <w:p w14:paraId="5A6D1D83">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能力</w:t>
            </w:r>
          </w:p>
        </w:tc>
        <w:tc>
          <w:tcPr>
            <w:tcW w:w="1134" w:type="dxa"/>
            <w:tcBorders>
              <w:top w:val="single" w:color="auto" w:sz="4" w:space="0"/>
              <w:left w:val="single" w:color="auto" w:sz="4" w:space="0"/>
              <w:bottom w:val="single" w:color="auto" w:sz="4" w:space="0"/>
              <w:right w:val="single" w:color="auto" w:sz="4" w:space="0"/>
            </w:tcBorders>
            <w:vAlign w:val="center"/>
          </w:tcPr>
          <w:p w14:paraId="2C66A90F">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用于施</w:t>
            </w:r>
          </w:p>
          <w:p w14:paraId="10E3F1E8">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工部位</w:t>
            </w:r>
          </w:p>
        </w:tc>
        <w:tc>
          <w:tcPr>
            <w:tcW w:w="992" w:type="dxa"/>
            <w:tcBorders>
              <w:top w:val="single" w:color="auto" w:sz="4" w:space="0"/>
              <w:left w:val="single" w:color="auto" w:sz="4" w:space="0"/>
              <w:bottom w:val="single" w:color="auto" w:sz="4" w:space="0"/>
              <w:right w:val="single" w:color="auto" w:sz="4" w:space="0"/>
            </w:tcBorders>
            <w:vAlign w:val="center"/>
          </w:tcPr>
          <w:p w14:paraId="181565A8">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备注</w:t>
            </w:r>
          </w:p>
        </w:tc>
      </w:tr>
      <w:tr w14:paraId="4EF03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Borders>
              <w:top w:val="single" w:color="auto" w:sz="4" w:space="0"/>
              <w:left w:val="single" w:color="auto" w:sz="4" w:space="0"/>
              <w:bottom w:val="single" w:color="auto" w:sz="4" w:space="0"/>
              <w:right w:val="single" w:color="auto" w:sz="4" w:space="0"/>
            </w:tcBorders>
          </w:tcPr>
          <w:p w14:paraId="766D2E31">
            <w:pPr>
              <w:spacing w:line="360" w:lineRule="auto"/>
              <w:rPr>
                <w:rFonts w:hint="eastAsia" w:asciiTheme="minorEastAsia" w:hAnsiTheme="minorEastAsia" w:eastAsiaTheme="minorEastAsia" w:cstheme="minorEastAsia"/>
                <w:color w:val="auto"/>
                <w:highlight w:val="none"/>
              </w:rPr>
            </w:pPr>
          </w:p>
        </w:tc>
        <w:tc>
          <w:tcPr>
            <w:tcW w:w="1226" w:type="dxa"/>
            <w:tcBorders>
              <w:top w:val="single" w:color="auto" w:sz="4" w:space="0"/>
              <w:left w:val="single" w:color="auto" w:sz="4" w:space="0"/>
              <w:bottom w:val="single" w:color="auto" w:sz="4" w:space="0"/>
              <w:right w:val="single" w:color="auto" w:sz="4" w:space="0"/>
            </w:tcBorders>
          </w:tcPr>
          <w:p w14:paraId="32AA3D0C">
            <w:pPr>
              <w:spacing w:line="360" w:lineRule="auto"/>
              <w:ind w:firstLine="420" w:firstLineChars="200"/>
              <w:rPr>
                <w:rFonts w:hint="eastAsia" w:asciiTheme="minorEastAsia" w:hAnsiTheme="minorEastAsia" w:eastAsiaTheme="minorEastAsia" w:cstheme="minorEastAsia"/>
                <w:color w:val="auto"/>
                <w:highlight w:val="none"/>
              </w:rPr>
            </w:pPr>
          </w:p>
        </w:tc>
        <w:tc>
          <w:tcPr>
            <w:tcW w:w="851" w:type="dxa"/>
            <w:tcBorders>
              <w:top w:val="single" w:color="auto" w:sz="4" w:space="0"/>
              <w:left w:val="single" w:color="auto" w:sz="4" w:space="0"/>
              <w:bottom w:val="single" w:color="auto" w:sz="4" w:space="0"/>
              <w:right w:val="single" w:color="auto" w:sz="4" w:space="0"/>
            </w:tcBorders>
          </w:tcPr>
          <w:p w14:paraId="1D6B44DE">
            <w:pPr>
              <w:spacing w:line="360" w:lineRule="auto"/>
              <w:rPr>
                <w:rFonts w:hint="eastAsia" w:asciiTheme="minorEastAsia" w:hAnsiTheme="minorEastAsia" w:eastAsiaTheme="minorEastAsia" w:cstheme="minorEastAsia"/>
                <w:color w:val="auto"/>
                <w:highlight w:val="none"/>
              </w:rPr>
            </w:pPr>
          </w:p>
        </w:tc>
        <w:tc>
          <w:tcPr>
            <w:tcW w:w="708" w:type="dxa"/>
            <w:tcBorders>
              <w:top w:val="single" w:color="auto" w:sz="4" w:space="0"/>
              <w:left w:val="single" w:color="auto" w:sz="4" w:space="0"/>
              <w:bottom w:val="single" w:color="auto" w:sz="4" w:space="0"/>
              <w:right w:val="single" w:color="auto" w:sz="4" w:space="0"/>
            </w:tcBorders>
          </w:tcPr>
          <w:p w14:paraId="7B74A204">
            <w:pPr>
              <w:spacing w:line="360" w:lineRule="auto"/>
              <w:rPr>
                <w:rFonts w:hint="eastAsia" w:asciiTheme="minorEastAsia" w:hAnsiTheme="minorEastAsia" w:eastAsiaTheme="minorEastAsia" w:cstheme="minorEastAsia"/>
                <w:color w:val="auto"/>
                <w:highlight w:val="none"/>
              </w:rPr>
            </w:pPr>
          </w:p>
        </w:tc>
        <w:tc>
          <w:tcPr>
            <w:tcW w:w="709" w:type="dxa"/>
            <w:tcBorders>
              <w:top w:val="single" w:color="auto" w:sz="4" w:space="0"/>
              <w:left w:val="single" w:color="auto" w:sz="4" w:space="0"/>
              <w:bottom w:val="single" w:color="auto" w:sz="4" w:space="0"/>
              <w:right w:val="single" w:color="auto" w:sz="4" w:space="0"/>
            </w:tcBorders>
          </w:tcPr>
          <w:p w14:paraId="28D2C2E1">
            <w:pPr>
              <w:spacing w:line="360" w:lineRule="auto"/>
              <w:rPr>
                <w:rFonts w:hint="eastAsia" w:asciiTheme="minorEastAsia" w:hAnsiTheme="minorEastAsia" w:eastAsiaTheme="minorEastAsia" w:cstheme="minorEastAsia"/>
                <w:color w:val="auto"/>
                <w:highlight w:val="none"/>
              </w:rPr>
            </w:pPr>
          </w:p>
        </w:tc>
        <w:tc>
          <w:tcPr>
            <w:tcW w:w="851" w:type="dxa"/>
            <w:tcBorders>
              <w:top w:val="single" w:color="auto" w:sz="4" w:space="0"/>
              <w:left w:val="single" w:color="auto" w:sz="4" w:space="0"/>
              <w:bottom w:val="single" w:color="auto" w:sz="4" w:space="0"/>
              <w:right w:val="single" w:color="auto" w:sz="4" w:space="0"/>
            </w:tcBorders>
          </w:tcPr>
          <w:p w14:paraId="70FC4D8C">
            <w:pPr>
              <w:spacing w:line="360" w:lineRule="auto"/>
              <w:rPr>
                <w:rFonts w:hint="eastAsia" w:asciiTheme="minorEastAsia" w:hAnsiTheme="minorEastAsia" w:eastAsiaTheme="minorEastAsia" w:cstheme="minorEastAsia"/>
                <w:color w:val="auto"/>
                <w:highlight w:val="none"/>
              </w:rPr>
            </w:pPr>
          </w:p>
        </w:tc>
        <w:tc>
          <w:tcPr>
            <w:tcW w:w="1134" w:type="dxa"/>
            <w:tcBorders>
              <w:top w:val="single" w:color="auto" w:sz="4" w:space="0"/>
              <w:left w:val="single" w:color="auto" w:sz="4" w:space="0"/>
              <w:bottom w:val="single" w:color="auto" w:sz="4" w:space="0"/>
              <w:right w:val="single" w:color="auto" w:sz="4" w:space="0"/>
            </w:tcBorders>
          </w:tcPr>
          <w:p w14:paraId="3677F528">
            <w:pPr>
              <w:spacing w:line="360" w:lineRule="auto"/>
              <w:rPr>
                <w:rFonts w:hint="eastAsia" w:asciiTheme="minorEastAsia" w:hAnsiTheme="minorEastAsia" w:eastAsiaTheme="minorEastAsia" w:cstheme="minorEastAsia"/>
                <w:color w:val="auto"/>
                <w:highlight w:val="none"/>
              </w:rPr>
            </w:pPr>
          </w:p>
        </w:tc>
        <w:tc>
          <w:tcPr>
            <w:tcW w:w="992" w:type="dxa"/>
            <w:tcBorders>
              <w:top w:val="single" w:color="auto" w:sz="4" w:space="0"/>
              <w:left w:val="single" w:color="auto" w:sz="4" w:space="0"/>
              <w:bottom w:val="single" w:color="auto" w:sz="4" w:space="0"/>
              <w:right w:val="single" w:color="auto" w:sz="4" w:space="0"/>
            </w:tcBorders>
          </w:tcPr>
          <w:p w14:paraId="525EF206">
            <w:pPr>
              <w:spacing w:line="360" w:lineRule="auto"/>
              <w:rPr>
                <w:rFonts w:hint="eastAsia" w:asciiTheme="minorEastAsia" w:hAnsiTheme="minorEastAsia" w:eastAsiaTheme="minorEastAsia" w:cstheme="minorEastAsia"/>
                <w:color w:val="auto"/>
                <w:highlight w:val="none"/>
              </w:rPr>
            </w:pPr>
          </w:p>
        </w:tc>
        <w:tc>
          <w:tcPr>
            <w:tcW w:w="1134" w:type="dxa"/>
            <w:tcBorders>
              <w:top w:val="single" w:color="auto" w:sz="4" w:space="0"/>
              <w:left w:val="single" w:color="auto" w:sz="4" w:space="0"/>
              <w:bottom w:val="single" w:color="auto" w:sz="4" w:space="0"/>
              <w:right w:val="single" w:color="auto" w:sz="4" w:space="0"/>
            </w:tcBorders>
          </w:tcPr>
          <w:p w14:paraId="3CDD8E4F">
            <w:pPr>
              <w:spacing w:line="360" w:lineRule="auto"/>
              <w:rPr>
                <w:rFonts w:hint="eastAsia" w:asciiTheme="minorEastAsia" w:hAnsiTheme="minorEastAsia" w:eastAsiaTheme="minorEastAsia" w:cstheme="minorEastAsia"/>
                <w:color w:val="auto"/>
                <w:highlight w:val="none"/>
              </w:rPr>
            </w:pPr>
          </w:p>
        </w:tc>
        <w:tc>
          <w:tcPr>
            <w:tcW w:w="992" w:type="dxa"/>
            <w:tcBorders>
              <w:top w:val="single" w:color="auto" w:sz="4" w:space="0"/>
              <w:left w:val="single" w:color="auto" w:sz="4" w:space="0"/>
              <w:bottom w:val="single" w:color="auto" w:sz="4" w:space="0"/>
              <w:right w:val="single" w:color="auto" w:sz="4" w:space="0"/>
            </w:tcBorders>
          </w:tcPr>
          <w:p w14:paraId="70A95829">
            <w:pPr>
              <w:spacing w:line="360" w:lineRule="auto"/>
              <w:rPr>
                <w:rFonts w:hint="eastAsia" w:asciiTheme="minorEastAsia" w:hAnsiTheme="minorEastAsia" w:eastAsiaTheme="minorEastAsia" w:cstheme="minorEastAsia"/>
                <w:color w:val="auto"/>
                <w:highlight w:val="none"/>
              </w:rPr>
            </w:pPr>
          </w:p>
        </w:tc>
      </w:tr>
      <w:tr w14:paraId="67FBB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Borders>
              <w:top w:val="single" w:color="auto" w:sz="4" w:space="0"/>
              <w:left w:val="single" w:color="auto" w:sz="4" w:space="0"/>
              <w:bottom w:val="single" w:color="auto" w:sz="4" w:space="0"/>
              <w:right w:val="single" w:color="auto" w:sz="4" w:space="0"/>
            </w:tcBorders>
          </w:tcPr>
          <w:p w14:paraId="60889EDC">
            <w:pPr>
              <w:spacing w:line="360" w:lineRule="auto"/>
              <w:rPr>
                <w:rFonts w:hint="eastAsia" w:asciiTheme="minorEastAsia" w:hAnsiTheme="minorEastAsia" w:eastAsiaTheme="minorEastAsia" w:cstheme="minorEastAsia"/>
                <w:color w:val="auto"/>
                <w:highlight w:val="none"/>
              </w:rPr>
            </w:pPr>
          </w:p>
        </w:tc>
        <w:tc>
          <w:tcPr>
            <w:tcW w:w="1226" w:type="dxa"/>
            <w:tcBorders>
              <w:top w:val="single" w:color="auto" w:sz="4" w:space="0"/>
              <w:left w:val="single" w:color="auto" w:sz="4" w:space="0"/>
              <w:bottom w:val="single" w:color="auto" w:sz="4" w:space="0"/>
              <w:right w:val="single" w:color="auto" w:sz="4" w:space="0"/>
            </w:tcBorders>
          </w:tcPr>
          <w:p w14:paraId="707F2566">
            <w:pPr>
              <w:spacing w:line="360" w:lineRule="auto"/>
              <w:rPr>
                <w:rFonts w:hint="eastAsia" w:asciiTheme="minorEastAsia" w:hAnsiTheme="minorEastAsia" w:eastAsiaTheme="minorEastAsia" w:cstheme="minorEastAsia"/>
                <w:color w:val="auto"/>
                <w:highlight w:val="none"/>
              </w:rPr>
            </w:pPr>
          </w:p>
        </w:tc>
        <w:tc>
          <w:tcPr>
            <w:tcW w:w="851" w:type="dxa"/>
            <w:tcBorders>
              <w:top w:val="single" w:color="auto" w:sz="4" w:space="0"/>
              <w:left w:val="single" w:color="auto" w:sz="4" w:space="0"/>
              <w:bottom w:val="single" w:color="auto" w:sz="4" w:space="0"/>
              <w:right w:val="single" w:color="auto" w:sz="4" w:space="0"/>
            </w:tcBorders>
          </w:tcPr>
          <w:p w14:paraId="50A5052D">
            <w:pPr>
              <w:spacing w:line="360" w:lineRule="auto"/>
              <w:rPr>
                <w:rFonts w:hint="eastAsia" w:asciiTheme="minorEastAsia" w:hAnsiTheme="minorEastAsia" w:eastAsiaTheme="minorEastAsia" w:cstheme="minorEastAsia"/>
                <w:color w:val="auto"/>
                <w:highlight w:val="none"/>
              </w:rPr>
            </w:pPr>
          </w:p>
        </w:tc>
        <w:tc>
          <w:tcPr>
            <w:tcW w:w="708" w:type="dxa"/>
            <w:tcBorders>
              <w:top w:val="single" w:color="auto" w:sz="4" w:space="0"/>
              <w:left w:val="single" w:color="auto" w:sz="4" w:space="0"/>
              <w:bottom w:val="single" w:color="auto" w:sz="4" w:space="0"/>
              <w:right w:val="single" w:color="auto" w:sz="4" w:space="0"/>
            </w:tcBorders>
          </w:tcPr>
          <w:p w14:paraId="33F15274">
            <w:pPr>
              <w:spacing w:line="360" w:lineRule="auto"/>
              <w:rPr>
                <w:rFonts w:hint="eastAsia" w:asciiTheme="minorEastAsia" w:hAnsiTheme="minorEastAsia" w:eastAsiaTheme="minorEastAsia" w:cstheme="minorEastAsia"/>
                <w:color w:val="auto"/>
                <w:highlight w:val="none"/>
              </w:rPr>
            </w:pPr>
          </w:p>
        </w:tc>
        <w:tc>
          <w:tcPr>
            <w:tcW w:w="709" w:type="dxa"/>
            <w:tcBorders>
              <w:top w:val="single" w:color="auto" w:sz="4" w:space="0"/>
              <w:left w:val="single" w:color="auto" w:sz="4" w:space="0"/>
              <w:bottom w:val="single" w:color="auto" w:sz="4" w:space="0"/>
              <w:right w:val="single" w:color="auto" w:sz="4" w:space="0"/>
            </w:tcBorders>
          </w:tcPr>
          <w:p w14:paraId="5AC3F846">
            <w:pPr>
              <w:spacing w:line="360" w:lineRule="auto"/>
              <w:rPr>
                <w:rFonts w:hint="eastAsia" w:asciiTheme="minorEastAsia" w:hAnsiTheme="minorEastAsia" w:eastAsiaTheme="minorEastAsia" w:cstheme="minorEastAsia"/>
                <w:color w:val="auto"/>
                <w:highlight w:val="none"/>
              </w:rPr>
            </w:pPr>
          </w:p>
        </w:tc>
        <w:tc>
          <w:tcPr>
            <w:tcW w:w="851" w:type="dxa"/>
            <w:tcBorders>
              <w:top w:val="single" w:color="auto" w:sz="4" w:space="0"/>
              <w:left w:val="single" w:color="auto" w:sz="4" w:space="0"/>
              <w:bottom w:val="single" w:color="auto" w:sz="4" w:space="0"/>
              <w:right w:val="single" w:color="auto" w:sz="4" w:space="0"/>
            </w:tcBorders>
          </w:tcPr>
          <w:p w14:paraId="6DADAD18">
            <w:pPr>
              <w:spacing w:line="360" w:lineRule="auto"/>
              <w:rPr>
                <w:rFonts w:hint="eastAsia" w:asciiTheme="minorEastAsia" w:hAnsiTheme="minorEastAsia" w:eastAsiaTheme="minorEastAsia" w:cstheme="minorEastAsia"/>
                <w:color w:val="auto"/>
                <w:highlight w:val="none"/>
              </w:rPr>
            </w:pPr>
          </w:p>
        </w:tc>
        <w:tc>
          <w:tcPr>
            <w:tcW w:w="1134" w:type="dxa"/>
            <w:tcBorders>
              <w:top w:val="single" w:color="auto" w:sz="4" w:space="0"/>
              <w:left w:val="single" w:color="auto" w:sz="4" w:space="0"/>
              <w:bottom w:val="single" w:color="auto" w:sz="4" w:space="0"/>
              <w:right w:val="single" w:color="auto" w:sz="4" w:space="0"/>
            </w:tcBorders>
          </w:tcPr>
          <w:p w14:paraId="7D4C5361">
            <w:pPr>
              <w:spacing w:line="360" w:lineRule="auto"/>
              <w:rPr>
                <w:rFonts w:hint="eastAsia" w:asciiTheme="minorEastAsia" w:hAnsiTheme="minorEastAsia" w:eastAsiaTheme="minorEastAsia" w:cstheme="minorEastAsia"/>
                <w:color w:val="auto"/>
                <w:highlight w:val="none"/>
              </w:rPr>
            </w:pPr>
          </w:p>
        </w:tc>
        <w:tc>
          <w:tcPr>
            <w:tcW w:w="992" w:type="dxa"/>
            <w:tcBorders>
              <w:top w:val="single" w:color="auto" w:sz="4" w:space="0"/>
              <w:left w:val="single" w:color="auto" w:sz="4" w:space="0"/>
              <w:bottom w:val="single" w:color="auto" w:sz="4" w:space="0"/>
              <w:right w:val="single" w:color="auto" w:sz="4" w:space="0"/>
            </w:tcBorders>
          </w:tcPr>
          <w:p w14:paraId="3141F7A5">
            <w:pPr>
              <w:spacing w:line="360" w:lineRule="auto"/>
              <w:rPr>
                <w:rFonts w:hint="eastAsia" w:asciiTheme="minorEastAsia" w:hAnsiTheme="minorEastAsia" w:eastAsiaTheme="minorEastAsia" w:cstheme="minorEastAsia"/>
                <w:color w:val="auto"/>
                <w:highlight w:val="none"/>
              </w:rPr>
            </w:pPr>
          </w:p>
        </w:tc>
        <w:tc>
          <w:tcPr>
            <w:tcW w:w="1134" w:type="dxa"/>
            <w:tcBorders>
              <w:top w:val="single" w:color="auto" w:sz="4" w:space="0"/>
              <w:left w:val="single" w:color="auto" w:sz="4" w:space="0"/>
              <w:bottom w:val="single" w:color="auto" w:sz="4" w:space="0"/>
              <w:right w:val="single" w:color="auto" w:sz="4" w:space="0"/>
            </w:tcBorders>
          </w:tcPr>
          <w:p w14:paraId="389AD7CD">
            <w:pPr>
              <w:spacing w:line="360" w:lineRule="auto"/>
              <w:rPr>
                <w:rFonts w:hint="eastAsia" w:asciiTheme="minorEastAsia" w:hAnsiTheme="minorEastAsia" w:eastAsiaTheme="minorEastAsia" w:cstheme="minorEastAsia"/>
                <w:color w:val="auto"/>
                <w:highlight w:val="none"/>
              </w:rPr>
            </w:pPr>
          </w:p>
        </w:tc>
        <w:tc>
          <w:tcPr>
            <w:tcW w:w="992" w:type="dxa"/>
            <w:tcBorders>
              <w:top w:val="single" w:color="auto" w:sz="4" w:space="0"/>
              <w:left w:val="single" w:color="auto" w:sz="4" w:space="0"/>
              <w:bottom w:val="single" w:color="auto" w:sz="4" w:space="0"/>
              <w:right w:val="single" w:color="auto" w:sz="4" w:space="0"/>
            </w:tcBorders>
          </w:tcPr>
          <w:p w14:paraId="1366EE9A">
            <w:pPr>
              <w:spacing w:line="360" w:lineRule="auto"/>
              <w:rPr>
                <w:rFonts w:hint="eastAsia" w:asciiTheme="minorEastAsia" w:hAnsiTheme="minorEastAsia" w:eastAsiaTheme="minorEastAsia" w:cstheme="minorEastAsia"/>
                <w:color w:val="auto"/>
                <w:highlight w:val="none"/>
              </w:rPr>
            </w:pPr>
          </w:p>
        </w:tc>
      </w:tr>
      <w:tr w14:paraId="6AC29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Borders>
              <w:top w:val="single" w:color="auto" w:sz="4" w:space="0"/>
              <w:left w:val="single" w:color="auto" w:sz="4" w:space="0"/>
              <w:bottom w:val="single" w:color="auto" w:sz="4" w:space="0"/>
              <w:right w:val="single" w:color="auto" w:sz="4" w:space="0"/>
            </w:tcBorders>
          </w:tcPr>
          <w:p w14:paraId="0CB65639">
            <w:pPr>
              <w:spacing w:line="360" w:lineRule="auto"/>
              <w:rPr>
                <w:rFonts w:hint="eastAsia" w:asciiTheme="minorEastAsia" w:hAnsiTheme="minorEastAsia" w:eastAsiaTheme="minorEastAsia" w:cstheme="minorEastAsia"/>
                <w:color w:val="auto"/>
                <w:highlight w:val="none"/>
              </w:rPr>
            </w:pPr>
          </w:p>
        </w:tc>
        <w:tc>
          <w:tcPr>
            <w:tcW w:w="1226" w:type="dxa"/>
            <w:tcBorders>
              <w:top w:val="single" w:color="auto" w:sz="4" w:space="0"/>
              <w:left w:val="single" w:color="auto" w:sz="4" w:space="0"/>
              <w:bottom w:val="single" w:color="auto" w:sz="4" w:space="0"/>
              <w:right w:val="single" w:color="auto" w:sz="4" w:space="0"/>
            </w:tcBorders>
          </w:tcPr>
          <w:p w14:paraId="2F937882">
            <w:pPr>
              <w:spacing w:line="360" w:lineRule="auto"/>
              <w:rPr>
                <w:rFonts w:hint="eastAsia" w:asciiTheme="minorEastAsia" w:hAnsiTheme="minorEastAsia" w:eastAsiaTheme="minorEastAsia" w:cstheme="minorEastAsia"/>
                <w:color w:val="auto"/>
                <w:highlight w:val="none"/>
              </w:rPr>
            </w:pPr>
          </w:p>
        </w:tc>
        <w:tc>
          <w:tcPr>
            <w:tcW w:w="851" w:type="dxa"/>
            <w:tcBorders>
              <w:top w:val="single" w:color="auto" w:sz="4" w:space="0"/>
              <w:left w:val="single" w:color="auto" w:sz="4" w:space="0"/>
              <w:bottom w:val="single" w:color="auto" w:sz="4" w:space="0"/>
              <w:right w:val="single" w:color="auto" w:sz="4" w:space="0"/>
            </w:tcBorders>
          </w:tcPr>
          <w:p w14:paraId="7BD00CD1">
            <w:pPr>
              <w:spacing w:line="360" w:lineRule="auto"/>
              <w:rPr>
                <w:rFonts w:hint="eastAsia" w:asciiTheme="minorEastAsia" w:hAnsiTheme="minorEastAsia" w:eastAsiaTheme="minorEastAsia" w:cstheme="minorEastAsia"/>
                <w:color w:val="auto"/>
                <w:highlight w:val="none"/>
              </w:rPr>
            </w:pPr>
          </w:p>
        </w:tc>
        <w:tc>
          <w:tcPr>
            <w:tcW w:w="708" w:type="dxa"/>
            <w:tcBorders>
              <w:top w:val="single" w:color="auto" w:sz="4" w:space="0"/>
              <w:left w:val="single" w:color="auto" w:sz="4" w:space="0"/>
              <w:bottom w:val="single" w:color="auto" w:sz="4" w:space="0"/>
              <w:right w:val="single" w:color="auto" w:sz="4" w:space="0"/>
            </w:tcBorders>
          </w:tcPr>
          <w:p w14:paraId="786ADBA2">
            <w:pPr>
              <w:spacing w:line="360" w:lineRule="auto"/>
              <w:rPr>
                <w:rFonts w:hint="eastAsia" w:asciiTheme="minorEastAsia" w:hAnsiTheme="minorEastAsia" w:eastAsiaTheme="minorEastAsia" w:cstheme="minorEastAsia"/>
                <w:color w:val="auto"/>
                <w:highlight w:val="none"/>
              </w:rPr>
            </w:pPr>
          </w:p>
        </w:tc>
        <w:tc>
          <w:tcPr>
            <w:tcW w:w="709" w:type="dxa"/>
            <w:tcBorders>
              <w:top w:val="single" w:color="auto" w:sz="4" w:space="0"/>
              <w:left w:val="single" w:color="auto" w:sz="4" w:space="0"/>
              <w:bottom w:val="single" w:color="auto" w:sz="4" w:space="0"/>
              <w:right w:val="single" w:color="auto" w:sz="4" w:space="0"/>
            </w:tcBorders>
          </w:tcPr>
          <w:p w14:paraId="1612ABE5">
            <w:pPr>
              <w:spacing w:line="360" w:lineRule="auto"/>
              <w:rPr>
                <w:rFonts w:hint="eastAsia" w:asciiTheme="minorEastAsia" w:hAnsiTheme="minorEastAsia" w:eastAsiaTheme="minorEastAsia" w:cstheme="minorEastAsia"/>
                <w:color w:val="auto"/>
                <w:highlight w:val="none"/>
              </w:rPr>
            </w:pPr>
          </w:p>
        </w:tc>
        <w:tc>
          <w:tcPr>
            <w:tcW w:w="851" w:type="dxa"/>
            <w:tcBorders>
              <w:top w:val="single" w:color="auto" w:sz="4" w:space="0"/>
              <w:left w:val="single" w:color="auto" w:sz="4" w:space="0"/>
              <w:bottom w:val="single" w:color="auto" w:sz="4" w:space="0"/>
              <w:right w:val="single" w:color="auto" w:sz="4" w:space="0"/>
            </w:tcBorders>
          </w:tcPr>
          <w:p w14:paraId="39CF97A1">
            <w:pPr>
              <w:spacing w:line="360" w:lineRule="auto"/>
              <w:rPr>
                <w:rFonts w:hint="eastAsia" w:asciiTheme="minorEastAsia" w:hAnsiTheme="minorEastAsia" w:eastAsiaTheme="minorEastAsia" w:cstheme="minorEastAsia"/>
                <w:color w:val="auto"/>
                <w:highlight w:val="none"/>
              </w:rPr>
            </w:pPr>
          </w:p>
        </w:tc>
        <w:tc>
          <w:tcPr>
            <w:tcW w:w="1134" w:type="dxa"/>
            <w:tcBorders>
              <w:top w:val="single" w:color="auto" w:sz="4" w:space="0"/>
              <w:left w:val="single" w:color="auto" w:sz="4" w:space="0"/>
              <w:bottom w:val="single" w:color="auto" w:sz="4" w:space="0"/>
              <w:right w:val="single" w:color="auto" w:sz="4" w:space="0"/>
            </w:tcBorders>
          </w:tcPr>
          <w:p w14:paraId="76C96298">
            <w:pPr>
              <w:spacing w:line="360" w:lineRule="auto"/>
              <w:rPr>
                <w:rFonts w:hint="eastAsia" w:asciiTheme="minorEastAsia" w:hAnsiTheme="minorEastAsia" w:eastAsiaTheme="minorEastAsia" w:cstheme="minorEastAsia"/>
                <w:color w:val="auto"/>
                <w:highlight w:val="none"/>
              </w:rPr>
            </w:pPr>
          </w:p>
        </w:tc>
        <w:tc>
          <w:tcPr>
            <w:tcW w:w="992" w:type="dxa"/>
            <w:tcBorders>
              <w:top w:val="single" w:color="auto" w:sz="4" w:space="0"/>
              <w:left w:val="single" w:color="auto" w:sz="4" w:space="0"/>
              <w:bottom w:val="single" w:color="auto" w:sz="4" w:space="0"/>
              <w:right w:val="single" w:color="auto" w:sz="4" w:space="0"/>
            </w:tcBorders>
          </w:tcPr>
          <w:p w14:paraId="70FEE5D1">
            <w:pPr>
              <w:spacing w:line="360" w:lineRule="auto"/>
              <w:rPr>
                <w:rFonts w:hint="eastAsia" w:asciiTheme="minorEastAsia" w:hAnsiTheme="minorEastAsia" w:eastAsiaTheme="minorEastAsia" w:cstheme="minorEastAsia"/>
                <w:color w:val="auto"/>
                <w:highlight w:val="none"/>
              </w:rPr>
            </w:pPr>
          </w:p>
        </w:tc>
        <w:tc>
          <w:tcPr>
            <w:tcW w:w="1134" w:type="dxa"/>
            <w:tcBorders>
              <w:top w:val="single" w:color="auto" w:sz="4" w:space="0"/>
              <w:left w:val="single" w:color="auto" w:sz="4" w:space="0"/>
              <w:bottom w:val="single" w:color="auto" w:sz="4" w:space="0"/>
              <w:right w:val="single" w:color="auto" w:sz="4" w:space="0"/>
            </w:tcBorders>
          </w:tcPr>
          <w:p w14:paraId="3C5E3EFB">
            <w:pPr>
              <w:spacing w:line="360" w:lineRule="auto"/>
              <w:rPr>
                <w:rFonts w:hint="eastAsia" w:asciiTheme="minorEastAsia" w:hAnsiTheme="minorEastAsia" w:eastAsiaTheme="minorEastAsia" w:cstheme="minorEastAsia"/>
                <w:color w:val="auto"/>
                <w:highlight w:val="none"/>
              </w:rPr>
            </w:pPr>
          </w:p>
        </w:tc>
        <w:tc>
          <w:tcPr>
            <w:tcW w:w="992" w:type="dxa"/>
            <w:tcBorders>
              <w:top w:val="single" w:color="auto" w:sz="4" w:space="0"/>
              <w:left w:val="single" w:color="auto" w:sz="4" w:space="0"/>
              <w:bottom w:val="single" w:color="auto" w:sz="4" w:space="0"/>
              <w:right w:val="single" w:color="auto" w:sz="4" w:space="0"/>
            </w:tcBorders>
          </w:tcPr>
          <w:p w14:paraId="5AF97D6B">
            <w:pPr>
              <w:spacing w:line="360" w:lineRule="auto"/>
              <w:rPr>
                <w:rFonts w:hint="eastAsia" w:asciiTheme="minorEastAsia" w:hAnsiTheme="minorEastAsia" w:eastAsiaTheme="minorEastAsia" w:cstheme="minorEastAsia"/>
                <w:color w:val="auto"/>
                <w:highlight w:val="none"/>
              </w:rPr>
            </w:pPr>
          </w:p>
        </w:tc>
      </w:tr>
      <w:tr w14:paraId="1F082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Borders>
              <w:top w:val="single" w:color="auto" w:sz="4" w:space="0"/>
              <w:left w:val="single" w:color="auto" w:sz="4" w:space="0"/>
              <w:bottom w:val="single" w:color="auto" w:sz="4" w:space="0"/>
              <w:right w:val="single" w:color="auto" w:sz="4" w:space="0"/>
            </w:tcBorders>
          </w:tcPr>
          <w:p w14:paraId="6E5D5A4C">
            <w:pPr>
              <w:spacing w:line="360" w:lineRule="auto"/>
              <w:rPr>
                <w:rFonts w:hint="eastAsia" w:asciiTheme="minorEastAsia" w:hAnsiTheme="minorEastAsia" w:eastAsiaTheme="minorEastAsia" w:cstheme="minorEastAsia"/>
                <w:color w:val="auto"/>
                <w:highlight w:val="none"/>
              </w:rPr>
            </w:pPr>
          </w:p>
        </w:tc>
        <w:tc>
          <w:tcPr>
            <w:tcW w:w="1226" w:type="dxa"/>
            <w:tcBorders>
              <w:top w:val="single" w:color="auto" w:sz="4" w:space="0"/>
              <w:left w:val="single" w:color="auto" w:sz="4" w:space="0"/>
              <w:bottom w:val="single" w:color="auto" w:sz="4" w:space="0"/>
              <w:right w:val="single" w:color="auto" w:sz="4" w:space="0"/>
            </w:tcBorders>
          </w:tcPr>
          <w:p w14:paraId="7FECA22E">
            <w:pPr>
              <w:spacing w:line="360" w:lineRule="auto"/>
              <w:rPr>
                <w:rFonts w:hint="eastAsia" w:asciiTheme="minorEastAsia" w:hAnsiTheme="minorEastAsia" w:eastAsiaTheme="minorEastAsia" w:cstheme="minorEastAsia"/>
                <w:color w:val="auto"/>
                <w:highlight w:val="none"/>
              </w:rPr>
            </w:pPr>
          </w:p>
        </w:tc>
        <w:tc>
          <w:tcPr>
            <w:tcW w:w="851" w:type="dxa"/>
            <w:tcBorders>
              <w:top w:val="single" w:color="auto" w:sz="4" w:space="0"/>
              <w:left w:val="single" w:color="auto" w:sz="4" w:space="0"/>
              <w:bottom w:val="single" w:color="auto" w:sz="4" w:space="0"/>
              <w:right w:val="single" w:color="auto" w:sz="4" w:space="0"/>
            </w:tcBorders>
          </w:tcPr>
          <w:p w14:paraId="1F991FC3">
            <w:pPr>
              <w:spacing w:line="360" w:lineRule="auto"/>
              <w:rPr>
                <w:rFonts w:hint="eastAsia" w:asciiTheme="minorEastAsia" w:hAnsiTheme="minorEastAsia" w:eastAsiaTheme="minorEastAsia" w:cstheme="minorEastAsia"/>
                <w:color w:val="auto"/>
                <w:highlight w:val="none"/>
              </w:rPr>
            </w:pPr>
          </w:p>
        </w:tc>
        <w:tc>
          <w:tcPr>
            <w:tcW w:w="708" w:type="dxa"/>
            <w:tcBorders>
              <w:top w:val="single" w:color="auto" w:sz="4" w:space="0"/>
              <w:left w:val="single" w:color="auto" w:sz="4" w:space="0"/>
              <w:bottom w:val="single" w:color="auto" w:sz="4" w:space="0"/>
              <w:right w:val="single" w:color="auto" w:sz="4" w:space="0"/>
            </w:tcBorders>
          </w:tcPr>
          <w:p w14:paraId="1A1FB470">
            <w:pPr>
              <w:spacing w:line="360" w:lineRule="auto"/>
              <w:rPr>
                <w:rFonts w:hint="eastAsia" w:asciiTheme="minorEastAsia" w:hAnsiTheme="minorEastAsia" w:eastAsiaTheme="minorEastAsia" w:cstheme="minorEastAsia"/>
                <w:color w:val="auto"/>
                <w:highlight w:val="none"/>
              </w:rPr>
            </w:pPr>
          </w:p>
        </w:tc>
        <w:tc>
          <w:tcPr>
            <w:tcW w:w="709" w:type="dxa"/>
            <w:tcBorders>
              <w:top w:val="single" w:color="auto" w:sz="4" w:space="0"/>
              <w:left w:val="single" w:color="auto" w:sz="4" w:space="0"/>
              <w:bottom w:val="single" w:color="auto" w:sz="4" w:space="0"/>
              <w:right w:val="single" w:color="auto" w:sz="4" w:space="0"/>
            </w:tcBorders>
          </w:tcPr>
          <w:p w14:paraId="0835F8F3">
            <w:pPr>
              <w:spacing w:line="360" w:lineRule="auto"/>
              <w:rPr>
                <w:rFonts w:hint="eastAsia" w:asciiTheme="minorEastAsia" w:hAnsiTheme="minorEastAsia" w:eastAsiaTheme="minorEastAsia" w:cstheme="minorEastAsia"/>
                <w:color w:val="auto"/>
                <w:highlight w:val="none"/>
              </w:rPr>
            </w:pPr>
          </w:p>
        </w:tc>
        <w:tc>
          <w:tcPr>
            <w:tcW w:w="851" w:type="dxa"/>
            <w:tcBorders>
              <w:top w:val="single" w:color="auto" w:sz="4" w:space="0"/>
              <w:left w:val="single" w:color="auto" w:sz="4" w:space="0"/>
              <w:bottom w:val="single" w:color="auto" w:sz="4" w:space="0"/>
              <w:right w:val="single" w:color="auto" w:sz="4" w:space="0"/>
            </w:tcBorders>
          </w:tcPr>
          <w:p w14:paraId="173D066B">
            <w:pPr>
              <w:spacing w:line="360" w:lineRule="auto"/>
              <w:rPr>
                <w:rFonts w:hint="eastAsia" w:asciiTheme="minorEastAsia" w:hAnsiTheme="minorEastAsia" w:eastAsiaTheme="minorEastAsia" w:cstheme="minorEastAsia"/>
                <w:color w:val="auto"/>
                <w:highlight w:val="none"/>
              </w:rPr>
            </w:pPr>
          </w:p>
        </w:tc>
        <w:tc>
          <w:tcPr>
            <w:tcW w:w="1134" w:type="dxa"/>
            <w:tcBorders>
              <w:top w:val="single" w:color="auto" w:sz="4" w:space="0"/>
              <w:left w:val="single" w:color="auto" w:sz="4" w:space="0"/>
              <w:bottom w:val="single" w:color="auto" w:sz="4" w:space="0"/>
              <w:right w:val="single" w:color="auto" w:sz="4" w:space="0"/>
            </w:tcBorders>
          </w:tcPr>
          <w:p w14:paraId="3FFA1E53">
            <w:pPr>
              <w:spacing w:line="360" w:lineRule="auto"/>
              <w:rPr>
                <w:rFonts w:hint="eastAsia" w:asciiTheme="minorEastAsia" w:hAnsiTheme="minorEastAsia" w:eastAsiaTheme="minorEastAsia" w:cstheme="minorEastAsia"/>
                <w:color w:val="auto"/>
                <w:highlight w:val="none"/>
              </w:rPr>
            </w:pPr>
          </w:p>
        </w:tc>
        <w:tc>
          <w:tcPr>
            <w:tcW w:w="992" w:type="dxa"/>
            <w:tcBorders>
              <w:top w:val="single" w:color="auto" w:sz="4" w:space="0"/>
              <w:left w:val="single" w:color="auto" w:sz="4" w:space="0"/>
              <w:bottom w:val="single" w:color="auto" w:sz="4" w:space="0"/>
              <w:right w:val="single" w:color="auto" w:sz="4" w:space="0"/>
            </w:tcBorders>
          </w:tcPr>
          <w:p w14:paraId="55FBFBC2">
            <w:pPr>
              <w:spacing w:line="360" w:lineRule="auto"/>
              <w:rPr>
                <w:rFonts w:hint="eastAsia" w:asciiTheme="minorEastAsia" w:hAnsiTheme="minorEastAsia" w:eastAsiaTheme="minorEastAsia" w:cstheme="minorEastAsia"/>
                <w:color w:val="auto"/>
                <w:highlight w:val="none"/>
              </w:rPr>
            </w:pPr>
          </w:p>
        </w:tc>
        <w:tc>
          <w:tcPr>
            <w:tcW w:w="1134" w:type="dxa"/>
            <w:tcBorders>
              <w:top w:val="single" w:color="auto" w:sz="4" w:space="0"/>
              <w:left w:val="single" w:color="auto" w:sz="4" w:space="0"/>
              <w:bottom w:val="single" w:color="auto" w:sz="4" w:space="0"/>
              <w:right w:val="single" w:color="auto" w:sz="4" w:space="0"/>
            </w:tcBorders>
          </w:tcPr>
          <w:p w14:paraId="2F90BEB4">
            <w:pPr>
              <w:spacing w:line="360" w:lineRule="auto"/>
              <w:rPr>
                <w:rFonts w:hint="eastAsia" w:asciiTheme="minorEastAsia" w:hAnsiTheme="minorEastAsia" w:eastAsiaTheme="minorEastAsia" w:cstheme="minorEastAsia"/>
                <w:color w:val="auto"/>
                <w:highlight w:val="none"/>
              </w:rPr>
            </w:pPr>
          </w:p>
        </w:tc>
        <w:tc>
          <w:tcPr>
            <w:tcW w:w="992" w:type="dxa"/>
            <w:tcBorders>
              <w:top w:val="single" w:color="auto" w:sz="4" w:space="0"/>
              <w:left w:val="single" w:color="auto" w:sz="4" w:space="0"/>
              <w:bottom w:val="single" w:color="auto" w:sz="4" w:space="0"/>
              <w:right w:val="single" w:color="auto" w:sz="4" w:space="0"/>
            </w:tcBorders>
          </w:tcPr>
          <w:p w14:paraId="71609D1A">
            <w:pPr>
              <w:spacing w:line="360" w:lineRule="auto"/>
              <w:rPr>
                <w:rFonts w:hint="eastAsia" w:asciiTheme="minorEastAsia" w:hAnsiTheme="minorEastAsia" w:eastAsiaTheme="minorEastAsia" w:cstheme="minorEastAsia"/>
                <w:color w:val="auto"/>
                <w:highlight w:val="none"/>
              </w:rPr>
            </w:pPr>
          </w:p>
        </w:tc>
      </w:tr>
      <w:tr w14:paraId="460E5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Borders>
              <w:top w:val="single" w:color="auto" w:sz="4" w:space="0"/>
              <w:left w:val="single" w:color="auto" w:sz="4" w:space="0"/>
              <w:bottom w:val="single" w:color="auto" w:sz="4" w:space="0"/>
              <w:right w:val="single" w:color="auto" w:sz="4" w:space="0"/>
            </w:tcBorders>
          </w:tcPr>
          <w:p w14:paraId="0DA2A4DC">
            <w:pPr>
              <w:spacing w:line="360" w:lineRule="auto"/>
              <w:rPr>
                <w:rFonts w:hint="eastAsia" w:asciiTheme="minorEastAsia" w:hAnsiTheme="minorEastAsia" w:eastAsiaTheme="minorEastAsia" w:cstheme="minorEastAsia"/>
                <w:color w:val="auto"/>
                <w:highlight w:val="none"/>
              </w:rPr>
            </w:pPr>
          </w:p>
        </w:tc>
        <w:tc>
          <w:tcPr>
            <w:tcW w:w="1226" w:type="dxa"/>
            <w:tcBorders>
              <w:top w:val="single" w:color="auto" w:sz="4" w:space="0"/>
              <w:left w:val="single" w:color="auto" w:sz="4" w:space="0"/>
              <w:bottom w:val="single" w:color="auto" w:sz="4" w:space="0"/>
              <w:right w:val="single" w:color="auto" w:sz="4" w:space="0"/>
            </w:tcBorders>
          </w:tcPr>
          <w:p w14:paraId="1FD11D08">
            <w:pPr>
              <w:spacing w:line="360" w:lineRule="auto"/>
              <w:rPr>
                <w:rFonts w:hint="eastAsia" w:asciiTheme="minorEastAsia" w:hAnsiTheme="minorEastAsia" w:eastAsiaTheme="minorEastAsia" w:cstheme="minorEastAsia"/>
                <w:color w:val="auto"/>
                <w:highlight w:val="none"/>
              </w:rPr>
            </w:pPr>
          </w:p>
        </w:tc>
        <w:tc>
          <w:tcPr>
            <w:tcW w:w="851" w:type="dxa"/>
            <w:tcBorders>
              <w:top w:val="single" w:color="auto" w:sz="4" w:space="0"/>
              <w:left w:val="single" w:color="auto" w:sz="4" w:space="0"/>
              <w:bottom w:val="single" w:color="auto" w:sz="4" w:space="0"/>
              <w:right w:val="single" w:color="auto" w:sz="4" w:space="0"/>
            </w:tcBorders>
          </w:tcPr>
          <w:p w14:paraId="407EDADE">
            <w:pPr>
              <w:spacing w:line="360" w:lineRule="auto"/>
              <w:rPr>
                <w:rFonts w:hint="eastAsia" w:asciiTheme="minorEastAsia" w:hAnsiTheme="minorEastAsia" w:eastAsiaTheme="minorEastAsia" w:cstheme="minorEastAsia"/>
                <w:color w:val="auto"/>
                <w:highlight w:val="none"/>
              </w:rPr>
            </w:pPr>
          </w:p>
        </w:tc>
        <w:tc>
          <w:tcPr>
            <w:tcW w:w="708" w:type="dxa"/>
            <w:tcBorders>
              <w:top w:val="single" w:color="auto" w:sz="4" w:space="0"/>
              <w:left w:val="single" w:color="auto" w:sz="4" w:space="0"/>
              <w:bottom w:val="single" w:color="auto" w:sz="4" w:space="0"/>
              <w:right w:val="single" w:color="auto" w:sz="4" w:space="0"/>
            </w:tcBorders>
          </w:tcPr>
          <w:p w14:paraId="258C0E68">
            <w:pPr>
              <w:spacing w:line="360" w:lineRule="auto"/>
              <w:rPr>
                <w:rFonts w:hint="eastAsia" w:asciiTheme="minorEastAsia" w:hAnsiTheme="minorEastAsia" w:eastAsiaTheme="minorEastAsia" w:cstheme="minorEastAsia"/>
                <w:color w:val="auto"/>
                <w:highlight w:val="none"/>
              </w:rPr>
            </w:pPr>
          </w:p>
        </w:tc>
        <w:tc>
          <w:tcPr>
            <w:tcW w:w="709" w:type="dxa"/>
            <w:tcBorders>
              <w:top w:val="single" w:color="auto" w:sz="4" w:space="0"/>
              <w:left w:val="single" w:color="auto" w:sz="4" w:space="0"/>
              <w:bottom w:val="single" w:color="auto" w:sz="4" w:space="0"/>
              <w:right w:val="single" w:color="auto" w:sz="4" w:space="0"/>
            </w:tcBorders>
          </w:tcPr>
          <w:p w14:paraId="2E656216">
            <w:pPr>
              <w:spacing w:line="360" w:lineRule="auto"/>
              <w:rPr>
                <w:rFonts w:hint="eastAsia" w:asciiTheme="minorEastAsia" w:hAnsiTheme="minorEastAsia" w:eastAsiaTheme="minorEastAsia" w:cstheme="minorEastAsia"/>
                <w:color w:val="auto"/>
                <w:highlight w:val="none"/>
              </w:rPr>
            </w:pPr>
          </w:p>
        </w:tc>
        <w:tc>
          <w:tcPr>
            <w:tcW w:w="851" w:type="dxa"/>
            <w:tcBorders>
              <w:top w:val="single" w:color="auto" w:sz="4" w:space="0"/>
              <w:left w:val="single" w:color="auto" w:sz="4" w:space="0"/>
              <w:bottom w:val="single" w:color="auto" w:sz="4" w:space="0"/>
              <w:right w:val="single" w:color="auto" w:sz="4" w:space="0"/>
            </w:tcBorders>
          </w:tcPr>
          <w:p w14:paraId="52ED6122">
            <w:pPr>
              <w:spacing w:line="360" w:lineRule="auto"/>
              <w:rPr>
                <w:rFonts w:hint="eastAsia" w:asciiTheme="minorEastAsia" w:hAnsiTheme="minorEastAsia" w:eastAsiaTheme="minorEastAsia" w:cstheme="minorEastAsia"/>
                <w:color w:val="auto"/>
                <w:highlight w:val="none"/>
              </w:rPr>
            </w:pPr>
          </w:p>
        </w:tc>
        <w:tc>
          <w:tcPr>
            <w:tcW w:w="1134" w:type="dxa"/>
            <w:tcBorders>
              <w:top w:val="single" w:color="auto" w:sz="4" w:space="0"/>
              <w:left w:val="single" w:color="auto" w:sz="4" w:space="0"/>
              <w:bottom w:val="single" w:color="auto" w:sz="4" w:space="0"/>
              <w:right w:val="single" w:color="auto" w:sz="4" w:space="0"/>
            </w:tcBorders>
          </w:tcPr>
          <w:p w14:paraId="70B40818">
            <w:pPr>
              <w:spacing w:line="360" w:lineRule="auto"/>
              <w:rPr>
                <w:rFonts w:hint="eastAsia" w:asciiTheme="minorEastAsia" w:hAnsiTheme="minorEastAsia" w:eastAsiaTheme="minorEastAsia" w:cstheme="minorEastAsia"/>
                <w:color w:val="auto"/>
                <w:highlight w:val="none"/>
              </w:rPr>
            </w:pPr>
          </w:p>
        </w:tc>
        <w:tc>
          <w:tcPr>
            <w:tcW w:w="992" w:type="dxa"/>
            <w:tcBorders>
              <w:top w:val="single" w:color="auto" w:sz="4" w:space="0"/>
              <w:left w:val="single" w:color="auto" w:sz="4" w:space="0"/>
              <w:bottom w:val="single" w:color="auto" w:sz="4" w:space="0"/>
              <w:right w:val="single" w:color="auto" w:sz="4" w:space="0"/>
            </w:tcBorders>
          </w:tcPr>
          <w:p w14:paraId="4BF20167">
            <w:pPr>
              <w:spacing w:line="360" w:lineRule="auto"/>
              <w:rPr>
                <w:rFonts w:hint="eastAsia" w:asciiTheme="minorEastAsia" w:hAnsiTheme="minorEastAsia" w:eastAsiaTheme="minorEastAsia" w:cstheme="minorEastAsia"/>
                <w:color w:val="auto"/>
                <w:highlight w:val="none"/>
              </w:rPr>
            </w:pPr>
          </w:p>
        </w:tc>
        <w:tc>
          <w:tcPr>
            <w:tcW w:w="1134" w:type="dxa"/>
            <w:tcBorders>
              <w:top w:val="single" w:color="auto" w:sz="4" w:space="0"/>
              <w:left w:val="single" w:color="auto" w:sz="4" w:space="0"/>
              <w:bottom w:val="single" w:color="auto" w:sz="4" w:space="0"/>
              <w:right w:val="single" w:color="auto" w:sz="4" w:space="0"/>
            </w:tcBorders>
          </w:tcPr>
          <w:p w14:paraId="4AB22979">
            <w:pPr>
              <w:spacing w:line="360" w:lineRule="auto"/>
              <w:rPr>
                <w:rFonts w:hint="eastAsia" w:asciiTheme="minorEastAsia" w:hAnsiTheme="minorEastAsia" w:eastAsiaTheme="minorEastAsia" w:cstheme="minorEastAsia"/>
                <w:color w:val="auto"/>
                <w:highlight w:val="none"/>
              </w:rPr>
            </w:pPr>
          </w:p>
        </w:tc>
        <w:tc>
          <w:tcPr>
            <w:tcW w:w="992" w:type="dxa"/>
            <w:tcBorders>
              <w:top w:val="single" w:color="auto" w:sz="4" w:space="0"/>
              <w:left w:val="single" w:color="auto" w:sz="4" w:space="0"/>
              <w:bottom w:val="single" w:color="auto" w:sz="4" w:space="0"/>
              <w:right w:val="single" w:color="auto" w:sz="4" w:space="0"/>
            </w:tcBorders>
          </w:tcPr>
          <w:p w14:paraId="5AAA1E0F">
            <w:pPr>
              <w:spacing w:line="360" w:lineRule="auto"/>
              <w:rPr>
                <w:rFonts w:hint="eastAsia" w:asciiTheme="minorEastAsia" w:hAnsiTheme="minorEastAsia" w:eastAsiaTheme="minorEastAsia" w:cstheme="minorEastAsia"/>
                <w:color w:val="auto"/>
                <w:highlight w:val="none"/>
              </w:rPr>
            </w:pPr>
          </w:p>
        </w:tc>
      </w:tr>
    </w:tbl>
    <w:p w14:paraId="660850BA">
      <w:pPr>
        <w:rPr>
          <w:rFonts w:hint="eastAsia" w:asciiTheme="minorEastAsia" w:hAnsiTheme="minorEastAsia" w:eastAsiaTheme="minorEastAsia" w:cstheme="minorEastAsia"/>
          <w:color w:val="auto"/>
          <w:highlight w:val="none"/>
        </w:rPr>
      </w:pPr>
    </w:p>
    <w:p w14:paraId="411222A1">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附表二：拟配备本工程的试验和检测仪器设备表</w:t>
      </w:r>
    </w:p>
    <w:tbl>
      <w:tblPr>
        <w:tblStyle w:val="44"/>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1134"/>
        <w:gridCol w:w="1276"/>
        <w:gridCol w:w="1134"/>
        <w:gridCol w:w="1559"/>
      </w:tblGrid>
      <w:tr w14:paraId="56966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tcBorders>
              <w:top w:val="single" w:color="auto" w:sz="4" w:space="0"/>
              <w:left w:val="single" w:color="auto" w:sz="4" w:space="0"/>
              <w:bottom w:val="single" w:color="auto" w:sz="4" w:space="0"/>
              <w:right w:val="single" w:color="auto" w:sz="4" w:space="0"/>
            </w:tcBorders>
            <w:vAlign w:val="center"/>
          </w:tcPr>
          <w:p w14:paraId="435582C5">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序号</w:t>
            </w:r>
          </w:p>
        </w:tc>
        <w:tc>
          <w:tcPr>
            <w:tcW w:w="1226" w:type="dxa"/>
            <w:tcBorders>
              <w:top w:val="single" w:color="auto" w:sz="4" w:space="0"/>
              <w:left w:val="single" w:color="auto" w:sz="4" w:space="0"/>
              <w:bottom w:val="single" w:color="auto" w:sz="4" w:space="0"/>
              <w:right w:val="single" w:color="auto" w:sz="4" w:space="0"/>
            </w:tcBorders>
            <w:vAlign w:val="center"/>
          </w:tcPr>
          <w:p w14:paraId="698C4CEA">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仪器设备名称</w:t>
            </w:r>
          </w:p>
        </w:tc>
        <w:tc>
          <w:tcPr>
            <w:tcW w:w="851" w:type="dxa"/>
            <w:tcBorders>
              <w:top w:val="single" w:color="auto" w:sz="4" w:space="0"/>
              <w:left w:val="single" w:color="auto" w:sz="4" w:space="0"/>
              <w:bottom w:val="single" w:color="auto" w:sz="4" w:space="0"/>
              <w:right w:val="single" w:color="auto" w:sz="4" w:space="0"/>
            </w:tcBorders>
            <w:vAlign w:val="center"/>
          </w:tcPr>
          <w:p w14:paraId="26B57392">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型号</w:t>
            </w:r>
          </w:p>
          <w:p w14:paraId="4E502A71">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规格</w:t>
            </w:r>
          </w:p>
        </w:tc>
        <w:tc>
          <w:tcPr>
            <w:tcW w:w="708" w:type="dxa"/>
            <w:tcBorders>
              <w:top w:val="single" w:color="auto" w:sz="4" w:space="0"/>
              <w:left w:val="single" w:color="auto" w:sz="4" w:space="0"/>
              <w:bottom w:val="single" w:color="auto" w:sz="4" w:space="0"/>
              <w:right w:val="single" w:color="auto" w:sz="4" w:space="0"/>
            </w:tcBorders>
            <w:vAlign w:val="center"/>
          </w:tcPr>
          <w:p w14:paraId="4E403C54">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数量</w:t>
            </w:r>
          </w:p>
        </w:tc>
        <w:tc>
          <w:tcPr>
            <w:tcW w:w="709" w:type="dxa"/>
            <w:tcBorders>
              <w:top w:val="single" w:color="auto" w:sz="4" w:space="0"/>
              <w:left w:val="single" w:color="auto" w:sz="4" w:space="0"/>
              <w:bottom w:val="single" w:color="auto" w:sz="4" w:space="0"/>
              <w:right w:val="single" w:color="auto" w:sz="4" w:space="0"/>
            </w:tcBorders>
            <w:vAlign w:val="center"/>
          </w:tcPr>
          <w:p w14:paraId="07D138C3">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国别</w:t>
            </w:r>
          </w:p>
          <w:p w14:paraId="0E0D76B1">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产地</w:t>
            </w:r>
          </w:p>
        </w:tc>
        <w:tc>
          <w:tcPr>
            <w:tcW w:w="1134" w:type="dxa"/>
            <w:tcBorders>
              <w:top w:val="single" w:color="auto" w:sz="4" w:space="0"/>
              <w:left w:val="single" w:color="auto" w:sz="4" w:space="0"/>
              <w:bottom w:val="single" w:color="auto" w:sz="4" w:space="0"/>
              <w:right w:val="single" w:color="auto" w:sz="4" w:space="0"/>
            </w:tcBorders>
            <w:vAlign w:val="center"/>
          </w:tcPr>
          <w:p w14:paraId="4EB16B29">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制造年份</w:t>
            </w:r>
          </w:p>
        </w:tc>
        <w:tc>
          <w:tcPr>
            <w:tcW w:w="1276" w:type="dxa"/>
            <w:tcBorders>
              <w:top w:val="single" w:color="auto" w:sz="4" w:space="0"/>
              <w:left w:val="single" w:color="auto" w:sz="4" w:space="0"/>
              <w:bottom w:val="single" w:color="auto" w:sz="4" w:space="0"/>
              <w:right w:val="single" w:color="auto" w:sz="4" w:space="0"/>
            </w:tcBorders>
            <w:vAlign w:val="center"/>
          </w:tcPr>
          <w:p w14:paraId="701F01CE">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已使用</w:t>
            </w:r>
          </w:p>
          <w:p w14:paraId="20E48AC9">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台时数</w:t>
            </w:r>
          </w:p>
        </w:tc>
        <w:tc>
          <w:tcPr>
            <w:tcW w:w="1134" w:type="dxa"/>
            <w:tcBorders>
              <w:top w:val="single" w:color="auto" w:sz="4" w:space="0"/>
              <w:left w:val="single" w:color="auto" w:sz="4" w:space="0"/>
              <w:bottom w:val="single" w:color="auto" w:sz="4" w:space="0"/>
              <w:right w:val="single" w:color="auto" w:sz="4" w:space="0"/>
            </w:tcBorders>
            <w:vAlign w:val="center"/>
          </w:tcPr>
          <w:p w14:paraId="7A571C7D">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用途</w:t>
            </w:r>
          </w:p>
        </w:tc>
        <w:tc>
          <w:tcPr>
            <w:tcW w:w="1559" w:type="dxa"/>
            <w:tcBorders>
              <w:top w:val="single" w:color="auto" w:sz="4" w:space="0"/>
              <w:left w:val="single" w:color="auto" w:sz="4" w:space="0"/>
              <w:bottom w:val="single" w:color="auto" w:sz="4" w:space="0"/>
              <w:right w:val="single" w:color="auto" w:sz="4" w:space="0"/>
            </w:tcBorders>
            <w:vAlign w:val="center"/>
          </w:tcPr>
          <w:p w14:paraId="25900E30">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备注</w:t>
            </w:r>
          </w:p>
        </w:tc>
      </w:tr>
      <w:tr w14:paraId="6D0CB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tcBorders>
              <w:top w:val="single" w:color="auto" w:sz="4" w:space="0"/>
              <w:left w:val="single" w:color="auto" w:sz="4" w:space="0"/>
              <w:bottom w:val="single" w:color="auto" w:sz="4" w:space="0"/>
              <w:right w:val="single" w:color="auto" w:sz="4" w:space="0"/>
            </w:tcBorders>
            <w:vAlign w:val="center"/>
          </w:tcPr>
          <w:p w14:paraId="41503AD6">
            <w:pPr>
              <w:spacing w:line="360" w:lineRule="auto"/>
              <w:ind w:firstLine="420" w:firstLineChars="200"/>
              <w:rPr>
                <w:rFonts w:hint="eastAsia" w:asciiTheme="minorEastAsia" w:hAnsiTheme="minorEastAsia" w:eastAsiaTheme="minorEastAsia" w:cstheme="minorEastAsia"/>
                <w:color w:val="auto"/>
                <w:highlight w:val="none"/>
              </w:rPr>
            </w:pPr>
          </w:p>
        </w:tc>
        <w:tc>
          <w:tcPr>
            <w:tcW w:w="1226" w:type="dxa"/>
            <w:tcBorders>
              <w:top w:val="single" w:color="auto" w:sz="4" w:space="0"/>
              <w:left w:val="single" w:color="auto" w:sz="4" w:space="0"/>
              <w:bottom w:val="single" w:color="auto" w:sz="4" w:space="0"/>
              <w:right w:val="single" w:color="auto" w:sz="4" w:space="0"/>
            </w:tcBorders>
            <w:vAlign w:val="center"/>
          </w:tcPr>
          <w:p w14:paraId="3C95E84B">
            <w:pPr>
              <w:spacing w:line="360" w:lineRule="auto"/>
              <w:ind w:firstLine="420" w:firstLineChars="200"/>
              <w:rPr>
                <w:rFonts w:hint="eastAsia" w:asciiTheme="minorEastAsia" w:hAnsiTheme="minorEastAsia" w:eastAsiaTheme="minorEastAsia" w:cstheme="minorEastAsia"/>
                <w:color w:val="auto"/>
                <w:highlight w:val="none"/>
              </w:rPr>
            </w:pPr>
          </w:p>
        </w:tc>
        <w:tc>
          <w:tcPr>
            <w:tcW w:w="851" w:type="dxa"/>
            <w:tcBorders>
              <w:top w:val="single" w:color="auto" w:sz="4" w:space="0"/>
              <w:left w:val="single" w:color="auto" w:sz="4" w:space="0"/>
              <w:bottom w:val="single" w:color="auto" w:sz="4" w:space="0"/>
              <w:right w:val="single" w:color="auto" w:sz="4" w:space="0"/>
            </w:tcBorders>
            <w:vAlign w:val="center"/>
          </w:tcPr>
          <w:p w14:paraId="469C24D3">
            <w:pPr>
              <w:spacing w:line="360" w:lineRule="auto"/>
              <w:ind w:firstLine="420" w:firstLineChars="200"/>
              <w:rPr>
                <w:rFonts w:hint="eastAsia" w:asciiTheme="minorEastAsia" w:hAnsiTheme="minorEastAsia" w:eastAsiaTheme="minorEastAsia" w:cstheme="minorEastAsia"/>
                <w:color w:val="auto"/>
                <w:highlight w:val="none"/>
              </w:rPr>
            </w:pPr>
          </w:p>
        </w:tc>
        <w:tc>
          <w:tcPr>
            <w:tcW w:w="708" w:type="dxa"/>
            <w:tcBorders>
              <w:top w:val="single" w:color="auto" w:sz="4" w:space="0"/>
              <w:left w:val="single" w:color="auto" w:sz="4" w:space="0"/>
              <w:bottom w:val="single" w:color="auto" w:sz="4" w:space="0"/>
              <w:right w:val="single" w:color="auto" w:sz="4" w:space="0"/>
            </w:tcBorders>
            <w:vAlign w:val="center"/>
          </w:tcPr>
          <w:p w14:paraId="1EE21756">
            <w:pPr>
              <w:spacing w:line="360" w:lineRule="auto"/>
              <w:ind w:firstLine="420" w:firstLineChars="200"/>
              <w:rPr>
                <w:rFonts w:hint="eastAsia" w:asciiTheme="minorEastAsia" w:hAnsiTheme="minorEastAsia" w:eastAsiaTheme="minorEastAsia" w:cstheme="minorEastAsia"/>
                <w:color w:val="auto"/>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14:paraId="42BB6DB2">
            <w:pPr>
              <w:spacing w:line="360" w:lineRule="auto"/>
              <w:ind w:firstLine="420" w:firstLineChars="200"/>
              <w:rPr>
                <w:rFonts w:hint="eastAsia" w:asciiTheme="minorEastAsia" w:hAnsiTheme="minorEastAsia" w:eastAsiaTheme="minorEastAsia" w:cstheme="minorEastAsia"/>
                <w:color w:val="auto"/>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31EE1CDB">
            <w:pPr>
              <w:spacing w:line="360" w:lineRule="auto"/>
              <w:ind w:firstLine="420" w:firstLineChars="200"/>
              <w:rPr>
                <w:rFonts w:hint="eastAsia" w:asciiTheme="minorEastAsia" w:hAnsiTheme="minorEastAsia" w:eastAsiaTheme="minorEastAsia" w:cstheme="minorEastAsia"/>
                <w:color w:val="auto"/>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14:paraId="2F020918">
            <w:pPr>
              <w:spacing w:line="360" w:lineRule="auto"/>
              <w:ind w:firstLine="420" w:firstLineChars="200"/>
              <w:rPr>
                <w:rFonts w:hint="eastAsia" w:asciiTheme="minorEastAsia" w:hAnsiTheme="minorEastAsia" w:eastAsiaTheme="minorEastAsia" w:cstheme="minorEastAsia"/>
                <w:color w:val="auto"/>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6C6D50E9">
            <w:pPr>
              <w:spacing w:line="360" w:lineRule="auto"/>
              <w:ind w:firstLine="420" w:firstLineChars="200"/>
              <w:rPr>
                <w:rFonts w:hint="eastAsia" w:asciiTheme="minorEastAsia" w:hAnsiTheme="minorEastAsia" w:eastAsiaTheme="minorEastAsia" w:cstheme="minorEastAsia"/>
                <w:color w:val="auto"/>
                <w:highlight w:val="none"/>
              </w:rPr>
            </w:pPr>
          </w:p>
        </w:tc>
        <w:tc>
          <w:tcPr>
            <w:tcW w:w="1559" w:type="dxa"/>
            <w:tcBorders>
              <w:top w:val="single" w:color="auto" w:sz="4" w:space="0"/>
              <w:left w:val="single" w:color="auto" w:sz="4" w:space="0"/>
              <w:bottom w:val="single" w:color="auto" w:sz="4" w:space="0"/>
              <w:right w:val="single" w:color="auto" w:sz="4" w:space="0"/>
            </w:tcBorders>
            <w:vAlign w:val="center"/>
          </w:tcPr>
          <w:p w14:paraId="35B65E8F">
            <w:pPr>
              <w:spacing w:line="360" w:lineRule="auto"/>
              <w:ind w:firstLine="420" w:firstLineChars="200"/>
              <w:rPr>
                <w:rFonts w:hint="eastAsia" w:asciiTheme="minorEastAsia" w:hAnsiTheme="minorEastAsia" w:eastAsiaTheme="minorEastAsia" w:cstheme="minorEastAsia"/>
                <w:color w:val="auto"/>
                <w:highlight w:val="none"/>
              </w:rPr>
            </w:pPr>
          </w:p>
        </w:tc>
      </w:tr>
      <w:tr w14:paraId="4824D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tcBorders>
              <w:top w:val="single" w:color="auto" w:sz="4" w:space="0"/>
              <w:left w:val="single" w:color="auto" w:sz="4" w:space="0"/>
              <w:bottom w:val="single" w:color="auto" w:sz="4" w:space="0"/>
              <w:right w:val="single" w:color="auto" w:sz="4" w:space="0"/>
            </w:tcBorders>
            <w:vAlign w:val="center"/>
          </w:tcPr>
          <w:p w14:paraId="5585FE07">
            <w:pPr>
              <w:spacing w:line="360" w:lineRule="auto"/>
              <w:ind w:firstLine="420" w:firstLineChars="200"/>
              <w:rPr>
                <w:rFonts w:hint="eastAsia" w:asciiTheme="minorEastAsia" w:hAnsiTheme="minorEastAsia" w:eastAsiaTheme="minorEastAsia" w:cstheme="minorEastAsia"/>
                <w:color w:val="auto"/>
                <w:highlight w:val="none"/>
              </w:rPr>
            </w:pPr>
          </w:p>
        </w:tc>
        <w:tc>
          <w:tcPr>
            <w:tcW w:w="1226" w:type="dxa"/>
            <w:tcBorders>
              <w:top w:val="single" w:color="auto" w:sz="4" w:space="0"/>
              <w:left w:val="single" w:color="auto" w:sz="4" w:space="0"/>
              <w:bottom w:val="single" w:color="auto" w:sz="4" w:space="0"/>
              <w:right w:val="single" w:color="auto" w:sz="4" w:space="0"/>
            </w:tcBorders>
            <w:vAlign w:val="center"/>
          </w:tcPr>
          <w:p w14:paraId="2E71F980">
            <w:pPr>
              <w:spacing w:line="360" w:lineRule="auto"/>
              <w:ind w:firstLine="420" w:firstLineChars="200"/>
              <w:rPr>
                <w:rFonts w:hint="eastAsia" w:asciiTheme="minorEastAsia" w:hAnsiTheme="minorEastAsia" w:eastAsiaTheme="minorEastAsia" w:cstheme="minorEastAsia"/>
                <w:color w:val="auto"/>
                <w:highlight w:val="none"/>
              </w:rPr>
            </w:pPr>
          </w:p>
        </w:tc>
        <w:tc>
          <w:tcPr>
            <w:tcW w:w="851" w:type="dxa"/>
            <w:tcBorders>
              <w:top w:val="single" w:color="auto" w:sz="4" w:space="0"/>
              <w:left w:val="single" w:color="auto" w:sz="4" w:space="0"/>
              <w:bottom w:val="single" w:color="auto" w:sz="4" w:space="0"/>
              <w:right w:val="single" w:color="auto" w:sz="4" w:space="0"/>
            </w:tcBorders>
            <w:vAlign w:val="center"/>
          </w:tcPr>
          <w:p w14:paraId="5B5307DE">
            <w:pPr>
              <w:spacing w:line="360" w:lineRule="auto"/>
              <w:ind w:firstLine="420" w:firstLineChars="200"/>
              <w:rPr>
                <w:rFonts w:hint="eastAsia" w:asciiTheme="minorEastAsia" w:hAnsiTheme="minorEastAsia" w:eastAsiaTheme="minorEastAsia" w:cstheme="minorEastAsia"/>
                <w:color w:val="auto"/>
                <w:highlight w:val="none"/>
              </w:rPr>
            </w:pPr>
          </w:p>
        </w:tc>
        <w:tc>
          <w:tcPr>
            <w:tcW w:w="708" w:type="dxa"/>
            <w:tcBorders>
              <w:top w:val="single" w:color="auto" w:sz="4" w:space="0"/>
              <w:left w:val="single" w:color="auto" w:sz="4" w:space="0"/>
              <w:bottom w:val="single" w:color="auto" w:sz="4" w:space="0"/>
              <w:right w:val="single" w:color="auto" w:sz="4" w:space="0"/>
            </w:tcBorders>
            <w:vAlign w:val="center"/>
          </w:tcPr>
          <w:p w14:paraId="55448C0A">
            <w:pPr>
              <w:spacing w:line="360" w:lineRule="auto"/>
              <w:ind w:firstLine="420" w:firstLineChars="200"/>
              <w:rPr>
                <w:rFonts w:hint="eastAsia" w:asciiTheme="minorEastAsia" w:hAnsiTheme="minorEastAsia" w:eastAsiaTheme="minorEastAsia" w:cstheme="minorEastAsia"/>
                <w:color w:val="auto"/>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14:paraId="68DDA4CA">
            <w:pPr>
              <w:spacing w:line="360" w:lineRule="auto"/>
              <w:ind w:firstLine="420" w:firstLineChars="200"/>
              <w:rPr>
                <w:rFonts w:hint="eastAsia" w:asciiTheme="minorEastAsia" w:hAnsiTheme="minorEastAsia" w:eastAsiaTheme="minorEastAsia" w:cstheme="minorEastAsia"/>
                <w:color w:val="auto"/>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6FE0A6E0">
            <w:pPr>
              <w:spacing w:line="360" w:lineRule="auto"/>
              <w:ind w:firstLine="420" w:firstLineChars="200"/>
              <w:rPr>
                <w:rFonts w:hint="eastAsia" w:asciiTheme="minorEastAsia" w:hAnsiTheme="minorEastAsia" w:eastAsiaTheme="minorEastAsia" w:cstheme="minorEastAsia"/>
                <w:color w:val="auto"/>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14:paraId="1ED0B3AE">
            <w:pPr>
              <w:spacing w:line="360" w:lineRule="auto"/>
              <w:ind w:firstLine="420" w:firstLineChars="200"/>
              <w:rPr>
                <w:rFonts w:hint="eastAsia" w:asciiTheme="minorEastAsia" w:hAnsiTheme="minorEastAsia" w:eastAsiaTheme="minorEastAsia" w:cstheme="minorEastAsia"/>
                <w:color w:val="auto"/>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6303A0C8">
            <w:pPr>
              <w:spacing w:line="360" w:lineRule="auto"/>
              <w:ind w:firstLine="420" w:firstLineChars="200"/>
              <w:rPr>
                <w:rFonts w:hint="eastAsia" w:asciiTheme="minorEastAsia" w:hAnsiTheme="minorEastAsia" w:eastAsiaTheme="minorEastAsia" w:cstheme="minorEastAsia"/>
                <w:color w:val="auto"/>
                <w:highlight w:val="none"/>
              </w:rPr>
            </w:pPr>
          </w:p>
        </w:tc>
        <w:tc>
          <w:tcPr>
            <w:tcW w:w="1559" w:type="dxa"/>
            <w:tcBorders>
              <w:top w:val="single" w:color="auto" w:sz="4" w:space="0"/>
              <w:left w:val="single" w:color="auto" w:sz="4" w:space="0"/>
              <w:bottom w:val="single" w:color="auto" w:sz="4" w:space="0"/>
              <w:right w:val="single" w:color="auto" w:sz="4" w:space="0"/>
            </w:tcBorders>
            <w:vAlign w:val="center"/>
          </w:tcPr>
          <w:p w14:paraId="0B12886E">
            <w:pPr>
              <w:spacing w:line="360" w:lineRule="auto"/>
              <w:ind w:firstLine="420" w:firstLineChars="200"/>
              <w:rPr>
                <w:rFonts w:hint="eastAsia" w:asciiTheme="minorEastAsia" w:hAnsiTheme="minorEastAsia" w:eastAsiaTheme="minorEastAsia" w:cstheme="minorEastAsia"/>
                <w:color w:val="auto"/>
                <w:highlight w:val="none"/>
              </w:rPr>
            </w:pPr>
          </w:p>
        </w:tc>
      </w:tr>
      <w:tr w14:paraId="07678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tcBorders>
              <w:top w:val="single" w:color="auto" w:sz="4" w:space="0"/>
              <w:left w:val="single" w:color="auto" w:sz="4" w:space="0"/>
              <w:bottom w:val="single" w:color="auto" w:sz="4" w:space="0"/>
              <w:right w:val="single" w:color="auto" w:sz="4" w:space="0"/>
            </w:tcBorders>
            <w:vAlign w:val="center"/>
          </w:tcPr>
          <w:p w14:paraId="7BC87475">
            <w:pPr>
              <w:spacing w:line="360" w:lineRule="auto"/>
              <w:ind w:firstLine="420" w:firstLineChars="200"/>
              <w:rPr>
                <w:rFonts w:hint="eastAsia" w:asciiTheme="minorEastAsia" w:hAnsiTheme="minorEastAsia" w:eastAsiaTheme="minorEastAsia" w:cstheme="minorEastAsia"/>
                <w:color w:val="auto"/>
                <w:highlight w:val="none"/>
              </w:rPr>
            </w:pPr>
          </w:p>
        </w:tc>
        <w:tc>
          <w:tcPr>
            <w:tcW w:w="1226" w:type="dxa"/>
            <w:tcBorders>
              <w:top w:val="single" w:color="auto" w:sz="4" w:space="0"/>
              <w:left w:val="single" w:color="auto" w:sz="4" w:space="0"/>
              <w:bottom w:val="single" w:color="auto" w:sz="4" w:space="0"/>
              <w:right w:val="single" w:color="auto" w:sz="4" w:space="0"/>
            </w:tcBorders>
            <w:vAlign w:val="center"/>
          </w:tcPr>
          <w:p w14:paraId="03B67917">
            <w:pPr>
              <w:spacing w:line="360" w:lineRule="auto"/>
              <w:ind w:firstLine="420" w:firstLineChars="200"/>
              <w:rPr>
                <w:rFonts w:hint="eastAsia" w:asciiTheme="minorEastAsia" w:hAnsiTheme="minorEastAsia" w:eastAsiaTheme="minorEastAsia" w:cstheme="minorEastAsia"/>
                <w:color w:val="auto"/>
                <w:highlight w:val="none"/>
              </w:rPr>
            </w:pPr>
          </w:p>
        </w:tc>
        <w:tc>
          <w:tcPr>
            <w:tcW w:w="851" w:type="dxa"/>
            <w:tcBorders>
              <w:top w:val="single" w:color="auto" w:sz="4" w:space="0"/>
              <w:left w:val="single" w:color="auto" w:sz="4" w:space="0"/>
              <w:bottom w:val="single" w:color="auto" w:sz="4" w:space="0"/>
              <w:right w:val="single" w:color="auto" w:sz="4" w:space="0"/>
            </w:tcBorders>
            <w:vAlign w:val="center"/>
          </w:tcPr>
          <w:p w14:paraId="26414AB1">
            <w:pPr>
              <w:spacing w:line="360" w:lineRule="auto"/>
              <w:ind w:firstLine="420" w:firstLineChars="200"/>
              <w:rPr>
                <w:rFonts w:hint="eastAsia" w:asciiTheme="minorEastAsia" w:hAnsiTheme="minorEastAsia" w:eastAsiaTheme="minorEastAsia" w:cstheme="minorEastAsia"/>
                <w:color w:val="auto"/>
                <w:highlight w:val="none"/>
              </w:rPr>
            </w:pPr>
          </w:p>
        </w:tc>
        <w:tc>
          <w:tcPr>
            <w:tcW w:w="708" w:type="dxa"/>
            <w:tcBorders>
              <w:top w:val="single" w:color="auto" w:sz="4" w:space="0"/>
              <w:left w:val="single" w:color="auto" w:sz="4" w:space="0"/>
              <w:bottom w:val="single" w:color="auto" w:sz="4" w:space="0"/>
              <w:right w:val="single" w:color="auto" w:sz="4" w:space="0"/>
            </w:tcBorders>
            <w:vAlign w:val="center"/>
          </w:tcPr>
          <w:p w14:paraId="1A840233">
            <w:pPr>
              <w:spacing w:line="360" w:lineRule="auto"/>
              <w:ind w:firstLine="420" w:firstLineChars="200"/>
              <w:rPr>
                <w:rFonts w:hint="eastAsia" w:asciiTheme="minorEastAsia" w:hAnsiTheme="minorEastAsia" w:eastAsiaTheme="minorEastAsia" w:cstheme="minorEastAsia"/>
                <w:color w:val="auto"/>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14:paraId="4C8542ED">
            <w:pPr>
              <w:spacing w:line="360" w:lineRule="auto"/>
              <w:ind w:firstLine="420" w:firstLineChars="200"/>
              <w:rPr>
                <w:rFonts w:hint="eastAsia" w:asciiTheme="minorEastAsia" w:hAnsiTheme="minorEastAsia" w:eastAsiaTheme="minorEastAsia" w:cstheme="minorEastAsia"/>
                <w:color w:val="auto"/>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2B692630">
            <w:pPr>
              <w:spacing w:line="360" w:lineRule="auto"/>
              <w:ind w:firstLine="420" w:firstLineChars="200"/>
              <w:rPr>
                <w:rFonts w:hint="eastAsia" w:asciiTheme="minorEastAsia" w:hAnsiTheme="minorEastAsia" w:eastAsiaTheme="minorEastAsia" w:cstheme="minorEastAsia"/>
                <w:color w:val="auto"/>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14:paraId="4FD26718">
            <w:pPr>
              <w:spacing w:line="360" w:lineRule="auto"/>
              <w:ind w:firstLine="420" w:firstLineChars="200"/>
              <w:rPr>
                <w:rFonts w:hint="eastAsia" w:asciiTheme="minorEastAsia" w:hAnsiTheme="minorEastAsia" w:eastAsiaTheme="minorEastAsia" w:cstheme="minorEastAsia"/>
                <w:color w:val="auto"/>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3C8FEA9E">
            <w:pPr>
              <w:spacing w:line="360" w:lineRule="auto"/>
              <w:ind w:firstLine="420" w:firstLineChars="200"/>
              <w:rPr>
                <w:rFonts w:hint="eastAsia" w:asciiTheme="minorEastAsia" w:hAnsiTheme="minorEastAsia" w:eastAsiaTheme="minorEastAsia" w:cstheme="minorEastAsia"/>
                <w:color w:val="auto"/>
                <w:highlight w:val="none"/>
              </w:rPr>
            </w:pPr>
          </w:p>
        </w:tc>
        <w:tc>
          <w:tcPr>
            <w:tcW w:w="1559" w:type="dxa"/>
            <w:tcBorders>
              <w:top w:val="single" w:color="auto" w:sz="4" w:space="0"/>
              <w:left w:val="single" w:color="auto" w:sz="4" w:space="0"/>
              <w:bottom w:val="single" w:color="auto" w:sz="4" w:space="0"/>
              <w:right w:val="single" w:color="auto" w:sz="4" w:space="0"/>
            </w:tcBorders>
            <w:vAlign w:val="center"/>
          </w:tcPr>
          <w:p w14:paraId="414104A5">
            <w:pPr>
              <w:spacing w:line="360" w:lineRule="auto"/>
              <w:ind w:firstLine="420" w:firstLineChars="200"/>
              <w:rPr>
                <w:rFonts w:hint="eastAsia" w:asciiTheme="minorEastAsia" w:hAnsiTheme="minorEastAsia" w:eastAsiaTheme="minorEastAsia" w:cstheme="minorEastAsia"/>
                <w:color w:val="auto"/>
                <w:highlight w:val="none"/>
              </w:rPr>
            </w:pPr>
          </w:p>
        </w:tc>
      </w:tr>
      <w:tr w14:paraId="7A8F3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tcBorders>
              <w:top w:val="single" w:color="auto" w:sz="4" w:space="0"/>
              <w:left w:val="single" w:color="auto" w:sz="4" w:space="0"/>
              <w:bottom w:val="single" w:color="auto" w:sz="4" w:space="0"/>
              <w:right w:val="single" w:color="auto" w:sz="4" w:space="0"/>
            </w:tcBorders>
            <w:vAlign w:val="center"/>
          </w:tcPr>
          <w:p w14:paraId="4AD48A1F">
            <w:pPr>
              <w:spacing w:line="360" w:lineRule="auto"/>
              <w:ind w:firstLine="420" w:firstLineChars="200"/>
              <w:rPr>
                <w:rFonts w:hint="eastAsia" w:asciiTheme="minorEastAsia" w:hAnsiTheme="minorEastAsia" w:eastAsiaTheme="minorEastAsia" w:cstheme="minorEastAsia"/>
                <w:color w:val="auto"/>
                <w:highlight w:val="none"/>
              </w:rPr>
            </w:pPr>
          </w:p>
        </w:tc>
        <w:tc>
          <w:tcPr>
            <w:tcW w:w="1226" w:type="dxa"/>
            <w:tcBorders>
              <w:top w:val="single" w:color="auto" w:sz="4" w:space="0"/>
              <w:left w:val="single" w:color="auto" w:sz="4" w:space="0"/>
              <w:bottom w:val="single" w:color="auto" w:sz="4" w:space="0"/>
              <w:right w:val="single" w:color="auto" w:sz="4" w:space="0"/>
            </w:tcBorders>
            <w:vAlign w:val="center"/>
          </w:tcPr>
          <w:p w14:paraId="5EDF933E">
            <w:pPr>
              <w:spacing w:line="360" w:lineRule="auto"/>
              <w:ind w:firstLine="420" w:firstLineChars="200"/>
              <w:rPr>
                <w:rFonts w:hint="eastAsia" w:asciiTheme="minorEastAsia" w:hAnsiTheme="minorEastAsia" w:eastAsiaTheme="minorEastAsia" w:cstheme="minorEastAsia"/>
                <w:color w:val="auto"/>
                <w:highlight w:val="none"/>
              </w:rPr>
            </w:pPr>
          </w:p>
        </w:tc>
        <w:tc>
          <w:tcPr>
            <w:tcW w:w="851" w:type="dxa"/>
            <w:tcBorders>
              <w:top w:val="single" w:color="auto" w:sz="4" w:space="0"/>
              <w:left w:val="single" w:color="auto" w:sz="4" w:space="0"/>
              <w:bottom w:val="single" w:color="auto" w:sz="4" w:space="0"/>
              <w:right w:val="single" w:color="auto" w:sz="4" w:space="0"/>
            </w:tcBorders>
            <w:vAlign w:val="center"/>
          </w:tcPr>
          <w:p w14:paraId="6EDD8BF5">
            <w:pPr>
              <w:spacing w:line="360" w:lineRule="auto"/>
              <w:ind w:firstLine="420" w:firstLineChars="200"/>
              <w:rPr>
                <w:rFonts w:hint="eastAsia" w:asciiTheme="minorEastAsia" w:hAnsiTheme="minorEastAsia" w:eastAsiaTheme="minorEastAsia" w:cstheme="minorEastAsia"/>
                <w:color w:val="auto"/>
                <w:highlight w:val="none"/>
              </w:rPr>
            </w:pPr>
          </w:p>
        </w:tc>
        <w:tc>
          <w:tcPr>
            <w:tcW w:w="708" w:type="dxa"/>
            <w:tcBorders>
              <w:top w:val="single" w:color="auto" w:sz="4" w:space="0"/>
              <w:left w:val="single" w:color="auto" w:sz="4" w:space="0"/>
              <w:bottom w:val="single" w:color="auto" w:sz="4" w:space="0"/>
              <w:right w:val="single" w:color="auto" w:sz="4" w:space="0"/>
            </w:tcBorders>
            <w:vAlign w:val="center"/>
          </w:tcPr>
          <w:p w14:paraId="2C8777FB">
            <w:pPr>
              <w:spacing w:line="360" w:lineRule="auto"/>
              <w:ind w:firstLine="420" w:firstLineChars="200"/>
              <w:rPr>
                <w:rFonts w:hint="eastAsia" w:asciiTheme="minorEastAsia" w:hAnsiTheme="minorEastAsia" w:eastAsiaTheme="minorEastAsia" w:cstheme="minorEastAsia"/>
                <w:color w:val="auto"/>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14:paraId="7F7B0D80">
            <w:pPr>
              <w:spacing w:line="360" w:lineRule="auto"/>
              <w:ind w:firstLine="420" w:firstLineChars="200"/>
              <w:rPr>
                <w:rFonts w:hint="eastAsia" w:asciiTheme="minorEastAsia" w:hAnsiTheme="minorEastAsia" w:eastAsiaTheme="minorEastAsia" w:cstheme="minorEastAsia"/>
                <w:color w:val="auto"/>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0A41CF4F">
            <w:pPr>
              <w:spacing w:line="360" w:lineRule="auto"/>
              <w:ind w:firstLine="420" w:firstLineChars="200"/>
              <w:rPr>
                <w:rFonts w:hint="eastAsia" w:asciiTheme="minorEastAsia" w:hAnsiTheme="minorEastAsia" w:eastAsiaTheme="minorEastAsia" w:cstheme="minorEastAsia"/>
                <w:color w:val="auto"/>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14:paraId="52ECD89F">
            <w:pPr>
              <w:spacing w:line="360" w:lineRule="auto"/>
              <w:ind w:firstLine="420" w:firstLineChars="200"/>
              <w:rPr>
                <w:rFonts w:hint="eastAsia" w:asciiTheme="minorEastAsia" w:hAnsiTheme="minorEastAsia" w:eastAsiaTheme="minorEastAsia" w:cstheme="minorEastAsia"/>
                <w:color w:val="auto"/>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005E8E63">
            <w:pPr>
              <w:spacing w:line="360" w:lineRule="auto"/>
              <w:ind w:firstLine="420" w:firstLineChars="200"/>
              <w:rPr>
                <w:rFonts w:hint="eastAsia" w:asciiTheme="minorEastAsia" w:hAnsiTheme="minorEastAsia" w:eastAsiaTheme="minorEastAsia" w:cstheme="minorEastAsia"/>
                <w:color w:val="auto"/>
                <w:highlight w:val="none"/>
              </w:rPr>
            </w:pPr>
          </w:p>
        </w:tc>
        <w:tc>
          <w:tcPr>
            <w:tcW w:w="1559" w:type="dxa"/>
            <w:tcBorders>
              <w:top w:val="single" w:color="auto" w:sz="4" w:space="0"/>
              <w:left w:val="single" w:color="auto" w:sz="4" w:space="0"/>
              <w:bottom w:val="single" w:color="auto" w:sz="4" w:space="0"/>
              <w:right w:val="single" w:color="auto" w:sz="4" w:space="0"/>
            </w:tcBorders>
            <w:vAlign w:val="center"/>
          </w:tcPr>
          <w:p w14:paraId="0385491A">
            <w:pPr>
              <w:spacing w:line="360" w:lineRule="auto"/>
              <w:ind w:firstLine="420" w:firstLineChars="200"/>
              <w:rPr>
                <w:rFonts w:hint="eastAsia" w:asciiTheme="minorEastAsia" w:hAnsiTheme="minorEastAsia" w:eastAsiaTheme="minorEastAsia" w:cstheme="minorEastAsia"/>
                <w:color w:val="auto"/>
                <w:highlight w:val="none"/>
              </w:rPr>
            </w:pPr>
          </w:p>
        </w:tc>
      </w:tr>
    </w:tbl>
    <w:p w14:paraId="48122B66">
      <w:pPr>
        <w:rPr>
          <w:rFonts w:hint="eastAsia" w:asciiTheme="minorEastAsia" w:hAnsiTheme="minorEastAsia" w:eastAsiaTheme="minorEastAsia" w:cstheme="minorEastAsia"/>
          <w:color w:val="auto"/>
          <w:highlight w:val="none"/>
        </w:rPr>
      </w:pPr>
    </w:p>
    <w:p w14:paraId="134DA7FC">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附表三：劳动力计划表</w:t>
      </w:r>
    </w:p>
    <w:p w14:paraId="04C2DCD8">
      <w:pPr>
        <w:ind w:firstLine="7245" w:firstLineChars="345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单位：人</w:t>
      </w:r>
    </w:p>
    <w:tbl>
      <w:tblPr>
        <w:tblStyle w:val="44"/>
        <w:tblW w:w="9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961"/>
        <w:gridCol w:w="1257"/>
        <w:gridCol w:w="1258"/>
        <w:gridCol w:w="1257"/>
        <w:gridCol w:w="1258"/>
        <w:gridCol w:w="1257"/>
        <w:gridCol w:w="1258"/>
      </w:tblGrid>
      <w:tr w14:paraId="71431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tcBorders>
              <w:top w:val="single" w:color="auto" w:sz="4" w:space="0"/>
              <w:left w:val="single" w:color="auto" w:sz="4" w:space="0"/>
              <w:bottom w:val="single" w:color="auto" w:sz="4" w:space="0"/>
              <w:right w:val="single" w:color="auto" w:sz="4" w:space="0"/>
            </w:tcBorders>
            <w:vAlign w:val="center"/>
          </w:tcPr>
          <w:p w14:paraId="7D1474D7">
            <w:pPr>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工种</w:t>
            </w:r>
          </w:p>
        </w:tc>
        <w:tc>
          <w:tcPr>
            <w:tcW w:w="8506" w:type="dxa"/>
            <w:gridSpan w:val="7"/>
            <w:tcBorders>
              <w:top w:val="single" w:color="auto" w:sz="4" w:space="0"/>
              <w:left w:val="single" w:color="auto" w:sz="4" w:space="0"/>
              <w:bottom w:val="single" w:color="auto" w:sz="4" w:space="0"/>
              <w:right w:val="single" w:color="auto" w:sz="4" w:space="0"/>
            </w:tcBorders>
            <w:vAlign w:val="center"/>
          </w:tcPr>
          <w:p w14:paraId="5E82DA1A">
            <w:pPr>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按工程施工阶段投入劳动力情况</w:t>
            </w:r>
          </w:p>
        </w:tc>
      </w:tr>
      <w:tr w14:paraId="08359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tcBorders>
              <w:top w:val="single" w:color="auto" w:sz="4" w:space="0"/>
              <w:left w:val="single" w:color="auto" w:sz="4" w:space="0"/>
              <w:bottom w:val="single" w:color="auto" w:sz="4" w:space="0"/>
              <w:right w:val="single" w:color="auto" w:sz="4" w:space="0"/>
            </w:tcBorders>
            <w:vAlign w:val="center"/>
          </w:tcPr>
          <w:p w14:paraId="30466E1E">
            <w:pPr>
              <w:spacing w:line="360" w:lineRule="auto"/>
              <w:jc w:val="center"/>
              <w:rPr>
                <w:rFonts w:hint="eastAsia" w:asciiTheme="minorEastAsia" w:hAnsiTheme="minorEastAsia" w:eastAsiaTheme="minorEastAsia" w:cstheme="minorEastAsia"/>
                <w:color w:val="auto"/>
                <w:highlight w:val="none"/>
              </w:rPr>
            </w:pPr>
          </w:p>
        </w:tc>
        <w:tc>
          <w:tcPr>
            <w:tcW w:w="961" w:type="dxa"/>
            <w:tcBorders>
              <w:top w:val="single" w:color="auto" w:sz="4" w:space="0"/>
              <w:left w:val="single" w:color="auto" w:sz="4" w:space="0"/>
              <w:bottom w:val="single" w:color="auto" w:sz="4" w:space="0"/>
              <w:right w:val="single" w:color="auto" w:sz="4" w:space="0"/>
            </w:tcBorders>
            <w:vAlign w:val="center"/>
          </w:tcPr>
          <w:p w14:paraId="4EA8341E">
            <w:pPr>
              <w:spacing w:line="360" w:lineRule="auto"/>
              <w:jc w:val="center"/>
              <w:rPr>
                <w:rFonts w:hint="eastAsia" w:asciiTheme="minorEastAsia" w:hAnsiTheme="minorEastAsia" w:eastAsiaTheme="minorEastAsia" w:cstheme="minorEastAsia"/>
                <w:color w:val="auto"/>
                <w:highlight w:val="none"/>
              </w:rPr>
            </w:pPr>
          </w:p>
        </w:tc>
        <w:tc>
          <w:tcPr>
            <w:tcW w:w="1257" w:type="dxa"/>
            <w:tcBorders>
              <w:top w:val="single" w:color="auto" w:sz="4" w:space="0"/>
              <w:left w:val="single" w:color="auto" w:sz="4" w:space="0"/>
              <w:bottom w:val="single" w:color="auto" w:sz="4" w:space="0"/>
              <w:right w:val="single" w:color="auto" w:sz="4" w:space="0"/>
            </w:tcBorders>
            <w:vAlign w:val="center"/>
          </w:tcPr>
          <w:p w14:paraId="620E94CA">
            <w:pPr>
              <w:spacing w:line="360" w:lineRule="auto"/>
              <w:jc w:val="center"/>
              <w:rPr>
                <w:rFonts w:hint="eastAsia" w:asciiTheme="minorEastAsia" w:hAnsiTheme="minorEastAsia" w:eastAsiaTheme="minorEastAsia" w:cstheme="minorEastAsia"/>
                <w:color w:val="auto"/>
                <w:highlight w:val="none"/>
              </w:rPr>
            </w:pPr>
          </w:p>
        </w:tc>
        <w:tc>
          <w:tcPr>
            <w:tcW w:w="1258" w:type="dxa"/>
            <w:tcBorders>
              <w:top w:val="single" w:color="auto" w:sz="4" w:space="0"/>
              <w:left w:val="single" w:color="auto" w:sz="4" w:space="0"/>
              <w:bottom w:val="single" w:color="auto" w:sz="4" w:space="0"/>
              <w:right w:val="single" w:color="auto" w:sz="4" w:space="0"/>
            </w:tcBorders>
            <w:vAlign w:val="center"/>
          </w:tcPr>
          <w:p w14:paraId="75E29112">
            <w:pPr>
              <w:spacing w:line="360" w:lineRule="auto"/>
              <w:jc w:val="center"/>
              <w:rPr>
                <w:rFonts w:hint="eastAsia" w:asciiTheme="minorEastAsia" w:hAnsiTheme="minorEastAsia" w:eastAsiaTheme="minorEastAsia" w:cstheme="minorEastAsia"/>
                <w:color w:val="auto"/>
                <w:highlight w:val="none"/>
              </w:rPr>
            </w:pPr>
          </w:p>
        </w:tc>
        <w:tc>
          <w:tcPr>
            <w:tcW w:w="1257" w:type="dxa"/>
            <w:tcBorders>
              <w:top w:val="single" w:color="auto" w:sz="4" w:space="0"/>
              <w:left w:val="single" w:color="auto" w:sz="4" w:space="0"/>
              <w:bottom w:val="single" w:color="auto" w:sz="4" w:space="0"/>
              <w:right w:val="single" w:color="auto" w:sz="4" w:space="0"/>
            </w:tcBorders>
            <w:vAlign w:val="center"/>
          </w:tcPr>
          <w:p w14:paraId="2F3C952B">
            <w:pPr>
              <w:spacing w:line="360" w:lineRule="auto"/>
              <w:jc w:val="center"/>
              <w:rPr>
                <w:rFonts w:hint="eastAsia" w:asciiTheme="minorEastAsia" w:hAnsiTheme="minorEastAsia" w:eastAsiaTheme="minorEastAsia" w:cstheme="minorEastAsia"/>
                <w:color w:val="auto"/>
                <w:highlight w:val="none"/>
              </w:rPr>
            </w:pPr>
          </w:p>
        </w:tc>
        <w:tc>
          <w:tcPr>
            <w:tcW w:w="1258" w:type="dxa"/>
            <w:tcBorders>
              <w:top w:val="single" w:color="auto" w:sz="4" w:space="0"/>
              <w:left w:val="single" w:color="auto" w:sz="4" w:space="0"/>
              <w:bottom w:val="single" w:color="auto" w:sz="4" w:space="0"/>
              <w:right w:val="single" w:color="auto" w:sz="4" w:space="0"/>
            </w:tcBorders>
            <w:vAlign w:val="center"/>
          </w:tcPr>
          <w:p w14:paraId="51FAE5EB">
            <w:pPr>
              <w:spacing w:line="360" w:lineRule="auto"/>
              <w:jc w:val="center"/>
              <w:rPr>
                <w:rFonts w:hint="eastAsia" w:asciiTheme="minorEastAsia" w:hAnsiTheme="minorEastAsia" w:eastAsiaTheme="minorEastAsia" w:cstheme="minorEastAsia"/>
                <w:color w:val="auto"/>
                <w:highlight w:val="none"/>
              </w:rPr>
            </w:pPr>
          </w:p>
        </w:tc>
        <w:tc>
          <w:tcPr>
            <w:tcW w:w="1257" w:type="dxa"/>
            <w:tcBorders>
              <w:top w:val="single" w:color="auto" w:sz="4" w:space="0"/>
              <w:left w:val="single" w:color="auto" w:sz="4" w:space="0"/>
              <w:bottom w:val="single" w:color="auto" w:sz="4" w:space="0"/>
              <w:right w:val="single" w:color="auto" w:sz="4" w:space="0"/>
            </w:tcBorders>
            <w:vAlign w:val="center"/>
          </w:tcPr>
          <w:p w14:paraId="24374C52">
            <w:pPr>
              <w:spacing w:line="360" w:lineRule="auto"/>
              <w:jc w:val="center"/>
              <w:rPr>
                <w:rFonts w:hint="eastAsia" w:asciiTheme="minorEastAsia" w:hAnsiTheme="minorEastAsia" w:eastAsiaTheme="minorEastAsia" w:cstheme="minorEastAsia"/>
                <w:color w:val="auto"/>
                <w:highlight w:val="none"/>
              </w:rPr>
            </w:pPr>
          </w:p>
        </w:tc>
        <w:tc>
          <w:tcPr>
            <w:tcW w:w="1258" w:type="dxa"/>
            <w:tcBorders>
              <w:top w:val="single" w:color="auto" w:sz="4" w:space="0"/>
              <w:left w:val="single" w:color="auto" w:sz="4" w:space="0"/>
              <w:bottom w:val="single" w:color="auto" w:sz="4" w:space="0"/>
              <w:right w:val="single" w:color="auto" w:sz="4" w:space="0"/>
            </w:tcBorders>
            <w:vAlign w:val="center"/>
          </w:tcPr>
          <w:p w14:paraId="4068ECE5">
            <w:pPr>
              <w:spacing w:line="360" w:lineRule="auto"/>
              <w:jc w:val="center"/>
              <w:rPr>
                <w:rFonts w:hint="eastAsia" w:asciiTheme="minorEastAsia" w:hAnsiTheme="minorEastAsia" w:eastAsiaTheme="minorEastAsia" w:cstheme="minorEastAsia"/>
                <w:color w:val="auto"/>
                <w:highlight w:val="none"/>
              </w:rPr>
            </w:pPr>
          </w:p>
        </w:tc>
      </w:tr>
      <w:tr w14:paraId="436F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tcBorders>
              <w:top w:val="single" w:color="auto" w:sz="4" w:space="0"/>
              <w:left w:val="single" w:color="auto" w:sz="4" w:space="0"/>
              <w:bottom w:val="single" w:color="auto" w:sz="4" w:space="0"/>
              <w:right w:val="single" w:color="auto" w:sz="4" w:space="0"/>
            </w:tcBorders>
            <w:vAlign w:val="center"/>
          </w:tcPr>
          <w:p w14:paraId="78399397">
            <w:pPr>
              <w:spacing w:line="360" w:lineRule="auto"/>
              <w:jc w:val="center"/>
              <w:rPr>
                <w:rFonts w:hint="eastAsia" w:asciiTheme="minorEastAsia" w:hAnsiTheme="minorEastAsia" w:eastAsiaTheme="minorEastAsia" w:cstheme="minorEastAsia"/>
                <w:color w:val="auto"/>
                <w:highlight w:val="none"/>
              </w:rPr>
            </w:pPr>
          </w:p>
        </w:tc>
        <w:tc>
          <w:tcPr>
            <w:tcW w:w="961" w:type="dxa"/>
            <w:tcBorders>
              <w:top w:val="single" w:color="auto" w:sz="4" w:space="0"/>
              <w:left w:val="single" w:color="auto" w:sz="4" w:space="0"/>
              <w:bottom w:val="single" w:color="auto" w:sz="4" w:space="0"/>
              <w:right w:val="single" w:color="auto" w:sz="4" w:space="0"/>
            </w:tcBorders>
            <w:vAlign w:val="center"/>
          </w:tcPr>
          <w:p w14:paraId="42C79865">
            <w:pPr>
              <w:spacing w:line="360" w:lineRule="auto"/>
              <w:jc w:val="center"/>
              <w:rPr>
                <w:rFonts w:hint="eastAsia" w:asciiTheme="minorEastAsia" w:hAnsiTheme="minorEastAsia" w:eastAsiaTheme="minorEastAsia" w:cstheme="minorEastAsia"/>
                <w:color w:val="auto"/>
                <w:highlight w:val="none"/>
              </w:rPr>
            </w:pPr>
          </w:p>
        </w:tc>
        <w:tc>
          <w:tcPr>
            <w:tcW w:w="1257" w:type="dxa"/>
            <w:tcBorders>
              <w:top w:val="single" w:color="auto" w:sz="4" w:space="0"/>
              <w:left w:val="single" w:color="auto" w:sz="4" w:space="0"/>
              <w:bottom w:val="single" w:color="auto" w:sz="4" w:space="0"/>
              <w:right w:val="single" w:color="auto" w:sz="4" w:space="0"/>
            </w:tcBorders>
            <w:vAlign w:val="center"/>
          </w:tcPr>
          <w:p w14:paraId="56B653F6">
            <w:pPr>
              <w:spacing w:line="360" w:lineRule="auto"/>
              <w:jc w:val="center"/>
              <w:rPr>
                <w:rFonts w:hint="eastAsia" w:asciiTheme="minorEastAsia" w:hAnsiTheme="minorEastAsia" w:eastAsiaTheme="minorEastAsia" w:cstheme="minorEastAsia"/>
                <w:color w:val="auto"/>
                <w:highlight w:val="none"/>
              </w:rPr>
            </w:pPr>
          </w:p>
        </w:tc>
        <w:tc>
          <w:tcPr>
            <w:tcW w:w="1258" w:type="dxa"/>
            <w:tcBorders>
              <w:top w:val="single" w:color="auto" w:sz="4" w:space="0"/>
              <w:left w:val="single" w:color="auto" w:sz="4" w:space="0"/>
              <w:bottom w:val="single" w:color="auto" w:sz="4" w:space="0"/>
              <w:right w:val="single" w:color="auto" w:sz="4" w:space="0"/>
            </w:tcBorders>
            <w:vAlign w:val="center"/>
          </w:tcPr>
          <w:p w14:paraId="2754CF89">
            <w:pPr>
              <w:spacing w:line="360" w:lineRule="auto"/>
              <w:jc w:val="center"/>
              <w:rPr>
                <w:rFonts w:hint="eastAsia" w:asciiTheme="minorEastAsia" w:hAnsiTheme="minorEastAsia" w:eastAsiaTheme="minorEastAsia" w:cstheme="minorEastAsia"/>
                <w:color w:val="auto"/>
                <w:highlight w:val="none"/>
              </w:rPr>
            </w:pPr>
          </w:p>
        </w:tc>
        <w:tc>
          <w:tcPr>
            <w:tcW w:w="1257" w:type="dxa"/>
            <w:tcBorders>
              <w:top w:val="single" w:color="auto" w:sz="4" w:space="0"/>
              <w:left w:val="single" w:color="auto" w:sz="4" w:space="0"/>
              <w:bottom w:val="single" w:color="auto" w:sz="4" w:space="0"/>
              <w:right w:val="single" w:color="auto" w:sz="4" w:space="0"/>
            </w:tcBorders>
            <w:vAlign w:val="center"/>
          </w:tcPr>
          <w:p w14:paraId="2DBB1EE2">
            <w:pPr>
              <w:spacing w:line="360" w:lineRule="auto"/>
              <w:jc w:val="center"/>
              <w:rPr>
                <w:rFonts w:hint="eastAsia" w:asciiTheme="minorEastAsia" w:hAnsiTheme="minorEastAsia" w:eastAsiaTheme="minorEastAsia" w:cstheme="minorEastAsia"/>
                <w:color w:val="auto"/>
                <w:highlight w:val="none"/>
              </w:rPr>
            </w:pPr>
          </w:p>
        </w:tc>
        <w:tc>
          <w:tcPr>
            <w:tcW w:w="1258" w:type="dxa"/>
            <w:tcBorders>
              <w:top w:val="single" w:color="auto" w:sz="4" w:space="0"/>
              <w:left w:val="single" w:color="auto" w:sz="4" w:space="0"/>
              <w:bottom w:val="single" w:color="auto" w:sz="4" w:space="0"/>
              <w:right w:val="single" w:color="auto" w:sz="4" w:space="0"/>
            </w:tcBorders>
            <w:vAlign w:val="center"/>
          </w:tcPr>
          <w:p w14:paraId="1C38537C">
            <w:pPr>
              <w:spacing w:line="360" w:lineRule="auto"/>
              <w:jc w:val="center"/>
              <w:rPr>
                <w:rFonts w:hint="eastAsia" w:asciiTheme="minorEastAsia" w:hAnsiTheme="minorEastAsia" w:eastAsiaTheme="minorEastAsia" w:cstheme="minorEastAsia"/>
                <w:color w:val="auto"/>
                <w:highlight w:val="none"/>
              </w:rPr>
            </w:pPr>
          </w:p>
        </w:tc>
        <w:tc>
          <w:tcPr>
            <w:tcW w:w="1257" w:type="dxa"/>
            <w:tcBorders>
              <w:top w:val="single" w:color="auto" w:sz="4" w:space="0"/>
              <w:left w:val="single" w:color="auto" w:sz="4" w:space="0"/>
              <w:bottom w:val="single" w:color="auto" w:sz="4" w:space="0"/>
              <w:right w:val="single" w:color="auto" w:sz="4" w:space="0"/>
            </w:tcBorders>
            <w:vAlign w:val="center"/>
          </w:tcPr>
          <w:p w14:paraId="1F62476E">
            <w:pPr>
              <w:spacing w:line="360" w:lineRule="auto"/>
              <w:jc w:val="center"/>
              <w:rPr>
                <w:rFonts w:hint="eastAsia" w:asciiTheme="minorEastAsia" w:hAnsiTheme="minorEastAsia" w:eastAsiaTheme="minorEastAsia" w:cstheme="minorEastAsia"/>
                <w:color w:val="auto"/>
                <w:highlight w:val="none"/>
              </w:rPr>
            </w:pPr>
          </w:p>
        </w:tc>
        <w:tc>
          <w:tcPr>
            <w:tcW w:w="1258" w:type="dxa"/>
            <w:tcBorders>
              <w:top w:val="single" w:color="auto" w:sz="4" w:space="0"/>
              <w:left w:val="single" w:color="auto" w:sz="4" w:space="0"/>
              <w:bottom w:val="single" w:color="auto" w:sz="4" w:space="0"/>
              <w:right w:val="single" w:color="auto" w:sz="4" w:space="0"/>
            </w:tcBorders>
            <w:vAlign w:val="center"/>
          </w:tcPr>
          <w:p w14:paraId="07BFB74E">
            <w:pPr>
              <w:spacing w:line="360" w:lineRule="auto"/>
              <w:jc w:val="center"/>
              <w:rPr>
                <w:rFonts w:hint="eastAsia" w:asciiTheme="minorEastAsia" w:hAnsiTheme="minorEastAsia" w:eastAsiaTheme="minorEastAsia" w:cstheme="minorEastAsia"/>
                <w:color w:val="auto"/>
                <w:highlight w:val="none"/>
              </w:rPr>
            </w:pPr>
          </w:p>
        </w:tc>
      </w:tr>
      <w:tr w14:paraId="71228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tcBorders>
              <w:top w:val="single" w:color="auto" w:sz="4" w:space="0"/>
              <w:left w:val="single" w:color="auto" w:sz="4" w:space="0"/>
              <w:bottom w:val="single" w:color="auto" w:sz="4" w:space="0"/>
              <w:right w:val="single" w:color="auto" w:sz="4" w:space="0"/>
            </w:tcBorders>
            <w:vAlign w:val="center"/>
          </w:tcPr>
          <w:p w14:paraId="4687DBB1">
            <w:pPr>
              <w:spacing w:line="360" w:lineRule="auto"/>
              <w:jc w:val="center"/>
              <w:rPr>
                <w:rFonts w:hint="eastAsia" w:asciiTheme="minorEastAsia" w:hAnsiTheme="minorEastAsia" w:eastAsiaTheme="minorEastAsia" w:cstheme="minorEastAsia"/>
                <w:color w:val="auto"/>
                <w:highlight w:val="none"/>
              </w:rPr>
            </w:pPr>
          </w:p>
        </w:tc>
        <w:tc>
          <w:tcPr>
            <w:tcW w:w="961" w:type="dxa"/>
            <w:tcBorders>
              <w:top w:val="single" w:color="auto" w:sz="4" w:space="0"/>
              <w:left w:val="single" w:color="auto" w:sz="4" w:space="0"/>
              <w:bottom w:val="single" w:color="auto" w:sz="4" w:space="0"/>
              <w:right w:val="single" w:color="auto" w:sz="4" w:space="0"/>
            </w:tcBorders>
            <w:vAlign w:val="center"/>
          </w:tcPr>
          <w:p w14:paraId="79C7E870">
            <w:pPr>
              <w:spacing w:line="360" w:lineRule="auto"/>
              <w:jc w:val="center"/>
              <w:rPr>
                <w:rFonts w:hint="eastAsia" w:asciiTheme="minorEastAsia" w:hAnsiTheme="minorEastAsia" w:eastAsiaTheme="minorEastAsia" w:cstheme="minorEastAsia"/>
                <w:color w:val="auto"/>
                <w:highlight w:val="none"/>
              </w:rPr>
            </w:pPr>
          </w:p>
        </w:tc>
        <w:tc>
          <w:tcPr>
            <w:tcW w:w="1257" w:type="dxa"/>
            <w:tcBorders>
              <w:top w:val="single" w:color="auto" w:sz="4" w:space="0"/>
              <w:left w:val="single" w:color="auto" w:sz="4" w:space="0"/>
              <w:bottom w:val="single" w:color="auto" w:sz="4" w:space="0"/>
              <w:right w:val="single" w:color="auto" w:sz="4" w:space="0"/>
            </w:tcBorders>
            <w:vAlign w:val="center"/>
          </w:tcPr>
          <w:p w14:paraId="069641E0">
            <w:pPr>
              <w:spacing w:line="360" w:lineRule="auto"/>
              <w:jc w:val="center"/>
              <w:rPr>
                <w:rFonts w:hint="eastAsia" w:asciiTheme="minorEastAsia" w:hAnsiTheme="minorEastAsia" w:eastAsiaTheme="minorEastAsia" w:cstheme="minorEastAsia"/>
                <w:color w:val="auto"/>
                <w:highlight w:val="none"/>
              </w:rPr>
            </w:pPr>
          </w:p>
        </w:tc>
        <w:tc>
          <w:tcPr>
            <w:tcW w:w="1258" w:type="dxa"/>
            <w:tcBorders>
              <w:top w:val="single" w:color="auto" w:sz="4" w:space="0"/>
              <w:left w:val="single" w:color="auto" w:sz="4" w:space="0"/>
              <w:bottom w:val="single" w:color="auto" w:sz="4" w:space="0"/>
              <w:right w:val="single" w:color="auto" w:sz="4" w:space="0"/>
            </w:tcBorders>
            <w:vAlign w:val="center"/>
          </w:tcPr>
          <w:p w14:paraId="163261C6">
            <w:pPr>
              <w:spacing w:line="360" w:lineRule="auto"/>
              <w:jc w:val="center"/>
              <w:rPr>
                <w:rFonts w:hint="eastAsia" w:asciiTheme="minorEastAsia" w:hAnsiTheme="minorEastAsia" w:eastAsiaTheme="minorEastAsia" w:cstheme="minorEastAsia"/>
                <w:color w:val="auto"/>
                <w:highlight w:val="none"/>
              </w:rPr>
            </w:pPr>
          </w:p>
        </w:tc>
        <w:tc>
          <w:tcPr>
            <w:tcW w:w="1257" w:type="dxa"/>
            <w:tcBorders>
              <w:top w:val="single" w:color="auto" w:sz="4" w:space="0"/>
              <w:left w:val="single" w:color="auto" w:sz="4" w:space="0"/>
              <w:bottom w:val="single" w:color="auto" w:sz="4" w:space="0"/>
              <w:right w:val="single" w:color="auto" w:sz="4" w:space="0"/>
            </w:tcBorders>
            <w:vAlign w:val="center"/>
          </w:tcPr>
          <w:p w14:paraId="0335D8BB">
            <w:pPr>
              <w:spacing w:line="360" w:lineRule="auto"/>
              <w:jc w:val="center"/>
              <w:rPr>
                <w:rFonts w:hint="eastAsia" w:asciiTheme="minorEastAsia" w:hAnsiTheme="minorEastAsia" w:eastAsiaTheme="minorEastAsia" w:cstheme="minorEastAsia"/>
                <w:color w:val="auto"/>
                <w:highlight w:val="none"/>
              </w:rPr>
            </w:pPr>
          </w:p>
        </w:tc>
        <w:tc>
          <w:tcPr>
            <w:tcW w:w="1258" w:type="dxa"/>
            <w:tcBorders>
              <w:top w:val="single" w:color="auto" w:sz="4" w:space="0"/>
              <w:left w:val="single" w:color="auto" w:sz="4" w:space="0"/>
              <w:bottom w:val="single" w:color="auto" w:sz="4" w:space="0"/>
              <w:right w:val="single" w:color="auto" w:sz="4" w:space="0"/>
            </w:tcBorders>
            <w:vAlign w:val="center"/>
          </w:tcPr>
          <w:p w14:paraId="6839C315">
            <w:pPr>
              <w:spacing w:line="360" w:lineRule="auto"/>
              <w:jc w:val="center"/>
              <w:rPr>
                <w:rFonts w:hint="eastAsia" w:asciiTheme="minorEastAsia" w:hAnsiTheme="minorEastAsia" w:eastAsiaTheme="minorEastAsia" w:cstheme="minorEastAsia"/>
                <w:color w:val="auto"/>
                <w:highlight w:val="none"/>
              </w:rPr>
            </w:pPr>
          </w:p>
        </w:tc>
        <w:tc>
          <w:tcPr>
            <w:tcW w:w="1257" w:type="dxa"/>
            <w:tcBorders>
              <w:top w:val="single" w:color="auto" w:sz="4" w:space="0"/>
              <w:left w:val="single" w:color="auto" w:sz="4" w:space="0"/>
              <w:bottom w:val="single" w:color="auto" w:sz="4" w:space="0"/>
              <w:right w:val="single" w:color="auto" w:sz="4" w:space="0"/>
            </w:tcBorders>
            <w:vAlign w:val="center"/>
          </w:tcPr>
          <w:p w14:paraId="666CE22F">
            <w:pPr>
              <w:spacing w:line="360" w:lineRule="auto"/>
              <w:jc w:val="center"/>
              <w:rPr>
                <w:rFonts w:hint="eastAsia" w:asciiTheme="minorEastAsia" w:hAnsiTheme="minorEastAsia" w:eastAsiaTheme="minorEastAsia" w:cstheme="minorEastAsia"/>
                <w:color w:val="auto"/>
                <w:highlight w:val="none"/>
              </w:rPr>
            </w:pPr>
          </w:p>
        </w:tc>
        <w:tc>
          <w:tcPr>
            <w:tcW w:w="1258" w:type="dxa"/>
            <w:tcBorders>
              <w:top w:val="single" w:color="auto" w:sz="4" w:space="0"/>
              <w:left w:val="single" w:color="auto" w:sz="4" w:space="0"/>
              <w:bottom w:val="single" w:color="auto" w:sz="4" w:space="0"/>
              <w:right w:val="single" w:color="auto" w:sz="4" w:space="0"/>
            </w:tcBorders>
            <w:vAlign w:val="center"/>
          </w:tcPr>
          <w:p w14:paraId="41BB5037">
            <w:pPr>
              <w:spacing w:line="360" w:lineRule="auto"/>
              <w:jc w:val="center"/>
              <w:rPr>
                <w:rFonts w:hint="eastAsia" w:asciiTheme="minorEastAsia" w:hAnsiTheme="minorEastAsia" w:eastAsiaTheme="minorEastAsia" w:cstheme="minorEastAsia"/>
                <w:color w:val="auto"/>
                <w:highlight w:val="none"/>
              </w:rPr>
            </w:pPr>
          </w:p>
        </w:tc>
      </w:tr>
      <w:tr w14:paraId="1836F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tcBorders>
              <w:top w:val="single" w:color="auto" w:sz="4" w:space="0"/>
              <w:left w:val="single" w:color="auto" w:sz="4" w:space="0"/>
              <w:bottom w:val="single" w:color="auto" w:sz="4" w:space="0"/>
              <w:right w:val="single" w:color="auto" w:sz="4" w:space="0"/>
            </w:tcBorders>
            <w:vAlign w:val="center"/>
          </w:tcPr>
          <w:p w14:paraId="3AB500EA">
            <w:pPr>
              <w:spacing w:line="360" w:lineRule="auto"/>
              <w:jc w:val="center"/>
              <w:rPr>
                <w:rFonts w:hint="eastAsia" w:asciiTheme="minorEastAsia" w:hAnsiTheme="minorEastAsia" w:eastAsiaTheme="minorEastAsia" w:cstheme="minorEastAsia"/>
                <w:color w:val="auto"/>
                <w:highlight w:val="none"/>
              </w:rPr>
            </w:pPr>
          </w:p>
        </w:tc>
        <w:tc>
          <w:tcPr>
            <w:tcW w:w="961" w:type="dxa"/>
            <w:tcBorders>
              <w:top w:val="single" w:color="auto" w:sz="4" w:space="0"/>
              <w:left w:val="single" w:color="auto" w:sz="4" w:space="0"/>
              <w:bottom w:val="single" w:color="auto" w:sz="4" w:space="0"/>
              <w:right w:val="single" w:color="auto" w:sz="4" w:space="0"/>
            </w:tcBorders>
            <w:vAlign w:val="center"/>
          </w:tcPr>
          <w:p w14:paraId="1987FC3A">
            <w:pPr>
              <w:spacing w:line="360" w:lineRule="auto"/>
              <w:jc w:val="center"/>
              <w:rPr>
                <w:rFonts w:hint="eastAsia" w:asciiTheme="minorEastAsia" w:hAnsiTheme="minorEastAsia" w:eastAsiaTheme="minorEastAsia" w:cstheme="minorEastAsia"/>
                <w:color w:val="auto"/>
                <w:highlight w:val="none"/>
              </w:rPr>
            </w:pPr>
          </w:p>
        </w:tc>
        <w:tc>
          <w:tcPr>
            <w:tcW w:w="1257" w:type="dxa"/>
            <w:tcBorders>
              <w:top w:val="single" w:color="auto" w:sz="4" w:space="0"/>
              <w:left w:val="single" w:color="auto" w:sz="4" w:space="0"/>
              <w:bottom w:val="single" w:color="auto" w:sz="4" w:space="0"/>
              <w:right w:val="single" w:color="auto" w:sz="4" w:space="0"/>
            </w:tcBorders>
            <w:vAlign w:val="center"/>
          </w:tcPr>
          <w:p w14:paraId="7572D233">
            <w:pPr>
              <w:spacing w:line="360" w:lineRule="auto"/>
              <w:jc w:val="center"/>
              <w:rPr>
                <w:rFonts w:hint="eastAsia" w:asciiTheme="minorEastAsia" w:hAnsiTheme="minorEastAsia" w:eastAsiaTheme="minorEastAsia" w:cstheme="minorEastAsia"/>
                <w:color w:val="auto"/>
                <w:highlight w:val="none"/>
              </w:rPr>
            </w:pPr>
          </w:p>
        </w:tc>
        <w:tc>
          <w:tcPr>
            <w:tcW w:w="1258" w:type="dxa"/>
            <w:tcBorders>
              <w:top w:val="single" w:color="auto" w:sz="4" w:space="0"/>
              <w:left w:val="single" w:color="auto" w:sz="4" w:space="0"/>
              <w:bottom w:val="single" w:color="auto" w:sz="4" w:space="0"/>
              <w:right w:val="single" w:color="auto" w:sz="4" w:space="0"/>
            </w:tcBorders>
            <w:vAlign w:val="center"/>
          </w:tcPr>
          <w:p w14:paraId="516CB861">
            <w:pPr>
              <w:spacing w:line="360" w:lineRule="auto"/>
              <w:jc w:val="center"/>
              <w:rPr>
                <w:rFonts w:hint="eastAsia" w:asciiTheme="minorEastAsia" w:hAnsiTheme="minorEastAsia" w:eastAsiaTheme="minorEastAsia" w:cstheme="minorEastAsia"/>
                <w:color w:val="auto"/>
                <w:highlight w:val="none"/>
              </w:rPr>
            </w:pPr>
          </w:p>
        </w:tc>
        <w:tc>
          <w:tcPr>
            <w:tcW w:w="1257" w:type="dxa"/>
            <w:tcBorders>
              <w:top w:val="single" w:color="auto" w:sz="4" w:space="0"/>
              <w:left w:val="single" w:color="auto" w:sz="4" w:space="0"/>
              <w:bottom w:val="single" w:color="auto" w:sz="4" w:space="0"/>
              <w:right w:val="single" w:color="auto" w:sz="4" w:space="0"/>
            </w:tcBorders>
            <w:vAlign w:val="center"/>
          </w:tcPr>
          <w:p w14:paraId="17137D6E">
            <w:pPr>
              <w:spacing w:line="360" w:lineRule="auto"/>
              <w:jc w:val="center"/>
              <w:rPr>
                <w:rFonts w:hint="eastAsia" w:asciiTheme="minorEastAsia" w:hAnsiTheme="minorEastAsia" w:eastAsiaTheme="minorEastAsia" w:cstheme="minorEastAsia"/>
                <w:color w:val="auto"/>
                <w:highlight w:val="none"/>
              </w:rPr>
            </w:pPr>
          </w:p>
        </w:tc>
        <w:tc>
          <w:tcPr>
            <w:tcW w:w="1258" w:type="dxa"/>
            <w:tcBorders>
              <w:top w:val="single" w:color="auto" w:sz="4" w:space="0"/>
              <w:left w:val="single" w:color="auto" w:sz="4" w:space="0"/>
              <w:bottom w:val="single" w:color="auto" w:sz="4" w:space="0"/>
              <w:right w:val="single" w:color="auto" w:sz="4" w:space="0"/>
            </w:tcBorders>
            <w:vAlign w:val="center"/>
          </w:tcPr>
          <w:p w14:paraId="7E97D4D6">
            <w:pPr>
              <w:spacing w:line="360" w:lineRule="auto"/>
              <w:jc w:val="center"/>
              <w:rPr>
                <w:rFonts w:hint="eastAsia" w:asciiTheme="minorEastAsia" w:hAnsiTheme="minorEastAsia" w:eastAsiaTheme="minorEastAsia" w:cstheme="minorEastAsia"/>
                <w:color w:val="auto"/>
                <w:highlight w:val="none"/>
              </w:rPr>
            </w:pPr>
          </w:p>
        </w:tc>
        <w:tc>
          <w:tcPr>
            <w:tcW w:w="1257" w:type="dxa"/>
            <w:tcBorders>
              <w:top w:val="single" w:color="auto" w:sz="4" w:space="0"/>
              <w:left w:val="single" w:color="auto" w:sz="4" w:space="0"/>
              <w:bottom w:val="single" w:color="auto" w:sz="4" w:space="0"/>
              <w:right w:val="single" w:color="auto" w:sz="4" w:space="0"/>
            </w:tcBorders>
            <w:vAlign w:val="center"/>
          </w:tcPr>
          <w:p w14:paraId="008F101B">
            <w:pPr>
              <w:spacing w:line="360" w:lineRule="auto"/>
              <w:jc w:val="center"/>
              <w:rPr>
                <w:rFonts w:hint="eastAsia" w:asciiTheme="minorEastAsia" w:hAnsiTheme="minorEastAsia" w:eastAsiaTheme="minorEastAsia" w:cstheme="minorEastAsia"/>
                <w:color w:val="auto"/>
                <w:highlight w:val="none"/>
              </w:rPr>
            </w:pPr>
          </w:p>
        </w:tc>
        <w:tc>
          <w:tcPr>
            <w:tcW w:w="1258" w:type="dxa"/>
            <w:tcBorders>
              <w:top w:val="single" w:color="auto" w:sz="4" w:space="0"/>
              <w:left w:val="single" w:color="auto" w:sz="4" w:space="0"/>
              <w:bottom w:val="single" w:color="auto" w:sz="4" w:space="0"/>
              <w:right w:val="single" w:color="auto" w:sz="4" w:space="0"/>
            </w:tcBorders>
            <w:vAlign w:val="center"/>
          </w:tcPr>
          <w:p w14:paraId="256FD529">
            <w:pPr>
              <w:spacing w:line="360" w:lineRule="auto"/>
              <w:jc w:val="center"/>
              <w:rPr>
                <w:rFonts w:hint="eastAsia" w:asciiTheme="minorEastAsia" w:hAnsiTheme="minorEastAsia" w:eastAsiaTheme="minorEastAsia" w:cstheme="minorEastAsia"/>
                <w:color w:val="auto"/>
                <w:highlight w:val="none"/>
              </w:rPr>
            </w:pPr>
          </w:p>
        </w:tc>
      </w:tr>
      <w:tr w14:paraId="125B7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tcBorders>
              <w:top w:val="single" w:color="auto" w:sz="4" w:space="0"/>
              <w:left w:val="single" w:color="auto" w:sz="4" w:space="0"/>
              <w:bottom w:val="single" w:color="auto" w:sz="4" w:space="0"/>
              <w:right w:val="single" w:color="auto" w:sz="4" w:space="0"/>
            </w:tcBorders>
            <w:vAlign w:val="center"/>
          </w:tcPr>
          <w:p w14:paraId="63B63FD2">
            <w:pPr>
              <w:spacing w:line="360" w:lineRule="auto"/>
              <w:jc w:val="center"/>
              <w:rPr>
                <w:rFonts w:hint="eastAsia" w:asciiTheme="minorEastAsia" w:hAnsiTheme="minorEastAsia" w:eastAsiaTheme="minorEastAsia" w:cstheme="minorEastAsia"/>
                <w:color w:val="auto"/>
                <w:highlight w:val="none"/>
              </w:rPr>
            </w:pPr>
          </w:p>
        </w:tc>
        <w:tc>
          <w:tcPr>
            <w:tcW w:w="961" w:type="dxa"/>
            <w:tcBorders>
              <w:top w:val="single" w:color="auto" w:sz="4" w:space="0"/>
              <w:left w:val="single" w:color="auto" w:sz="4" w:space="0"/>
              <w:bottom w:val="single" w:color="auto" w:sz="4" w:space="0"/>
              <w:right w:val="single" w:color="auto" w:sz="4" w:space="0"/>
            </w:tcBorders>
            <w:vAlign w:val="center"/>
          </w:tcPr>
          <w:p w14:paraId="3A27D0C9">
            <w:pPr>
              <w:spacing w:line="360" w:lineRule="auto"/>
              <w:jc w:val="center"/>
              <w:rPr>
                <w:rFonts w:hint="eastAsia" w:asciiTheme="minorEastAsia" w:hAnsiTheme="minorEastAsia" w:eastAsiaTheme="minorEastAsia" w:cstheme="minorEastAsia"/>
                <w:color w:val="auto"/>
                <w:highlight w:val="none"/>
              </w:rPr>
            </w:pPr>
          </w:p>
        </w:tc>
        <w:tc>
          <w:tcPr>
            <w:tcW w:w="1257" w:type="dxa"/>
            <w:tcBorders>
              <w:top w:val="single" w:color="auto" w:sz="4" w:space="0"/>
              <w:left w:val="single" w:color="auto" w:sz="4" w:space="0"/>
              <w:bottom w:val="single" w:color="auto" w:sz="4" w:space="0"/>
              <w:right w:val="single" w:color="auto" w:sz="4" w:space="0"/>
            </w:tcBorders>
            <w:vAlign w:val="center"/>
          </w:tcPr>
          <w:p w14:paraId="3C2A4A53">
            <w:pPr>
              <w:spacing w:line="360" w:lineRule="auto"/>
              <w:jc w:val="center"/>
              <w:rPr>
                <w:rFonts w:hint="eastAsia" w:asciiTheme="minorEastAsia" w:hAnsiTheme="minorEastAsia" w:eastAsiaTheme="minorEastAsia" w:cstheme="minorEastAsia"/>
                <w:color w:val="auto"/>
                <w:highlight w:val="none"/>
              </w:rPr>
            </w:pPr>
          </w:p>
        </w:tc>
        <w:tc>
          <w:tcPr>
            <w:tcW w:w="1258" w:type="dxa"/>
            <w:tcBorders>
              <w:top w:val="single" w:color="auto" w:sz="4" w:space="0"/>
              <w:left w:val="single" w:color="auto" w:sz="4" w:space="0"/>
              <w:bottom w:val="single" w:color="auto" w:sz="4" w:space="0"/>
              <w:right w:val="single" w:color="auto" w:sz="4" w:space="0"/>
            </w:tcBorders>
            <w:vAlign w:val="center"/>
          </w:tcPr>
          <w:p w14:paraId="2384F424">
            <w:pPr>
              <w:spacing w:line="360" w:lineRule="auto"/>
              <w:jc w:val="center"/>
              <w:rPr>
                <w:rFonts w:hint="eastAsia" w:asciiTheme="minorEastAsia" w:hAnsiTheme="minorEastAsia" w:eastAsiaTheme="minorEastAsia" w:cstheme="minorEastAsia"/>
                <w:color w:val="auto"/>
                <w:highlight w:val="none"/>
              </w:rPr>
            </w:pPr>
          </w:p>
        </w:tc>
        <w:tc>
          <w:tcPr>
            <w:tcW w:w="1257" w:type="dxa"/>
            <w:tcBorders>
              <w:top w:val="single" w:color="auto" w:sz="4" w:space="0"/>
              <w:left w:val="single" w:color="auto" w:sz="4" w:space="0"/>
              <w:bottom w:val="single" w:color="auto" w:sz="4" w:space="0"/>
              <w:right w:val="single" w:color="auto" w:sz="4" w:space="0"/>
            </w:tcBorders>
            <w:vAlign w:val="center"/>
          </w:tcPr>
          <w:p w14:paraId="5BAD9AE7">
            <w:pPr>
              <w:spacing w:line="360" w:lineRule="auto"/>
              <w:jc w:val="center"/>
              <w:rPr>
                <w:rFonts w:hint="eastAsia" w:asciiTheme="minorEastAsia" w:hAnsiTheme="minorEastAsia" w:eastAsiaTheme="minorEastAsia" w:cstheme="minorEastAsia"/>
                <w:color w:val="auto"/>
                <w:highlight w:val="none"/>
              </w:rPr>
            </w:pPr>
          </w:p>
        </w:tc>
        <w:tc>
          <w:tcPr>
            <w:tcW w:w="1258" w:type="dxa"/>
            <w:tcBorders>
              <w:top w:val="single" w:color="auto" w:sz="4" w:space="0"/>
              <w:left w:val="single" w:color="auto" w:sz="4" w:space="0"/>
              <w:bottom w:val="single" w:color="auto" w:sz="4" w:space="0"/>
              <w:right w:val="single" w:color="auto" w:sz="4" w:space="0"/>
            </w:tcBorders>
            <w:vAlign w:val="center"/>
          </w:tcPr>
          <w:p w14:paraId="70227ACD">
            <w:pPr>
              <w:spacing w:line="360" w:lineRule="auto"/>
              <w:jc w:val="center"/>
              <w:rPr>
                <w:rFonts w:hint="eastAsia" w:asciiTheme="minorEastAsia" w:hAnsiTheme="minorEastAsia" w:eastAsiaTheme="minorEastAsia" w:cstheme="minorEastAsia"/>
                <w:color w:val="auto"/>
                <w:highlight w:val="none"/>
              </w:rPr>
            </w:pPr>
          </w:p>
        </w:tc>
        <w:tc>
          <w:tcPr>
            <w:tcW w:w="1257" w:type="dxa"/>
            <w:tcBorders>
              <w:top w:val="single" w:color="auto" w:sz="4" w:space="0"/>
              <w:left w:val="single" w:color="auto" w:sz="4" w:space="0"/>
              <w:bottom w:val="single" w:color="auto" w:sz="4" w:space="0"/>
              <w:right w:val="single" w:color="auto" w:sz="4" w:space="0"/>
            </w:tcBorders>
            <w:vAlign w:val="center"/>
          </w:tcPr>
          <w:p w14:paraId="3E64D04C">
            <w:pPr>
              <w:spacing w:line="360" w:lineRule="auto"/>
              <w:jc w:val="center"/>
              <w:rPr>
                <w:rFonts w:hint="eastAsia" w:asciiTheme="minorEastAsia" w:hAnsiTheme="minorEastAsia" w:eastAsiaTheme="minorEastAsia" w:cstheme="minorEastAsia"/>
                <w:color w:val="auto"/>
                <w:highlight w:val="none"/>
              </w:rPr>
            </w:pPr>
          </w:p>
        </w:tc>
        <w:tc>
          <w:tcPr>
            <w:tcW w:w="1258" w:type="dxa"/>
            <w:tcBorders>
              <w:top w:val="single" w:color="auto" w:sz="4" w:space="0"/>
              <w:left w:val="single" w:color="auto" w:sz="4" w:space="0"/>
              <w:bottom w:val="single" w:color="auto" w:sz="4" w:space="0"/>
              <w:right w:val="single" w:color="auto" w:sz="4" w:space="0"/>
            </w:tcBorders>
            <w:vAlign w:val="center"/>
          </w:tcPr>
          <w:p w14:paraId="49C30A6A">
            <w:pPr>
              <w:spacing w:line="360" w:lineRule="auto"/>
              <w:jc w:val="center"/>
              <w:rPr>
                <w:rFonts w:hint="eastAsia" w:asciiTheme="minorEastAsia" w:hAnsiTheme="minorEastAsia" w:eastAsiaTheme="minorEastAsia" w:cstheme="minorEastAsia"/>
                <w:color w:val="auto"/>
                <w:highlight w:val="none"/>
              </w:rPr>
            </w:pPr>
          </w:p>
        </w:tc>
      </w:tr>
      <w:tr w14:paraId="13534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tcBorders>
              <w:top w:val="single" w:color="auto" w:sz="4" w:space="0"/>
              <w:left w:val="single" w:color="auto" w:sz="4" w:space="0"/>
              <w:bottom w:val="single" w:color="auto" w:sz="4" w:space="0"/>
              <w:right w:val="single" w:color="auto" w:sz="4" w:space="0"/>
            </w:tcBorders>
            <w:vAlign w:val="center"/>
          </w:tcPr>
          <w:p w14:paraId="2CD847F9">
            <w:pPr>
              <w:spacing w:line="360" w:lineRule="auto"/>
              <w:jc w:val="center"/>
              <w:rPr>
                <w:rFonts w:hint="eastAsia" w:asciiTheme="minorEastAsia" w:hAnsiTheme="minorEastAsia" w:eastAsiaTheme="minorEastAsia" w:cstheme="minorEastAsia"/>
                <w:color w:val="auto"/>
                <w:highlight w:val="none"/>
              </w:rPr>
            </w:pPr>
          </w:p>
        </w:tc>
        <w:tc>
          <w:tcPr>
            <w:tcW w:w="961" w:type="dxa"/>
            <w:tcBorders>
              <w:top w:val="single" w:color="auto" w:sz="4" w:space="0"/>
              <w:left w:val="single" w:color="auto" w:sz="4" w:space="0"/>
              <w:bottom w:val="single" w:color="auto" w:sz="4" w:space="0"/>
              <w:right w:val="single" w:color="auto" w:sz="4" w:space="0"/>
            </w:tcBorders>
            <w:vAlign w:val="center"/>
          </w:tcPr>
          <w:p w14:paraId="0D181F6A">
            <w:pPr>
              <w:spacing w:line="360" w:lineRule="auto"/>
              <w:jc w:val="center"/>
              <w:rPr>
                <w:rFonts w:hint="eastAsia" w:asciiTheme="minorEastAsia" w:hAnsiTheme="minorEastAsia" w:eastAsiaTheme="minorEastAsia" w:cstheme="minorEastAsia"/>
                <w:color w:val="auto"/>
                <w:highlight w:val="none"/>
              </w:rPr>
            </w:pPr>
          </w:p>
        </w:tc>
        <w:tc>
          <w:tcPr>
            <w:tcW w:w="1257" w:type="dxa"/>
            <w:tcBorders>
              <w:top w:val="single" w:color="auto" w:sz="4" w:space="0"/>
              <w:left w:val="single" w:color="auto" w:sz="4" w:space="0"/>
              <w:bottom w:val="single" w:color="auto" w:sz="4" w:space="0"/>
              <w:right w:val="single" w:color="auto" w:sz="4" w:space="0"/>
            </w:tcBorders>
            <w:vAlign w:val="center"/>
          </w:tcPr>
          <w:p w14:paraId="33A4AB1B">
            <w:pPr>
              <w:spacing w:line="360" w:lineRule="auto"/>
              <w:jc w:val="center"/>
              <w:rPr>
                <w:rFonts w:hint="eastAsia" w:asciiTheme="minorEastAsia" w:hAnsiTheme="minorEastAsia" w:eastAsiaTheme="minorEastAsia" w:cstheme="minorEastAsia"/>
                <w:color w:val="auto"/>
                <w:highlight w:val="none"/>
              </w:rPr>
            </w:pPr>
          </w:p>
        </w:tc>
        <w:tc>
          <w:tcPr>
            <w:tcW w:w="1258" w:type="dxa"/>
            <w:tcBorders>
              <w:top w:val="single" w:color="auto" w:sz="4" w:space="0"/>
              <w:left w:val="single" w:color="auto" w:sz="4" w:space="0"/>
              <w:bottom w:val="single" w:color="auto" w:sz="4" w:space="0"/>
              <w:right w:val="single" w:color="auto" w:sz="4" w:space="0"/>
            </w:tcBorders>
            <w:vAlign w:val="center"/>
          </w:tcPr>
          <w:p w14:paraId="50AFCBE3">
            <w:pPr>
              <w:spacing w:line="360" w:lineRule="auto"/>
              <w:jc w:val="center"/>
              <w:rPr>
                <w:rFonts w:hint="eastAsia" w:asciiTheme="minorEastAsia" w:hAnsiTheme="minorEastAsia" w:eastAsiaTheme="minorEastAsia" w:cstheme="minorEastAsia"/>
                <w:color w:val="auto"/>
                <w:highlight w:val="none"/>
              </w:rPr>
            </w:pPr>
          </w:p>
        </w:tc>
        <w:tc>
          <w:tcPr>
            <w:tcW w:w="1257" w:type="dxa"/>
            <w:tcBorders>
              <w:top w:val="single" w:color="auto" w:sz="4" w:space="0"/>
              <w:left w:val="single" w:color="auto" w:sz="4" w:space="0"/>
              <w:bottom w:val="single" w:color="auto" w:sz="4" w:space="0"/>
              <w:right w:val="single" w:color="auto" w:sz="4" w:space="0"/>
            </w:tcBorders>
            <w:vAlign w:val="center"/>
          </w:tcPr>
          <w:p w14:paraId="4AD85008">
            <w:pPr>
              <w:spacing w:line="360" w:lineRule="auto"/>
              <w:jc w:val="center"/>
              <w:rPr>
                <w:rFonts w:hint="eastAsia" w:asciiTheme="minorEastAsia" w:hAnsiTheme="minorEastAsia" w:eastAsiaTheme="minorEastAsia" w:cstheme="minorEastAsia"/>
                <w:color w:val="auto"/>
                <w:highlight w:val="none"/>
              </w:rPr>
            </w:pPr>
          </w:p>
        </w:tc>
        <w:tc>
          <w:tcPr>
            <w:tcW w:w="1258" w:type="dxa"/>
            <w:tcBorders>
              <w:top w:val="single" w:color="auto" w:sz="4" w:space="0"/>
              <w:left w:val="single" w:color="auto" w:sz="4" w:space="0"/>
              <w:bottom w:val="single" w:color="auto" w:sz="4" w:space="0"/>
              <w:right w:val="single" w:color="auto" w:sz="4" w:space="0"/>
            </w:tcBorders>
            <w:vAlign w:val="center"/>
          </w:tcPr>
          <w:p w14:paraId="59AF3637">
            <w:pPr>
              <w:spacing w:line="360" w:lineRule="auto"/>
              <w:jc w:val="center"/>
              <w:rPr>
                <w:rFonts w:hint="eastAsia" w:asciiTheme="minorEastAsia" w:hAnsiTheme="minorEastAsia" w:eastAsiaTheme="minorEastAsia" w:cstheme="minorEastAsia"/>
                <w:color w:val="auto"/>
                <w:highlight w:val="none"/>
              </w:rPr>
            </w:pPr>
          </w:p>
        </w:tc>
        <w:tc>
          <w:tcPr>
            <w:tcW w:w="1257" w:type="dxa"/>
            <w:tcBorders>
              <w:top w:val="single" w:color="auto" w:sz="4" w:space="0"/>
              <w:left w:val="single" w:color="auto" w:sz="4" w:space="0"/>
              <w:bottom w:val="single" w:color="auto" w:sz="4" w:space="0"/>
              <w:right w:val="single" w:color="auto" w:sz="4" w:space="0"/>
            </w:tcBorders>
            <w:vAlign w:val="center"/>
          </w:tcPr>
          <w:p w14:paraId="02BD666B">
            <w:pPr>
              <w:spacing w:line="360" w:lineRule="auto"/>
              <w:jc w:val="center"/>
              <w:rPr>
                <w:rFonts w:hint="eastAsia" w:asciiTheme="minorEastAsia" w:hAnsiTheme="minorEastAsia" w:eastAsiaTheme="minorEastAsia" w:cstheme="minorEastAsia"/>
                <w:color w:val="auto"/>
                <w:highlight w:val="none"/>
              </w:rPr>
            </w:pPr>
          </w:p>
        </w:tc>
        <w:tc>
          <w:tcPr>
            <w:tcW w:w="1258" w:type="dxa"/>
            <w:tcBorders>
              <w:top w:val="single" w:color="auto" w:sz="4" w:space="0"/>
              <w:left w:val="single" w:color="auto" w:sz="4" w:space="0"/>
              <w:bottom w:val="single" w:color="auto" w:sz="4" w:space="0"/>
              <w:right w:val="single" w:color="auto" w:sz="4" w:space="0"/>
            </w:tcBorders>
            <w:vAlign w:val="center"/>
          </w:tcPr>
          <w:p w14:paraId="58E2FF53">
            <w:pPr>
              <w:spacing w:line="360" w:lineRule="auto"/>
              <w:jc w:val="center"/>
              <w:rPr>
                <w:rFonts w:hint="eastAsia" w:asciiTheme="minorEastAsia" w:hAnsiTheme="minorEastAsia" w:eastAsiaTheme="minorEastAsia" w:cstheme="minorEastAsia"/>
                <w:color w:val="auto"/>
                <w:highlight w:val="none"/>
              </w:rPr>
            </w:pPr>
          </w:p>
        </w:tc>
      </w:tr>
      <w:tr w14:paraId="5D295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tcBorders>
              <w:top w:val="single" w:color="auto" w:sz="4" w:space="0"/>
              <w:left w:val="single" w:color="auto" w:sz="4" w:space="0"/>
              <w:bottom w:val="single" w:color="auto" w:sz="4" w:space="0"/>
              <w:right w:val="single" w:color="auto" w:sz="4" w:space="0"/>
            </w:tcBorders>
            <w:vAlign w:val="center"/>
          </w:tcPr>
          <w:p w14:paraId="032304BB">
            <w:pPr>
              <w:spacing w:line="360" w:lineRule="auto"/>
              <w:jc w:val="center"/>
              <w:rPr>
                <w:rFonts w:hint="eastAsia" w:asciiTheme="minorEastAsia" w:hAnsiTheme="minorEastAsia" w:eastAsiaTheme="minorEastAsia" w:cstheme="minorEastAsia"/>
                <w:color w:val="auto"/>
                <w:highlight w:val="none"/>
              </w:rPr>
            </w:pPr>
          </w:p>
        </w:tc>
        <w:tc>
          <w:tcPr>
            <w:tcW w:w="961" w:type="dxa"/>
            <w:tcBorders>
              <w:top w:val="single" w:color="auto" w:sz="4" w:space="0"/>
              <w:left w:val="single" w:color="auto" w:sz="4" w:space="0"/>
              <w:bottom w:val="single" w:color="auto" w:sz="4" w:space="0"/>
              <w:right w:val="single" w:color="auto" w:sz="4" w:space="0"/>
            </w:tcBorders>
            <w:vAlign w:val="center"/>
          </w:tcPr>
          <w:p w14:paraId="33F4A055">
            <w:pPr>
              <w:spacing w:line="360" w:lineRule="auto"/>
              <w:jc w:val="center"/>
              <w:rPr>
                <w:rFonts w:hint="eastAsia" w:asciiTheme="minorEastAsia" w:hAnsiTheme="minorEastAsia" w:eastAsiaTheme="minorEastAsia" w:cstheme="minorEastAsia"/>
                <w:color w:val="auto"/>
                <w:highlight w:val="none"/>
              </w:rPr>
            </w:pPr>
          </w:p>
        </w:tc>
        <w:tc>
          <w:tcPr>
            <w:tcW w:w="1257" w:type="dxa"/>
            <w:tcBorders>
              <w:top w:val="single" w:color="auto" w:sz="4" w:space="0"/>
              <w:left w:val="single" w:color="auto" w:sz="4" w:space="0"/>
              <w:bottom w:val="single" w:color="auto" w:sz="4" w:space="0"/>
              <w:right w:val="single" w:color="auto" w:sz="4" w:space="0"/>
            </w:tcBorders>
            <w:vAlign w:val="center"/>
          </w:tcPr>
          <w:p w14:paraId="050E3053">
            <w:pPr>
              <w:spacing w:line="360" w:lineRule="auto"/>
              <w:jc w:val="center"/>
              <w:rPr>
                <w:rFonts w:hint="eastAsia" w:asciiTheme="minorEastAsia" w:hAnsiTheme="minorEastAsia" w:eastAsiaTheme="minorEastAsia" w:cstheme="minorEastAsia"/>
                <w:color w:val="auto"/>
                <w:highlight w:val="none"/>
              </w:rPr>
            </w:pPr>
          </w:p>
        </w:tc>
        <w:tc>
          <w:tcPr>
            <w:tcW w:w="1258" w:type="dxa"/>
            <w:tcBorders>
              <w:top w:val="single" w:color="auto" w:sz="4" w:space="0"/>
              <w:left w:val="single" w:color="auto" w:sz="4" w:space="0"/>
              <w:bottom w:val="single" w:color="auto" w:sz="4" w:space="0"/>
              <w:right w:val="single" w:color="auto" w:sz="4" w:space="0"/>
            </w:tcBorders>
            <w:vAlign w:val="center"/>
          </w:tcPr>
          <w:p w14:paraId="5359ACE8">
            <w:pPr>
              <w:spacing w:line="360" w:lineRule="auto"/>
              <w:jc w:val="center"/>
              <w:rPr>
                <w:rFonts w:hint="eastAsia" w:asciiTheme="minorEastAsia" w:hAnsiTheme="minorEastAsia" w:eastAsiaTheme="minorEastAsia" w:cstheme="minorEastAsia"/>
                <w:color w:val="auto"/>
                <w:highlight w:val="none"/>
              </w:rPr>
            </w:pPr>
          </w:p>
        </w:tc>
        <w:tc>
          <w:tcPr>
            <w:tcW w:w="1257" w:type="dxa"/>
            <w:tcBorders>
              <w:top w:val="single" w:color="auto" w:sz="4" w:space="0"/>
              <w:left w:val="single" w:color="auto" w:sz="4" w:space="0"/>
              <w:bottom w:val="single" w:color="auto" w:sz="4" w:space="0"/>
              <w:right w:val="single" w:color="auto" w:sz="4" w:space="0"/>
            </w:tcBorders>
            <w:vAlign w:val="center"/>
          </w:tcPr>
          <w:p w14:paraId="5E346DFD">
            <w:pPr>
              <w:spacing w:line="360" w:lineRule="auto"/>
              <w:jc w:val="center"/>
              <w:rPr>
                <w:rFonts w:hint="eastAsia" w:asciiTheme="minorEastAsia" w:hAnsiTheme="minorEastAsia" w:eastAsiaTheme="minorEastAsia" w:cstheme="minorEastAsia"/>
                <w:color w:val="auto"/>
                <w:highlight w:val="none"/>
              </w:rPr>
            </w:pPr>
          </w:p>
        </w:tc>
        <w:tc>
          <w:tcPr>
            <w:tcW w:w="1258" w:type="dxa"/>
            <w:tcBorders>
              <w:top w:val="single" w:color="auto" w:sz="4" w:space="0"/>
              <w:left w:val="single" w:color="auto" w:sz="4" w:space="0"/>
              <w:bottom w:val="single" w:color="auto" w:sz="4" w:space="0"/>
              <w:right w:val="single" w:color="auto" w:sz="4" w:space="0"/>
            </w:tcBorders>
            <w:vAlign w:val="center"/>
          </w:tcPr>
          <w:p w14:paraId="3955F7E9">
            <w:pPr>
              <w:spacing w:line="360" w:lineRule="auto"/>
              <w:jc w:val="center"/>
              <w:rPr>
                <w:rFonts w:hint="eastAsia" w:asciiTheme="minorEastAsia" w:hAnsiTheme="minorEastAsia" w:eastAsiaTheme="minorEastAsia" w:cstheme="minorEastAsia"/>
                <w:color w:val="auto"/>
                <w:highlight w:val="none"/>
              </w:rPr>
            </w:pPr>
          </w:p>
        </w:tc>
        <w:tc>
          <w:tcPr>
            <w:tcW w:w="1257" w:type="dxa"/>
            <w:tcBorders>
              <w:top w:val="single" w:color="auto" w:sz="4" w:space="0"/>
              <w:left w:val="single" w:color="auto" w:sz="4" w:space="0"/>
              <w:bottom w:val="single" w:color="auto" w:sz="4" w:space="0"/>
              <w:right w:val="single" w:color="auto" w:sz="4" w:space="0"/>
            </w:tcBorders>
            <w:vAlign w:val="center"/>
          </w:tcPr>
          <w:p w14:paraId="341EC0F1">
            <w:pPr>
              <w:spacing w:line="360" w:lineRule="auto"/>
              <w:jc w:val="center"/>
              <w:rPr>
                <w:rFonts w:hint="eastAsia" w:asciiTheme="minorEastAsia" w:hAnsiTheme="minorEastAsia" w:eastAsiaTheme="minorEastAsia" w:cstheme="minorEastAsia"/>
                <w:color w:val="auto"/>
                <w:highlight w:val="none"/>
              </w:rPr>
            </w:pPr>
          </w:p>
        </w:tc>
        <w:tc>
          <w:tcPr>
            <w:tcW w:w="1258" w:type="dxa"/>
            <w:tcBorders>
              <w:top w:val="single" w:color="auto" w:sz="4" w:space="0"/>
              <w:left w:val="single" w:color="auto" w:sz="4" w:space="0"/>
              <w:bottom w:val="single" w:color="auto" w:sz="4" w:space="0"/>
              <w:right w:val="single" w:color="auto" w:sz="4" w:space="0"/>
            </w:tcBorders>
            <w:vAlign w:val="center"/>
          </w:tcPr>
          <w:p w14:paraId="55610275">
            <w:pPr>
              <w:spacing w:line="360" w:lineRule="auto"/>
              <w:jc w:val="center"/>
              <w:rPr>
                <w:rFonts w:hint="eastAsia" w:asciiTheme="minorEastAsia" w:hAnsiTheme="minorEastAsia" w:eastAsiaTheme="minorEastAsia" w:cstheme="minorEastAsia"/>
                <w:color w:val="auto"/>
                <w:highlight w:val="none"/>
              </w:rPr>
            </w:pPr>
          </w:p>
        </w:tc>
      </w:tr>
    </w:tbl>
    <w:p w14:paraId="0C9DBFF9">
      <w:pPr>
        <w:rPr>
          <w:rFonts w:hint="eastAsia" w:asciiTheme="minorEastAsia" w:hAnsiTheme="minorEastAsia" w:eastAsiaTheme="minorEastAsia" w:cstheme="minorEastAsia"/>
          <w:color w:val="auto"/>
          <w:highlight w:val="none"/>
        </w:rPr>
      </w:pPr>
    </w:p>
    <w:p w14:paraId="52932BB5">
      <w:pPr>
        <w:rPr>
          <w:rFonts w:hint="eastAsia" w:asciiTheme="minorEastAsia" w:hAnsiTheme="minorEastAsia" w:eastAsiaTheme="minorEastAsia" w:cstheme="minorEastAsia"/>
          <w:color w:val="auto"/>
          <w:highlight w:val="none"/>
        </w:rPr>
      </w:pPr>
    </w:p>
    <w:p w14:paraId="154F9405">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附表四：计划开、竣工日期和施工进度计划（网络图或横道图）</w:t>
      </w:r>
    </w:p>
    <w:p w14:paraId="2BAD930E">
      <w:pPr>
        <w:spacing w:line="460" w:lineRule="exact"/>
        <w:ind w:left="-6" w:firstLine="42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 供应商应提交施工进度计划，说明按招标文件要求的工期进行施工的各个关键日期。</w:t>
      </w:r>
      <w:r>
        <w:rPr>
          <w:rFonts w:hint="eastAsia" w:asciiTheme="minorEastAsia" w:hAnsiTheme="minorEastAsia" w:eastAsiaTheme="minorEastAsia" w:cstheme="minorEastAsia"/>
          <w:color w:val="auto"/>
          <w:highlight w:val="none"/>
          <w:lang w:val="en-US" w:eastAsia="zh-CN"/>
        </w:rPr>
        <w:t>成交</w:t>
      </w:r>
      <w:r>
        <w:rPr>
          <w:rFonts w:hint="eastAsia" w:asciiTheme="minorEastAsia" w:hAnsiTheme="minorEastAsia" w:eastAsiaTheme="minorEastAsia" w:cstheme="minorEastAsia"/>
          <w:color w:val="auto"/>
          <w:highlight w:val="none"/>
        </w:rPr>
        <w:t>的</w:t>
      </w:r>
      <w:r>
        <w:rPr>
          <w:rFonts w:hint="eastAsia" w:asciiTheme="minorEastAsia" w:hAnsiTheme="minorEastAsia" w:eastAsiaTheme="minorEastAsia" w:cstheme="minorEastAsia"/>
          <w:color w:val="auto"/>
          <w:highlight w:val="none"/>
          <w:lang w:val="en-US" w:eastAsia="zh-CN"/>
        </w:rPr>
        <w:t>供应商</w:t>
      </w:r>
      <w:r>
        <w:rPr>
          <w:rFonts w:hint="eastAsia" w:asciiTheme="minorEastAsia" w:hAnsiTheme="minorEastAsia" w:eastAsiaTheme="minorEastAsia" w:cstheme="minorEastAsia"/>
          <w:color w:val="auto"/>
          <w:highlight w:val="none"/>
        </w:rPr>
        <w:t>还应按合同条件有关条款的要求提交详细的施工进度计划。</w:t>
      </w:r>
    </w:p>
    <w:p w14:paraId="4FD363BD">
      <w:pPr>
        <w:spacing w:line="460" w:lineRule="exact"/>
        <w:ind w:left="-6" w:firstLine="42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 施工进度计划可采用网络图（或横道图）表示，说明计划开工日期和各分项工程各阶段的完工日期和分包合同签订的日期。</w:t>
      </w:r>
    </w:p>
    <w:p w14:paraId="43385965">
      <w:pPr>
        <w:spacing w:line="460" w:lineRule="exact"/>
        <w:ind w:left="-6" w:firstLine="42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 施工进度计划应与施工组织设计相适应。</w:t>
      </w:r>
    </w:p>
    <w:p w14:paraId="1770FB8C">
      <w:pPr>
        <w:spacing w:line="360" w:lineRule="auto"/>
        <w:ind w:left="-6" w:firstLine="420"/>
        <w:rPr>
          <w:rFonts w:hint="eastAsia" w:asciiTheme="minorEastAsia" w:hAnsiTheme="minorEastAsia" w:eastAsiaTheme="minorEastAsia" w:cstheme="minorEastAsia"/>
          <w:color w:val="auto"/>
          <w:highlight w:val="none"/>
        </w:rPr>
      </w:pPr>
    </w:p>
    <w:p w14:paraId="478DABB5">
      <w:pPr>
        <w:rPr>
          <w:rFonts w:hint="eastAsia" w:asciiTheme="minorEastAsia" w:hAnsiTheme="minorEastAsia" w:eastAsiaTheme="minorEastAsia" w:cstheme="minorEastAsia"/>
          <w:color w:val="auto"/>
          <w:highlight w:val="none"/>
        </w:rPr>
      </w:pPr>
    </w:p>
    <w:p w14:paraId="113A6B9D">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附表</w:t>
      </w:r>
      <w:r>
        <w:rPr>
          <w:rFonts w:hint="eastAsia" w:asciiTheme="minorEastAsia" w:hAnsiTheme="minorEastAsia" w:eastAsiaTheme="minorEastAsia" w:cstheme="minorEastAsia"/>
          <w:color w:val="auto"/>
          <w:highlight w:val="none"/>
          <w:lang w:val="en-US" w:eastAsia="zh-CN"/>
        </w:rPr>
        <w:t>五</w:t>
      </w:r>
      <w:r>
        <w:rPr>
          <w:rFonts w:hint="eastAsia" w:asciiTheme="minorEastAsia" w:hAnsiTheme="minorEastAsia" w:eastAsiaTheme="minorEastAsia" w:cstheme="minorEastAsia"/>
          <w:color w:val="auto"/>
          <w:highlight w:val="none"/>
        </w:rPr>
        <w:t>：临时用地表</w:t>
      </w:r>
    </w:p>
    <w:tbl>
      <w:tblPr>
        <w:tblStyle w:val="44"/>
        <w:tblW w:w="94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6"/>
        <w:gridCol w:w="2357"/>
        <w:gridCol w:w="2356"/>
        <w:gridCol w:w="2357"/>
      </w:tblGrid>
      <w:tr w14:paraId="7ED85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356" w:type="dxa"/>
            <w:tcBorders>
              <w:top w:val="single" w:color="auto" w:sz="4" w:space="0"/>
              <w:left w:val="single" w:color="auto" w:sz="4" w:space="0"/>
              <w:bottom w:val="single" w:color="auto" w:sz="4" w:space="0"/>
              <w:right w:val="single" w:color="auto" w:sz="4" w:space="0"/>
            </w:tcBorders>
            <w:vAlign w:val="center"/>
          </w:tcPr>
          <w:p w14:paraId="4EE90B9D">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用途</w:t>
            </w:r>
          </w:p>
        </w:tc>
        <w:tc>
          <w:tcPr>
            <w:tcW w:w="2357" w:type="dxa"/>
            <w:tcBorders>
              <w:top w:val="single" w:color="auto" w:sz="4" w:space="0"/>
              <w:left w:val="single" w:color="auto" w:sz="4" w:space="0"/>
              <w:bottom w:val="single" w:color="auto" w:sz="4" w:space="0"/>
              <w:right w:val="single" w:color="auto" w:sz="4" w:space="0"/>
            </w:tcBorders>
            <w:vAlign w:val="center"/>
          </w:tcPr>
          <w:p w14:paraId="4C5C6E51">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面积（平方米）</w:t>
            </w:r>
          </w:p>
        </w:tc>
        <w:tc>
          <w:tcPr>
            <w:tcW w:w="2356" w:type="dxa"/>
            <w:tcBorders>
              <w:top w:val="single" w:color="auto" w:sz="4" w:space="0"/>
              <w:left w:val="single" w:color="auto" w:sz="4" w:space="0"/>
              <w:bottom w:val="single" w:color="auto" w:sz="4" w:space="0"/>
              <w:right w:val="single" w:color="auto" w:sz="4" w:space="0"/>
            </w:tcBorders>
            <w:vAlign w:val="center"/>
          </w:tcPr>
          <w:p w14:paraId="498079BB">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位置</w:t>
            </w:r>
          </w:p>
        </w:tc>
        <w:tc>
          <w:tcPr>
            <w:tcW w:w="2357" w:type="dxa"/>
            <w:tcBorders>
              <w:top w:val="single" w:color="auto" w:sz="4" w:space="0"/>
              <w:left w:val="single" w:color="auto" w:sz="4" w:space="0"/>
              <w:bottom w:val="single" w:color="auto" w:sz="4" w:space="0"/>
              <w:right w:val="single" w:color="auto" w:sz="4" w:space="0"/>
            </w:tcBorders>
            <w:vAlign w:val="center"/>
          </w:tcPr>
          <w:p w14:paraId="1648CBF6">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需用时间</w:t>
            </w:r>
          </w:p>
        </w:tc>
      </w:tr>
      <w:tr w14:paraId="748AE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Borders>
              <w:top w:val="single" w:color="auto" w:sz="4" w:space="0"/>
              <w:left w:val="single" w:color="auto" w:sz="4" w:space="0"/>
              <w:bottom w:val="single" w:color="auto" w:sz="4" w:space="0"/>
              <w:right w:val="single" w:color="auto" w:sz="4" w:space="0"/>
            </w:tcBorders>
          </w:tcPr>
          <w:p w14:paraId="203B817C">
            <w:pPr>
              <w:rPr>
                <w:rFonts w:hint="eastAsia" w:asciiTheme="minorEastAsia" w:hAnsiTheme="minorEastAsia" w:eastAsiaTheme="minorEastAsia" w:cstheme="minorEastAsia"/>
                <w:color w:val="auto"/>
                <w:highlight w:val="none"/>
              </w:rPr>
            </w:pPr>
          </w:p>
        </w:tc>
        <w:tc>
          <w:tcPr>
            <w:tcW w:w="2357" w:type="dxa"/>
            <w:tcBorders>
              <w:top w:val="single" w:color="auto" w:sz="4" w:space="0"/>
              <w:left w:val="single" w:color="auto" w:sz="4" w:space="0"/>
              <w:bottom w:val="single" w:color="auto" w:sz="4" w:space="0"/>
              <w:right w:val="single" w:color="auto" w:sz="4" w:space="0"/>
            </w:tcBorders>
          </w:tcPr>
          <w:p w14:paraId="48AE245D">
            <w:pPr>
              <w:rPr>
                <w:rFonts w:hint="eastAsia" w:asciiTheme="minorEastAsia" w:hAnsiTheme="minorEastAsia" w:eastAsiaTheme="minorEastAsia" w:cstheme="minorEastAsia"/>
                <w:color w:val="auto"/>
                <w:highlight w:val="none"/>
              </w:rPr>
            </w:pPr>
          </w:p>
        </w:tc>
        <w:tc>
          <w:tcPr>
            <w:tcW w:w="2356" w:type="dxa"/>
            <w:tcBorders>
              <w:top w:val="single" w:color="auto" w:sz="4" w:space="0"/>
              <w:left w:val="single" w:color="auto" w:sz="4" w:space="0"/>
              <w:bottom w:val="single" w:color="auto" w:sz="4" w:space="0"/>
              <w:right w:val="single" w:color="auto" w:sz="4" w:space="0"/>
            </w:tcBorders>
          </w:tcPr>
          <w:p w14:paraId="23FF6CE1">
            <w:pPr>
              <w:rPr>
                <w:rFonts w:hint="eastAsia" w:asciiTheme="minorEastAsia" w:hAnsiTheme="minorEastAsia" w:eastAsiaTheme="minorEastAsia" w:cstheme="minorEastAsia"/>
                <w:color w:val="auto"/>
                <w:highlight w:val="none"/>
              </w:rPr>
            </w:pPr>
          </w:p>
        </w:tc>
        <w:tc>
          <w:tcPr>
            <w:tcW w:w="2357" w:type="dxa"/>
            <w:tcBorders>
              <w:top w:val="single" w:color="auto" w:sz="4" w:space="0"/>
              <w:left w:val="single" w:color="auto" w:sz="4" w:space="0"/>
              <w:bottom w:val="single" w:color="auto" w:sz="4" w:space="0"/>
              <w:right w:val="single" w:color="auto" w:sz="4" w:space="0"/>
            </w:tcBorders>
          </w:tcPr>
          <w:p w14:paraId="3220A5D4">
            <w:pPr>
              <w:rPr>
                <w:rFonts w:hint="eastAsia" w:asciiTheme="minorEastAsia" w:hAnsiTheme="minorEastAsia" w:eastAsiaTheme="minorEastAsia" w:cstheme="minorEastAsia"/>
                <w:color w:val="auto"/>
                <w:highlight w:val="none"/>
              </w:rPr>
            </w:pPr>
          </w:p>
        </w:tc>
      </w:tr>
      <w:tr w14:paraId="46EF7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Borders>
              <w:top w:val="single" w:color="auto" w:sz="4" w:space="0"/>
              <w:left w:val="single" w:color="auto" w:sz="4" w:space="0"/>
              <w:bottom w:val="single" w:color="auto" w:sz="4" w:space="0"/>
              <w:right w:val="single" w:color="auto" w:sz="4" w:space="0"/>
            </w:tcBorders>
          </w:tcPr>
          <w:p w14:paraId="0EBD47ED">
            <w:pPr>
              <w:rPr>
                <w:rFonts w:hint="eastAsia" w:asciiTheme="minorEastAsia" w:hAnsiTheme="minorEastAsia" w:eastAsiaTheme="minorEastAsia" w:cstheme="minorEastAsia"/>
                <w:color w:val="auto"/>
                <w:highlight w:val="none"/>
              </w:rPr>
            </w:pPr>
          </w:p>
        </w:tc>
        <w:tc>
          <w:tcPr>
            <w:tcW w:w="2357" w:type="dxa"/>
            <w:tcBorders>
              <w:top w:val="single" w:color="auto" w:sz="4" w:space="0"/>
              <w:left w:val="single" w:color="auto" w:sz="4" w:space="0"/>
              <w:bottom w:val="single" w:color="auto" w:sz="4" w:space="0"/>
              <w:right w:val="single" w:color="auto" w:sz="4" w:space="0"/>
            </w:tcBorders>
          </w:tcPr>
          <w:p w14:paraId="78D216FF">
            <w:pPr>
              <w:rPr>
                <w:rFonts w:hint="eastAsia" w:asciiTheme="minorEastAsia" w:hAnsiTheme="minorEastAsia" w:eastAsiaTheme="minorEastAsia" w:cstheme="minorEastAsia"/>
                <w:color w:val="auto"/>
                <w:highlight w:val="none"/>
              </w:rPr>
            </w:pPr>
          </w:p>
        </w:tc>
        <w:tc>
          <w:tcPr>
            <w:tcW w:w="2356" w:type="dxa"/>
            <w:tcBorders>
              <w:top w:val="single" w:color="auto" w:sz="4" w:space="0"/>
              <w:left w:val="single" w:color="auto" w:sz="4" w:space="0"/>
              <w:bottom w:val="single" w:color="auto" w:sz="4" w:space="0"/>
              <w:right w:val="single" w:color="auto" w:sz="4" w:space="0"/>
            </w:tcBorders>
          </w:tcPr>
          <w:p w14:paraId="6326BD95">
            <w:pPr>
              <w:rPr>
                <w:rFonts w:hint="eastAsia" w:asciiTheme="minorEastAsia" w:hAnsiTheme="minorEastAsia" w:eastAsiaTheme="minorEastAsia" w:cstheme="minorEastAsia"/>
                <w:color w:val="auto"/>
                <w:highlight w:val="none"/>
              </w:rPr>
            </w:pPr>
          </w:p>
        </w:tc>
        <w:tc>
          <w:tcPr>
            <w:tcW w:w="2357" w:type="dxa"/>
            <w:tcBorders>
              <w:top w:val="single" w:color="auto" w:sz="4" w:space="0"/>
              <w:left w:val="single" w:color="auto" w:sz="4" w:space="0"/>
              <w:bottom w:val="single" w:color="auto" w:sz="4" w:space="0"/>
              <w:right w:val="single" w:color="auto" w:sz="4" w:space="0"/>
            </w:tcBorders>
          </w:tcPr>
          <w:p w14:paraId="56373872">
            <w:pPr>
              <w:rPr>
                <w:rFonts w:hint="eastAsia" w:asciiTheme="minorEastAsia" w:hAnsiTheme="minorEastAsia" w:eastAsiaTheme="minorEastAsia" w:cstheme="minorEastAsia"/>
                <w:color w:val="auto"/>
                <w:highlight w:val="none"/>
              </w:rPr>
            </w:pPr>
          </w:p>
        </w:tc>
      </w:tr>
      <w:tr w14:paraId="49869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356" w:type="dxa"/>
            <w:tcBorders>
              <w:top w:val="single" w:color="auto" w:sz="4" w:space="0"/>
              <w:left w:val="single" w:color="auto" w:sz="4" w:space="0"/>
              <w:bottom w:val="single" w:color="auto" w:sz="4" w:space="0"/>
              <w:right w:val="single" w:color="auto" w:sz="4" w:space="0"/>
            </w:tcBorders>
          </w:tcPr>
          <w:p w14:paraId="0C820F12">
            <w:pPr>
              <w:rPr>
                <w:rFonts w:hint="eastAsia" w:asciiTheme="minorEastAsia" w:hAnsiTheme="minorEastAsia" w:eastAsiaTheme="minorEastAsia" w:cstheme="minorEastAsia"/>
                <w:color w:val="auto"/>
                <w:highlight w:val="none"/>
              </w:rPr>
            </w:pPr>
          </w:p>
        </w:tc>
        <w:tc>
          <w:tcPr>
            <w:tcW w:w="2357" w:type="dxa"/>
            <w:tcBorders>
              <w:top w:val="single" w:color="auto" w:sz="4" w:space="0"/>
              <w:left w:val="single" w:color="auto" w:sz="4" w:space="0"/>
              <w:bottom w:val="single" w:color="auto" w:sz="4" w:space="0"/>
              <w:right w:val="single" w:color="auto" w:sz="4" w:space="0"/>
            </w:tcBorders>
          </w:tcPr>
          <w:p w14:paraId="4244E90F">
            <w:pPr>
              <w:rPr>
                <w:rFonts w:hint="eastAsia" w:asciiTheme="minorEastAsia" w:hAnsiTheme="minorEastAsia" w:eastAsiaTheme="minorEastAsia" w:cstheme="minorEastAsia"/>
                <w:color w:val="auto"/>
                <w:highlight w:val="none"/>
              </w:rPr>
            </w:pPr>
          </w:p>
        </w:tc>
        <w:tc>
          <w:tcPr>
            <w:tcW w:w="2356" w:type="dxa"/>
            <w:tcBorders>
              <w:top w:val="single" w:color="auto" w:sz="4" w:space="0"/>
              <w:left w:val="single" w:color="auto" w:sz="4" w:space="0"/>
              <w:bottom w:val="single" w:color="auto" w:sz="4" w:space="0"/>
              <w:right w:val="single" w:color="auto" w:sz="4" w:space="0"/>
            </w:tcBorders>
          </w:tcPr>
          <w:p w14:paraId="47875AE9">
            <w:pPr>
              <w:rPr>
                <w:rFonts w:hint="eastAsia" w:asciiTheme="minorEastAsia" w:hAnsiTheme="minorEastAsia" w:eastAsiaTheme="minorEastAsia" w:cstheme="minorEastAsia"/>
                <w:color w:val="auto"/>
                <w:highlight w:val="none"/>
              </w:rPr>
            </w:pPr>
          </w:p>
        </w:tc>
        <w:tc>
          <w:tcPr>
            <w:tcW w:w="2357" w:type="dxa"/>
            <w:tcBorders>
              <w:top w:val="single" w:color="auto" w:sz="4" w:space="0"/>
              <w:left w:val="single" w:color="auto" w:sz="4" w:space="0"/>
              <w:bottom w:val="single" w:color="auto" w:sz="4" w:space="0"/>
              <w:right w:val="single" w:color="auto" w:sz="4" w:space="0"/>
            </w:tcBorders>
          </w:tcPr>
          <w:p w14:paraId="66B1905E">
            <w:pPr>
              <w:rPr>
                <w:rFonts w:hint="eastAsia" w:asciiTheme="minorEastAsia" w:hAnsiTheme="minorEastAsia" w:eastAsiaTheme="minorEastAsia" w:cstheme="minorEastAsia"/>
                <w:color w:val="auto"/>
                <w:highlight w:val="none"/>
              </w:rPr>
            </w:pPr>
          </w:p>
        </w:tc>
      </w:tr>
      <w:tr w14:paraId="1187D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Borders>
              <w:top w:val="single" w:color="auto" w:sz="4" w:space="0"/>
              <w:left w:val="single" w:color="auto" w:sz="4" w:space="0"/>
              <w:bottom w:val="single" w:color="auto" w:sz="4" w:space="0"/>
              <w:right w:val="single" w:color="auto" w:sz="4" w:space="0"/>
            </w:tcBorders>
          </w:tcPr>
          <w:p w14:paraId="7978FD31">
            <w:pPr>
              <w:rPr>
                <w:rFonts w:hint="eastAsia" w:asciiTheme="minorEastAsia" w:hAnsiTheme="minorEastAsia" w:eastAsiaTheme="minorEastAsia" w:cstheme="minorEastAsia"/>
                <w:color w:val="auto"/>
                <w:highlight w:val="none"/>
              </w:rPr>
            </w:pPr>
          </w:p>
        </w:tc>
        <w:tc>
          <w:tcPr>
            <w:tcW w:w="2357" w:type="dxa"/>
            <w:tcBorders>
              <w:top w:val="single" w:color="auto" w:sz="4" w:space="0"/>
              <w:left w:val="single" w:color="auto" w:sz="4" w:space="0"/>
              <w:bottom w:val="single" w:color="auto" w:sz="4" w:space="0"/>
              <w:right w:val="single" w:color="auto" w:sz="4" w:space="0"/>
            </w:tcBorders>
          </w:tcPr>
          <w:p w14:paraId="146DDEA2">
            <w:pPr>
              <w:rPr>
                <w:rFonts w:hint="eastAsia" w:asciiTheme="minorEastAsia" w:hAnsiTheme="minorEastAsia" w:eastAsiaTheme="minorEastAsia" w:cstheme="minorEastAsia"/>
                <w:color w:val="auto"/>
                <w:highlight w:val="none"/>
              </w:rPr>
            </w:pPr>
          </w:p>
        </w:tc>
        <w:tc>
          <w:tcPr>
            <w:tcW w:w="2356" w:type="dxa"/>
            <w:tcBorders>
              <w:top w:val="single" w:color="auto" w:sz="4" w:space="0"/>
              <w:left w:val="single" w:color="auto" w:sz="4" w:space="0"/>
              <w:bottom w:val="single" w:color="auto" w:sz="4" w:space="0"/>
              <w:right w:val="single" w:color="auto" w:sz="4" w:space="0"/>
            </w:tcBorders>
          </w:tcPr>
          <w:p w14:paraId="3533AC97">
            <w:pPr>
              <w:rPr>
                <w:rFonts w:hint="eastAsia" w:asciiTheme="minorEastAsia" w:hAnsiTheme="minorEastAsia" w:eastAsiaTheme="minorEastAsia" w:cstheme="minorEastAsia"/>
                <w:color w:val="auto"/>
                <w:highlight w:val="none"/>
              </w:rPr>
            </w:pPr>
          </w:p>
        </w:tc>
        <w:tc>
          <w:tcPr>
            <w:tcW w:w="2357" w:type="dxa"/>
            <w:tcBorders>
              <w:top w:val="single" w:color="auto" w:sz="4" w:space="0"/>
              <w:left w:val="single" w:color="auto" w:sz="4" w:space="0"/>
              <w:bottom w:val="single" w:color="auto" w:sz="4" w:space="0"/>
              <w:right w:val="single" w:color="auto" w:sz="4" w:space="0"/>
            </w:tcBorders>
          </w:tcPr>
          <w:p w14:paraId="18D92022">
            <w:pPr>
              <w:rPr>
                <w:rFonts w:hint="eastAsia" w:asciiTheme="minorEastAsia" w:hAnsiTheme="minorEastAsia" w:eastAsiaTheme="minorEastAsia" w:cstheme="minorEastAsia"/>
                <w:color w:val="auto"/>
                <w:highlight w:val="none"/>
              </w:rPr>
            </w:pPr>
          </w:p>
        </w:tc>
      </w:tr>
    </w:tbl>
    <w:p w14:paraId="2E3BBDBD">
      <w:pPr>
        <w:pStyle w:val="17"/>
        <w:rPr>
          <w:rFonts w:hint="eastAsia" w:asciiTheme="minorEastAsia" w:hAnsiTheme="minorEastAsia" w:eastAsiaTheme="minorEastAsia" w:cstheme="minorEastAsia"/>
          <w:color w:val="auto"/>
          <w:highlight w:val="none"/>
        </w:rPr>
      </w:pPr>
    </w:p>
    <w:p w14:paraId="241ECB2E">
      <w:pPr>
        <w:spacing w:line="400" w:lineRule="exact"/>
        <w:jc w:val="center"/>
        <w:rPr>
          <w:rFonts w:hint="eastAsia" w:asciiTheme="minorEastAsia" w:hAnsiTheme="minorEastAsia" w:eastAsiaTheme="minorEastAsia" w:cstheme="minorEastAsia"/>
          <w:b/>
          <w:bCs/>
          <w:color w:val="auto"/>
          <w:kern w:val="0"/>
          <w:sz w:val="30"/>
          <w:szCs w:val="30"/>
          <w:highlight w:val="none"/>
        </w:rPr>
      </w:pPr>
    </w:p>
    <w:p w14:paraId="0AEC1FD0">
      <w:pPr>
        <w:rPr>
          <w:rFonts w:hint="eastAsia" w:asciiTheme="minorEastAsia" w:hAnsiTheme="minorEastAsia" w:eastAsiaTheme="minorEastAsia" w:cstheme="minorEastAsia"/>
          <w:b/>
          <w:bCs/>
          <w:color w:val="auto"/>
          <w:kern w:val="0"/>
          <w:sz w:val="30"/>
          <w:szCs w:val="30"/>
          <w:highlight w:val="none"/>
        </w:rPr>
      </w:pPr>
      <w:r>
        <w:rPr>
          <w:rFonts w:hint="eastAsia" w:asciiTheme="minorEastAsia" w:hAnsiTheme="minorEastAsia" w:eastAsiaTheme="minorEastAsia" w:cstheme="minorEastAsia"/>
          <w:b/>
          <w:bCs/>
          <w:color w:val="auto"/>
          <w:kern w:val="0"/>
          <w:sz w:val="30"/>
          <w:szCs w:val="30"/>
          <w:highlight w:val="none"/>
        </w:rPr>
        <w:br w:type="page"/>
      </w:r>
    </w:p>
    <w:p w14:paraId="1EB44C6E">
      <w:pPr>
        <w:spacing w:line="400" w:lineRule="exact"/>
        <w:jc w:val="center"/>
        <w:rPr>
          <w:rFonts w:hint="eastAsia" w:asciiTheme="minorEastAsia" w:hAnsiTheme="minorEastAsia" w:eastAsiaTheme="minorEastAsia" w:cstheme="minorEastAsia"/>
          <w:b/>
          <w:bCs/>
          <w:color w:val="auto"/>
          <w:kern w:val="0"/>
          <w:sz w:val="30"/>
          <w:szCs w:val="30"/>
          <w:highlight w:val="none"/>
        </w:rPr>
      </w:pPr>
      <w:r>
        <w:rPr>
          <w:rFonts w:hint="eastAsia" w:asciiTheme="minorEastAsia" w:hAnsiTheme="minorEastAsia" w:eastAsiaTheme="minorEastAsia" w:cstheme="minorEastAsia"/>
          <w:b/>
          <w:bCs/>
          <w:color w:val="auto"/>
          <w:kern w:val="0"/>
          <w:sz w:val="30"/>
          <w:szCs w:val="30"/>
          <w:highlight w:val="none"/>
        </w:rPr>
        <w:t>七、项目管理机构</w:t>
      </w:r>
    </w:p>
    <w:p w14:paraId="289A65B6">
      <w:pPr>
        <w:pStyle w:val="62"/>
        <w:rPr>
          <w:color w:val="auto"/>
          <w:highlight w:val="none"/>
        </w:rPr>
      </w:pPr>
    </w:p>
    <w:p w14:paraId="2265B16A">
      <w:pPr>
        <w:spacing w:line="400" w:lineRule="exact"/>
        <w:jc w:val="left"/>
        <w:rPr>
          <w:rFonts w:hint="eastAsia" w:asciiTheme="minorEastAsia" w:hAnsiTheme="minorEastAsia" w:eastAsiaTheme="minorEastAsia" w:cstheme="minorEastAsia"/>
          <w:b/>
          <w:bCs/>
          <w:color w:val="auto"/>
          <w:kern w:val="0"/>
          <w:sz w:val="30"/>
          <w:szCs w:val="30"/>
          <w:highlight w:val="none"/>
        </w:rPr>
      </w:pPr>
      <w:r>
        <w:rPr>
          <w:rFonts w:hint="eastAsia" w:asciiTheme="minorEastAsia" w:hAnsiTheme="minorEastAsia" w:eastAsiaTheme="minorEastAsia" w:cstheme="minorEastAsia"/>
          <w:b/>
          <w:bCs/>
          <w:color w:val="auto"/>
          <w:kern w:val="0"/>
          <w:sz w:val="30"/>
          <w:szCs w:val="30"/>
          <w:highlight w:val="none"/>
        </w:rPr>
        <w:t>1、项目管理机构配备情况表</w:t>
      </w:r>
    </w:p>
    <w:p w14:paraId="2CD24129">
      <w:pPr>
        <w:pStyle w:val="168"/>
        <w:rPr>
          <w:rFonts w:hint="eastAsia" w:asciiTheme="minorEastAsia" w:hAnsiTheme="minorEastAsia" w:eastAsiaTheme="minorEastAsia" w:cstheme="minorEastAsia"/>
          <w:color w:val="auto"/>
          <w:highlight w:val="none"/>
          <w:u w:val="single"/>
        </w:rPr>
      </w:pPr>
    </w:p>
    <w:p w14:paraId="416D5EAE">
      <w:pPr>
        <w:pStyle w:val="168"/>
        <w:rPr>
          <w:rFonts w:hint="eastAsia" w:asciiTheme="minorEastAsia" w:hAnsiTheme="minorEastAsia" w:eastAsiaTheme="minorEastAsia" w:cstheme="minorEastAsia"/>
          <w:color w:val="auto"/>
          <w:highlight w:val="none"/>
          <w:u w:val="single"/>
        </w:rPr>
      </w:pPr>
    </w:p>
    <w:p w14:paraId="1CD0624A">
      <w:pPr>
        <w:pStyle w:val="168"/>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u w:val="single"/>
        </w:rPr>
        <w:t xml:space="preserve">            （工程项目名称）        </w:t>
      </w:r>
      <w:r>
        <w:rPr>
          <w:rFonts w:hint="eastAsia" w:asciiTheme="minorEastAsia" w:hAnsiTheme="minorEastAsia" w:eastAsiaTheme="minorEastAsia" w:cstheme="minorEastAsia"/>
          <w:color w:val="auto"/>
          <w:highlight w:val="none"/>
        </w:rPr>
        <w:t xml:space="preserve"> 工程 </w:t>
      </w:r>
    </w:p>
    <w:tbl>
      <w:tblPr>
        <w:tblStyle w:val="44"/>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829"/>
        <w:gridCol w:w="816"/>
        <w:gridCol w:w="1148"/>
        <w:gridCol w:w="1148"/>
        <w:gridCol w:w="1148"/>
        <w:gridCol w:w="1148"/>
        <w:gridCol w:w="850"/>
        <w:gridCol w:w="1276"/>
      </w:tblGrid>
      <w:tr w14:paraId="5568D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93" w:type="dxa"/>
            <w:vMerge w:val="restart"/>
            <w:vAlign w:val="center"/>
          </w:tcPr>
          <w:p w14:paraId="34C77839">
            <w:pPr>
              <w:ind w:left="223" w:hanging="222" w:hangingChars="106"/>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岗位</w:t>
            </w:r>
          </w:p>
        </w:tc>
        <w:tc>
          <w:tcPr>
            <w:tcW w:w="829" w:type="dxa"/>
            <w:vMerge w:val="restart"/>
            <w:vAlign w:val="center"/>
          </w:tcPr>
          <w:p w14:paraId="3EB8E972">
            <w:pPr>
              <w:ind w:left="223" w:hanging="222" w:hangingChars="106"/>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姓名</w:t>
            </w:r>
          </w:p>
        </w:tc>
        <w:tc>
          <w:tcPr>
            <w:tcW w:w="816" w:type="dxa"/>
            <w:vMerge w:val="restart"/>
            <w:vAlign w:val="center"/>
          </w:tcPr>
          <w:p w14:paraId="37A910E9">
            <w:pPr>
              <w:ind w:left="223" w:hanging="222" w:hangingChars="106"/>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职称</w:t>
            </w:r>
          </w:p>
        </w:tc>
        <w:tc>
          <w:tcPr>
            <w:tcW w:w="4592" w:type="dxa"/>
            <w:gridSpan w:val="4"/>
            <w:vAlign w:val="center"/>
          </w:tcPr>
          <w:p w14:paraId="650ADFCB">
            <w:pPr>
              <w:ind w:left="223" w:hanging="222" w:hangingChars="106"/>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执业或职业资格证明</w:t>
            </w:r>
          </w:p>
        </w:tc>
        <w:tc>
          <w:tcPr>
            <w:tcW w:w="2126" w:type="dxa"/>
            <w:gridSpan w:val="2"/>
            <w:vAlign w:val="center"/>
          </w:tcPr>
          <w:p w14:paraId="0AC1065C">
            <w:pPr>
              <w:ind w:left="223" w:hanging="222" w:hangingChars="106"/>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承担完工工程情况</w:t>
            </w:r>
          </w:p>
        </w:tc>
      </w:tr>
      <w:tr w14:paraId="68A9C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3" w:type="dxa"/>
            <w:vMerge w:val="continue"/>
            <w:vAlign w:val="center"/>
          </w:tcPr>
          <w:p w14:paraId="38F958F3">
            <w:pPr>
              <w:ind w:left="223" w:hanging="222" w:hangingChars="106"/>
              <w:jc w:val="center"/>
              <w:rPr>
                <w:rFonts w:hint="eastAsia" w:asciiTheme="minorEastAsia" w:hAnsiTheme="minorEastAsia" w:eastAsiaTheme="minorEastAsia" w:cstheme="minorEastAsia"/>
                <w:color w:val="auto"/>
                <w:highlight w:val="none"/>
              </w:rPr>
            </w:pPr>
          </w:p>
        </w:tc>
        <w:tc>
          <w:tcPr>
            <w:tcW w:w="829" w:type="dxa"/>
            <w:vMerge w:val="continue"/>
            <w:vAlign w:val="center"/>
          </w:tcPr>
          <w:p w14:paraId="3A6D1D25">
            <w:pPr>
              <w:ind w:left="223" w:hanging="222" w:hangingChars="106"/>
              <w:jc w:val="center"/>
              <w:rPr>
                <w:rFonts w:hint="eastAsia" w:asciiTheme="minorEastAsia" w:hAnsiTheme="minorEastAsia" w:eastAsiaTheme="minorEastAsia" w:cstheme="minorEastAsia"/>
                <w:color w:val="auto"/>
                <w:highlight w:val="none"/>
              </w:rPr>
            </w:pPr>
          </w:p>
        </w:tc>
        <w:tc>
          <w:tcPr>
            <w:tcW w:w="816" w:type="dxa"/>
            <w:vMerge w:val="continue"/>
            <w:vAlign w:val="center"/>
          </w:tcPr>
          <w:p w14:paraId="56AF29C2">
            <w:pPr>
              <w:ind w:left="223" w:hanging="222" w:hangingChars="106"/>
              <w:jc w:val="center"/>
              <w:rPr>
                <w:rFonts w:hint="eastAsia" w:asciiTheme="minorEastAsia" w:hAnsiTheme="minorEastAsia" w:eastAsiaTheme="minorEastAsia" w:cstheme="minorEastAsia"/>
                <w:color w:val="auto"/>
                <w:highlight w:val="none"/>
              </w:rPr>
            </w:pPr>
          </w:p>
        </w:tc>
        <w:tc>
          <w:tcPr>
            <w:tcW w:w="1148" w:type="dxa"/>
            <w:vAlign w:val="center"/>
          </w:tcPr>
          <w:p w14:paraId="63C2C0CD">
            <w:pPr>
              <w:ind w:left="223" w:hanging="222" w:hangingChars="106"/>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证书名称</w:t>
            </w:r>
          </w:p>
        </w:tc>
        <w:tc>
          <w:tcPr>
            <w:tcW w:w="1148" w:type="dxa"/>
            <w:vAlign w:val="center"/>
          </w:tcPr>
          <w:p w14:paraId="77677B75">
            <w:pPr>
              <w:ind w:left="223" w:hanging="222" w:hangingChars="106"/>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级别</w:t>
            </w:r>
          </w:p>
        </w:tc>
        <w:tc>
          <w:tcPr>
            <w:tcW w:w="1148" w:type="dxa"/>
            <w:vAlign w:val="center"/>
          </w:tcPr>
          <w:p w14:paraId="6D23FEE7">
            <w:pPr>
              <w:ind w:left="223" w:hanging="222" w:hangingChars="106"/>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证号</w:t>
            </w:r>
          </w:p>
        </w:tc>
        <w:tc>
          <w:tcPr>
            <w:tcW w:w="1148" w:type="dxa"/>
            <w:vAlign w:val="center"/>
          </w:tcPr>
          <w:p w14:paraId="71B90E74">
            <w:pPr>
              <w:ind w:left="223" w:hanging="222" w:hangingChars="106"/>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专业</w:t>
            </w:r>
          </w:p>
        </w:tc>
        <w:tc>
          <w:tcPr>
            <w:tcW w:w="850" w:type="dxa"/>
            <w:vAlign w:val="center"/>
          </w:tcPr>
          <w:p w14:paraId="3BCD003E">
            <w:pPr>
              <w:ind w:left="223" w:hanging="222" w:hangingChars="106"/>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项目数</w:t>
            </w:r>
          </w:p>
        </w:tc>
        <w:tc>
          <w:tcPr>
            <w:tcW w:w="1276" w:type="dxa"/>
            <w:vAlign w:val="center"/>
          </w:tcPr>
          <w:p w14:paraId="0B4C33E6">
            <w:pPr>
              <w:ind w:left="223" w:hanging="222" w:hangingChars="106"/>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主要项目</w:t>
            </w:r>
          </w:p>
          <w:p w14:paraId="7A97F6D4">
            <w:pPr>
              <w:ind w:left="223" w:hanging="222" w:hangingChars="106"/>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名称</w:t>
            </w:r>
          </w:p>
        </w:tc>
      </w:tr>
      <w:tr w14:paraId="47728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6D4F7AAC">
            <w:pPr>
              <w:ind w:left="223" w:hanging="222" w:hangingChars="106"/>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施工员</w:t>
            </w:r>
          </w:p>
        </w:tc>
        <w:tc>
          <w:tcPr>
            <w:tcW w:w="829" w:type="dxa"/>
            <w:vAlign w:val="center"/>
          </w:tcPr>
          <w:p w14:paraId="3260E41E">
            <w:pPr>
              <w:ind w:left="223" w:hanging="222" w:hangingChars="106"/>
              <w:jc w:val="center"/>
              <w:rPr>
                <w:rFonts w:hint="eastAsia" w:asciiTheme="minorEastAsia" w:hAnsiTheme="minorEastAsia" w:eastAsiaTheme="minorEastAsia" w:cstheme="minorEastAsia"/>
                <w:color w:val="auto"/>
                <w:highlight w:val="none"/>
              </w:rPr>
            </w:pPr>
          </w:p>
        </w:tc>
        <w:tc>
          <w:tcPr>
            <w:tcW w:w="816" w:type="dxa"/>
            <w:vAlign w:val="center"/>
          </w:tcPr>
          <w:p w14:paraId="453B9EEF">
            <w:pPr>
              <w:ind w:left="223" w:hanging="222" w:hangingChars="106"/>
              <w:jc w:val="center"/>
              <w:rPr>
                <w:rFonts w:hint="eastAsia" w:asciiTheme="minorEastAsia" w:hAnsiTheme="minorEastAsia" w:eastAsiaTheme="minorEastAsia" w:cstheme="minorEastAsia"/>
                <w:color w:val="auto"/>
                <w:highlight w:val="none"/>
              </w:rPr>
            </w:pPr>
          </w:p>
        </w:tc>
        <w:tc>
          <w:tcPr>
            <w:tcW w:w="1148" w:type="dxa"/>
            <w:vAlign w:val="center"/>
          </w:tcPr>
          <w:p w14:paraId="6F94149F">
            <w:pPr>
              <w:ind w:left="223" w:hanging="222" w:hangingChars="106"/>
              <w:jc w:val="center"/>
              <w:rPr>
                <w:rFonts w:hint="eastAsia" w:asciiTheme="minorEastAsia" w:hAnsiTheme="minorEastAsia" w:eastAsiaTheme="minorEastAsia" w:cstheme="minorEastAsia"/>
                <w:color w:val="auto"/>
                <w:highlight w:val="none"/>
              </w:rPr>
            </w:pPr>
          </w:p>
        </w:tc>
        <w:tc>
          <w:tcPr>
            <w:tcW w:w="1148" w:type="dxa"/>
            <w:vAlign w:val="center"/>
          </w:tcPr>
          <w:p w14:paraId="7B7DFD4C">
            <w:pPr>
              <w:ind w:left="223" w:hanging="222" w:hangingChars="106"/>
              <w:jc w:val="center"/>
              <w:rPr>
                <w:rFonts w:hint="eastAsia" w:asciiTheme="minorEastAsia" w:hAnsiTheme="minorEastAsia" w:eastAsiaTheme="minorEastAsia" w:cstheme="minorEastAsia"/>
                <w:color w:val="auto"/>
                <w:highlight w:val="none"/>
              </w:rPr>
            </w:pPr>
          </w:p>
        </w:tc>
        <w:tc>
          <w:tcPr>
            <w:tcW w:w="1148" w:type="dxa"/>
            <w:vAlign w:val="center"/>
          </w:tcPr>
          <w:p w14:paraId="307DF94A">
            <w:pPr>
              <w:ind w:left="223" w:hanging="222" w:hangingChars="106"/>
              <w:jc w:val="center"/>
              <w:rPr>
                <w:rFonts w:hint="eastAsia" w:asciiTheme="minorEastAsia" w:hAnsiTheme="minorEastAsia" w:eastAsiaTheme="minorEastAsia" w:cstheme="minorEastAsia"/>
                <w:color w:val="auto"/>
                <w:highlight w:val="none"/>
              </w:rPr>
            </w:pPr>
          </w:p>
        </w:tc>
        <w:tc>
          <w:tcPr>
            <w:tcW w:w="1148" w:type="dxa"/>
            <w:vAlign w:val="center"/>
          </w:tcPr>
          <w:p w14:paraId="76E2ACE8">
            <w:pPr>
              <w:ind w:left="223" w:hanging="222" w:hangingChars="106"/>
              <w:jc w:val="center"/>
              <w:rPr>
                <w:rFonts w:hint="eastAsia" w:asciiTheme="minorEastAsia" w:hAnsiTheme="minorEastAsia" w:eastAsiaTheme="minorEastAsia" w:cstheme="minorEastAsia"/>
                <w:color w:val="auto"/>
                <w:highlight w:val="none"/>
              </w:rPr>
            </w:pPr>
          </w:p>
        </w:tc>
        <w:tc>
          <w:tcPr>
            <w:tcW w:w="850" w:type="dxa"/>
            <w:vAlign w:val="center"/>
          </w:tcPr>
          <w:p w14:paraId="1FA7FBE5">
            <w:pPr>
              <w:ind w:left="223" w:hanging="222" w:hangingChars="106"/>
              <w:jc w:val="center"/>
              <w:rPr>
                <w:rFonts w:hint="eastAsia" w:asciiTheme="minorEastAsia" w:hAnsiTheme="minorEastAsia" w:eastAsiaTheme="minorEastAsia" w:cstheme="minorEastAsia"/>
                <w:color w:val="auto"/>
                <w:highlight w:val="none"/>
              </w:rPr>
            </w:pPr>
          </w:p>
        </w:tc>
        <w:tc>
          <w:tcPr>
            <w:tcW w:w="1276" w:type="dxa"/>
            <w:vAlign w:val="center"/>
          </w:tcPr>
          <w:p w14:paraId="02A746BE">
            <w:pPr>
              <w:ind w:left="223" w:hanging="222" w:hangingChars="106"/>
              <w:jc w:val="center"/>
              <w:rPr>
                <w:rFonts w:hint="eastAsia" w:asciiTheme="minorEastAsia" w:hAnsiTheme="minorEastAsia" w:eastAsiaTheme="minorEastAsia" w:cstheme="minorEastAsia"/>
                <w:color w:val="auto"/>
                <w:highlight w:val="none"/>
              </w:rPr>
            </w:pPr>
          </w:p>
        </w:tc>
      </w:tr>
      <w:tr w14:paraId="0B45A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20270CF9">
            <w:pPr>
              <w:ind w:left="223" w:hanging="222" w:hangingChars="106"/>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质量员</w:t>
            </w:r>
          </w:p>
        </w:tc>
        <w:tc>
          <w:tcPr>
            <w:tcW w:w="829" w:type="dxa"/>
            <w:vAlign w:val="center"/>
          </w:tcPr>
          <w:p w14:paraId="70F0CF90">
            <w:pPr>
              <w:ind w:left="223" w:hanging="222" w:hangingChars="106"/>
              <w:jc w:val="center"/>
              <w:rPr>
                <w:rFonts w:hint="eastAsia" w:asciiTheme="minorEastAsia" w:hAnsiTheme="minorEastAsia" w:eastAsiaTheme="minorEastAsia" w:cstheme="minorEastAsia"/>
                <w:color w:val="auto"/>
                <w:highlight w:val="none"/>
              </w:rPr>
            </w:pPr>
          </w:p>
        </w:tc>
        <w:tc>
          <w:tcPr>
            <w:tcW w:w="816" w:type="dxa"/>
            <w:vAlign w:val="center"/>
          </w:tcPr>
          <w:p w14:paraId="54073467">
            <w:pPr>
              <w:ind w:left="223" w:hanging="222" w:hangingChars="106"/>
              <w:jc w:val="center"/>
              <w:rPr>
                <w:rFonts w:hint="eastAsia" w:asciiTheme="minorEastAsia" w:hAnsiTheme="minorEastAsia" w:eastAsiaTheme="minorEastAsia" w:cstheme="minorEastAsia"/>
                <w:color w:val="auto"/>
                <w:highlight w:val="none"/>
              </w:rPr>
            </w:pPr>
          </w:p>
        </w:tc>
        <w:tc>
          <w:tcPr>
            <w:tcW w:w="1148" w:type="dxa"/>
            <w:vAlign w:val="center"/>
          </w:tcPr>
          <w:p w14:paraId="00C9390D">
            <w:pPr>
              <w:ind w:left="223" w:hanging="222" w:hangingChars="106"/>
              <w:jc w:val="center"/>
              <w:rPr>
                <w:rFonts w:hint="eastAsia" w:asciiTheme="minorEastAsia" w:hAnsiTheme="minorEastAsia" w:eastAsiaTheme="minorEastAsia" w:cstheme="minorEastAsia"/>
                <w:color w:val="auto"/>
                <w:highlight w:val="none"/>
              </w:rPr>
            </w:pPr>
          </w:p>
        </w:tc>
        <w:tc>
          <w:tcPr>
            <w:tcW w:w="1148" w:type="dxa"/>
            <w:vAlign w:val="center"/>
          </w:tcPr>
          <w:p w14:paraId="247D64C5">
            <w:pPr>
              <w:ind w:left="223" w:hanging="222" w:hangingChars="106"/>
              <w:jc w:val="center"/>
              <w:rPr>
                <w:rFonts w:hint="eastAsia" w:asciiTheme="minorEastAsia" w:hAnsiTheme="minorEastAsia" w:eastAsiaTheme="minorEastAsia" w:cstheme="minorEastAsia"/>
                <w:color w:val="auto"/>
                <w:highlight w:val="none"/>
              </w:rPr>
            </w:pPr>
          </w:p>
        </w:tc>
        <w:tc>
          <w:tcPr>
            <w:tcW w:w="1148" w:type="dxa"/>
            <w:vAlign w:val="center"/>
          </w:tcPr>
          <w:p w14:paraId="29270102">
            <w:pPr>
              <w:ind w:left="223" w:hanging="222" w:hangingChars="106"/>
              <w:jc w:val="center"/>
              <w:rPr>
                <w:rFonts w:hint="eastAsia" w:asciiTheme="minorEastAsia" w:hAnsiTheme="minorEastAsia" w:eastAsiaTheme="minorEastAsia" w:cstheme="minorEastAsia"/>
                <w:color w:val="auto"/>
                <w:highlight w:val="none"/>
              </w:rPr>
            </w:pPr>
          </w:p>
        </w:tc>
        <w:tc>
          <w:tcPr>
            <w:tcW w:w="1148" w:type="dxa"/>
            <w:vAlign w:val="center"/>
          </w:tcPr>
          <w:p w14:paraId="0F6B54B9">
            <w:pPr>
              <w:ind w:left="223" w:hanging="222" w:hangingChars="106"/>
              <w:jc w:val="center"/>
              <w:rPr>
                <w:rFonts w:hint="eastAsia" w:asciiTheme="minorEastAsia" w:hAnsiTheme="minorEastAsia" w:eastAsiaTheme="minorEastAsia" w:cstheme="minorEastAsia"/>
                <w:color w:val="auto"/>
                <w:highlight w:val="none"/>
              </w:rPr>
            </w:pPr>
          </w:p>
        </w:tc>
        <w:tc>
          <w:tcPr>
            <w:tcW w:w="850" w:type="dxa"/>
            <w:vAlign w:val="center"/>
          </w:tcPr>
          <w:p w14:paraId="7987D196">
            <w:pPr>
              <w:ind w:left="223" w:hanging="222" w:hangingChars="106"/>
              <w:jc w:val="center"/>
              <w:rPr>
                <w:rFonts w:hint="eastAsia" w:asciiTheme="minorEastAsia" w:hAnsiTheme="minorEastAsia" w:eastAsiaTheme="minorEastAsia" w:cstheme="minorEastAsia"/>
                <w:color w:val="auto"/>
                <w:highlight w:val="none"/>
              </w:rPr>
            </w:pPr>
          </w:p>
        </w:tc>
        <w:tc>
          <w:tcPr>
            <w:tcW w:w="1276" w:type="dxa"/>
            <w:vAlign w:val="center"/>
          </w:tcPr>
          <w:p w14:paraId="7E0077B5">
            <w:pPr>
              <w:ind w:left="223" w:hanging="222" w:hangingChars="106"/>
              <w:jc w:val="center"/>
              <w:rPr>
                <w:rFonts w:hint="eastAsia" w:asciiTheme="minorEastAsia" w:hAnsiTheme="minorEastAsia" w:eastAsiaTheme="minorEastAsia" w:cstheme="minorEastAsia"/>
                <w:color w:val="auto"/>
                <w:highlight w:val="none"/>
              </w:rPr>
            </w:pPr>
          </w:p>
        </w:tc>
      </w:tr>
      <w:tr w14:paraId="4A2C8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restart"/>
            <w:vAlign w:val="center"/>
          </w:tcPr>
          <w:p w14:paraId="57DC83DB">
            <w:pPr>
              <w:ind w:left="223" w:hanging="222" w:hangingChars="106"/>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专职安全生产管理人员</w:t>
            </w:r>
          </w:p>
        </w:tc>
        <w:tc>
          <w:tcPr>
            <w:tcW w:w="829" w:type="dxa"/>
            <w:vAlign w:val="center"/>
          </w:tcPr>
          <w:p w14:paraId="301FD8CB">
            <w:pPr>
              <w:ind w:left="223" w:hanging="222" w:hangingChars="106"/>
              <w:jc w:val="center"/>
              <w:rPr>
                <w:rFonts w:hint="eastAsia" w:asciiTheme="minorEastAsia" w:hAnsiTheme="minorEastAsia" w:eastAsiaTheme="minorEastAsia" w:cstheme="minorEastAsia"/>
                <w:color w:val="auto"/>
                <w:highlight w:val="none"/>
              </w:rPr>
            </w:pPr>
          </w:p>
        </w:tc>
        <w:tc>
          <w:tcPr>
            <w:tcW w:w="816" w:type="dxa"/>
            <w:vAlign w:val="center"/>
          </w:tcPr>
          <w:p w14:paraId="07BA940E">
            <w:pPr>
              <w:ind w:left="223" w:hanging="222" w:hangingChars="106"/>
              <w:jc w:val="center"/>
              <w:rPr>
                <w:rFonts w:hint="eastAsia" w:asciiTheme="minorEastAsia" w:hAnsiTheme="minorEastAsia" w:eastAsiaTheme="minorEastAsia" w:cstheme="minorEastAsia"/>
                <w:color w:val="auto"/>
                <w:highlight w:val="none"/>
              </w:rPr>
            </w:pPr>
          </w:p>
        </w:tc>
        <w:tc>
          <w:tcPr>
            <w:tcW w:w="1148" w:type="dxa"/>
            <w:vAlign w:val="center"/>
          </w:tcPr>
          <w:p w14:paraId="41325BB1">
            <w:pPr>
              <w:ind w:left="223" w:hanging="222" w:hangingChars="106"/>
              <w:jc w:val="center"/>
              <w:rPr>
                <w:rFonts w:hint="eastAsia" w:asciiTheme="minorEastAsia" w:hAnsiTheme="minorEastAsia" w:eastAsiaTheme="minorEastAsia" w:cstheme="minorEastAsia"/>
                <w:color w:val="auto"/>
                <w:highlight w:val="none"/>
              </w:rPr>
            </w:pPr>
          </w:p>
        </w:tc>
        <w:tc>
          <w:tcPr>
            <w:tcW w:w="1148" w:type="dxa"/>
            <w:vAlign w:val="center"/>
          </w:tcPr>
          <w:p w14:paraId="67541722">
            <w:pPr>
              <w:ind w:left="223" w:hanging="222" w:hangingChars="106"/>
              <w:jc w:val="center"/>
              <w:rPr>
                <w:rFonts w:hint="eastAsia" w:asciiTheme="minorEastAsia" w:hAnsiTheme="minorEastAsia" w:eastAsiaTheme="minorEastAsia" w:cstheme="minorEastAsia"/>
                <w:color w:val="auto"/>
                <w:highlight w:val="none"/>
              </w:rPr>
            </w:pPr>
          </w:p>
        </w:tc>
        <w:tc>
          <w:tcPr>
            <w:tcW w:w="1148" w:type="dxa"/>
            <w:vAlign w:val="center"/>
          </w:tcPr>
          <w:p w14:paraId="6E283539">
            <w:pPr>
              <w:ind w:left="223" w:hanging="222" w:hangingChars="106"/>
              <w:jc w:val="center"/>
              <w:rPr>
                <w:rFonts w:hint="eastAsia" w:asciiTheme="minorEastAsia" w:hAnsiTheme="minorEastAsia" w:eastAsiaTheme="minorEastAsia" w:cstheme="minorEastAsia"/>
                <w:color w:val="auto"/>
                <w:highlight w:val="none"/>
              </w:rPr>
            </w:pPr>
          </w:p>
        </w:tc>
        <w:tc>
          <w:tcPr>
            <w:tcW w:w="1148" w:type="dxa"/>
            <w:vAlign w:val="center"/>
          </w:tcPr>
          <w:p w14:paraId="0CE7E3FB">
            <w:pPr>
              <w:ind w:left="223" w:hanging="222" w:hangingChars="106"/>
              <w:jc w:val="center"/>
              <w:rPr>
                <w:rFonts w:hint="eastAsia" w:asciiTheme="minorEastAsia" w:hAnsiTheme="minorEastAsia" w:eastAsiaTheme="minorEastAsia" w:cstheme="minorEastAsia"/>
                <w:color w:val="auto"/>
                <w:highlight w:val="none"/>
              </w:rPr>
            </w:pPr>
          </w:p>
        </w:tc>
        <w:tc>
          <w:tcPr>
            <w:tcW w:w="850" w:type="dxa"/>
            <w:vAlign w:val="center"/>
          </w:tcPr>
          <w:p w14:paraId="6E64BD2C">
            <w:pPr>
              <w:ind w:left="223" w:hanging="222" w:hangingChars="106"/>
              <w:jc w:val="center"/>
              <w:rPr>
                <w:rFonts w:hint="eastAsia" w:asciiTheme="minorEastAsia" w:hAnsiTheme="minorEastAsia" w:eastAsiaTheme="minorEastAsia" w:cstheme="minorEastAsia"/>
                <w:color w:val="auto"/>
                <w:highlight w:val="none"/>
              </w:rPr>
            </w:pPr>
          </w:p>
        </w:tc>
        <w:tc>
          <w:tcPr>
            <w:tcW w:w="1276" w:type="dxa"/>
            <w:vAlign w:val="center"/>
          </w:tcPr>
          <w:p w14:paraId="6CFEF576">
            <w:pPr>
              <w:ind w:left="223" w:hanging="222" w:hangingChars="106"/>
              <w:jc w:val="center"/>
              <w:rPr>
                <w:rFonts w:hint="eastAsia" w:asciiTheme="minorEastAsia" w:hAnsiTheme="minorEastAsia" w:eastAsiaTheme="minorEastAsia" w:cstheme="minorEastAsia"/>
                <w:color w:val="auto"/>
                <w:highlight w:val="none"/>
              </w:rPr>
            </w:pPr>
          </w:p>
        </w:tc>
      </w:tr>
      <w:tr w14:paraId="1E047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continue"/>
            <w:vAlign w:val="center"/>
          </w:tcPr>
          <w:p w14:paraId="7123E7EB">
            <w:pPr>
              <w:ind w:left="223" w:hanging="222" w:hangingChars="106"/>
              <w:jc w:val="center"/>
              <w:rPr>
                <w:rFonts w:hint="eastAsia" w:asciiTheme="minorEastAsia" w:hAnsiTheme="minorEastAsia" w:eastAsiaTheme="minorEastAsia" w:cstheme="minorEastAsia"/>
                <w:color w:val="auto"/>
                <w:highlight w:val="none"/>
              </w:rPr>
            </w:pPr>
          </w:p>
        </w:tc>
        <w:tc>
          <w:tcPr>
            <w:tcW w:w="829" w:type="dxa"/>
            <w:vAlign w:val="center"/>
          </w:tcPr>
          <w:p w14:paraId="1940C6E7">
            <w:pPr>
              <w:ind w:left="223" w:hanging="222" w:hangingChars="106"/>
              <w:jc w:val="center"/>
              <w:rPr>
                <w:rFonts w:hint="eastAsia" w:asciiTheme="minorEastAsia" w:hAnsiTheme="minorEastAsia" w:eastAsiaTheme="minorEastAsia" w:cstheme="minorEastAsia"/>
                <w:color w:val="auto"/>
                <w:highlight w:val="none"/>
              </w:rPr>
            </w:pPr>
          </w:p>
        </w:tc>
        <w:tc>
          <w:tcPr>
            <w:tcW w:w="816" w:type="dxa"/>
            <w:vAlign w:val="center"/>
          </w:tcPr>
          <w:p w14:paraId="4CD9ACA9">
            <w:pPr>
              <w:ind w:left="223" w:hanging="222" w:hangingChars="106"/>
              <w:jc w:val="center"/>
              <w:rPr>
                <w:rFonts w:hint="eastAsia" w:asciiTheme="minorEastAsia" w:hAnsiTheme="minorEastAsia" w:eastAsiaTheme="minorEastAsia" w:cstheme="minorEastAsia"/>
                <w:color w:val="auto"/>
                <w:highlight w:val="none"/>
              </w:rPr>
            </w:pPr>
          </w:p>
        </w:tc>
        <w:tc>
          <w:tcPr>
            <w:tcW w:w="1148" w:type="dxa"/>
            <w:vAlign w:val="center"/>
          </w:tcPr>
          <w:p w14:paraId="2EE68C7F">
            <w:pPr>
              <w:ind w:left="223" w:hanging="222" w:hangingChars="106"/>
              <w:jc w:val="center"/>
              <w:rPr>
                <w:rFonts w:hint="eastAsia" w:asciiTheme="minorEastAsia" w:hAnsiTheme="minorEastAsia" w:eastAsiaTheme="minorEastAsia" w:cstheme="minorEastAsia"/>
                <w:color w:val="auto"/>
                <w:highlight w:val="none"/>
              </w:rPr>
            </w:pPr>
          </w:p>
        </w:tc>
        <w:tc>
          <w:tcPr>
            <w:tcW w:w="1148" w:type="dxa"/>
            <w:vAlign w:val="center"/>
          </w:tcPr>
          <w:p w14:paraId="0947B838">
            <w:pPr>
              <w:ind w:left="223" w:hanging="222" w:hangingChars="106"/>
              <w:jc w:val="center"/>
              <w:rPr>
                <w:rFonts w:hint="eastAsia" w:asciiTheme="minorEastAsia" w:hAnsiTheme="minorEastAsia" w:eastAsiaTheme="minorEastAsia" w:cstheme="minorEastAsia"/>
                <w:color w:val="auto"/>
                <w:highlight w:val="none"/>
              </w:rPr>
            </w:pPr>
          </w:p>
        </w:tc>
        <w:tc>
          <w:tcPr>
            <w:tcW w:w="1148" w:type="dxa"/>
            <w:vAlign w:val="center"/>
          </w:tcPr>
          <w:p w14:paraId="2B8169E4">
            <w:pPr>
              <w:ind w:left="223" w:hanging="222" w:hangingChars="106"/>
              <w:jc w:val="center"/>
              <w:rPr>
                <w:rFonts w:hint="eastAsia" w:asciiTheme="minorEastAsia" w:hAnsiTheme="minorEastAsia" w:eastAsiaTheme="minorEastAsia" w:cstheme="minorEastAsia"/>
                <w:color w:val="auto"/>
                <w:highlight w:val="none"/>
              </w:rPr>
            </w:pPr>
          </w:p>
        </w:tc>
        <w:tc>
          <w:tcPr>
            <w:tcW w:w="1148" w:type="dxa"/>
            <w:vAlign w:val="center"/>
          </w:tcPr>
          <w:p w14:paraId="71BB4451">
            <w:pPr>
              <w:ind w:left="223" w:hanging="222" w:hangingChars="106"/>
              <w:jc w:val="center"/>
              <w:rPr>
                <w:rFonts w:hint="eastAsia" w:asciiTheme="minorEastAsia" w:hAnsiTheme="minorEastAsia" w:eastAsiaTheme="minorEastAsia" w:cstheme="minorEastAsia"/>
                <w:color w:val="auto"/>
                <w:highlight w:val="none"/>
              </w:rPr>
            </w:pPr>
          </w:p>
        </w:tc>
        <w:tc>
          <w:tcPr>
            <w:tcW w:w="850" w:type="dxa"/>
            <w:vAlign w:val="center"/>
          </w:tcPr>
          <w:p w14:paraId="1CF0C28D">
            <w:pPr>
              <w:ind w:left="223" w:hanging="222" w:hangingChars="106"/>
              <w:jc w:val="center"/>
              <w:rPr>
                <w:rFonts w:hint="eastAsia" w:asciiTheme="minorEastAsia" w:hAnsiTheme="minorEastAsia" w:eastAsiaTheme="minorEastAsia" w:cstheme="minorEastAsia"/>
                <w:color w:val="auto"/>
                <w:highlight w:val="none"/>
              </w:rPr>
            </w:pPr>
          </w:p>
        </w:tc>
        <w:tc>
          <w:tcPr>
            <w:tcW w:w="1276" w:type="dxa"/>
            <w:vAlign w:val="center"/>
          </w:tcPr>
          <w:p w14:paraId="6A2F43F9">
            <w:pPr>
              <w:ind w:left="223" w:hanging="222" w:hangingChars="106"/>
              <w:jc w:val="center"/>
              <w:rPr>
                <w:rFonts w:hint="eastAsia" w:asciiTheme="minorEastAsia" w:hAnsiTheme="minorEastAsia" w:eastAsiaTheme="minorEastAsia" w:cstheme="minorEastAsia"/>
                <w:color w:val="auto"/>
                <w:highlight w:val="none"/>
              </w:rPr>
            </w:pPr>
          </w:p>
        </w:tc>
      </w:tr>
      <w:tr w14:paraId="59F64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continue"/>
            <w:vAlign w:val="center"/>
          </w:tcPr>
          <w:p w14:paraId="6BEE0DD7">
            <w:pPr>
              <w:ind w:left="223" w:hanging="222" w:hangingChars="106"/>
              <w:jc w:val="center"/>
              <w:rPr>
                <w:rFonts w:hint="eastAsia" w:asciiTheme="minorEastAsia" w:hAnsiTheme="minorEastAsia" w:eastAsiaTheme="minorEastAsia" w:cstheme="minorEastAsia"/>
                <w:color w:val="auto"/>
                <w:highlight w:val="none"/>
              </w:rPr>
            </w:pPr>
          </w:p>
        </w:tc>
        <w:tc>
          <w:tcPr>
            <w:tcW w:w="829" w:type="dxa"/>
            <w:vAlign w:val="center"/>
          </w:tcPr>
          <w:p w14:paraId="52860751">
            <w:pPr>
              <w:ind w:left="223" w:hanging="222" w:hangingChars="106"/>
              <w:jc w:val="center"/>
              <w:rPr>
                <w:rFonts w:hint="eastAsia" w:asciiTheme="minorEastAsia" w:hAnsiTheme="minorEastAsia" w:eastAsiaTheme="minorEastAsia" w:cstheme="minorEastAsia"/>
                <w:color w:val="auto"/>
                <w:highlight w:val="none"/>
              </w:rPr>
            </w:pPr>
          </w:p>
        </w:tc>
        <w:tc>
          <w:tcPr>
            <w:tcW w:w="816" w:type="dxa"/>
            <w:vAlign w:val="center"/>
          </w:tcPr>
          <w:p w14:paraId="76D194BD">
            <w:pPr>
              <w:ind w:left="223" w:hanging="222" w:hangingChars="106"/>
              <w:jc w:val="center"/>
              <w:rPr>
                <w:rFonts w:hint="eastAsia" w:asciiTheme="minorEastAsia" w:hAnsiTheme="minorEastAsia" w:eastAsiaTheme="minorEastAsia" w:cstheme="minorEastAsia"/>
                <w:color w:val="auto"/>
                <w:highlight w:val="none"/>
              </w:rPr>
            </w:pPr>
          </w:p>
        </w:tc>
        <w:tc>
          <w:tcPr>
            <w:tcW w:w="1148" w:type="dxa"/>
            <w:vAlign w:val="center"/>
          </w:tcPr>
          <w:p w14:paraId="429AD9B3">
            <w:pPr>
              <w:ind w:left="223" w:hanging="222" w:hangingChars="106"/>
              <w:jc w:val="center"/>
              <w:rPr>
                <w:rFonts w:hint="eastAsia" w:asciiTheme="minorEastAsia" w:hAnsiTheme="minorEastAsia" w:eastAsiaTheme="minorEastAsia" w:cstheme="minorEastAsia"/>
                <w:color w:val="auto"/>
                <w:highlight w:val="none"/>
              </w:rPr>
            </w:pPr>
          </w:p>
        </w:tc>
        <w:tc>
          <w:tcPr>
            <w:tcW w:w="1148" w:type="dxa"/>
            <w:vAlign w:val="center"/>
          </w:tcPr>
          <w:p w14:paraId="7B6ADBDE">
            <w:pPr>
              <w:ind w:left="223" w:hanging="222" w:hangingChars="106"/>
              <w:jc w:val="center"/>
              <w:rPr>
                <w:rFonts w:hint="eastAsia" w:asciiTheme="minorEastAsia" w:hAnsiTheme="minorEastAsia" w:eastAsiaTheme="minorEastAsia" w:cstheme="minorEastAsia"/>
                <w:color w:val="auto"/>
                <w:highlight w:val="none"/>
              </w:rPr>
            </w:pPr>
          </w:p>
        </w:tc>
        <w:tc>
          <w:tcPr>
            <w:tcW w:w="1148" w:type="dxa"/>
            <w:vAlign w:val="center"/>
          </w:tcPr>
          <w:p w14:paraId="64295C6B">
            <w:pPr>
              <w:ind w:left="223" w:hanging="222" w:hangingChars="106"/>
              <w:jc w:val="center"/>
              <w:rPr>
                <w:rFonts w:hint="eastAsia" w:asciiTheme="minorEastAsia" w:hAnsiTheme="minorEastAsia" w:eastAsiaTheme="minorEastAsia" w:cstheme="minorEastAsia"/>
                <w:color w:val="auto"/>
                <w:highlight w:val="none"/>
              </w:rPr>
            </w:pPr>
          </w:p>
        </w:tc>
        <w:tc>
          <w:tcPr>
            <w:tcW w:w="1148" w:type="dxa"/>
            <w:vAlign w:val="center"/>
          </w:tcPr>
          <w:p w14:paraId="38959353">
            <w:pPr>
              <w:ind w:left="223" w:hanging="222" w:hangingChars="106"/>
              <w:jc w:val="center"/>
              <w:rPr>
                <w:rFonts w:hint="eastAsia" w:asciiTheme="minorEastAsia" w:hAnsiTheme="minorEastAsia" w:eastAsiaTheme="minorEastAsia" w:cstheme="minorEastAsia"/>
                <w:color w:val="auto"/>
                <w:highlight w:val="none"/>
              </w:rPr>
            </w:pPr>
          </w:p>
        </w:tc>
        <w:tc>
          <w:tcPr>
            <w:tcW w:w="850" w:type="dxa"/>
            <w:vAlign w:val="center"/>
          </w:tcPr>
          <w:p w14:paraId="4C8C7E5C">
            <w:pPr>
              <w:ind w:left="223" w:hanging="222" w:hangingChars="106"/>
              <w:jc w:val="center"/>
              <w:rPr>
                <w:rFonts w:hint="eastAsia" w:asciiTheme="minorEastAsia" w:hAnsiTheme="minorEastAsia" w:eastAsiaTheme="minorEastAsia" w:cstheme="minorEastAsia"/>
                <w:color w:val="auto"/>
                <w:highlight w:val="none"/>
              </w:rPr>
            </w:pPr>
          </w:p>
        </w:tc>
        <w:tc>
          <w:tcPr>
            <w:tcW w:w="1276" w:type="dxa"/>
            <w:vAlign w:val="center"/>
          </w:tcPr>
          <w:p w14:paraId="2CE67411">
            <w:pPr>
              <w:ind w:left="223" w:hanging="222" w:hangingChars="106"/>
              <w:jc w:val="center"/>
              <w:rPr>
                <w:rFonts w:hint="eastAsia" w:asciiTheme="minorEastAsia" w:hAnsiTheme="minorEastAsia" w:eastAsiaTheme="minorEastAsia" w:cstheme="minorEastAsia"/>
                <w:color w:val="auto"/>
                <w:highlight w:val="none"/>
              </w:rPr>
            </w:pPr>
          </w:p>
        </w:tc>
      </w:tr>
      <w:tr w14:paraId="61654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379C7F81">
            <w:pPr>
              <w:ind w:left="223" w:hanging="222" w:hangingChars="106"/>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材料员</w:t>
            </w:r>
          </w:p>
        </w:tc>
        <w:tc>
          <w:tcPr>
            <w:tcW w:w="829" w:type="dxa"/>
            <w:vAlign w:val="center"/>
          </w:tcPr>
          <w:p w14:paraId="15D93444">
            <w:pPr>
              <w:ind w:left="223" w:hanging="222" w:hangingChars="106"/>
              <w:jc w:val="center"/>
              <w:rPr>
                <w:rFonts w:hint="eastAsia" w:asciiTheme="minorEastAsia" w:hAnsiTheme="minorEastAsia" w:eastAsiaTheme="minorEastAsia" w:cstheme="minorEastAsia"/>
                <w:color w:val="auto"/>
                <w:highlight w:val="none"/>
              </w:rPr>
            </w:pPr>
          </w:p>
        </w:tc>
        <w:tc>
          <w:tcPr>
            <w:tcW w:w="816" w:type="dxa"/>
            <w:vAlign w:val="center"/>
          </w:tcPr>
          <w:p w14:paraId="07D2A168">
            <w:pPr>
              <w:ind w:left="223" w:hanging="222" w:hangingChars="106"/>
              <w:jc w:val="center"/>
              <w:rPr>
                <w:rFonts w:hint="eastAsia" w:asciiTheme="minorEastAsia" w:hAnsiTheme="minorEastAsia" w:eastAsiaTheme="minorEastAsia" w:cstheme="minorEastAsia"/>
                <w:color w:val="auto"/>
                <w:highlight w:val="none"/>
              </w:rPr>
            </w:pPr>
          </w:p>
        </w:tc>
        <w:tc>
          <w:tcPr>
            <w:tcW w:w="1148" w:type="dxa"/>
            <w:vAlign w:val="center"/>
          </w:tcPr>
          <w:p w14:paraId="365A351B">
            <w:pPr>
              <w:ind w:left="223" w:hanging="222" w:hangingChars="106"/>
              <w:jc w:val="center"/>
              <w:rPr>
                <w:rFonts w:hint="eastAsia" w:asciiTheme="minorEastAsia" w:hAnsiTheme="minorEastAsia" w:eastAsiaTheme="minorEastAsia" w:cstheme="minorEastAsia"/>
                <w:color w:val="auto"/>
                <w:highlight w:val="none"/>
              </w:rPr>
            </w:pPr>
          </w:p>
        </w:tc>
        <w:tc>
          <w:tcPr>
            <w:tcW w:w="1148" w:type="dxa"/>
            <w:vAlign w:val="center"/>
          </w:tcPr>
          <w:p w14:paraId="3D217C8B">
            <w:pPr>
              <w:ind w:left="223" w:hanging="222" w:hangingChars="106"/>
              <w:jc w:val="center"/>
              <w:rPr>
                <w:rFonts w:hint="eastAsia" w:asciiTheme="minorEastAsia" w:hAnsiTheme="minorEastAsia" w:eastAsiaTheme="minorEastAsia" w:cstheme="minorEastAsia"/>
                <w:color w:val="auto"/>
                <w:highlight w:val="none"/>
              </w:rPr>
            </w:pPr>
          </w:p>
        </w:tc>
        <w:tc>
          <w:tcPr>
            <w:tcW w:w="1148" w:type="dxa"/>
            <w:vAlign w:val="center"/>
          </w:tcPr>
          <w:p w14:paraId="389E5E2B">
            <w:pPr>
              <w:ind w:left="223" w:hanging="222" w:hangingChars="106"/>
              <w:jc w:val="center"/>
              <w:rPr>
                <w:rFonts w:hint="eastAsia" w:asciiTheme="minorEastAsia" w:hAnsiTheme="minorEastAsia" w:eastAsiaTheme="minorEastAsia" w:cstheme="minorEastAsia"/>
                <w:color w:val="auto"/>
                <w:highlight w:val="none"/>
              </w:rPr>
            </w:pPr>
          </w:p>
        </w:tc>
        <w:tc>
          <w:tcPr>
            <w:tcW w:w="1148" w:type="dxa"/>
            <w:vAlign w:val="center"/>
          </w:tcPr>
          <w:p w14:paraId="19E04389">
            <w:pPr>
              <w:ind w:left="223" w:hanging="222" w:hangingChars="106"/>
              <w:jc w:val="center"/>
              <w:rPr>
                <w:rFonts w:hint="eastAsia" w:asciiTheme="minorEastAsia" w:hAnsiTheme="minorEastAsia" w:eastAsiaTheme="minorEastAsia" w:cstheme="minorEastAsia"/>
                <w:color w:val="auto"/>
                <w:highlight w:val="none"/>
              </w:rPr>
            </w:pPr>
          </w:p>
        </w:tc>
        <w:tc>
          <w:tcPr>
            <w:tcW w:w="850" w:type="dxa"/>
            <w:vAlign w:val="center"/>
          </w:tcPr>
          <w:p w14:paraId="554D0975">
            <w:pPr>
              <w:ind w:left="223" w:hanging="222" w:hangingChars="106"/>
              <w:jc w:val="center"/>
              <w:rPr>
                <w:rFonts w:hint="eastAsia" w:asciiTheme="minorEastAsia" w:hAnsiTheme="minorEastAsia" w:eastAsiaTheme="minorEastAsia" w:cstheme="minorEastAsia"/>
                <w:color w:val="auto"/>
                <w:highlight w:val="none"/>
              </w:rPr>
            </w:pPr>
          </w:p>
        </w:tc>
        <w:tc>
          <w:tcPr>
            <w:tcW w:w="1276" w:type="dxa"/>
            <w:vAlign w:val="center"/>
          </w:tcPr>
          <w:p w14:paraId="5B292EAA">
            <w:pPr>
              <w:ind w:left="223" w:hanging="222" w:hangingChars="106"/>
              <w:jc w:val="center"/>
              <w:rPr>
                <w:rFonts w:hint="eastAsia" w:asciiTheme="minorEastAsia" w:hAnsiTheme="minorEastAsia" w:eastAsiaTheme="minorEastAsia" w:cstheme="minorEastAsia"/>
                <w:color w:val="auto"/>
                <w:highlight w:val="none"/>
              </w:rPr>
            </w:pPr>
          </w:p>
        </w:tc>
      </w:tr>
      <w:tr w14:paraId="62060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121D0448">
            <w:pPr>
              <w:ind w:left="223" w:hanging="222" w:hangingChars="106"/>
              <w:jc w:val="center"/>
              <w:rPr>
                <w:rFonts w:hint="eastAsia" w:asciiTheme="minorEastAsia" w:hAnsiTheme="minorEastAsia" w:eastAsiaTheme="minorEastAsia" w:cstheme="minorEastAsia"/>
                <w:color w:val="auto"/>
                <w:highlight w:val="none"/>
              </w:rPr>
            </w:pPr>
          </w:p>
        </w:tc>
        <w:tc>
          <w:tcPr>
            <w:tcW w:w="829" w:type="dxa"/>
            <w:vAlign w:val="center"/>
          </w:tcPr>
          <w:p w14:paraId="3551B4F0">
            <w:pPr>
              <w:ind w:left="223" w:hanging="222" w:hangingChars="106"/>
              <w:jc w:val="center"/>
              <w:rPr>
                <w:rFonts w:hint="eastAsia" w:asciiTheme="minorEastAsia" w:hAnsiTheme="minorEastAsia" w:eastAsiaTheme="minorEastAsia" w:cstheme="minorEastAsia"/>
                <w:color w:val="auto"/>
                <w:highlight w:val="none"/>
              </w:rPr>
            </w:pPr>
          </w:p>
        </w:tc>
        <w:tc>
          <w:tcPr>
            <w:tcW w:w="816" w:type="dxa"/>
            <w:vAlign w:val="center"/>
          </w:tcPr>
          <w:p w14:paraId="03FA2160">
            <w:pPr>
              <w:ind w:left="223" w:hanging="222" w:hangingChars="106"/>
              <w:jc w:val="center"/>
              <w:rPr>
                <w:rFonts w:hint="eastAsia" w:asciiTheme="minorEastAsia" w:hAnsiTheme="minorEastAsia" w:eastAsiaTheme="minorEastAsia" w:cstheme="minorEastAsia"/>
                <w:color w:val="auto"/>
                <w:highlight w:val="none"/>
              </w:rPr>
            </w:pPr>
          </w:p>
        </w:tc>
        <w:tc>
          <w:tcPr>
            <w:tcW w:w="1148" w:type="dxa"/>
            <w:vAlign w:val="center"/>
          </w:tcPr>
          <w:p w14:paraId="4E34D3D4">
            <w:pPr>
              <w:ind w:left="223" w:hanging="222" w:hangingChars="106"/>
              <w:jc w:val="center"/>
              <w:rPr>
                <w:rFonts w:hint="eastAsia" w:asciiTheme="minorEastAsia" w:hAnsiTheme="minorEastAsia" w:eastAsiaTheme="minorEastAsia" w:cstheme="minorEastAsia"/>
                <w:color w:val="auto"/>
                <w:highlight w:val="none"/>
              </w:rPr>
            </w:pPr>
          </w:p>
        </w:tc>
        <w:tc>
          <w:tcPr>
            <w:tcW w:w="1148" w:type="dxa"/>
            <w:vAlign w:val="center"/>
          </w:tcPr>
          <w:p w14:paraId="55ED6574">
            <w:pPr>
              <w:ind w:left="223" w:hanging="222" w:hangingChars="106"/>
              <w:jc w:val="center"/>
              <w:rPr>
                <w:rFonts w:hint="eastAsia" w:asciiTheme="minorEastAsia" w:hAnsiTheme="minorEastAsia" w:eastAsiaTheme="minorEastAsia" w:cstheme="minorEastAsia"/>
                <w:color w:val="auto"/>
                <w:highlight w:val="none"/>
              </w:rPr>
            </w:pPr>
          </w:p>
        </w:tc>
        <w:tc>
          <w:tcPr>
            <w:tcW w:w="1148" w:type="dxa"/>
            <w:vAlign w:val="center"/>
          </w:tcPr>
          <w:p w14:paraId="34DC6E1C">
            <w:pPr>
              <w:ind w:left="223" w:hanging="222" w:hangingChars="106"/>
              <w:jc w:val="center"/>
              <w:rPr>
                <w:rFonts w:hint="eastAsia" w:asciiTheme="minorEastAsia" w:hAnsiTheme="minorEastAsia" w:eastAsiaTheme="minorEastAsia" w:cstheme="minorEastAsia"/>
                <w:color w:val="auto"/>
                <w:highlight w:val="none"/>
              </w:rPr>
            </w:pPr>
          </w:p>
        </w:tc>
        <w:tc>
          <w:tcPr>
            <w:tcW w:w="1148" w:type="dxa"/>
            <w:vAlign w:val="center"/>
          </w:tcPr>
          <w:p w14:paraId="3D428D08">
            <w:pPr>
              <w:ind w:left="223" w:hanging="222" w:hangingChars="106"/>
              <w:jc w:val="center"/>
              <w:rPr>
                <w:rFonts w:hint="eastAsia" w:asciiTheme="minorEastAsia" w:hAnsiTheme="minorEastAsia" w:eastAsiaTheme="minorEastAsia" w:cstheme="minorEastAsia"/>
                <w:color w:val="auto"/>
                <w:highlight w:val="none"/>
              </w:rPr>
            </w:pPr>
          </w:p>
        </w:tc>
        <w:tc>
          <w:tcPr>
            <w:tcW w:w="850" w:type="dxa"/>
            <w:vAlign w:val="center"/>
          </w:tcPr>
          <w:p w14:paraId="1D445135">
            <w:pPr>
              <w:ind w:left="223" w:hanging="222" w:hangingChars="106"/>
              <w:jc w:val="center"/>
              <w:rPr>
                <w:rFonts w:hint="eastAsia" w:asciiTheme="minorEastAsia" w:hAnsiTheme="minorEastAsia" w:eastAsiaTheme="minorEastAsia" w:cstheme="minorEastAsia"/>
                <w:color w:val="auto"/>
                <w:highlight w:val="none"/>
              </w:rPr>
            </w:pPr>
          </w:p>
        </w:tc>
        <w:tc>
          <w:tcPr>
            <w:tcW w:w="1276" w:type="dxa"/>
            <w:vAlign w:val="center"/>
          </w:tcPr>
          <w:p w14:paraId="5E45500A">
            <w:pPr>
              <w:ind w:left="223" w:hanging="222" w:hangingChars="106"/>
              <w:jc w:val="center"/>
              <w:rPr>
                <w:rFonts w:hint="eastAsia" w:asciiTheme="minorEastAsia" w:hAnsiTheme="minorEastAsia" w:eastAsiaTheme="minorEastAsia" w:cstheme="minorEastAsia"/>
                <w:color w:val="auto"/>
                <w:highlight w:val="none"/>
              </w:rPr>
            </w:pPr>
          </w:p>
        </w:tc>
      </w:tr>
      <w:tr w14:paraId="19EE0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0CC91F73">
            <w:pPr>
              <w:ind w:left="223" w:hanging="222" w:hangingChars="106"/>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p>
        </w:tc>
        <w:tc>
          <w:tcPr>
            <w:tcW w:w="829" w:type="dxa"/>
            <w:vAlign w:val="center"/>
          </w:tcPr>
          <w:p w14:paraId="63A5B068">
            <w:pPr>
              <w:ind w:left="223" w:hanging="222" w:hangingChars="106"/>
              <w:jc w:val="center"/>
              <w:rPr>
                <w:rFonts w:hint="eastAsia" w:asciiTheme="minorEastAsia" w:hAnsiTheme="minorEastAsia" w:eastAsiaTheme="minorEastAsia" w:cstheme="minorEastAsia"/>
                <w:color w:val="auto"/>
                <w:highlight w:val="none"/>
              </w:rPr>
            </w:pPr>
          </w:p>
        </w:tc>
        <w:tc>
          <w:tcPr>
            <w:tcW w:w="816" w:type="dxa"/>
            <w:vAlign w:val="center"/>
          </w:tcPr>
          <w:p w14:paraId="611928F5">
            <w:pPr>
              <w:ind w:left="223" w:hanging="222" w:hangingChars="106"/>
              <w:jc w:val="center"/>
              <w:rPr>
                <w:rFonts w:hint="eastAsia" w:asciiTheme="minorEastAsia" w:hAnsiTheme="minorEastAsia" w:eastAsiaTheme="minorEastAsia" w:cstheme="minorEastAsia"/>
                <w:color w:val="auto"/>
                <w:highlight w:val="none"/>
              </w:rPr>
            </w:pPr>
          </w:p>
        </w:tc>
        <w:tc>
          <w:tcPr>
            <w:tcW w:w="1148" w:type="dxa"/>
            <w:vAlign w:val="center"/>
          </w:tcPr>
          <w:p w14:paraId="0DF650B3">
            <w:pPr>
              <w:ind w:left="223" w:hanging="222" w:hangingChars="106"/>
              <w:jc w:val="center"/>
              <w:rPr>
                <w:rFonts w:hint="eastAsia" w:asciiTheme="minorEastAsia" w:hAnsiTheme="minorEastAsia" w:eastAsiaTheme="minorEastAsia" w:cstheme="minorEastAsia"/>
                <w:color w:val="auto"/>
                <w:highlight w:val="none"/>
              </w:rPr>
            </w:pPr>
          </w:p>
        </w:tc>
        <w:tc>
          <w:tcPr>
            <w:tcW w:w="1148" w:type="dxa"/>
            <w:vAlign w:val="center"/>
          </w:tcPr>
          <w:p w14:paraId="67809F41">
            <w:pPr>
              <w:ind w:left="223" w:hanging="222" w:hangingChars="106"/>
              <w:jc w:val="center"/>
              <w:rPr>
                <w:rFonts w:hint="eastAsia" w:asciiTheme="minorEastAsia" w:hAnsiTheme="minorEastAsia" w:eastAsiaTheme="minorEastAsia" w:cstheme="minorEastAsia"/>
                <w:color w:val="auto"/>
                <w:highlight w:val="none"/>
              </w:rPr>
            </w:pPr>
          </w:p>
        </w:tc>
        <w:tc>
          <w:tcPr>
            <w:tcW w:w="1148" w:type="dxa"/>
            <w:vAlign w:val="center"/>
          </w:tcPr>
          <w:p w14:paraId="24D87D39">
            <w:pPr>
              <w:ind w:left="223" w:hanging="222" w:hangingChars="106"/>
              <w:jc w:val="center"/>
              <w:rPr>
                <w:rFonts w:hint="eastAsia" w:asciiTheme="minorEastAsia" w:hAnsiTheme="minorEastAsia" w:eastAsiaTheme="minorEastAsia" w:cstheme="minorEastAsia"/>
                <w:color w:val="auto"/>
                <w:highlight w:val="none"/>
              </w:rPr>
            </w:pPr>
          </w:p>
        </w:tc>
        <w:tc>
          <w:tcPr>
            <w:tcW w:w="1148" w:type="dxa"/>
            <w:vAlign w:val="center"/>
          </w:tcPr>
          <w:p w14:paraId="250A3E2D">
            <w:pPr>
              <w:ind w:left="223" w:hanging="222" w:hangingChars="106"/>
              <w:jc w:val="center"/>
              <w:rPr>
                <w:rFonts w:hint="eastAsia" w:asciiTheme="minorEastAsia" w:hAnsiTheme="minorEastAsia" w:eastAsiaTheme="minorEastAsia" w:cstheme="minorEastAsia"/>
                <w:color w:val="auto"/>
                <w:highlight w:val="none"/>
              </w:rPr>
            </w:pPr>
          </w:p>
        </w:tc>
        <w:tc>
          <w:tcPr>
            <w:tcW w:w="850" w:type="dxa"/>
            <w:vAlign w:val="center"/>
          </w:tcPr>
          <w:p w14:paraId="4F153562">
            <w:pPr>
              <w:ind w:left="223" w:hanging="222" w:hangingChars="106"/>
              <w:jc w:val="center"/>
              <w:rPr>
                <w:rFonts w:hint="eastAsia" w:asciiTheme="minorEastAsia" w:hAnsiTheme="minorEastAsia" w:eastAsiaTheme="minorEastAsia" w:cstheme="minorEastAsia"/>
                <w:color w:val="auto"/>
                <w:highlight w:val="none"/>
              </w:rPr>
            </w:pPr>
          </w:p>
        </w:tc>
        <w:tc>
          <w:tcPr>
            <w:tcW w:w="1276" w:type="dxa"/>
            <w:vAlign w:val="center"/>
          </w:tcPr>
          <w:p w14:paraId="0E2F9CEE">
            <w:pPr>
              <w:ind w:left="223" w:hanging="222" w:hangingChars="106"/>
              <w:jc w:val="center"/>
              <w:rPr>
                <w:rFonts w:hint="eastAsia" w:asciiTheme="minorEastAsia" w:hAnsiTheme="minorEastAsia" w:eastAsiaTheme="minorEastAsia" w:cstheme="minorEastAsia"/>
                <w:color w:val="auto"/>
                <w:highlight w:val="none"/>
              </w:rPr>
            </w:pPr>
          </w:p>
        </w:tc>
      </w:tr>
      <w:tr w14:paraId="0A028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jc w:val="center"/>
        </w:trPr>
        <w:tc>
          <w:tcPr>
            <w:tcW w:w="9356" w:type="dxa"/>
            <w:gridSpan w:val="9"/>
            <w:vAlign w:val="center"/>
          </w:tcPr>
          <w:p w14:paraId="26BC7E9C">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一旦我单位</w:t>
            </w:r>
            <w:r>
              <w:rPr>
                <w:rFonts w:hint="eastAsia" w:asciiTheme="minorEastAsia" w:hAnsiTheme="minorEastAsia" w:eastAsiaTheme="minorEastAsia" w:cstheme="minorEastAsia"/>
                <w:color w:val="auto"/>
                <w:highlight w:val="none"/>
                <w:lang w:val="en-US" w:eastAsia="zh-CN"/>
              </w:rPr>
              <w:t>成交</w:t>
            </w:r>
            <w:r>
              <w:rPr>
                <w:rFonts w:hint="eastAsia" w:asciiTheme="minorEastAsia" w:hAnsiTheme="minorEastAsia" w:eastAsiaTheme="minorEastAsia" w:cstheme="minorEastAsia"/>
                <w:color w:val="auto"/>
                <w:highlight w:val="none"/>
              </w:rPr>
              <w:t>，将实行项目经理负责制，我方保证并配备上述项目管理机构。上述填报内容真实，若不真实，愿按有关规定接受处理。项目管理班子机构设置、职责分工等情况另附资料说明。</w:t>
            </w:r>
          </w:p>
        </w:tc>
      </w:tr>
    </w:tbl>
    <w:p w14:paraId="05C3EE2F">
      <w:pPr>
        <w:tabs>
          <w:tab w:val="left" w:pos="0"/>
        </w:tabs>
        <w:spacing w:line="360" w:lineRule="auto"/>
        <w:ind w:right="-210"/>
        <w:rPr>
          <w:rFonts w:hint="eastAsia" w:asciiTheme="minorEastAsia" w:hAnsiTheme="minorEastAsia" w:eastAsiaTheme="minorEastAsia" w:cstheme="minorEastAsia"/>
          <w:color w:val="auto"/>
          <w:highlight w:val="none"/>
        </w:rPr>
      </w:pPr>
    </w:p>
    <w:p w14:paraId="079BDDFF">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【备注：附各岗位人员资格证件（如有）的复印件。】</w:t>
      </w:r>
    </w:p>
    <w:p w14:paraId="7F9C63AF">
      <w:pPr>
        <w:pStyle w:val="174"/>
        <w:spacing w:line="360" w:lineRule="auto"/>
        <w:rPr>
          <w:rFonts w:ascii="Times New Roman" w:hAnsi="Times New Roman" w:eastAsia="楷体_GB2312" w:cs="楷体_GB2312"/>
          <w:color w:val="auto"/>
          <w:szCs w:val="21"/>
          <w:highlight w:val="none"/>
        </w:rPr>
      </w:pPr>
    </w:p>
    <w:p w14:paraId="6E8C8F44">
      <w:pPr>
        <w:pStyle w:val="174"/>
        <w:spacing w:line="360" w:lineRule="auto"/>
        <w:rPr>
          <w:rFonts w:ascii="Times New Roman" w:hAnsi="Times New Roman" w:eastAsia="楷体_GB2312" w:cs="楷体_GB2312"/>
          <w:color w:val="auto"/>
          <w:szCs w:val="21"/>
          <w:highlight w:val="none"/>
        </w:rPr>
      </w:pPr>
    </w:p>
    <w:p w14:paraId="021979BE">
      <w:pPr>
        <w:pStyle w:val="2"/>
        <w:rPr>
          <w:color w:val="auto"/>
          <w:highlight w:val="none"/>
        </w:rPr>
      </w:pPr>
    </w:p>
    <w:p w14:paraId="4D85AFEC">
      <w:pPr>
        <w:pStyle w:val="42"/>
        <w:ind w:firstLine="482"/>
        <w:rPr>
          <w:color w:val="auto"/>
          <w:highlight w:val="none"/>
        </w:rPr>
      </w:pPr>
    </w:p>
    <w:p w14:paraId="50034085">
      <w:pPr>
        <w:pStyle w:val="42"/>
        <w:ind w:firstLine="482"/>
        <w:rPr>
          <w:color w:val="auto"/>
          <w:highlight w:val="none"/>
        </w:rPr>
      </w:pPr>
    </w:p>
    <w:p w14:paraId="42BF7C85">
      <w:pPr>
        <w:rPr>
          <w:rFonts w:hint="eastAsia" w:asciiTheme="minorEastAsia" w:hAnsiTheme="minorEastAsia" w:eastAsiaTheme="minorEastAsia" w:cstheme="minorEastAsia"/>
          <w:b/>
          <w:bCs/>
          <w:color w:val="auto"/>
          <w:kern w:val="0"/>
          <w:sz w:val="30"/>
          <w:szCs w:val="30"/>
          <w:highlight w:val="none"/>
        </w:rPr>
      </w:pPr>
      <w:r>
        <w:rPr>
          <w:rFonts w:hint="eastAsia" w:asciiTheme="minorEastAsia" w:hAnsiTheme="minorEastAsia" w:eastAsiaTheme="minorEastAsia" w:cstheme="minorEastAsia"/>
          <w:b/>
          <w:bCs/>
          <w:color w:val="auto"/>
          <w:kern w:val="0"/>
          <w:sz w:val="30"/>
          <w:szCs w:val="30"/>
          <w:highlight w:val="none"/>
        </w:rPr>
        <w:br w:type="page"/>
      </w:r>
    </w:p>
    <w:p w14:paraId="662EFBC1">
      <w:pPr>
        <w:spacing w:line="400" w:lineRule="exact"/>
        <w:jc w:val="left"/>
        <w:rPr>
          <w:rFonts w:hint="eastAsia" w:asciiTheme="minorEastAsia" w:hAnsiTheme="minorEastAsia" w:eastAsiaTheme="minorEastAsia" w:cstheme="minorEastAsia"/>
          <w:b/>
          <w:bCs/>
          <w:color w:val="auto"/>
          <w:kern w:val="0"/>
          <w:sz w:val="30"/>
          <w:szCs w:val="30"/>
          <w:highlight w:val="none"/>
        </w:rPr>
      </w:pPr>
      <w:r>
        <w:rPr>
          <w:rFonts w:hint="eastAsia" w:asciiTheme="minorEastAsia" w:hAnsiTheme="minorEastAsia" w:eastAsiaTheme="minorEastAsia" w:cstheme="minorEastAsia"/>
          <w:b/>
          <w:bCs/>
          <w:color w:val="auto"/>
          <w:kern w:val="0"/>
          <w:sz w:val="30"/>
          <w:szCs w:val="30"/>
          <w:highlight w:val="none"/>
        </w:rPr>
        <w:t>2、项目经理（注册建造师）简历表</w:t>
      </w:r>
    </w:p>
    <w:p w14:paraId="543DFC9A">
      <w:pPr>
        <w:pStyle w:val="168"/>
        <w:rPr>
          <w:rFonts w:hint="eastAsia" w:asciiTheme="minorEastAsia" w:hAnsiTheme="minorEastAsia" w:eastAsiaTheme="minorEastAsia" w:cstheme="minorEastAsia"/>
          <w:color w:val="auto"/>
          <w:highlight w:val="none"/>
          <w:u w:val="single"/>
        </w:rPr>
      </w:pPr>
    </w:p>
    <w:p w14:paraId="21AA70DE">
      <w:pPr>
        <w:pStyle w:val="168"/>
        <w:rPr>
          <w:rFonts w:hint="eastAsia" w:asciiTheme="minorEastAsia" w:hAnsiTheme="minorEastAsia" w:eastAsiaTheme="minorEastAsia" w:cstheme="minorEastAsia"/>
          <w:color w:val="auto"/>
          <w:highlight w:val="none"/>
          <w:u w:val="single"/>
        </w:rPr>
      </w:pPr>
    </w:p>
    <w:p w14:paraId="3E8FCD25">
      <w:pPr>
        <w:pStyle w:val="168"/>
        <w:rPr>
          <w:rFonts w:hint="eastAsia" w:asciiTheme="minorEastAsia" w:hAnsiTheme="minorEastAsia" w:eastAsiaTheme="minorEastAsia" w:cstheme="minorEastAsia"/>
          <w:color w:val="auto"/>
          <w:highlight w:val="none"/>
          <w:u w:val="single"/>
        </w:rPr>
      </w:pPr>
    </w:p>
    <w:p w14:paraId="4DABD084">
      <w:pPr>
        <w:pStyle w:val="168"/>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u w:val="single"/>
        </w:rPr>
        <w:t xml:space="preserve">            （工程项目名称）        </w:t>
      </w:r>
      <w:r>
        <w:rPr>
          <w:rFonts w:hint="eastAsia" w:asciiTheme="minorEastAsia" w:hAnsiTheme="minorEastAsia" w:eastAsiaTheme="minorEastAsia" w:cstheme="minorEastAsia"/>
          <w:color w:val="auto"/>
          <w:highlight w:val="none"/>
        </w:rPr>
        <w:t xml:space="preserve"> 工程</w:t>
      </w:r>
    </w:p>
    <w:p w14:paraId="0C719801">
      <w:pPr>
        <w:pStyle w:val="168"/>
        <w:rPr>
          <w:rFonts w:hint="eastAsia" w:asciiTheme="minorEastAsia" w:hAnsiTheme="minorEastAsia" w:eastAsiaTheme="minorEastAsia" w:cstheme="minorEastAsia"/>
          <w:color w:val="auto"/>
          <w:highlight w:val="none"/>
        </w:rPr>
      </w:pPr>
    </w:p>
    <w:tbl>
      <w:tblPr>
        <w:tblStyle w:val="44"/>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29E04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vAlign w:val="center"/>
          </w:tcPr>
          <w:p w14:paraId="094214B6">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姓名</w:t>
            </w:r>
          </w:p>
        </w:tc>
        <w:tc>
          <w:tcPr>
            <w:tcW w:w="2340" w:type="dxa"/>
            <w:gridSpan w:val="3"/>
            <w:vAlign w:val="center"/>
          </w:tcPr>
          <w:p w14:paraId="18D2E3BB">
            <w:pPr>
              <w:jc w:val="center"/>
              <w:rPr>
                <w:rFonts w:hint="eastAsia" w:asciiTheme="minorEastAsia" w:hAnsiTheme="minorEastAsia" w:eastAsiaTheme="minorEastAsia" w:cstheme="minorEastAsia"/>
                <w:color w:val="auto"/>
                <w:highlight w:val="none"/>
              </w:rPr>
            </w:pPr>
          </w:p>
        </w:tc>
        <w:tc>
          <w:tcPr>
            <w:tcW w:w="1893" w:type="dxa"/>
            <w:gridSpan w:val="2"/>
            <w:vAlign w:val="center"/>
          </w:tcPr>
          <w:p w14:paraId="42FBCF29">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性别</w:t>
            </w:r>
          </w:p>
        </w:tc>
        <w:tc>
          <w:tcPr>
            <w:tcW w:w="1585" w:type="dxa"/>
            <w:gridSpan w:val="2"/>
            <w:vAlign w:val="center"/>
          </w:tcPr>
          <w:p w14:paraId="6C33ADDB">
            <w:pPr>
              <w:jc w:val="center"/>
              <w:rPr>
                <w:rFonts w:hint="eastAsia" w:asciiTheme="minorEastAsia" w:hAnsiTheme="minorEastAsia" w:eastAsiaTheme="minorEastAsia" w:cstheme="minorEastAsia"/>
                <w:color w:val="auto"/>
                <w:highlight w:val="none"/>
              </w:rPr>
            </w:pPr>
          </w:p>
        </w:tc>
        <w:tc>
          <w:tcPr>
            <w:tcW w:w="1108" w:type="dxa"/>
            <w:gridSpan w:val="2"/>
            <w:vAlign w:val="center"/>
          </w:tcPr>
          <w:p w14:paraId="70FA96C3">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年龄</w:t>
            </w:r>
          </w:p>
        </w:tc>
        <w:tc>
          <w:tcPr>
            <w:tcW w:w="1276" w:type="dxa"/>
            <w:vAlign w:val="center"/>
          </w:tcPr>
          <w:p w14:paraId="7F4B10D4">
            <w:pPr>
              <w:jc w:val="center"/>
              <w:rPr>
                <w:rFonts w:hint="eastAsia" w:asciiTheme="minorEastAsia" w:hAnsiTheme="minorEastAsia" w:eastAsiaTheme="minorEastAsia" w:cstheme="minorEastAsia"/>
                <w:color w:val="auto"/>
                <w:highlight w:val="none"/>
              </w:rPr>
            </w:pPr>
          </w:p>
        </w:tc>
      </w:tr>
      <w:tr w14:paraId="6BCF0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vAlign w:val="center"/>
          </w:tcPr>
          <w:p w14:paraId="7F21CD04">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职务</w:t>
            </w:r>
          </w:p>
        </w:tc>
        <w:tc>
          <w:tcPr>
            <w:tcW w:w="2340" w:type="dxa"/>
            <w:gridSpan w:val="3"/>
            <w:vAlign w:val="center"/>
          </w:tcPr>
          <w:p w14:paraId="1C14EAC7">
            <w:pPr>
              <w:jc w:val="center"/>
              <w:rPr>
                <w:rFonts w:hint="eastAsia" w:asciiTheme="minorEastAsia" w:hAnsiTheme="minorEastAsia" w:eastAsiaTheme="minorEastAsia" w:cstheme="minorEastAsia"/>
                <w:color w:val="auto"/>
                <w:highlight w:val="none"/>
              </w:rPr>
            </w:pPr>
          </w:p>
        </w:tc>
        <w:tc>
          <w:tcPr>
            <w:tcW w:w="1893" w:type="dxa"/>
            <w:gridSpan w:val="2"/>
            <w:vAlign w:val="center"/>
          </w:tcPr>
          <w:p w14:paraId="4D6CFD12">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职称</w:t>
            </w:r>
          </w:p>
        </w:tc>
        <w:tc>
          <w:tcPr>
            <w:tcW w:w="1585" w:type="dxa"/>
            <w:gridSpan w:val="2"/>
            <w:vAlign w:val="center"/>
          </w:tcPr>
          <w:p w14:paraId="24B1070A">
            <w:pPr>
              <w:jc w:val="center"/>
              <w:rPr>
                <w:rFonts w:hint="eastAsia" w:asciiTheme="minorEastAsia" w:hAnsiTheme="minorEastAsia" w:eastAsiaTheme="minorEastAsia" w:cstheme="minorEastAsia"/>
                <w:color w:val="auto"/>
                <w:highlight w:val="none"/>
              </w:rPr>
            </w:pPr>
          </w:p>
        </w:tc>
        <w:tc>
          <w:tcPr>
            <w:tcW w:w="1108" w:type="dxa"/>
            <w:gridSpan w:val="2"/>
            <w:vAlign w:val="center"/>
          </w:tcPr>
          <w:p w14:paraId="2E5D99F6">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学历</w:t>
            </w:r>
          </w:p>
        </w:tc>
        <w:tc>
          <w:tcPr>
            <w:tcW w:w="1276" w:type="dxa"/>
            <w:vAlign w:val="center"/>
          </w:tcPr>
          <w:p w14:paraId="1B9C4C3E">
            <w:pPr>
              <w:jc w:val="center"/>
              <w:rPr>
                <w:rFonts w:hint="eastAsia" w:asciiTheme="minorEastAsia" w:hAnsiTheme="minorEastAsia" w:eastAsiaTheme="minorEastAsia" w:cstheme="minorEastAsia"/>
                <w:color w:val="auto"/>
                <w:highlight w:val="none"/>
              </w:rPr>
            </w:pPr>
          </w:p>
        </w:tc>
      </w:tr>
      <w:tr w14:paraId="54348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vAlign w:val="center"/>
          </w:tcPr>
          <w:p w14:paraId="629C8FCA">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参加工作时间</w:t>
            </w:r>
          </w:p>
        </w:tc>
        <w:tc>
          <w:tcPr>
            <w:tcW w:w="1893" w:type="dxa"/>
            <w:gridSpan w:val="2"/>
            <w:vAlign w:val="center"/>
          </w:tcPr>
          <w:p w14:paraId="2E2BF129">
            <w:pPr>
              <w:jc w:val="center"/>
              <w:rPr>
                <w:rFonts w:hint="eastAsia" w:asciiTheme="minorEastAsia" w:hAnsiTheme="minorEastAsia" w:eastAsiaTheme="minorEastAsia" w:cstheme="minorEastAsia"/>
                <w:color w:val="auto"/>
                <w:highlight w:val="none"/>
              </w:rPr>
            </w:pPr>
          </w:p>
        </w:tc>
        <w:tc>
          <w:tcPr>
            <w:tcW w:w="2693" w:type="dxa"/>
            <w:gridSpan w:val="4"/>
            <w:vAlign w:val="center"/>
          </w:tcPr>
          <w:p w14:paraId="225BEDC1">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担任项目经理年限</w:t>
            </w:r>
          </w:p>
        </w:tc>
        <w:tc>
          <w:tcPr>
            <w:tcW w:w="1276" w:type="dxa"/>
            <w:vAlign w:val="center"/>
          </w:tcPr>
          <w:p w14:paraId="32A7E922">
            <w:pPr>
              <w:jc w:val="center"/>
              <w:rPr>
                <w:rFonts w:hint="eastAsia" w:asciiTheme="minorEastAsia" w:hAnsiTheme="minorEastAsia" w:eastAsiaTheme="minorEastAsia" w:cstheme="minorEastAsia"/>
                <w:color w:val="auto"/>
                <w:highlight w:val="none"/>
              </w:rPr>
            </w:pPr>
          </w:p>
        </w:tc>
      </w:tr>
      <w:tr w14:paraId="779E0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3423" w:type="dxa"/>
            <w:gridSpan w:val="4"/>
            <w:vAlign w:val="center"/>
          </w:tcPr>
          <w:p w14:paraId="1950A687">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建造师注册证书编号</w:t>
            </w:r>
          </w:p>
        </w:tc>
        <w:tc>
          <w:tcPr>
            <w:tcW w:w="5862" w:type="dxa"/>
            <w:gridSpan w:val="7"/>
            <w:vAlign w:val="center"/>
          </w:tcPr>
          <w:p w14:paraId="394A8A39">
            <w:pPr>
              <w:jc w:val="center"/>
              <w:rPr>
                <w:rFonts w:hint="eastAsia" w:asciiTheme="minorEastAsia" w:hAnsiTheme="minorEastAsia" w:eastAsiaTheme="minorEastAsia" w:cstheme="minorEastAsia"/>
                <w:color w:val="auto"/>
                <w:highlight w:val="none"/>
              </w:rPr>
            </w:pPr>
          </w:p>
        </w:tc>
      </w:tr>
      <w:tr w14:paraId="0684F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vAlign w:val="center"/>
          </w:tcPr>
          <w:p w14:paraId="7A9D1821">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在建和已完工程项目情况</w:t>
            </w:r>
          </w:p>
        </w:tc>
      </w:tr>
      <w:tr w14:paraId="5C4BC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vAlign w:val="center"/>
          </w:tcPr>
          <w:p w14:paraId="40660760">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建设单位</w:t>
            </w:r>
          </w:p>
        </w:tc>
        <w:tc>
          <w:tcPr>
            <w:tcW w:w="1548" w:type="dxa"/>
            <w:vAlign w:val="center"/>
          </w:tcPr>
          <w:p w14:paraId="5DADE5E7">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项目名称</w:t>
            </w:r>
          </w:p>
        </w:tc>
        <w:tc>
          <w:tcPr>
            <w:tcW w:w="1547" w:type="dxa"/>
            <w:gridSpan w:val="2"/>
            <w:vAlign w:val="center"/>
          </w:tcPr>
          <w:p w14:paraId="587E4FF2">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建设规模</w:t>
            </w:r>
          </w:p>
        </w:tc>
        <w:tc>
          <w:tcPr>
            <w:tcW w:w="1548" w:type="dxa"/>
            <w:gridSpan w:val="2"/>
            <w:vAlign w:val="center"/>
          </w:tcPr>
          <w:p w14:paraId="7006B64D">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开、竣工日期</w:t>
            </w:r>
          </w:p>
        </w:tc>
        <w:tc>
          <w:tcPr>
            <w:tcW w:w="1547" w:type="dxa"/>
            <w:gridSpan w:val="2"/>
            <w:vAlign w:val="center"/>
          </w:tcPr>
          <w:p w14:paraId="383A16EE">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在建或已完</w:t>
            </w:r>
          </w:p>
        </w:tc>
        <w:tc>
          <w:tcPr>
            <w:tcW w:w="1548" w:type="dxa"/>
            <w:gridSpan w:val="2"/>
            <w:vAlign w:val="center"/>
          </w:tcPr>
          <w:p w14:paraId="3DA00EAC">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工程质量</w:t>
            </w:r>
          </w:p>
        </w:tc>
      </w:tr>
      <w:tr w14:paraId="5D647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2F891E8D">
            <w:pPr>
              <w:jc w:val="center"/>
              <w:rPr>
                <w:rFonts w:hint="eastAsia" w:asciiTheme="minorEastAsia" w:hAnsiTheme="minorEastAsia" w:eastAsiaTheme="minorEastAsia" w:cstheme="minorEastAsia"/>
                <w:color w:val="auto"/>
                <w:highlight w:val="none"/>
              </w:rPr>
            </w:pPr>
          </w:p>
        </w:tc>
        <w:tc>
          <w:tcPr>
            <w:tcW w:w="1548" w:type="dxa"/>
            <w:vAlign w:val="center"/>
          </w:tcPr>
          <w:p w14:paraId="548803BE">
            <w:pPr>
              <w:jc w:val="center"/>
              <w:rPr>
                <w:rFonts w:hint="eastAsia" w:asciiTheme="minorEastAsia" w:hAnsiTheme="minorEastAsia" w:eastAsiaTheme="minorEastAsia" w:cstheme="minorEastAsia"/>
                <w:color w:val="auto"/>
                <w:highlight w:val="none"/>
              </w:rPr>
            </w:pPr>
          </w:p>
        </w:tc>
        <w:tc>
          <w:tcPr>
            <w:tcW w:w="1547" w:type="dxa"/>
            <w:gridSpan w:val="2"/>
            <w:vAlign w:val="center"/>
          </w:tcPr>
          <w:p w14:paraId="35F1F7A9">
            <w:pPr>
              <w:jc w:val="center"/>
              <w:rPr>
                <w:rFonts w:hint="eastAsia" w:asciiTheme="minorEastAsia" w:hAnsiTheme="minorEastAsia" w:eastAsiaTheme="minorEastAsia" w:cstheme="minorEastAsia"/>
                <w:color w:val="auto"/>
                <w:highlight w:val="none"/>
              </w:rPr>
            </w:pPr>
          </w:p>
        </w:tc>
        <w:tc>
          <w:tcPr>
            <w:tcW w:w="1548" w:type="dxa"/>
            <w:gridSpan w:val="2"/>
            <w:vAlign w:val="center"/>
          </w:tcPr>
          <w:p w14:paraId="63ED1505">
            <w:pPr>
              <w:jc w:val="center"/>
              <w:rPr>
                <w:rFonts w:hint="eastAsia" w:asciiTheme="minorEastAsia" w:hAnsiTheme="minorEastAsia" w:eastAsiaTheme="minorEastAsia" w:cstheme="minorEastAsia"/>
                <w:color w:val="auto"/>
                <w:highlight w:val="none"/>
              </w:rPr>
            </w:pPr>
          </w:p>
        </w:tc>
        <w:tc>
          <w:tcPr>
            <w:tcW w:w="1547" w:type="dxa"/>
            <w:gridSpan w:val="2"/>
            <w:vAlign w:val="center"/>
          </w:tcPr>
          <w:p w14:paraId="0912114F">
            <w:pPr>
              <w:jc w:val="center"/>
              <w:rPr>
                <w:rFonts w:hint="eastAsia" w:asciiTheme="minorEastAsia" w:hAnsiTheme="minorEastAsia" w:eastAsiaTheme="minorEastAsia" w:cstheme="minorEastAsia"/>
                <w:color w:val="auto"/>
                <w:highlight w:val="none"/>
              </w:rPr>
            </w:pPr>
          </w:p>
        </w:tc>
        <w:tc>
          <w:tcPr>
            <w:tcW w:w="1548" w:type="dxa"/>
            <w:gridSpan w:val="2"/>
            <w:vAlign w:val="center"/>
          </w:tcPr>
          <w:p w14:paraId="6341F4B3">
            <w:pPr>
              <w:jc w:val="center"/>
              <w:rPr>
                <w:rFonts w:hint="eastAsia" w:asciiTheme="minorEastAsia" w:hAnsiTheme="minorEastAsia" w:eastAsiaTheme="minorEastAsia" w:cstheme="minorEastAsia"/>
                <w:color w:val="auto"/>
                <w:highlight w:val="none"/>
              </w:rPr>
            </w:pPr>
          </w:p>
        </w:tc>
      </w:tr>
      <w:tr w14:paraId="79707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2FA009BC">
            <w:pPr>
              <w:jc w:val="center"/>
              <w:rPr>
                <w:rFonts w:hint="eastAsia" w:asciiTheme="minorEastAsia" w:hAnsiTheme="minorEastAsia" w:eastAsiaTheme="minorEastAsia" w:cstheme="minorEastAsia"/>
                <w:color w:val="auto"/>
                <w:highlight w:val="none"/>
              </w:rPr>
            </w:pPr>
          </w:p>
        </w:tc>
        <w:tc>
          <w:tcPr>
            <w:tcW w:w="1548" w:type="dxa"/>
            <w:vAlign w:val="center"/>
          </w:tcPr>
          <w:p w14:paraId="13144752">
            <w:pPr>
              <w:jc w:val="center"/>
              <w:rPr>
                <w:rFonts w:hint="eastAsia" w:asciiTheme="minorEastAsia" w:hAnsiTheme="minorEastAsia" w:eastAsiaTheme="minorEastAsia" w:cstheme="minorEastAsia"/>
                <w:color w:val="auto"/>
                <w:highlight w:val="none"/>
              </w:rPr>
            </w:pPr>
          </w:p>
        </w:tc>
        <w:tc>
          <w:tcPr>
            <w:tcW w:w="1547" w:type="dxa"/>
            <w:gridSpan w:val="2"/>
            <w:vAlign w:val="center"/>
          </w:tcPr>
          <w:p w14:paraId="1CBACA89">
            <w:pPr>
              <w:jc w:val="center"/>
              <w:rPr>
                <w:rFonts w:hint="eastAsia" w:asciiTheme="minorEastAsia" w:hAnsiTheme="minorEastAsia" w:eastAsiaTheme="minorEastAsia" w:cstheme="minorEastAsia"/>
                <w:color w:val="auto"/>
                <w:highlight w:val="none"/>
              </w:rPr>
            </w:pPr>
          </w:p>
        </w:tc>
        <w:tc>
          <w:tcPr>
            <w:tcW w:w="1548" w:type="dxa"/>
            <w:gridSpan w:val="2"/>
            <w:vAlign w:val="center"/>
          </w:tcPr>
          <w:p w14:paraId="31655987">
            <w:pPr>
              <w:jc w:val="center"/>
              <w:rPr>
                <w:rFonts w:hint="eastAsia" w:asciiTheme="minorEastAsia" w:hAnsiTheme="minorEastAsia" w:eastAsiaTheme="minorEastAsia" w:cstheme="minorEastAsia"/>
                <w:color w:val="auto"/>
                <w:highlight w:val="none"/>
              </w:rPr>
            </w:pPr>
          </w:p>
        </w:tc>
        <w:tc>
          <w:tcPr>
            <w:tcW w:w="1547" w:type="dxa"/>
            <w:gridSpan w:val="2"/>
            <w:vAlign w:val="center"/>
          </w:tcPr>
          <w:p w14:paraId="6F29B5FF">
            <w:pPr>
              <w:jc w:val="center"/>
              <w:rPr>
                <w:rFonts w:hint="eastAsia" w:asciiTheme="minorEastAsia" w:hAnsiTheme="minorEastAsia" w:eastAsiaTheme="minorEastAsia" w:cstheme="minorEastAsia"/>
                <w:color w:val="auto"/>
                <w:highlight w:val="none"/>
              </w:rPr>
            </w:pPr>
          </w:p>
        </w:tc>
        <w:tc>
          <w:tcPr>
            <w:tcW w:w="1548" w:type="dxa"/>
            <w:gridSpan w:val="2"/>
            <w:vAlign w:val="center"/>
          </w:tcPr>
          <w:p w14:paraId="4301D57E">
            <w:pPr>
              <w:jc w:val="center"/>
              <w:rPr>
                <w:rFonts w:hint="eastAsia" w:asciiTheme="minorEastAsia" w:hAnsiTheme="minorEastAsia" w:eastAsiaTheme="minorEastAsia" w:cstheme="minorEastAsia"/>
                <w:color w:val="auto"/>
                <w:highlight w:val="none"/>
              </w:rPr>
            </w:pPr>
          </w:p>
        </w:tc>
      </w:tr>
      <w:tr w14:paraId="5481D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418A0C94">
            <w:pPr>
              <w:jc w:val="center"/>
              <w:rPr>
                <w:rFonts w:hint="eastAsia" w:asciiTheme="minorEastAsia" w:hAnsiTheme="minorEastAsia" w:eastAsiaTheme="minorEastAsia" w:cstheme="minorEastAsia"/>
                <w:color w:val="auto"/>
                <w:highlight w:val="none"/>
              </w:rPr>
            </w:pPr>
          </w:p>
        </w:tc>
        <w:tc>
          <w:tcPr>
            <w:tcW w:w="1548" w:type="dxa"/>
            <w:vAlign w:val="center"/>
          </w:tcPr>
          <w:p w14:paraId="26B20B7E">
            <w:pPr>
              <w:jc w:val="center"/>
              <w:rPr>
                <w:rFonts w:hint="eastAsia" w:asciiTheme="minorEastAsia" w:hAnsiTheme="minorEastAsia" w:eastAsiaTheme="minorEastAsia" w:cstheme="minorEastAsia"/>
                <w:color w:val="auto"/>
                <w:highlight w:val="none"/>
              </w:rPr>
            </w:pPr>
          </w:p>
        </w:tc>
        <w:tc>
          <w:tcPr>
            <w:tcW w:w="1547" w:type="dxa"/>
            <w:gridSpan w:val="2"/>
            <w:vAlign w:val="center"/>
          </w:tcPr>
          <w:p w14:paraId="45E13B89">
            <w:pPr>
              <w:jc w:val="center"/>
              <w:rPr>
                <w:rFonts w:hint="eastAsia" w:asciiTheme="minorEastAsia" w:hAnsiTheme="minorEastAsia" w:eastAsiaTheme="minorEastAsia" w:cstheme="minorEastAsia"/>
                <w:color w:val="auto"/>
                <w:highlight w:val="none"/>
              </w:rPr>
            </w:pPr>
          </w:p>
        </w:tc>
        <w:tc>
          <w:tcPr>
            <w:tcW w:w="1548" w:type="dxa"/>
            <w:gridSpan w:val="2"/>
            <w:vAlign w:val="center"/>
          </w:tcPr>
          <w:p w14:paraId="690E2E7A">
            <w:pPr>
              <w:jc w:val="center"/>
              <w:rPr>
                <w:rFonts w:hint="eastAsia" w:asciiTheme="minorEastAsia" w:hAnsiTheme="minorEastAsia" w:eastAsiaTheme="minorEastAsia" w:cstheme="minorEastAsia"/>
                <w:color w:val="auto"/>
                <w:highlight w:val="none"/>
              </w:rPr>
            </w:pPr>
          </w:p>
        </w:tc>
        <w:tc>
          <w:tcPr>
            <w:tcW w:w="1547" w:type="dxa"/>
            <w:gridSpan w:val="2"/>
            <w:vAlign w:val="center"/>
          </w:tcPr>
          <w:p w14:paraId="47D327F7">
            <w:pPr>
              <w:jc w:val="center"/>
              <w:rPr>
                <w:rFonts w:hint="eastAsia" w:asciiTheme="minorEastAsia" w:hAnsiTheme="minorEastAsia" w:eastAsiaTheme="minorEastAsia" w:cstheme="minorEastAsia"/>
                <w:color w:val="auto"/>
                <w:highlight w:val="none"/>
              </w:rPr>
            </w:pPr>
          </w:p>
        </w:tc>
        <w:tc>
          <w:tcPr>
            <w:tcW w:w="1548" w:type="dxa"/>
            <w:gridSpan w:val="2"/>
            <w:vAlign w:val="center"/>
          </w:tcPr>
          <w:p w14:paraId="52FAD571">
            <w:pPr>
              <w:jc w:val="center"/>
              <w:rPr>
                <w:rFonts w:hint="eastAsia" w:asciiTheme="minorEastAsia" w:hAnsiTheme="minorEastAsia" w:eastAsiaTheme="minorEastAsia" w:cstheme="minorEastAsia"/>
                <w:color w:val="auto"/>
                <w:highlight w:val="none"/>
              </w:rPr>
            </w:pPr>
          </w:p>
        </w:tc>
      </w:tr>
      <w:tr w14:paraId="741EA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47" w:type="dxa"/>
            <w:gridSpan w:val="2"/>
            <w:vAlign w:val="center"/>
          </w:tcPr>
          <w:p w14:paraId="38CBDFD6">
            <w:pPr>
              <w:jc w:val="center"/>
              <w:rPr>
                <w:rFonts w:hint="eastAsia" w:asciiTheme="minorEastAsia" w:hAnsiTheme="minorEastAsia" w:eastAsiaTheme="minorEastAsia" w:cstheme="minorEastAsia"/>
                <w:color w:val="auto"/>
                <w:highlight w:val="none"/>
              </w:rPr>
            </w:pPr>
          </w:p>
        </w:tc>
        <w:tc>
          <w:tcPr>
            <w:tcW w:w="1548" w:type="dxa"/>
            <w:vAlign w:val="center"/>
          </w:tcPr>
          <w:p w14:paraId="66C00103">
            <w:pPr>
              <w:jc w:val="center"/>
              <w:rPr>
                <w:rFonts w:hint="eastAsia" w:asciiTheme="minorEastAsia" w:hAnsiTheme="minorEastAsia" w:eastAsiaTheme="minorEastAsia" w:cstheme="minorEastAsia"/>
                <w:color w:val="auto"/>
                <w:highlight w:val="none"/>
              </w:rPr>
            </w:pPr>
          </w:p>
        </w:tc>
        <w:tc>
          <w:tcPr>
            <w:tcW w:w="1547" w:type="dxa"/>
            <w:gridSpan w:val="2"/>
            <w:vAlign w:val="center"/>
          </w:tcPr>
          <w:p w14:paraId="52F268B6">
            <w:pPr>
              <w:jc w:val="center"/>
              <w:rPr>
                <w:rFonts w:hint="eastAsia" w:asciiTheme="minorEastAsia" w:hAnsiTheme="minorEastAsia" w:eastAsiaTheme="minorEastAsia" w:cstheme="minorEastAsia"/>
                <w:color w:val="auto"/>
                <w:highlight w:val="none"/>
              </w:rPr>
            </w:pPr>
          </w:p>
        </w:tc>
        <w:tc>
          <w:tcPr>
            <w:tcW w:w="1548" w:type="dxa"/>
            <w:gridSpan w:val="2"/>
            <w:vAlign w:val="center"/>
          </w:tcPr>
          <w:p w14:paraId="7503134C">
            <w:pPr>
              <w:jc w:val="center"/>
              <w:rPr>
                <w:rFonts w:hint="eastAsia" w:asciiTheme="minorEastAsia" w:hAnsiTheme="minorEastAsia" w:eastAsiaTheme="minorEastAsia" w:cstheme="minorEastAsia"/>
                <w:color w:val="auto"/>
                <w:highlight w:val="none"/>
              </w:rPr>
            </w:pPr>
          </w:p>
        </w:tc>
        <w:tc>
          <w:tcPr>
            <w:tcW w:w="1547" w:type="dxa"/>
            <w:gridSpan w:val="2"/>
            <w:vAlign w:val="center"/>
          </w:tcPr>
          <w:p w14:paraId="2BB24E2A">
            <w:pPr>
              <w:jc w:val="center"/>
              <w:rPr>
                <w:rFonts w:hint="eastAsia" w:asciiTheme="minorEastAsia" w:hAnsiTheme="minorEastAsia" w:eastAsiaTheme="minorEastAsia" w:cstheme="minorEastAsia"/>
                <w:color w:val="auto"/>
                <w:highlight w:val="none"/>
              </w:rPr>
            </w:pPr>
          </w:p>
        </w:tc>
        <w:tc>
          <w:tcPr>
            <w:tcW w:w="1548" w:type="dxa"/>
            <w:gridSpan w:val="2"/>
            <w:vAlign w:val="center"/>
          </w:tcPr>
          <w:p w14:paraId="5319EC8E">
            <w:pPr>
              <w:jc w:val="center"/>
              <w:rPr>
                <w:rFonts w:hint="eastAsia" w:asciiTheme="minorEastAsia" w:hAnsiTheme="minorEastAsia" w:eastAsiaTheme="minorEastAsia" w:cstheme="minorEastAsia"/>
                <w:color w:val="auto"/>
                <w:highlight w:val="none"/>
              </w:rPr>
            </w:pPr>
          </w:p>
        </w:tc>
      </w:tr>
    </w:tbl>
    <w:p w14:paraId="12875DF1">
      <w:pPr>
        <w:spacing w:line="360" w:lineRule="auto"/>
        <w:rPr>
          <w:rFonts w:hint="eastAsia" w:asciiTheme="minorEastAsia" w:hAnsiTheme="minorEastAsia" w:eastAsiaTheme="minorEastAsia" w:cstheme="minorEastAsia"/>
          <w:color w:val="auto"/>
          <w:highlight w:val="none"/>
        </w:rPr>
      </w:pPr>
    </w:p>
    <w:p w14:paraId="024F252D">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附：</w:t>
      </w:r>
    </w:p>
    <w:p w14:paraId="4DAC6C87">
      <w:pPr>
        <w:numPr>
          <w:ilvl w:val="0"/>
          <w:numId w:val="12"/>
        </w:num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资格证件复印件；</w:t>
      </w:r>
    </w:p>
    <w:p w14:paraId="2C25EE52">
      <w:pPr>
        <w:numPr>
          <w:ilvl w:val="0"/>
          <w:numId w:val="12"/>
        </w:num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已完成的工程应附中标通知书（如有）、合同协议书有关页面、工程竣工验收证明材料复印件</w:t>
      </w:r>
      <w:r>
        <w:rPr>
          <w:rFonts w:hint="eastAsia" w:ascii="宋体" w:hAnsi="宋体" w:cs="Arial"/>
          <w:color w:val="auto"/>
          <w:kern w:val="0"/>
          <w:highlight w:val="none"/>
        </w:rPr>
        <w:t>，并加盖单位电子公章；</w:t>
      </w:r>
    </w:p>
    <w:p w14:paraId="67A63160">
      <w:pPr>
        <w:numPr>
          <w:ilvl w:val="0"/>
          <w:numId w:val="12"/>
        </w:num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在建工程应附中标通知书（如有）、合同协议书有关页面复印件</w:t>
      </w:r>
      <w:r>
        <w:rPr>
          <w:rFonts w:hint="eastAsia" w:ascii="宋体" w:hAnsi="宋体" w:cs="Arial"/>
          <w:color w:val="auto"/>
          <w:kern w:val="0"/>
          <w:highlight w:val="none"/>
        </w:rPr>
        <w:t>，并加盖单位电子公章。</w:t>
      </w:r>
    </w:p>
    <w:p w14:paraId="7F03287D">
      <w:pPr>
        <w:pStyle w:val="2"/>
        <w:rPr>
          <w:color w:val="auto"/>
          <w:highlight w:val="none"/>
        </w:rPr>
      </w:pPr>
    </w:p>
    <w:p w14:paraId="13685751">
      <w:pPr>
        <w:pStyle w:val="42"/>
        <w:ind w:firstLine="482"/>
        <w:rPr>
          <w:color w:val="auto"/>
          <w:highlight w:val="none"/>
        </w:rPr>
      </w:pPr>
    </w:p>
    <w:p w14:paraId="5CF3E130">
      <w:pPr>
        <w:pStyle w:val="42"/>
        <w:ind w:firstLine="482"/>
        <w:rPr>
          <w:color w:val="auto"/>
          <w:highlight w:val="none"/>
        </w:rPr>
      </w:pPr>
    </w:p>
    <w:p w14:paraId="50D169F6">
      <w:pPr>
        <w:pStyle w:val="42"/>
        <w:ind w:firstLine="482"/>
        <w:rPr>
          <w:color w:val="auto"/>
          <w:highlight w:val="none"/>
        </w:rPr>
      </w:pPr>
    </w:p>
    <w:p w14:paraId="7F2083C5">
      <w:pPr>
        <w:spacing w:line="400" w:lineRule="exact"/>
        <w:jc w:val="left"/>
        <w:rPr>
          <w:rFonts w:hint="eastAsia" w:asciiTheme="minorEastAsia" w:hAnsiTheme="minorEastAsia" w:eastAsiaTheme="minorEastAsia" w:cstheme="minorEastAsia"/>
          <w:b/>
          <w:bCs/>
          <w:color w:val="auto"/>
          <w:kern w:val="0"/>
          <w:sz w:val="30"/>
          <w:szCs w:val="30"/>
          <w:highlight w:val="none"/>
        </w:rPr>
      </w:pPr>
    </w:p>
    <w:p w14:paraId="746604ED">
      <w:pPr>
        <w:rPr>
          <w:rFonts w:hint="eastAsia" w:asciiTheme="minorEastAsia" w:hAnsiTheme="minorEastAsia" w:eastAsiaTheme="minorEastAsia" w:cstheme="minorEastAsia"/>
          <w:b/>
          <w:bCs/>
          <w:color w:val="auto"/>
          <w:kern w:val="0"/>
          <w:sz w:val="30"/>
          <w:szCs w:val="30"/>
          <w:highlight w:val="none"/>
        </w:rPr>
      </w:pPr>
      <w:r>
        <w:rPr>
          <w:rFonts w:hint="eastAsia" w:asciiTheme="minorEastAsia" w:hAnsiTheme="minorEastAsia" w:eastAsiaTheme="minorEastAsia" w:cstheme="minorEastAsia"/>
          <w:b/>
          <w:bCs/>
          <w:color w:val="auto"/>
          <w:kern w:val="0"/>
          <w:sz w:val="30"/>
          <w:szCs w:val="30"/>
          <w:highlight w:val="none"/>
        </w:rPr>
        <w:br w:type="page"/>
      </w:r>
    </w:p>
    <w:p w14:paraId="22896846">
      <w:pPr>
        <w:spacing w:line="400" w:lineRule="exact"/>
        <w:jc w:val="left"/>
        <w:rPr>
          <w:rFonts w:hint="eastAsia" w:asciiTheme="minorEastAsia" w:hAnsiTheme="minorEastAsia" w:eastAsiaTheme="minorEastAsia" w:cstheme="minorEastAsia"/>
          <w:b/>
          <w:bCs/>
          <w:color w:val="auto"/>
          <w:kern w:val="0"/>
          <w:sz w:val="30"/>
          <w:szCs w:val="30"/>
          <w:highlight w:val="none"/>
        </w:rPr>
      </w:pPr>
      <w:r>
        <w:rPr>
          <w:rFonts w:hint="eastAsia" w:asciiTheme="minorEastAsia" w:hAnsiTheme="minorEastAsia" w:eastAsiaTheme="minorEastAsia" w:cstheme="minorEastAsia"/>
          <w:b/>
          <w:bCs/>
          <w:color w:val="auto"/>
          <w:kern w:val="0"/>
          <w:sz w:val="30"/>
          <w:szCs w:val="30"/>
          <w:highlight w:val="none"/>
        </w:rPr>
        <w:t>3、项目技术负责人简历表</w:t>
      </w:r>
    </w:p>
    <w:p w14:paraId="372BD4A1">
      <w:pPr>
        <w:pStyle w:val="168"/>
        <w:rPr>
          <w:rFonts w:hint="eastAsia" w:asciiTheme="minorEastAsia" w:hAnsiTheme="minorEastAsia" w:eastAsiaTheme="minorEastAsia" w:cstheme="minorEastAsia"/>
          <w:color w:val="auto"/>
          <w:highlight w:val="none"/>
          <w:u w:val="single"/>
        </w:rPr>
      </w:pPr>
    </w:p>
    <w:p w14:paraId="6AAB619C">
      <w:pPr>
        <w:pStyle w:val="168"/>
        <w:rPr>
          <w:rFonts w:hint="eastAsia" w:asciiTheme="minorEastAsia" w:hAnsiTheme="minorEastAsia" w:eastAsiaTheme="minorEastAsia" w:cstheme="minorEastAsia"/>
          <w:color w:val="auto"/>
          <w:highlight w:val="none"/>
          <w:u w:val="single"/>
        </w:rPr>
      </w:pPr>
    </w:p>
    <w:p w14:paraId="2C1940F1">
      <w:pPr>
        <w:pStyle w:val="168"/>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u w:val="single"/>
        </w:rPr>
        <w:t xml:space="preserve">            （工程项目名称）        </w:t>
      </w:r>
      <w:r>
        <w:rPr>
          <w:rFonts w:hint="eastAsia" w:asciiTheme="minorEastAsia" w:hAnsiTheme="minorEastAsia" w:eastAsiaTheme="minorEastAsia" w:cstheme="minorEastAsia"/>
          <w:color w:val="auto"/>
          <w:highlight w:val="none"/>
        </w:rPr>
        <w:t xml:space="preserve"> 工程</w:t>
      </w:r>
    </w:p>
    <w:p w14:paraId="2B324569">
      <w:pPr>
        <w:pStyle w:val="168"/>
        <w:rPr>
          <w:rFonts w:hint="eastAsia" w:asciiTheme="minorEastAsia" w:hAnsiTheme="minorEastAsia" w:eastAsiaTheme="minorEastAsia" w:cstheme="minorEastAsia"/>
          <w:color w:val="auto"/>
          <w:highlight w:val="none"/>
        </w:rPr>
      </w:pPr>
    </w:p>
    <w:tbl>
      <w:tblPr>
        <w:tblStyle w:val="44"/>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1C353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vAlign w:val="center"/>
          </w:tcPr>
          <w:p w14:paraId="1525CB28">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姓名</w:t>
            </w:r>
          </w:p>
        </w:tc>
        <w:tc>
          <w:tcPr>
            <w:tcW w:w="2340" w:type="dxa"/>
            <w:gridSpan w:val="3"/>
            <w:vAlign w:val="center"/>
          </w:tcPr>
          <w:p w14:paraId="0C0450B3">
            <w:pPr>
              <w:jc w:val="center"/>
              <w:rPr>
                <w:rFonts w:hint="eastAsia" w:asciiTheme="minorEastAsia" w:hAnsiTheme="minorEastAsia" w:eastAsiaTheme="minorEastAsia" w:cstheme="minorEastAsia"/>
                <w:color w:val="auto"/>
                <w:highlight w:val="none"/>
              </w:rPr>
            </w:pPr>
          </w:p>
        </w:tc>
        <w:tc>
          <w:tcPr>
            <w:tcW w:w="1893" w:type="dxa"/>
            <w:gridSpan w:val="2"/>
            <w:vAlign w:val="center"/>
          </w:tcPr>
          <w:p w14:paraId="6E8132FD">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性别</w:t>
            </w:r>
          </w:p>
        </w:tc>
        <w:tc>
          <w:tcPr>
            <w:tcW w:w="1585" w:type="dxa"/>
            <w:gridSpan w:val="2"/>
            <w:vAlign w:val="center"/>
          </w:tcPr>
          <w:p w14:paraId="5051D9F8">
            <w:pPr>
              <w:jc w:val="center"/>
              <w:rPr>
                <w:rFonts w:hint="eastAsia" w:asciiTheme="minorEastAsia" w:hAnsiTheme="minorEastAsia" w:eastAsiaTheme="minorEastAsia" w:cstheme="minorEastAsia"/>
                <w:color w:val="auto"/>
                <w:highlight w:val="none"/>
              </w:rPr>
            </w:pPr>
          </w:p>
        </w:tc>
        <w:tc>
          <w:tcPr>
            <w:tcW w:w="1108" w:type="dxa"/>
            <w:gridSpan w:val="2"/>
            <w:vAlign w:val="center"/>
          </w:tcPr>
          <w:p w14:paraId="0F1D82AA">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年龄</w:t>
            </w:r>
          </w:p>
        </w:tc>
        <w:tc>
          <w:tcPr>
            <w:tcW w:w="1276" w:type="dxa"/>
            <w:vAlign w:val="center"/>
          </w:tcPr>
          <w:p w14:paraId="558A578A">
            <w:pPr>
              <w:jc w:val="center"/>
              <w:rPr>
                <w:rFonts w:hint="eastAsia" w:asciiTheme="minorEastAsia" w:hAnsiTheme="minorEastAsia" w:eastAsiaTheme="minorEastAsia" w:cstheme="minorEastAsia"/>
                <w:color w:val="auto"/>
                <w:highlight w:val="none"/>
              </w:rPr>
            </w:pPr>
          </w:p>
        </w:tc>
      </w:tr>
      <w:tr w14:paraId="6AC79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vAlign w:val="center"/>
          </w:tcPr>
          <w:p w14:paraId="58CC783B">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职务</w:t>
            </w:r>
          </w:p>
        </w:tc>
        <w:tc>
          <w:tcPr>
            <w:tcW w:w="2340" w:type="dxa"/>
            <w:gridSpan w:val="3"/>
            <w:vAlign w:val="center"/>
          </w:tcPr>
          <w:p w14:paraId="0F36DB06">
            <w:pPr>
              <w:jc w:val="center"/>
              <w:rPr>
                <w:rFonts w:hint="eastAsia" w:asciiTheme="minorEastAsia" w:hAnsiTheme="minorEastAsia" w:eastAsiaTheme="minorEastAsia" w:cstheme="minorEastAsia"/>
                <w:color w:val="auto"/>
                <w:highlight w:val="none"/>
              </w:rPr>
            </w:pPr>
          </w:p>
        </w:tc>
        <w:tc>
          <w:tcPr>
            <w:tcW w:w="1893" w:type="dxa"/>
            <w:gridSpan w:val="2"/>
            <w:vAlign w:val="center"/>
          </w:tcPr>
          <w:p w14:paraId="134EE174">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职称</w:t>
            </w:r>
          </w:p>
        </w:tc>
        <w:tc>
          <w:tcPr>
            <w:tcW w:w="1585" w:type="dxa"/>
            <w:gridSpan w:val="2"/>
            <w:vAlign w:val="center"/>
          </w:tcPr>
          <w:p w14:paraId="7A0B7621">
            <w:pPr>
              <w:jc w:val="center"/>
              <w:rPr>
                <w:rFonts w:hint="eastAsia" w:asciiTheme="minorEastAsia" w:hAnsiTheme="minorEastAsia" w:eastAsiaTheme="minorEastAsia" w:cstheme="minorEastAsia"/>
                <w:color w:val="auto"/>
                <w:highlight w:val="none"/>
              </w:rPr>
            </w:pPr>
          </w:p>
        </w:tc>
        <w:tc>
          <w:tcPr>
            <w:tcW w:w="1108" w:type="dxa"/>
            <w:gridSpan w:val="2"/>
            <w:vAlign w:val="center"/>
          </w:tcPr>
          <w:p w14:paraId="6A829DE0">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学历</w:t>
            </w:r>
          </w:p>
        </w:tc>
        <w:tc>
          <w:tcPr>
            <w:tcW w:w="1276" w:type="dxa"/>
            <w:vAlign w:val="center"/>
          </w:tcPr>
          <w:p w14:paraId="01CA06B0">
            <w:pPr>
              <w:jc w:val="center"/>
              <w:rPr>
                <w:rFonts w:hint="eastAsia" w:asciiTheme="minorEastAsia" w:hAnsiTheme="minorEastAsia" w:eastAsiaTheme="minorEastAsia" w:cstheme="minorEastAsia"/>
                <w:color w:val="auto"/>
                <w:highlight w:val="none"/>
              </w:rPr>
            </w:pPr>
          </w:p>
        </w:tc>
      </w:tr>
      <w:tr w14:paraId="718DB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vAlign w:val="center"/>
          </w:tcPr>
          <w:p w14:paraId="3CD747C4">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参加工作时间</w:t>
            </w:r>
          </w:p>
        </w:tc>
        <w:tc>
          <w:tcPr>
            <w:tcW w:w="1893" w:type="dxa"/>
            <w:gridSpan w:val="2"/>
            <w:vAlign w:val="center"/>
          </w:tcPr>
          <w:p w14:paraId="6C7537DD">
            <w:pPr>
              <w:jc w:val="center"/>
              <w:rPr>
                <w:rFonts w:hint="eastAsia" w:asciiTheme="minorEastAsia" w:hAnsiTheme="minorEastAsia" w:eastAsiaTheme="minorEastAsia" w:cstheme="minorEastAsia"/>
                <w:color w:val="auto"/>
                <w:highlight w:val="none"/>
              </w:rPr>
            </w:pPr>
          </w:p>
        </w:tc>
        <w:tc>
          <w:tcPr>
            <w:tcW w:w="2693" w:type="dxa"/>
            <w:gridSpan w:val="4"/>
            <w:vAlign w:val="center"/>
          </w:tcPr>
          <w:p w14:paraId="6BDE6DD5">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担任技术负责人年限</w:t>
            </w:r>
          </w:p>
        </w:tc>
        <w:tc>
          <w:tcPr>
            <w:tcW w:w="1276" w:type="dxa"/>
            <w:vAlign w:val="center"/>
          </w:tcPr>
          <w:p w14:paraId="47CB4C53">
            <w:pPr>
              <w:jc w:val="center"/>
              <w:rPr>
                <w:rFonts w:hint="eastAsia" w:asciiTheme="minorEastAsia" w:hAnsiTheme="minorEastAsia" w:eastAsiaTheme="minorEastAsia" w:cstheme="minorEastAsia"/>
                <w:color w:val="auto"/>
                <w:highlight w:val="none"/>
              </w:rPr>
            </w:pPr>
          </w:p>
        </w:tc>
      </w:tr>
      <w:tr w14:paraId="413CA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vAlign w:val="center"/>
          </w:tcPr>
          <w:p w14:paraId="066AB390">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在建和已完工程项目情况</w:t>
            </w:r>
          </w:p>
        </w:tc>
      </w:tr>
      <w:tr w14:paraId="7A924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vAlign w:val="center"/>
          </w:tcPr>
          <w:p w14:paraId="008FA5F5">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建设单位</w:t>
            </w:r>
          </w:p>
        </w:tc>
        <w:tc>
          <w:tcPr>
            <w:tcW w:w="1548" w:type="dxa"/>
            <w:vAlign w:val="center"/>
          </w:tcPr>
          <w:p w14:paraId="2E6129F0">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项目名称</w:t>
            </w:r>
          </w:p>
        </w:tc>
        <w:tc>
          <w:tcPr>
            <w:tcW w:w="1547" w:type="dxa"/>
            <w:gridSpan w:val="2"/>
            <w:vAlign w:val="center"/>
          </w:tcPr>
          <w:p w14:paraId="247E32DA">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建设规模</w:t>
            </w:r>
          </w:p>
        </w:tc>
        <w:tc>
          <w:tcPr>
            <w:tcW w:w="1548" w:type="dxa"/>
            <w:gridSpan w:val="2"/>
            <w:vAlign w:val="center"/>
          </w:tcPr>
          <w:p w14:paraId="6583826E">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开、竣工日期</w:t>
            </w:r>
          </w:p>
        </w:tc>
        <w:tc>
          <w:tcPr>
            <w:tcW w:w="1547" w:type="dxa"/>
            <w:gridSpan w:val="2"/>
            <w:vAlign w:val="center"/>
          </w:tcPr>
          <w:p w14:paraId="47722A45">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在建或已完</w:t>
            </w:r>
          </w:p>
        </w:tc>
        <w:tc>
          <w:tcPr>
            <w:tcW w:w="1548" w:type="dxa"/>
            <w:gridSpan w:val="2"/>
            <w:vAlign w:val="center"/>
          </w:tcPr>
          <w:p w14:paraId="77D26887">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工程质量</w:t>
            </w:r>
          </w:p>
        </w:tc>
      </w:tr>
      <w:tr w14:paraId="0AC3F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7A3079FC">
            <w:pPr>
              <w:jc w:val="center"/>
              <w:rPr>
                <w:rFonts w:hint="eastAsia" w:asciiTheme="minorEastAsia" w:hAnsiTheme="minorEastAsia" w:eastAsiaTheme="minorEastAsia" w:cstheme="minorEastAsia"/>
                <w:color w:val="auto"/>
                <w:highlight w:val="none"/>
              </w:rPr>
            </w:pPr>
          </w:p>
        </w:tc>
        <w:tc>
          <w:tcPr>
            <w:tcW w:w="1548" w:type="dxa"/>
            <w:vAlign w:val="center"/>
          </w:tcPr>
          <w:p w14:paraId="7C470401">
            <w:pPr>
              <w:jc w:val="center"/>
              <w:rPr>
                <w:rFonts w:hint="eastAsia" w:asciiTheme="minorEastAsia" w:hAnsiTheme="minorEastAsia" w:eastAsiaTheme="minorEastAsia" w:cstheme="minorEastAsia"/>
                <w:color w:val="auto"/>
                <w:highlight w:val="none"/>
              </w:rPr>
            </w:pPr>
          </w:p>
        </w:tc>
        <w:tc>
          <w:tcPr>
            <w:tcW w:w="1547" w:type="dxa"/>
            <w:gridSpan w:val="2"/>
            <w:vAlign w:val="center"/>
          </w:tcPr>
          <w:p w14:paraId="40881140">
            <w:pPr>
              <w:jc w:val="center"/>
              <w:rPr>
                <w:rFonts w:hint="eastAsia" w:asciiTheme="minorEastAsia" w:hAnsiTheme="minorEastAsia" w:eastAsiaTheme="minorEastAsia" w:cstheme="minorEastAsia"/>
                <w:color w:val="auto"/>
                <w:highlight w:val="none"/>
              </w:rPr>
            </w:pPr>
          </w:p>
        </w:tc>
        <w:tc>
          <w:tcPr>
            <w:tcW w:w="1548" w:type="dxa"/>
            <w:gridSpan w:val="2"/>
            <w:vAlign w:val="center"/>
          </w:tcPr>
          <w:p w14:paraId="7356CAFE">
            <w:pPr>
              <w:jc w:val="center"/>
              <w:rPr>
                <w:rFonts w:hint="eastAsia" w:asciiTheme="minorEastAsia" w:hAnsiTheme="minorEastAsia" w:eastAsiaTheme="minorEastAsia" w:cstheme="minorEastAsia"/>
                <w:color w:val="auto"/>
                <w:highlight w:val="none"/>
              </w:rPr>
            </w:pPr>
          </w:p>
        </w:tc>
        <w:tc>
          <w:tcPr>
            <w:tcW w:w="1547" w:type="dxa"/>
            <w:gridSpan w:val="2"/>
            <w:vAlign w:val="center"/>
          </w:tcPr>
          <w:p w14:paraId="41CE8B43">
            <w:pPr>
              <w:jc w:val="center"/>
              <w:rPr>
                <w:rFonts w:hint="eastAsia" w:asciiTheme="minorEastAsia" w:hAnsiTheme="minorEastAsia" w:eastAsiaTheme="minorEastAsia" w:cstheme="minorEastAsia"/>
                <w:color w:val="auto"/>
                <w:highlight w:val="none"/>
              </w:rPr>
            </w:pPr>
          </w:p>
        </w:tc>
        <w:tc>
          <w:tcPr>
            <w:tcW w:w="1548" w:type="dxa"/>
            <w:gridSpan w:val="2"/>
            <w:vAlign w:val="center"/>
          </w:tcPr>
          <w:p w14:paraId="5422C1FC">
            <w:pPr>
              <w:jc w:val="center"/>
              <w:rPr>
                <w:rFonts w:hint="eastAsia" w:asciiTheme="minorEastAsia" w:hAnsiTheme="minorEastAsia" w:eastAsiaTheme="minorEastAsia" w:cstheme="minorEastAsia"/>
                <w:color w:val="auto"/>
                <w:highlight w:val="none"/>
              </w:rPr>
            </w:pPr>
          </w:p>
        </w:tc>
      </w:tr>
      <w:tr w14:paraId="59405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25367A00">
            <w:pPr>
              <w:jc w:val="center"/>
              <w:rPr>
                <w:rFonts w:hint="eastAsia" w:asciiTheme="minorEastAsia" w:hAnsiTheme="minorEastAsia" w:eastAsiaTheme="minorEastAsia" w:cstheme="minorEastAsia"/>
                <w:color w:val="auto"/>
                <w:highlight w:val="none"/>
              </w:rPr>
            </w:pPr>
          </w:p>
        </w:tc>
        <w:tc>
          <w:tcPr>
            <w:tcW w:w="1548" w:type="dxa"/>
            <w:vAlign w:val="center"/>
          </w:tcPr>
          <w:p w14:paraId="457BC13E">
            <w:pPr>
              <w:jc w:val="center"/>
              <w:rPr>
                <w:rFonts w:hint="eastAsia" w:asciiTheme="minorEastAsia" w:hAnsiTheme="minorEastAsia" w:eastAsiaTheme="minorEastAsia" w:cstheme="minorEastAsia"/>
                <w:color w:val="auto"/>
                <w:highlight w:val="none"/>
              </w:rPr>
            </w:pPr>
          </w:p>
        </w:tc>
        <w:tc>
          <w:tcPr>
            <w:tcW w:w="1547" w:type="dxa"/>
            <w:gridSpan w:val="2"/>
            <w:vAlign w:val="center"/>
          </w:tcPr>
          <w:p w14:paraId="62097084">
            <w:pPr>
              <w:jc w:val="center"/>
              <w:rPr>
                <w:rFonts w:hint="eastAsia" w:asciiTheme="minorEastAsia" w:hAnsiTheme="minorEastAsia" w:eastAsiaTheme="minorEastAsia" w:cstheme="minorEastAsia"/>
                <w:color w:val="auto"/>
                <w:highlight w:val="none"/>
              </w:rPr>
            </w:pPr>
          </w:p>
        </w:tc>
        <w:tc>
          <w:tcPr>
            <w:tcW w:w="1548" w:type="dxa"/>
            <w:gridSpan w:val="2"/>
            <w:vAlign w:val="center"/>
          </w:tcPr>
          <w:p w14:paraId="3AA51693">
            <w:pPr>
              <w:jc w:val="center"/>
              <w:rPr>
                <w:rFonts w:hint="eastAsia" w:asciiTheme="minorEastAsia" w:hAnsiTheme="minorEastAsia" w:eastAsiaTheme="minorEastAsia" w:cstheme="minorEastAsia"/>
                <w:color w:val="auto"/>
                <w:highlight w:val="none"/>
              </w:rPr>
            </w:pPr>
          </w:p>
        </w:tc>
        <w:tc>
          <w:tcPr>
            <w:tcW w:w="1547" w:type="dxa"/>
            <w:gridSpan w:val="2"/>
            <w:vAlign w:val="center"/>
          </w:tcPr>
          <w:p w14:paraId="54345325">
            <w:pPr>
              <w:jc w:val="center"/>
              <w:rPr>
                <w:rFonts w:hint="eastAsia" w:asciiTheme="minorEastAsia" w:hAnsiTheme="minorEastAsia" w:eastAsiaTheme="minorEastAsia" w:cstheme="minorEastAsia"/>
                <w:color w:val="auto"/>
                <w:highlight w:val="none"/>
              </w:rPr>
            </w:pPr>
          </w:p>
        </w:tc>
        <w:tc>
          <w:tcPr>
            <w:tcW w:w="1548" w:type="dxa"/>
            <w:gridSpan w:val="2"/>
            <w:vAlign w:val="center"/>
          </w:tcPr>
          <w:p w14:paraId="1273D6F4">
            <w:pPr>
              <w:jc w:val="center"/>
              <w:rPr>
                <w:rFonts w:hint="eastAsia" w:asciiTheme="minorEastAsia" w:hAnsiTheme="minorEastAsia" w:eastAsiaTheme="minorEastAsia" w:cstheme="minorEastAsia"/>
                <w:color w:val="auto"/>
                <w:highlight w:val="none"/>
              </w:rPr>
            </w:pPr>
          </w:p>
        </w:tc>
      </w:tr>
      <w:tr w14:paraId="55186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513A0EFA">
            <w:pPr>
              <w:jc w:val="center"/>
              <w:rPr>
                <w:rFonts w:hint="eastAsia" w:asciiTheme="minorEastAsia" w:hAnsiTheme="minorEastAsia" w:eastAsiaTheme="minorEastAsia" w:cstheme="minorEastAsia"/>
                <w:color w:val="auto"/>
                <w:highlight w:val="none"/>
              </w:rPr>
            </w:pPr>
          </w:p>
        </w:tc>
        <w:tc>
          <w:tcPr>
            <w:tcW w:w="1548" w:type="dxa"/>
            <w:vAlign w:val="center"/>
          </w:tcPr>
          <w:p w14:paraId="7AD5112F">
            <w:pPr>
              <w:jc w:val="center"/>
              <w:rPr>
                <w:rFonts w:hint="eastAsia" w:asciiTheme="minorEastAsia" w:hAnsiTheme="minorEastAsia" w:eastAsiaTheme="minorEastAsia" w:cstheme="minorEastAsia"/>
                <w:color w:val="auto"/>
                <w:highlight w:val="none"/>
              </w:rPr>
            </w:pPr>
          </w:p>
        </w:tc>
        <w:tc>
          <w:tcPr>
            <w:tcW w:w="1547" w:type="dxa"/>
            <w:gridSpan w:val="2"/>
            <w:vAlign w:val="center"/>
          </w:tcPr>
          <w:p w14:paraId="6AD0548A">
            <w:pPr>
              <w:jc w:val="center"/>
              <w:rPr>
                <w:rFonts w:hint="eastAsia" w:asciiTheme="minorEastAsia" w:hAnsiTheme="minorEastAsia" w:eastAsiaTheme="minorEastAsia" w:cstheme="minorEastAsia"/>
                <w:color w:val="auto"/>
                <w:highlight w:val="none"/>
              </w:rPr>
            </w:pPr>
          </w:p>
        </w:tc>
        <w:tc>
          <w:tcPr>
            <w:tcW w:w="1548" w:type="dxa"/>
            <w:gridSpan w:val="2"/>
            <w:vAlign w:val="center"/>
          </w:tcPr>
          <w:p w14:paraId="7C54E7BE">
            <w:pPr>
              <w:jc w:val="center"/>
              <w:rPr>
                <w:rFonts w:hint="eastAsia" w:asciiTheme="minorEastAsia" w:hAnsiTheme="minorEastAsia" w:eastAsiaTheme="minorEastAsia" w:cstheme="minorEastAsia"/>
                <w:color w:val="auto"/>
                <w:highlight w:val="none"/>
              </w:rPr>
            </w:pPr>
          </w:p>
        </w:tc>
        <w:tc>
          <w:tcPr>
            <w:tcW w:w="1547" w:type="dxa"/>
            <w:gridSpan w:val="2"/>
            <w:vAlign w:val="center"/>
          </w:tcPr>
          <w:p w14:paraId="76106585">
            <w:pPr>
              <w:jc w:val="center"/>
              <w:rPr>
                <w:rFonts w:hint="eastAsia" w:asciiTheme="minorEastAsia" w:hAnsiTheme="minorEastAsia" w:eastAsiaTheme="minorEastAsia" w:cstheme="minorEastAsia"/>
                <w:color w:val="auto"/>
                <w:highlight w:val="none"/>
              </w:rPr>
            </w:pPr>
          </w:p>
        </w:tc>
        <w:tc>
          <w:tcPr>
            <w:tcW w:w="1548" w:type="dxa"/>
            <w:gridSpan w:val="2"/>
            <w:vAlign w:val="center"/>
          </w:tcPr>
          <w:p w14:paraId="7730554C">
            <w:pPr>
              <w:jc w:val="center"/>
              <w:rPr>
                <w:rFonts w:hint="eastAsia" w:asciiTheme="minorEastAsia" w:hAnsiTheme="minorEastAsia" w:eastAsiaTheme="minorEastAsia" w:cstheme="minorEastAsia"/>
                <w:color w:val="auto"/>
                <w:highlight w:val="none"/>
              </w:rPr>
            </w:pPr>
          </w:p>
        </w:tc>
      </w:tr>
      <w:tr w14:paraId="13836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47" w:type="dxa"/>
            <w:gridSpan w:val="2"/>
            <w:vAlign w:val="center"/>
          </w:tcPr>
          <w:p w14:paraId="158C0922">
            <w:pPr>
              <w:jc w:val="center"/>
              <w:rPr>
                <w:rFonts w:hint="eastAsia" w:asciiTheme="minorEastAsia" w:hAnsiTheme="minorEastAsia" w:eastAsiaTheme="minorEastAsia" w:cstheme="minorEastAsia"/>
                <w:color w:val="auto"/>
                <w:highlight w:val="none"/>
              </w:rPr>
            </w:pPr>
          </w:p>
        </w:tc>
        <w:tc>
          <w:tcPr>
            <w:tcW w:w="1548" w:type="dxa"/>
            <w:vAlign w:val="center"/>
          </w:tcPr>
          <w:p w14:paraId="161E37C3">
            <w:pPr>
              <w:jc w:val="center"/>
              <w:rPr>
                <w:rFonts w:hint="eastAsia" w:asciiTheme="minorEastAsia" w:hAnsiTheme="minorEastAsia" w:eastAsiaTheme="minorEastAsia" w:cstheme="minorEastAsia"/>
                <w:color w:val="auto"/>
                <w:highlight w:val="none"/>
              </w:rPr>
            </w:pPr>
          </w:p>
        </w:tc>
        <w:tc>
          <w:tcPr>
            <w:tcW w:w="1547" w:type="dxa"/>
            <w:gridSpan w:val="2"/>
            <w:vAlign w:val="center"/>
          </w:tcPr>
          <w:p w14:paraId="1172B341">
            <w:pPr>
              <w:jc w:val="center"/>
              <w:rPr>
                <w:rFonts w:hint="eastAsia" w:asciiTheme="minorEastAsia" w:hAnsiTheme="minorEastAsia" w:eastAsiaTheme="minorEastAsia" w:cstheme="minorEastAsia"/>
                <w:color w:val="auto"/>
                <w:highlight w:val="none"/>
              </w:rPr>
            </w:pPr>
          </w:p>
        </w:tc>
        <w:tc>
          <w:tcPr>
            <w:tcW w:w="1548" w:type="dxa"/>
            <w:gridSpan w:val="2"/>
            <w:vAlign w:val="center"/>
          </w:tcPr>
          <w:p w14:paraId="15E10B50">
            <w:pPr>
              <w:jc w:val="center"/>
              <w:rPr>
                <w:rFonts w:hint="eastAsia" w:asciiTheme="minorEastAsia" w:hAnsiTheme="minorEastAsia" w:eastAsiaTheme="minorEastAsia" w:cstheme="minorEastAsia"/>
                <w:color w:val="auto"/>
                <w:highlight w:val="none"/>
              </w:rPr>
            </w:pPr>
          </w:p>
        </w:tc>
        <w:tc>
          <w:tcPr>
            <w:tcW w:w="1547" w:type="dxa"/>
            <w:gridSpan w:val="2"/>
            <w:vAlign w:val="center"/>
          </w:tcPr>
          <w:p w14:paraId="31EB41AF">
            <w:pPr>
              <w:jc w:val="center"/>
              <w:rPr>
                <w:rFonts w:hint="eastAsia" w:asciiTheme="minorEastAsia" w:hAnsiTheme="minorEastAsia" w:eastAsiaTheme="minorEastAsia" w:cstheme="minorEastAsia"/>
                <w:color w:val="auto"/>
                <w:highlight w:val="none"/>
              </w:rPr>
            </w:pPr>
          </w:p>
        </w:tc>
        <w:tc>
          <w:tcPr>
            <w:tcW w:w="1548" w:type="dxa"/>
            <w:gridSpan w:val="2"/>
            <w:vAlign w:val="center"/>
          </w:tcPr>
          <w:p w14:paraId="7DF85849">
            <w:pPr>
              <w:jc w:val="center"/>
              <w:rPr>
                <w:rFonts w:hint="eastAsia" w:asciiTheme="minorEastAsia" w:hAnsiTheme="minorEastAsia" w:eastAsiaTheme="minorEastAsia" w:cstheme="minorEastAsia"/>
                <w:color w:val="auto"/>
                <w:highlight w:val="none"/>
              </w:rPr>
            </w:pPr>
          </w:p>
        </w:tc>
      </w:tr>
    </w:tbl>
    <w:p w14:paraId="17D41D8D">
      <w:pPr>
        <w:spacing w:line="360" w:lineRule="auto"/>
        <w:rPr>
          <w:rFonts w:hint="eastAsia" w:asciiTheme="minorEastAsia" w:hAnsiTheme="minorEastAsia" w:eastAsiaTheme="minorEastAsia" w:cstheme="minorEastAsia"/>
          <w:color w:val="auto"/>
          <w:highlight w:val="none"/>
        </w:rPr>
      </w:pPr>
    </w:p>
    <w:p w14:paraId="1AE7786F">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附：</w:t>
      </w:r>
    </w:p>
    <w:p w14:paraId="41DD8DF8">
      <w:pPr>
        <w:numPr>
          <w:ilvl w:val="0"/>
          <w:numId w:val="13"/>
        </w:num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资格证件复印件；</w:t>
      </w:r>
    </w:p>
    <w:p w14:paraId="3F62FCF9">
      <w:pPr>
        <w:numPr>
          <w:ilvl w:val="0"/>
          <w:numId w:val="13"/>
        </w:num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已完成的工程应附中标通知书（如有）、合同协议书有关页面、工程竣工验收证明材料复印件</w:t>
      </w:r>
      <w:r>
        <w:rPr>
          <w:rFonts w:hint="eastAsia" w:ascii="宋体" w:hAnsi="宋体" w:cs="Arial"/>
          <w:color w:val="auto"/>
          <w:kern w:val="0"/>
          <w:highlight w:val="none"/>
        </w:rPr>
        <w:t>，并加盖单位电子公章；</w:t>
      </w:r>
    </w:p>
    <w:p w14:paraId="4F5D767B">
      <w:pPr>
        <w:numPr>
          <w:ilvl w:val="0"/>
          <w:numId w:val="13"/>
        </w:num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在建工程应附中标通知书（如有）、合同协议书有关页面复印件</w:t>
      </w:r>
      <w:r>
        <w:rPr>
          <w:rFonts w:hint="eastAsia" w:ascii="宋体" w:hAnsi="宋体" w:cs="Arial"/>
          <w:color w:val="auto"/>
          <w:kern w:val="0"/>
          <w:highlight w:val="none"/>
        </w:rPr>
        <w:t>，并加盖单位电子公章。</w:t>
      </w:r>
    </w:p>
    <w:p w14:paraId="69C423CB">
      <w:pPr>
        <w:spacing w:line="360" w:lineRule="auto"/>
        <w:ind w:firstLine="420" w:firstLineChars="200"/>
        <w:rPr>
          <w:rFonts w:hint="eastAsia" w:asciiTheme="minorEastAsia" w:hAnsiTheme="minorEastAsia" w:eastAsiaTheme="minorEastAsia" w:cstheme="minorEastAsia"/>
          <w:color w:val="auto"/>
          <w:highlight w:val="none"/>
        </w:rPr>
      </w:pPr>
    </w:p>
    <w:p w14:paraId="512102C6">
      <w:pPr>
        <w:jc w:val="center"/>
        <w:rPr>
          <w:rFonts w:hint="eastAsia" w:asciiTheme="minorEastAsia" w:hAnsiTheme="minorEastAsia" w:eastAsiaTheme="minorEastAsia" w:cstheme="minorEastAsia"/>
          <w:color w:val="auto"/>
          <w:sz w:val="32"/>
          <w:szCs w:val="32"/>
          <w:highlight w:val="none"/>
        </w:rPr>
      </w:pPr>
    </w:p>
    <w:p w14:paraId="3395EFA3">
      <w:pPr>
        <w:rPr>
          <w:rFonts w:hint="eastAsia" w:asciiTheme="minorEastAsia" w:hAnsiTheme="minorEastAsia" w:eastAsiaTheme="minorEastAsia" w:cstheme="minorEastAsia"/>
          <w:color w:val="auto"/>
          <w:highlight w:val="none"/>
        </w:rPr>
      </w:pPr>
    </w:p>
    <w:p w14:paraId="50572702">
      <w:pPr>
        <w:rPr>
          <w:rFonts w:hint="eastAsia" w:asciiTheme="minorEastAsia" w:hAnsiTheme="minorEastAsia" w:eastAsiaTheme="minorEastAsia" w:cstheme="minorEastAsia"/>
          <w:color w:val="auto"/>
          <w:highlight w:val="none"/>
        </w:rPr>
      </w:pPr>
    </w:p>
    <w:p w14:paraId="3A70C411">
      <w:pPr>
        <w:spacing w:line="360" w:lineRule="auto"/>
        <w:rPr>
          <w:rFonts w:hint="eastAsia" w:asciiTheme="minorEastAsia" w:hAnsiTheme="minorEastAsia" w:eastAsiaTheme="minorEastAsia" w:cstheme="minorEastAsia"/>
          <w:color w:val="auto"/>
          <w:highlight w:val="none"/>
        </w:rPr>
      </w:pPr>
    </w:p>
    <w:p w14:paraId="050886D1">
      <w:pPr>
        <w:pStyle w:val="2"/>
        <w:rPr>
          <w:color w:val="auto"/>
          <w:highlight w:val="none"/>
        </w:rPr>
      </w:pPr>
      <w:r>
        <w:rPr>
          <w:rFonts w:hint="eastAsia" w:asciiTheme="minorEastAsia" w:hAnsiTheme="minorEastAsia" w:eastAsiaTheme="minorEastAsia" w:cstheme="minorEastAsia"/>
          <w:color w:val="auto"/>
          <w:szCs w:val="21"/>
          <w:highlight w:val="none"/>
        </w:rPr>
        <w:br w:type="page"/>
      </w:r>
    </w:p>
    <w:p w14:paraId="186ED276">
      <w:pPr>
        <w:spacing w:line="400" w:lineRule="exact"/>
        <w:jc w:val="center"/>
        <w:rPr>
          <w:rFonts w:hint="eastAsia" w:asciiTheme="minorEastAsia" w:hAnsiTheme="minorEastAsia" w:eastAsiaTheme="minorEastAsia" w:cstheme="minorEastAsia"/>
          <w:b/>
          <w:bCs/>
          <w:color w:val="auto"/>
          <w:kern w:val="0"/>
          <w:sz w:val="30"/>
          <w:szCs w:val="30"/>
          <w:highlight w:val="none"/>
        </w:rPr>
      </w:pPr>
      <w:r>
        <w:rPr>
          <w:rFonts w:hint="eastAsia" w:asciiTheme="minorEastAsia" w:hAnsiTheme="minorEastAsia" w:eastAsiaTheme="minorEastAsia" w:cstheme="minorEastAsia"/>
          <w:b/>
          <w:bCs/>
          <w:color w:val="auto"/>
          <w:kern w:val="0"/>
          <w:sz w:val="30"/>
          <w:szCs w:val="30"/>
          <w:highlight w:val="none"/>
        </w:rPr>
        <w:t>八、企业业绩（如有）</w:t>
      </w:r>
    </w:p>
    <w:p w14:paraId="3EE674CB">
      <w:pPr>
        <w:pStyle w:val="174"/>
        <w:rPr>
          <w:rFonts w:ascii="Times New Roman" w:hAnsi="Times New Roman" w:cs="宋体"/>
          <w:b/>
          <w:bCs/>
          <w:color w:val="auto"/>
          <w:sz w:val="24"/>
          <w:szCs w:val="24"/>
          <w:highlight w:val="none"/>
        </w:rPr>
      </w:pPr>
    </w:p>
    <w:p w14:paraId="7A8E5DFE">
      <w:pPr>
        <w:pStyle w:val="174"/>
        <w:jc w:val="center"/>
        <w:rPr>
          <w:rFonts w:ascii="Times New Roman" w:hAnsi="Times New Roman" w:cs="宋体"/>
          <w:b/>
          <w:bCs/>
          <w:color w:val="auto"/>
          <w:sz w:val="24"/>
          <w:szCs w:val="24"/>
          <w:highlight w:val="none"/>
        </w:rPr>
      </w:pPr>
      <w:r>
        <w:rPr>
          <w:rFonts w:hint="eastAsia" w:ascii="Times New Roman" w:hAnsi="Times New Roman" w:cs="宋体"/>
          <w:b/>
          <w:bCs/>
          <w:color w:val="auto"/>
          <w:sz w:val="24"/>
          <w:szCs w:val="24"/>
          <w:highlight w:val="none"/>
        </w:rPr>
        <w:t>企业2022年以来年在建或完成过类似工程业绩一览表</w:t>
      </w:r>
    </w:p>
    <w:tbl>
      <w:tblPr>
        <w:tblStyle w:val="44"/>
        <w:tblW w:w="96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701"/>
        <w:gridCol w:w="1417"/>
        <w:gridCol w:w="851"/>
        <w:gridCol w:w="992"/>
        <w:gridCol w:w="1134"/>
        <w:gridCol w:w="790"/>
        <w:gridCol w:w="957"/>
        <w:gridCol w:w="957"/>
      </w:tblGrid>
      <w:tr w14:paraId="5E4A1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851" w:type="dxa"/>
            <w:vAlign w:val="center"/>
          </w:tcPr>
          <w:p w14:paraId="76BF5350">
            <w:pPr>
              <w:pStyle w:val="174"/>
              <w:jc w:val="center"/>
              <w:rPr>
                <w:rFonts w:ascii="Times New Roman" w:hAnsi="Times New Roman"/>
                <w:color w:val="auto"/>
                <w:szCs w:val="21"/>
                <w:highlight w:val="none"/>
              </w:rPr>
            </w:pPr>
            <w:r>
              <w:rPr>
                <w:rFonts w:hint="eastAsia" w:ascii="Times New Roman" w:hAnsi="Times New Roman" w:cs="宋体"/>
                <w:color w:val="auto"/>
                <w:szCs w:val="21"/>
                <w:highlight w:val="none"/>
              </w:rPr>
              <w:t>序号</w:t>
            </w:r>
          </w:p>
        </w:tc>
        <w:tc>
          <w:tcPr>
            <w:tcW w:w="1701" w:type="dxa"/>
            <w:vAlign w:val="center"/>
          </w:tcPr>
          <w:p w14:paraId="4E612525">
            <w:pPr>
              <w:pStyle w:val="174"/>
              <w:jc w:val="center"/>
              <w:rPr>
                <w:rFonts w:ascii="Times New Roman" w:hAnsi="Times New Roman"/>
                <w:color w:val="auto"/>
                <w:szCs w:val="21"/>
                <w:highlight w:val="none"/>
              </w:rPr>
            </w:pPr>
            <w:r>
              <w:rPr>
                <w:rFonts w:hint="eastAsia" w:ascii="Times New Roman" w:hAnsi="Times New Roman" w:cs="宋体"/>
                <w:color w:val="auto"/>
                <w:szCs w:val="21"/>
                <w:highlight w:val="none"/>
              </w:rPr>
              <w:t>发包人名称</w:t>
            </w:r>
          </w:p>
        </w:tc>
        <w:tc>
          <w:tcPr>
            <w:tcW w:w="1417" w:type="dxa"/>
            <w:vAlign w:val="center"/>
          </w:tcPr>
          <w:p w14:paraId="7AC7B621">
            <w:pPr>
              <w:pStyle w:val="174"/>
              <w:jc w:val="center"/>
              <w:rPr>
                <w:rFonts w:ascii="Times New Roman" w:hAnsi="Times New Roman"/>
                <w:color w:val="auto"/>
                <w:szCs w:val="21"/>
                <w:highlight w:val="none"/>
              </w:rPr>
            </w:pPr>
            <w:r>
              <w:rPr>
                <w:rFonts w:hint="eastAsia" w:ascii="Times New Roman" w:hAnsi="Times New Roman" w:cs="宋体"/>
                <w:color w:val="auto"/>
                <w:szCs w:val="21"/>
                <w:highlight w:val="none"/>
              </w:rPr>
              <w:t>工程名称</w:t>
            </w:r>
          </w:p>
          <w:p w14:paraId="68A35F02">
            <w:pPr>
              <w:pStyle w:val="174"/>
              <w:jc w:val="center"/>
              <w:rPr>
                <w:rFonts w:ascii="Times New Roman" w:hAnsi="Times New Roman"/>
                <w:color w:val="auto"/>
                <w:szCs w:val="21"/>
                <w:highlight w:val="none"/>
              </w:rPr>
            </w:pPr>
            <w:r>
              <w:rPr>
                <w:rFonts w:hint="eastAsia" w:ascii="Times New Roman" w:hAnsi="Times New Roman" w:cs="宋体"/>
                <w:color w:val="auto"/>
                <w:szCs w:val="21"/>
                <w:highlight w:val="none"/>
              </w:rPr>
              <w:t>及建设地点</w:t>
            </w:r>
          </w:p>
        </w:tc>
        <w:tc>
          <w:tcPr>
            <w:tcW w:w="851" w:type="dxa"/>
            <w:vAlign w:val="center"/>
          </w:tcPr>
          <w:p w14:paraId="5FEFFF33">
            <w:pPr>
              <w:pStyle w:val="174"/>
              <w:jc w:val="center"/>
              <w:rPr>
                <w:rFonts w:ascii="Times New Roman" w:hAnsi="Times New Roman"/>
                <w:color w:val="auto"/>
                <w:szCs w:val="21"/>
                <w:highlight w:val="none"/>
              </w:rPr>
            </w:pPr>
            <w:r>
              <w:rPr>
                <w:rFonts w:hint="eastAsia" w:ascii="Times New Roman" w:hAnsi="Times New Roman" w:cs="宋体"/>
                <w:color w:val="auto"/>
                <w:szCs w:val="21"/>
                <w:highlight w:val="none"/>
              </w:rPr>
              <w:t>结构</w:t>
            </w:r>
          </w:p>
          <w:p w14:paraId="5A0AACE8">
            <w:pPr>
              <w:pStyle w:val="174"/>
              <w:jc w:val="center"/>
              <w:rPr>
                <w:rFonts w:ascii="Times New Roman" w:hAnsi="Times New Roman"/>
                <w:color w:val="auto"/>
                <w:szCs w:val="21"/>
                <w:highlight w:val="none"/>
              </w:rPr>
            </w:pPr>
            <w:r>
              <w:rPr>
                <w:rFonts w:hint="eastAsia" w:ascii="Times New Roman" w:hAnsi="Times New Roman" w:cs="宋体"/>
                <w:color w:val="auto"/>
                <w:szCs w:val="21"/>
                <w:highlight w:val="none"/>
              </w:rPr>
              <w:t>类型</w:t>
            </w:r>
          </w:p>
        </w:tc>
        <w:tc>
          <w:tcPr>
            <w:tcW w:w="992" w:type="dxa"/>
            <w:vAlign w:val="center"/>
          </w:tcPr>
          <w:p w14:paraId="7CD16438">
            <w:pPr>
              <w:pStyle w:val="174"/>
              <w:jc w:val="center"/>
              <w:rPr>
                <w:rFonts w:ascii="Times New Roman" w:hAnsi="Times New Roman"/>
                <w:color w:val="auto"/>
                <w:szCs w:val="21"/>
                <w:highlight w:val="none"/>
              </w:rPr>
            </w:pPr>
            <w:r>
              <w:rPr>
                <w:rFonts w:hint="eastAsia" w:ascii="Times New Roman" w:hAnsi="Times New Roman" w:cs="宋体"/>
                <w:color w:val="auto"/>
                <w:szCs w:val="21"/>
                <w:highlight w:val="none"/>
              </w:rPr>
              <w:t>建设</w:t>
            </w:r>
          </w:p>
          <w:p w14:paraId="11A8879D">
            <w:pPr>
              <w:pStyle w:val="174"/>
              <w:jc w:val="center"/>
              <w:rPr>
                <w:rFonts w:ascii="Times New Roman" w:hAnsi="Times New Roman"/>
                <w:color w:val="auto"/>
                <w:szCs w:val="21"/>
                <w:highlight w:val="none"/>
              </w:rPr>
            </w:pPr>
            <w:r>
              <w:rPr>
                <w:rFonts w:hint="eastAsia" w:ascii="Times New Roman" w:hAnsi="Times New Roman" w:cs="宋体"/>
                <w:color w:val="auto"/>
                <w:szCs w:val="21"/>
                <w:highlight w:val="none"/>
              </w:rPr>
              <w:t>规模</w:t>
            </w:r>
          </w:p>
        </w:tc>
        <w:tc>
          <w:tcPr>
            <w:tcW w:w="1134" w:type="dxa"/>
            <w:vAlign w:val="center"/>
          </w:tcPr>
          <w:p w14:paraId="62425AD9">
            <w:pPr>
              <w:pStyle w:val="174"/>
              <w:jc w:val="center"/>
              <w:rPr>
                <w:rFonts w:ascii="Times New Roman" w:hAnsi="Times New Roman"/>
                <w:color w:val="auto"/>
                <w:szCs w:val="21"/>
                <w:highlight w:val="none"/>
              </w:rPr>
            </w:pPr>
            <w:r>
              <w:rPr>
                <w:rFonts w:hint="eastAsia" w:ascii="Times New Roman" w:hAnsi="Times New Roman" w:cs="宋体"/>
                <w:color w:val="auto"/>
                <w:szCs w:val="21"/>
                <w:highlight w:val="none"/>
              </w:rPr>
              <w:t>合同金额</w:t>
            </w:r>
          </w:p>
          <w:p w14:paraId="43F0BA4E">
            <w:pPr>
              <w:pStyle w:val="174"/>
              <w:jc w:val="center"/>
              <w:rPr>
                <w:rFonts w:ascii="Times New Roman" w:hAnsi="Times New Roman"/>
                <w:color w:val="auto"/>
                <w:szCs w:val="21"/>
                <w:highlight w:val="none"/>
              </w:rPr>
            </w:pPr>
            <w:r>
              <w:rPr>
                <w:rFonts w:hint="eastAsia" w:ascii="Times New Roman" w:hAnsi="Times New Roman" w:cs="宋体"/>
                <w:color w:val="auto"/>
                <w:szCs w:val="21"/>
                <w:highlight w:val="none"/>
              </w:rPr>
              <w:t>（万元）</w:t>
            </w:r>
          </w:p>
        </w:tc>
        <w:tc>
          <w:tcPr>
            <w:tcW w:w="790" w:type="dxa"/>
            <w:vAlign w:val="center"/>
          </w:tcPr>
          <w:p w14:paraId="42BF9F13">
            <w:pPr>
              <w:pStyle w:val="174"/>
              <w:jc w:val="center"/>
              <w:rPr>
                <w:rFonts w:ascii="Times New Roman" w:hAnsi="Times New Roman"/>
                <w:color w:val="auto"/>
                <w:szCs w:val="21"/>
                <w:highlight w:val="none"/>
              </w:rPr>
            </w:pPr>
            <w:r>
              <w:rPr>
                <w:rFonts w:hint="eastAsia" w:ascii="Times New Roman" w:hAnsi="Times New Roman" w:cs="宋体"/>
                <w:color w:val="auto"/>
                <w:szCs w:val="21"/>
                <w:highlight w:val="none"/>
              </w:rPr>
              <w:t>质量标准</w:t>
            </w:r>
          </w:p>
        </w:tc>
        <w:tc>
          <w:tcPr>
            <w:tcW w:w="957" w:type="dxa"/>
            <w:vAlign w:val="center"/>
          </w:tcPr>
          <w:p w14:paraId="65A2C9BA">
            <w:pPr>
              <w:pStyle w:val="174"/>
              <w:jc w:val="center"/>
              <w:rPr>
                <w:rFonts w:ascii="Times New Roman" w:hAnsi="Times New Roman"/>
                <w:color w:val="auto"/>
                <w:szCs w:val="21"/>
                <w:highlight w:val="none"/>
              </w:rPr>
            </w:pPr>
            <w:r>
              <w:rPr>
                <w:rFonts w:hint="eastAsia" w:ascii="Times New Roman" w:hAnsi="Times New Roman" w:cs="宋体"/>
                <w:color w:val="auto"/>
                <w:szCs w:val="21"/>
                <w:highlight w:val="none"/>
              </w:rPr>
              <w:t>开工</w:t>
            </w:r>
          </w:p>
          <w:p w14:paraId="5B962B70">
            <w:pPr>
              <w:pStyle w:val="174"/>
              <w:jc w:val="center"/>
              <w:rPr>
                <w:rFonts w:ascii="Times New Roman" w:hAnsi="Times New Roman"/>
                <w:color w:val="auto"/>
                <w:szCs w:val="21"/>
                <w:highlight w:val="none"/>
              </w:rPr>
            </w:pPr>
            <w:r>
              <w:rPr>
                <w:rFonts w:hint="eastAsia" w:ascii="Times New Roman" w:hAnsi="Times New Roman" w:cs="宋体"/>
                <w:color w:val="auto"/>
                <w:szCs w:val="21"/>
                <w:highlight w:val="none"/>
              </w:rPr>
              <w:t>日</w:t>
            </w:r>
            <w:r>
              <w:rPr>
                <w:rFonts w:ascii="Times New Roman" w:hAnsi="Times New Roman"/>
                <w:color w:val="auto"/>
                <w:szCs w:val="21"/>
                <w:highlight w:val="none"/>
              </w:rPr>
              <w:t xml:space="preserve">  </w:t>
            </w:r>
            <w:r>
              <w:rPr>
                <w:rFonts w:hint="eastAsia" w:ascii="Times New Roman" w:hAnsi="Times New Roman" w:cs="宋体"/>
                <w:color w:val="auto"/>
                <w:szCs w:val="21"/>
                <w:highlight w:val="none"/>
              </w:rPr>
              <w:t>期</w:t>
            </w:r>
          </w:p>
        </w:tc>
        <w:tc>
          <w:tcPr>
            <w:tcW w:w="957" w:type="dxa"/>
            <w:vAlign w:val="center"/>
          </w:tcPr>
          <w:p w14:paraId="4D92FF61">
            <w:pPr>
              <w:pStyle w:val="174"/>
              <w:jc w:val="center"/>
              <w:rPr>
                <w:rFonts w:ascii="Times New Roman" w:hAnsi="Times New Roman"/>
                <w:color w:val="auto"/>
                <w:szCs w:val="21"/>
                <w:highlight w:val="none"/>
              </w:rPr>
            </w:pPr>
            <w:r>
              <w:rPr>
                <w:rFonts w:hint="eastAsia" w:ascii="Times New Roman" w:hAnsi="Times New Roman" w:cs="宋体"/>
                <w:color w:val="auto"/>
                <w:szCs w:val="21"/>
                <w:highlight w:val="none"/>
              </w:rPr>
              <w:t>竣工</w:t>
            </w:r>
          </w:p>
          <w:p w14:paraId="1C1B372A">
            <w:pPr>
              <w:pStyle w:val="174"/>
              <w:jc w:val="center"/>
              <w:rPr>
                <w:rFonts w:ascii="Times New Roman" w:hAnsi="Times New Roman" w:cs="宋体"/>
                <w:color w:val="auto"/>
                <w:szCs w:val="21"/>
                <w:highlight w:val="none"/>
              </w:rPr>
            </w:pPr>
            <w:r>
              <w:rPr>
                <w:rFonts w:hint="eastAsia" w:ascii="Times New Roman" w:hAnsi="Times New Roman" w:cs="宋体"/>
                <w:color w:val="auto"/>
                <w:szCs w:val="21"/>
                <w:highlight w:val="none"/>
              </w:rPr>
              <w:t>日</w:t>
            </w:r>
            <w:r>
              <w:rPr>
                <w:rFonts w:ascii="Times New Roman" w:hAnsi="Times New Roman"/>
                <w:color w:val="auto"/>
                <w:szCs w:val="21"/>
                <w:highlight w:val="none"/>
              </w:rPr>
              <w:t xml:space="preserve">  </w:t>
            </w:r>
            <w:r>
              <w:rPr>
                <w:rFonts w:hint="eastAsia" w:ascii="Times New Roman" w:hAnsi="Times New Roman" w:cs="宋体"/>
                <w:color w:val="auto"/>
                <w:szCs w:val="21"/>
                <w:highlight w:val="none"/>
              </w:rPr>
              <w:t>期（如有）</w:t>
            </w:r>
          </w:p>
        </w:tc>
      </w:tr>
      <w:tr w14:paraId="0D6A6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51" w:type="dxa"/>
            <w:vAlign w:val="center"/>
          </w:tcPr>
          <w:p w14:paraId="506E0B9A">
            <w:pPr>
              <w:pStyle w:val="174"/>
              <w:jc w:val="center"/>
              <w:rPr>
                <w:rFonts w:ascii="Times New Roman" w:hAnsi="Times New Roman"/>
                <w:color w:val="auto"/>
                <w:szCs w:val="21"/>
                <w:highlight w:val="none"/>
              </w:rPr>
            </w:pPr>
          </w:p>
        </w:tc>
        <w:tc>
          <w:tcPr>
            <w:tcW w:w="1701" w:type="dxa"/>
            <w:vAlign w:val="center"/>
          </w:tcPr>
          <w:p w14:paraId="1F7BA24C">
            <w:pPr>
              <w:pStyle w:val="174"/>
              <w:jc w:val="center"/>
              <w:rPr>
                <w:rFonts w:ascii="Times New Roman" w:hAnsi="Times New Roman"/>
                <w:color w:val="auto"/>
                <w:szCs w:val="21"/>
                <w:highlight w:val="none"/>
              </w:rPr>
            </w:pPr>
          </w:p>
        </w:tc>
        <w:tc>
          <w:tcPr>
            <w:tcW w:w="1417" w:type="dxa"/>
            <w:vAlign w:val="center"/>
          </w:tcPr>
          <w:p w14:paraId="7DCD5BFE">
            <w:pPr>
              <w:pStyle w:val="174"/>
              <w:jc w:val="center"/>
              <w:rPr>
                <w:rFonts w:ascii="Times New Roman" w:hAnsi="Times New Roman"/>
                <w:color w:val="auto"/>
                <w:szCs w:val="21"/>
                <w:highlight w:val="none"/>
              </w:rPr>
            </w:pPr>
          </w:p>
        </w:tc>
        <w:tc>
          <w:tcPr>
            <w:tcW w:w="851" w:type="dxa"/>
            <w:vAlign w:val="center"/>
          </w:tcPr>
          <w:p w14:paraId="74E58B26">
            <w:pPr>
              <w:pStyle w:val="174"/>
              <w:jc w:val="center"/>
              <w:rPr>
                <w:rFonts w:ascii="Times New Roman" w:hAnsi="Times New Roman"/>
                <w:color w:val="auto"/>
                <w:szCs w:val="21"/>
                <w:highlight w:val="none"/>
              </w:rPr>
            </w:pPr>
          </w:p>
        </w:tc>
        <w:tc>
          <w:tcPr>
            <w:tcW w:w="992" w:type="dxa"/>
            <w:vAlign w:val="center"/>
          </w:tcPr>
          <w:p w14:paraId="02E5710E">
            <w:pPr>
              <w:pStyle w:val="174"/>
              <w:jc w:val="center"/>
              <w:rPr>
                <w:rFonts w:ascii="Times New Roman" w:hAnsi="Times New Roman"/>
                <w:color w:val="auto"/>
                <w:szCs w:val="21"/>
                <w:highlight w:val="none"/>
              </w:rPr>
            </w:pPr>
          </w:p>
        </w:tc>
        <w:tc>
          <w:tcPr>
            <w:tcW w:w="1134" w:type="dxa"/>
            <w:vAlign w:val="center"/>
          </w:tcPr>
          <w:p w14:paraId="4506C482">
            <w:pPr>
              <w:pStyle w:val="174"/>
              <w:jc w:val="center"/>
              <w:rPr>
                <w:rFonts w:ascii="Times New Roman" w:hAnsi="Times New Roman"/>
                <w:color w:val="auto"/>
                <w:szCs w:val="21"/>
                <w:highlight w:val="none"/>
              </w:rPr>
            </w:pPr>
          </w:p>
        </w:tc>
        <w:tc>
          <w:tcPr>
            <w:tcW w:w="790" w:type="dxa"/>
            <w:vAlign w:val="center"/>
          </w:tcPr>
          <w:p w14:paraId="0434E2D8">
            <w:pPr>
              <w:pStyle w:val="174"/>
              <w:jc w:val="center"/>
              <w:rPr>
                <w:rFonts w:ascii="Times New Roman" w:hAnsi="Times New Roman"/>
                <w:color w:val="auto"/>
                <w:szCs w:val="21"/>
                <w:highlight w:val="none"/>
              </w:rPr>
            </w:pPr>
          </w:p>
        </w:tc>
        <w:tc>
          <w:tcPr>
            <w:tcW w:w="957" w:type="dxa"/>
            <w:vAlign w:val="center"/>
          </w:tcPr>
          <w:p w14:paraId="733C8E07">
            <w:pPr>
              <w:pStyle w:val="174"/>
              <w:jc w:val="center"/>
              <w:rPr>
                <w:rFonts w:ascii="Times New Roman" w:hAnsi="Times New Roman"/>
                <w:color w:val="auto"/>
                <w:szCs w:val="21"/>
                <w:highlight w:val="none"/>
              </w:rPr>
            </w:pPr>
          </w:p>
        </w:tc>
        <w:tc>
          <w:tcPr>
            <w:tcW w:w="957" w:type="dxa"/>
            <w:vAlign w:val="center"/>
          </w:tcPr>
          <w:p w14:paraId="2738014D">
            <w:pPr>
              <w:pStyle w:val="174"/>
              <w:jc w:val="center"/>
              <w:rPr>
                <w:rFonts w:ascii="Times New Roman" w:hAnsi="Times New Roman"/>
                <w:color w:val="auto"/>
                <w:szCs w:val="21"/>
                <w:highlight w:val="none"/>
              </w:rPr>
            </w:pPr>
          </w:p>
        </w:tc>
      </w:tr>
      <w:tr w14:paraId="05AA3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51" w:type="dxa"/>
            <w:vAlign w:val="center"/>
          </w:tcPr>
          <w:p w14:paraId="0FFE1FFE">
            <w:pPr>
              <w:pStyle w:val="174"/>
              <w:jc w:val="center"/>
              <w:rPr>
                <w:rFonts w:ascii="Times New Roman" w:hAnsi="Times New Roman"/>
                <w:color w:val="auto"/>
                <w:szCs w:val="21"/>
                <w:highlight w:val="none"/>
              </w:rPr>
            </w:pPr>
          </w:p>
        </w:tc>
        <w:tc>
          <w:tcPr>
            <w:tcW w:w="1701" w:type="dxa"/>
            <w:vAlign w:val="center"/>
          </w:tcPr>
          <w:p w14:paraId="0DD2BE4D">
            <w:pPr>
              <w:pStyle w:val="174"/>
              <w:jc w:val="center"/>
              <w:rPr>
                <w:rFonts w:ascii="Times New Roman" w:hAnsi="Times New Roman"/>
                <w:color w:val="auto"/>
                <w:szCs w:val="21"/>
                <w:highlight w:val="none"/>
              </w:rPr>
            </w:pPr>
          </w:p>
        </w:tc>
        <w:tc>
          <w:tcPr>
            <w:tcW w:w="1417" w:type="dxa"/>
            <w:vAlign w:val="center"/>
          </w:tcPr>
          <w:p w14:paraId="728E63BC">
            <w:pPr>
              <w:pStyle w:val="174"/>
              <w:jc w:val="center"/>
              <w:rPr>
                <w:rFonts w:ascii="Times New Roman" w:hAnsi="Times New Roman"/>
                <w:color w:val="auto"/>
                <w:szCs w:val="21"/>
                <w:highlight w:val="none"/>
              </w:rPr>
            </w:pPr>
          </w:p>
        </w:tc>
        <w:tc>
          <w:tcPr>
            <w:tcW w:w="851" w:type="dxa"/>
            <w:vAlign w:val="center"/>
          </w:tcPr>
          <w:p w14:paraId="020AFA84">
            <w:pPr>
              <w:pStyle w:val="174"/>
              <w:jc w:val="center"/>
              <w:rPr>
                <w:rFonts w:ascii="Times New Roman" w:hAnsi="Times New Roman"/>
                <w:color w:val="auto"/>
                <w:szCs w:val="21"/>
                <w:highlight w:val="none"/>
              </w:rPr>
            </w:pPr>
          </w:p>
        </w:tc>
        <w:tc>
          <w:tcPr>
            <w:tcW w:w="992" w:type="dxa"/>
            <w:vAlign w:val="center"/>
          </w:tcPr>
          <w:p w14:paraId="6E6A7BCA">
            <w:pPr>
              <w:pStyle w:val="174"/>
              <w:jc w:val="center"/>
              <w:rPr>
                <w:rFonts w:ascii="Times New Roman" w:hAnsi="Times New Roman"/>
                <w:color w:val="auto"/>
                <w:szCs w:val="21"/>
                <w:highlight w:val="none"/>
              </w:rPr>
            </w:pPr>
          </w:p>
        </w:tc>
        <w:tc>
          <w:tcPr>
            <w:tcW w:w="1134" w:type="dxa"/>
            <w:vAlign w:val="center"/>
          </w:tcPr>
          <w:p w14:paraId="06B5BD3A">
            <w:pPr>
              <w:pStyle w:val="174"/>
              <w:jc w:val="center"/>
              <w:rPr>
                <w:rFonts w:ascii="Times New Roman" w:hAnsi="Times New Roman"/>
                <w:color w:val="auto"/>
                <w:szCs w:val="21"/>
                <w:highlight w:val="none"/>
              </w:rPr>
            </w:pPr>
          </w:p>
        </w:tc>
        <w:tc>
          <w:tcPr>
            <w:tcW w:w="790" w:type="dxa"/>
            <w:vAlign w:val="center"/>
          </w:tcPr>
          <w:p w14:paraId="49C805A2">
            <w:pPr>
              <w:pStyle w:val="174"/>
              <w:jc w:val="center"/>
              <w:rPr>
                <w:rFonts w:ascii="Times New Roman" w:hAnsi="Times New Roman"/>
                <w:color w:val="auto"/>
                <w:szCs w:val="21"/>
                <w:highlight w:val="none"/>
              </w:rPr>
            </w:pPr>
          </w:p>
        </w:tc>
        <w:tc>
          <w:tcPr>
            <w:tcW w:w="957" w:type="dxa"/>
            <w:vAlign w:val="center"/>
          </w:tcPr>
          <w:p w14:paraId="04206CCA">
            <w:pPr>
              <w:pStyle w:val="174"/>
              <w:jc w:val="center"/>
              <w:rPr>
                <w:rFonts w:ascii="Times New Roman" w:hAnsi="Times New Roman"/>
                <w:color w:val="auto"/>
                <w:szCs w:val="21"/>
                <w:highlight w:val="none"/>
              </w:rPr>
            </w:pPr>
          </w:p>
        </w:tc>
        <w:tc>
          <w:tcPr>
            <w:tcW w:w="957" w:type="dxa"/>
            <w:vAlign w:val="center"/>
          </w:tcPr>
          <w:p w14:paraId="32B4B3CC">
            <w:pPr>
              <w:pStyle w:val="174"/>
              <w:jc w:val="center"/>
              <w:rPr>
                <w:rFonts w:ascii="Times New Roman" w:hAnsi="Times New Roman"/>
                <w:color w:val="auto"/>
                <w:szCs w:val="21"/>
                <w:highlight w:val="none"/>
              </w:rPr>
            </w:pPr>
          </w:p>
        </w:tc>
      </w:tr>
      <w:tr w14:paraId="56B93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851" w:type="dxa"/>
            <w:vAlign w:val="center"/>
          </w:tcPr>
          <w:p w14:paraId="606158AF">
            <w:pPr>
              <w:pStyle w:val="174"/>
              <w:jc w:val="center"/>
              <w:rPr>
                <w:rFonts w:ascii="Times New Roman" w:hAnsi="Times New Roman"/>
                <w:color w:val="auto"/>
                <w:szCs w:val="21"/>
                <w:highlight w:val="none"/>
              </w:rPr>
            </w:pPr>
          </w:p>
        </w:tc>
        <w:tc>
          <w:tcPr>
            <w:tcW w:w="1701" w:type="dxa"/>
            <w:vAlign w:val="center"/>
          </w:tcPr>
          <w:p w14:paraId="7C9E1F92">
            <w:pPr>
              <w:pStyle w:val="174"/>
              <w:jc w:val="center"/>
              <w:rPr>
                <w:rFonts w:ascii="Times New Roman" w:hAnsi="Times New Roman"/>
                <w:color w:val="auto"/>
                <w:szCs w:val="21"/>
                <w:highlight w:val="none"/>
              </w:rPr>
            </w:pPr>
          </w:p>
        </w:tc>
        <w:tc>
          <w:tcPr>
            <w:tcW w:w="1417" w:type="dxa"/>
            <w:vAlign w:val="center"/>
          </w:tcPr>
          <w:p w14:paraId="6098B293">
            <w:pPr>
              <w:pStyle w:val="174"/>
              <w:jc w:val="center"/>
              <w:rPr>
                <w:rFonts w:ascii="Times New Roman" w:hAnsi="Times New Roman"/>
                <w:color w:val="auto"/>
                <w:szCs w:val="21"/>
                <w:highlight w:val="none"/>
              </w:rPr>
            </w:pPr>
          </w:p>
        </w:tc>
        <w:tc>
          <w:tcPr>
            <w:tcW w:w="851" w:type="dxa"/>
            <w:vAlign w:val="center"/>
          </w:tcPr>
          <w:p w14:paraId="099ED7E1">
            <w:pPr>
              <w:pStyle w:val="174"/>
              <w:jc w:val="center"/>
              <w:rPr>
                <w:rFonts w:ascii="Times New Roman" w:hAnsi="Times New Roman"/>
                <w:color w:val="auto"/>
                <w:szCs w:val="21"/>
                <w:highlight w:val="none"/>
              </w:rPr>
            </w:pPr>
          </w:p>
        </w:tc>
        <w:tc>
          <w:tcPr>
            <w:tcW w:w="992" w:type="dxa"/>
            <w:vAlign w:val="center"/>
          </w:tcPr>
          <w:p w14:paraId="30401F28">
            <w:pPr>
              <w:pStyle w:val="174"/>
              <w:jc w:val="center"/>
              <w:rPr>
                <w:rFonts w:ascii="Times New Roman" w:hAnsi="Times New Roman"/>
                <w:color w:val="auto"/>
                <w:szCs w:val="21"/>
                <w:highlight w:val="none"/>
              </w:rPr>
            </w:pPr>
          </w:p>
        </w:tc>
        <w:tc>
          <w:tcPr>
            <w:tcW w:w="1134" w:type="dxa"/>
            <w:vAlign w:val="center"/>
          </w:tcPr>
          <w:p w14:paraId="3D81B6AE">
            <w:pPr>
              <w:pStyle w:val="174"/>
              <w:jc w:val="center"/>
              <w:rPr>
                <w:rFonts w:ascii="Times New Roman" w:hAnsi="Times New Roman"/>
                <w:color w:val="auto"/>
                <w:szCs w:val="21"/>
                <w:highlight w:val="none"/>
              </w:rPr>
            </w:pPr>
          </w:p>
        </w:tc>
        <w:tc>
          <w:tcPr>
            <w:tcW w:w="790" w:type="dxa"/>
            <w:vAlign w:val="center"/>
          </w:tcPr>
          <w:p w14:paraId="3961F4CD">
            <w:pPr>
              <w:pStyle w:val="174"/>
              <w:jc w:val="center"/>
              <w:rPr>
                <w:rFonts w:ascii="Times New Roman" w:hAnsi="Times New Roman"/>
                <w:color w:val="auto"/>
                <w:szCs w:val="21"/>
                <w:highlight w:val="none"/>
              </w:rPr>
            </w:pPr>
          </w:p>
        </w:tc>
        <w:tc>
          <w:tcPr>
            <w:tcW w:w="957" w:type="dxa"/>
            <w:vAlign w:val="center"/>
          </w:tcPr>
          <w:p w14:paraId="6B7014BA">
            <w:pPr>
              <w:pStyle w:val="174"/>
              <w:jc w:val="center"/>
              <w:rPr>
                <w:rFonts w:ascii="Times New Roman" w:hAnsi="Times New Roman"/>
                <w:color w:val="auto"/>
                <w:szCs w:val="21"/>
                <w:highlight w:val="none"/>
              </w:rPr>
            </w:pPr>
          </w:p>
        </w:tc>
        <w:tc>
          <w:tcPr>
            <w:tcW w:w="957" w:type="dxa"/>
            <w:vAlign w:val="center"/>
          </w:tcPr>
          <w:p w14:paraId="4B057206">
            <w:pPr>
              <w:pStyle w:val="174"/>
              <w:jc w:val="center"/>
              <w:rPr>
                <w:rFonts w:ascii="Times New Roman" w:hAnsi="Times New Roman"/>
                <w:color w:val="auto"/>
                <w:szCs w:val="21"/>
                <w:highlight w:val="none"/>
              </w:rPr>
            </w:pPr>
          </w:p>
        </w:tc>
      </w:tr>
      <w:tr w14:paraId="7088A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851" w:type="dxa"/>
            <w:vAlign w:val="center"/>
          </w:tcPr>
          <w:p w14:paraId="050E4C55">
            <w:pPr>
              <w:pStyle w:val="174"/>
              <w:jc w:val="center"/>
              <w:rPr>
                <w:rFonts w:ascii="Times New Roman" w:hAnsi="Times New Roman"/>
                <w:color w:val="auto"/>
                <w:szCs w:val="21"/>
                <w:highlight w:val="none"/>
              </w:rPr>
            </w:pPr>
          </w:p>
        </w:tc>
        <w:tc>
          <w:tcPr>
            <w:tcW w:w="1701" w:type="dxa"/>
            <w:vAlign w:val="center"/>
          </w:tcPr>
          <w:p w14:paraId="61905DC8">
            <w:pPr>
              <w:pStyle w:val="174"/>
              <w:jc w:val="center"/>
              <w:rPr>
                <w:rFonts w:ascii="Times New Roman" w:hAnsi="Times New Roman"/>
                <w:color w:val="auto"/>
                <w:szCs w:val="21"/>
                <w:highlight w:val="none"/>
              </w:rPr>
            </w:pPr>
          </w:p>
        </w:tc>
        <w:tc>
          <w:tcPr>
            <w:tcW w:w="1417" w:type="dxa"/>
            <w:vAlign w:val="center"/>
          </w:tcPr>
          <w:p w14:paraId="4677ABC8">
            <w:pPr>
              <w:pStyle w:val="174"/>
              <w:jc w:val="center"/>
              <w:rPr>
                <w:rFonts w:ascii="Times New Roman" w:hAnsi="Times New Roman"/>
                <w:color w:val="auto"/>
                <w:szCs w:val="21"/>
                <w:highlight w:val="none"/>
              </w:rPr>
            </w:pPr>
          </w:p>
        </w:tc>
        <w:tc>
          <w:tcPr>
            <w:tcW w:w="851" w:type="dxa"/>
            <w:vAlign w:val="center"/>
          </w:tcPr>
          <w:p w14:paraId="3A813118">
            <w:pPr>
              <w:pStyle w:val="174"/>
              <w:jc w:val="center"/>
              <w:rPr>
                <w:rFonts w:ascii="Times New Roman" w:hAnsi="Times New Roman"/>
                <w:color w:val="auto"/>
                <w:szCs w:val="21"/>
                <w:highlight w:val="none"/>
              </w:rPr>
            </w:pPr>
          </w:p>
        </w:tc>
        <w:tc>
          <w:tcPr>
            <w:tcW w:w="992" w:type="dxa"/>
            <w:vAlign w:val="center"/>
          </w:tcPr>
          <w:p w14:paraId="09BB1ADC">
            <w:pPr>
              <w:pStyle w:val="174"/>
              <w:jc w:val="center"/>
              <w:rPr>
                <w:rFonts w:ascii="Times New Roman" w:hAnsi="Times New Roman"/>
                <w:color w:val="auto"/>
                <w:szCs w:val="21"/>
                <w:highlight w:val="none"/>
              </w:rPr>
            </w:pPr>
          </w:p>
        </w:tc>
        <w:tc>
          <w:tcPr>
            <w:tcW w:w="1134" w:type="dxa"/>
            <w:vAlign w:val="center"/>
          </w:tcPr>
          <w:p w14:paraId="5BF62B87">
            <w:pPr>
              <w:pStyle w:val="174"/>
              <w:jc w:val="center"/>
              <w:rPr>
                <w:rFonts w:ascii="Times New Roman" w:hAnsi="Times New Roman"/>
                <w:color w:val="auto"/>
                <w:szCs w:val="21"/>
                <w:highlight w:val="none"/>
              </w:rPr>
            </w:pPr>
          </w:p>
        </w:tc>
        <w:tc>
          <w:tcPr>
            <w:tcW w:w="790" w:type="dxa"/>
            <w:vAlign w:val="center"/>
          </w:tcPr>
          <w:p w14:paraId="69378F5B">
            <w:pPr>
              <w:pStyle w:val="174"/>
              <w:jc w:val="center"/>
              <w:rPr>
                <w:rFonts w:ascii="Times New Roman" w:hAnsi="Times New Roman"/>
                <w:color w:val="auto"/>
                <w:szCs w:val="21"/>
                <w:highlight w:val="none"/>
              </w:rPr>
            </w:pPr>
          </w:p>
        </w:tc>
        <w:tc>
          <w:tcPr>
            <w:tcW w:w="957" w:type="dxa"/>
            <w:vAlign w:val="center"/>
          </w:tcPr>
          <w:p w14:paraId="75C8C2A4">
            <w:pPr>
              <w:pStyle w:val="174"/>
              <w:jc w:val="center"/>
              <w:rPr>
                <w:rFonts w:ascii="Times New Roman" w:hAnsi="Times New Roman"/>
                <w:color w:val="auto"/>
                <w:szCs w:val="21"/>
                <w:highlight w:val="none"/>
              </w:rPr>
            </w:pPr>
          </w:p>
        </w:tc>
        <w:tc>
          <w:tcPr>
            <w:tcW w:w="957" w:type="dxa"/>
            <w:vAlign w:val="center"/>
          </w:tcPr>
          <w:p w14:paraId="2F25DE82">
            <w:pPr>
              <w:pStyle w:val="174"/>
              <w:jc w:val="center"/>
              <w:rPr>
                <w:rFonts w:ascii="Times New Roman" w:hAnsi="Times New Roman"/>
                <w:color w:val="auto"/>
                <w:szCs w:val="21"/>
                <w:highlight w:val="none"/>
              </w:rPr>
            </w:pPr>
          </w:p>
        </w:tc>
      </w:tr>
      <w:tr w14:paraId="73C54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851" w:type="dxa"/>
            <w:vAlign w:val="center"/>
          </w:tcPr>
          <w:p w14:paraId="64589957">
            <w:pPr>
              <w:pStyle w:val="174"/>
              <w:jc w:val="center"/>
              <w:rPr>
                <w:rFonts w:ascii="Times New Roman" w:hAnsi="Times New Roman"/>
                <w:color w:val="auto"/>
                <w:szCs w:val="21"/>
                <w:highlight w:val="none"/>
              </w:rPr>
            </w:pPr>
          </w:p>
        </w:tc>
        <w:tc>
          <w:tcPr>
            <w:tcW w:w="1701" w:type="dxa"/>
            <w:vAlign w:val="center"/>
          </w:tcPr>
          <w:p w14:paraId="417D9BB7">
            <w:pPr>
              <w:pStyle w:val="174"/>
              <w:jc w:val="center"/>
              <w:rPr>
                <w:rFonts w:ascii="Times New Roman" w:hAnsi="Times New Roman"/>
                <w:color w:val="auto"/>
                <w:szCs w:val="21"/>
                <w:highlight w:val="none"/>
              </w:rPr>
            </w:pPr>
          </w:p>
        </w:tc>
        <w:tc>
          <w:tcPr>
            <w:tcW w:w="1417" w:type="dxa"/>
            <w:vAlign w:val="center"/>
          </w:tcPr>
          <w:p w14:paraId="6652E300">
            <w:pPr>
              <w:pStyle w:val="174"/>
              <w:jc w:val="center"/>
              <w:rPr>
                <w:rFonts w:ascii="Times New Roman" w:hAnsi="Times New Roman"/>
                <w:color w:val="auto"/>
                <w:szCs w:val="21"/>
                <w:highlight w:val="none"/>
              </w:rPr>
            </w:pPr>
          </w:p>
        </w:tc>
        <w:tc>
          <w:tcPr>
            <w:tcW w:w="851" w:type="dxa"/>
            <w:vAlign w:val="center"/>
          </w:tcPr>
          <w:p w14:paraId="129B2135">
            <w:pPr>
              <w:pStyle w:val="174"/>
              <w:jc w:val="center"/>
              <w:rPr>
                <w:rFonts w:ascii="Times New Roman" w:hAnsi="Times New Roman"/>
                <w:color w:val="auto"/>
                <w:szCs w:val="21"/>
                <w:highlight w:val="none"/>
              </w:rPr>
            </w:pPr>
          </w:p>
        </w:tc>
        <w:tc>
          <w:tcPr>
            <w:tcW w:w="992" w:type="dxa"/>
            <w:vAlign w:val="center"/>
          </w:tcPr>
          <w:p w14:paraId="4B5CFF6B">
            <w:pPr>
              <w:pStyle w:val="174"/>
              <w:jc w:val="center"/>
              <w:rPr>
                <w:rFonts w:ascii="Times New Roman" w:hAnsi="Times New Roman"/>
                <w:color w:val="auto"/>
                <w:szCs w:val="21"/>
                <w:highlight w:val="none"/>
              </w:rPr>
            </w:pPr>
          </w:p>
        </w:tc>
        <w:tc>
          <w:tcPr>
            <w:tcW w:w="1134" w:type="dxa"/>
            <w:vAlign w:val="center"/>
          </w:tcPr>
          <w:p w14:paraId="50BDE4CC">
            <w:pPr>
              <w:pStyle w:val="174"/>
              <w:jc w:val="center"/>
              <w:rPr>
                <w:rFonts w:ascii="Times New Roman" w:hAnsi="Times New Roman"/>
                <w:color w:val="auto"/>
                <w:szCs w:val="21"/>
                <w:highlight w:val="none"/>
              </w:rPr>
            </w:pPr>
          </w:p>
        </w:tc>
        <w:tc>
          <w:tcPr>
            <w:tcW w:w="790" w:type="dxa"/>
            <w:vAlign w:val="center"/>
          </w:tcPr>
          <w:p w14:paraId="5B3EB37F">
            <w:pPr>
              <w:pStyle w:val="174"/>
              <w:jc w:val="center"/>
              <w:rPr>
                <w:rFonts w:ascii="Times New Roman" w:hAnsi="Times New Roman"/>
                <w:color w:val="auto"/>
                <w:szCs w:val="21"/>
                <w:highlight w:val="none"/>
              </w:rPr>
            </w:pPr>
          </w:p>
        </w:tc>
        <w:tc>
          <w:tcPr>
            <w:tcW w:w="957" w:type="dxa"/>
            <w:vAlign w:val="center"/>
          </w:tcPr>
          <w:p w14:paraId="1C018FC6">
            <w:pPr>
              <w:pStyle w:val="174"/>
              <w:jc w:val="center"/>
              <w:rPr>
                <w:rFonts w:ascii="Times New Roman" w:hAnsi="Times New Roman"/>
                <w:color w:val="auto"/>
                <w:szCs w:val="21"/>
                <w:highlight w:val="none"/>
              </w:rPr>
            </w:pPr>
          </w:p>
        </w:tc>
        <w:tc>
          <w:tcPr>
            <w:tcW w:w="957" w:type="dxa"/>
            <w:vAlign w:val="center"/>
          </w:tcPr>
          <w:p w14:paraId="0AC4ED9B">
            <w:pPr>
              <w:pStyle w:val="174"/>
              <w:jc w:val="center"/>
              <w:rPr>
                <w:rFonts w:ascii="Times New Roman" w:hAnsi="Times New Roman"/>
                <w:color w:val="auto"/>
                <w:szCs w:val="21"/>
                <w:highlight w:val="none"/>
              </w:rPr>
            </w:pPr>
          </w:p>
        </w:tc>
      </w:tr>
    </w:tbl>
    <w:p w14:paraId="715B5F29">
      <w:pPr>
        <w:pStyle w:val="174"/>
        <w:rPr>
          <w:rFonts w:ascii="Times New Roman" w:hAnsi="Times New Roman"/>
          <w:color w:val="auto"/>
          <w:szCs w:val="21"/>
          <w:highlight w:val="none"/>
        </w:rPr>
      </w:pPr>
    </w:p>
    <w:p w14:paraId="41C1CF8F">
      <w:pPr>
        <w:pStyle w:val="174"/>
        <w:spacing w:line="360" w:lineRule="auto"/>
        <w:rPr>
          <w:rFonts w:hint="eastAsia" w:ascii="宋体" w:hAnsi="宋体" w:cs="Arial"/>
          <w:color w:val="auto"/>
          <w:kern w:val="0"/>
          <w:szCs w:val="21"/>
          <w:highlight w:val="none"/>
        </w:rPr>
      </w:pPr>
      <w:r>
        <w:rPr>
          <w:rFonts w:hint="eastAsia" w:asciiTheme="minorEastAsia" w:hAnsiTheme="minorEastAsia" w:eastAsiaTheme="minorEastAsia" w:cstheme="minorEastAsia"/>
          <w:color w:val="auto"/>
          <w:szCs w:val="21"/>
          <w:highlight w:val="none"/>
        </w:rPr>
        <w:t>备注：1.</w:t>
      </w:r>
      <w:r>
        <w:rPr>
          <w:rFonts w:hint="eastAsia" w:ascii="宋体" w:hAnsi="宋体" w:cs="Arial"/>
          <w:color w:val="auto"/>
          <w:kern w:val="0"/>
          <w:szCs w:val="21"/>
          <w:highlight w:val="none"/>
        </w:rPr>
        <w:t>2022年以来在建或完成过类似工程业绩；</w:t>
      </w:r>
    </w:p>
    <w:p w14:paraId="0E6A9E90">
      <w:pPr>
        <w:pStyle w:val="174"/>
        <w:spacing w:line="360" w:lineRule="auto"/>
        <w:ind w:firstLine="630" w:firstLineChars="300"/>
        <w:rPr>
          <w:rFonts w:hint="eastAsia" w:ascii="宋体" w:hAnsi="宋体" w:cs="Arial"/>
          <w:color w:val="auto"/>
          <w:kern w:val="0"/>
          <w:szCs w:val="21"/>
          <w:highlight w:val="none"/>
        </w:rPr>
      </w:pPr>
      <w:r>
        <w:rPr>
          <w:rFonts w:hint="eastAsia" w:ascii="宋体" w:hAnsi="宋体" w:cs="Arial"/>
          <w:color w:val="auto"/>
          <w:kern w:val="0"/>
          <w:szCs w:val="21"/>
          <w:highlight w:val="none"/>
        </w:rPr>
        <w:t>2.已完成的类似工程应附中标通知书（如有）、合同协议书有关页面、工程竣工验收证明材料的</w:t>
      </w:r>
      <w:r>
        <w:rPr>
          <w:rFonts w:hint="eastAsia" w:asciiTheme="minorEastAsia" w:hAnsiTheme="minorEastAsia" w:eastAsiaTheme="minorEastAsia" w:cstheme="minorEastAsia"/>
          <w:color w:val="auto"/>
          <w:highlight w:val="none"/>
        </w:rPr>
        <w:t>复印件</w:t>
      </w:r>
      <w:r>
        <w:rPr>
          <w:rFonts w:hint="eastAsia" w:ascii="宋体" w:hAnsi="宋体" w:cs="Arial"/>
          <w:color w:val="auto"/>
          <w:kern w:val="0"/>
          <w:szCs w:val="21"/>
          <w:highlight w:val="none"/>
        </w:rPr>
        <w:t>，并加盖单位电子公章；</w:t>
      </w:r>
    </w:p>
    <w:p w14:paraId="70131578">
      <w:pPr>
        <w:pStyle w:val="174"/>
        <w:spacing w:line="360" w:lineRule="auto"/>
        <w:ind w:firstLine="630" w:firstLineChars="300"/>
        <w:rPr>
          <w:rFonts w:hint="eastAsia" w:ascii="宋体" w:hAnsi="宋体" w:cs="Arial"/>
          <w:color w:val="auto"/>
          <w:kern w:val="0"/>
          <w:szCs w:val="21"/>
          <w:highlight w:val="none"/>
        </w:rPr>
      </w:pPr>
      <w:r>
        <w:rPr>
          <w:rFonts w:hint="eastAsia" w:ascii="宋体" w:hAnsi="宋体" w:cs="Arial"/>
          <w:color w:val="auto"/>
          <w:kern w:val="0"/>
          <w:szCs w:val="21"/>
          <w:highlight w:val="none"/>
        </w:rPr>
        <w:t>3.在建类似工程应附中标通知书（如有）、合同协议书有关页面</w:t>
      </w:r>
      <w:r>
        <w:rPr>
          <w:rFonts w:hint="eastAsia" w:asciiTheme="minorEastAsia" w:hAnsiTheme="minorEastAsia" w:eastAsiaTheme="minorEastAsia" w:cstheme="minorEastAsia"/>
          <w:color w:val="auto"/>
          <w:highlight w:val="none"/>
        </w:rPr>
        <w:t>复印件</w:t>
      </w:r>
      <w:r>
        <w:rPr>
          <w:rFonts w:hint="eastAsia" w:ascii="宋体" w:hAnsi="宋体" w:cs="Arial"/>
          <w:color w:val="auto"/>
          <w:kern w:val="0"/>
          <w:szCs w:val="21"/>
          <w:highlight w:val="none"/>
        </w:rPr>
        <w:t>，并加盖单位电子公章。</w:t>
      </w:r>
    </w:p>
    <w:p w14:paraId="20EB58F6">
      <w:pPr>
        <w:pStyle w:val="174"/>
        <w:rPr>
          <w:rFonts w:hint="eastAsia" w:asciiTheme="minorEastAsia" w:hAnsiTheme="minorEastAsia" w:eastAsiaTheme="minorEastAsia" w:cstheme="minorEastAsia"/>
          <w:color w:val="auto"/>
          <w:szCs w:val="21"/>
          <w:highlight w:val="none"/>
        </w:rPr>
      </w:pPr>
    </w:p>
    <w:p w14:paraId="7AF6C4DB">
      <w:pPr>
        <w:pStyle w:val="174"/>
        <w:rPr>
          <w:rFonts w:hint="eastAsia" w:asciiTheme="minorEastAsia" w:hAnsiTheme="minorEastAsia" w:eastAsiaTheme="minorEastAsia" w:cstheme="minorEastAsia"/>
          <w:color w:val="auto"/>
          <w:szCs w:val="21"/>
          <w:highlight w:val="none"/>
        </w:rPr>
      </w:pPr>
    </w:p>
    <w:p w14:paraId="2DCA9690">
      <w:pPr>
        <w:pStyle w:val="174"/>
        <w:rPr>
          <w:rFonts w:hint="eastAsia" w:asciiTheme="minorEastAsia" w:hAnsiTheme="minorEastAsia" w:eastAsiaTheme="minorEastAsia" w:cstheme="minorEastAsia"/>
          <w:color w:val="auto"/>
          <w:szCs w:val="21"/>
          <w:highlight w:val="none"/>
        </w:rPr>
      </w:pPr>
    </w:p>
    <w:p w14:paraId="36EB1705">
      <w:pPr>
        <w:pStyle w:val="174"/>
        <w:rPr>
          <w:rFonts w:hint="eastAsia" w:asciiTheme="minorEastAsia" w:hAnsiTheme="minorEastAsia" w:eastAsiaTheme="minorEastAsia" w:cstheme="minorEastAsia"/>
          <w:color w:val="auto"/>
          <w:szCs w:val="21"/>
          <w:highlight w:val="none"/>
        </w:rPr>
      </w:pPr>
    </w:p>
    <w:p w14:paraId="4B050722">
      <w:pPr>
        <w:pStyle w:val="174"/>
        <w:rPr>
          <w:rFonts w:hint="eastAsia" w:asciiTheme="minorEastAsia" w:hAnsiTheme="minorEastAsia" w:eastAsiaTheme="minorEastAsia" w:cstheme="minorEastAsia"/>
          <w:color w:val="auto"/>
          <w:szCs w:val="21"/>
          <w:highlight w:val="none"/>
        </w:rPr>
      </w:pPr>
    </w:p>
    <w:p w14:paraId="4E9BFE4C">
      <w:pPr>
        <w:pStyle w:val="174"/>
        <w:rPr>
          <w:rFonts w:hint="eastAsia" w:asciiTheme="minorEastAsia" w:hAnsiTheme="minorEastAsia" w:eastAsiaTheme="minorEastAsia" w:cstheme="minorEastAsia"/>
          <w:color w:val="auto"/>
          <w:szCs w:val="21"/>
          <w:highlight w:val="none"/>
        </w:rPr>
      </w:pPr>
    </w:p>
    <w:p w14:paraId="6B9CBF81">
      <w:pPr>
        <w:pStyle w:val="174"/>
        <w:rPr>
          <w:rFonts w:hint="eastAsia" w:asciiTheme="minorEastAsia" w:hAnsiTheme="minorEastAsia" w:eastAsiaTheme="minorEastAsia" w:cstheme="minorEastAsia"/>
          <w:color w:val="auto"/>
          <w:szCs w:val="21"/>
          <w:highlight w:val="none"/>
        </w:rPr>
      </w:pPr>
    </w:p>
    <w:p w14:paraId="60100F3A">
      <w:pPr>
        <w:pStyle w:val="174"/>
        <w:rPr>
          <w:rFonts w:hint="eastAsia" w:asciiTheme="minorEastAsia" w:hAnsiTheme="minorEastAsia" w:eastAsiaTheme="minorEastAsia" w:cstheme="minorEastAsia"/>
          <w:color w:val="auto"/>
          <w:szCs w:val="21"/>
          <w:highlight w:val="none"/>
        </w:rPr>
      </w:pPr>
    </w:p>
    <w:p w14:paraId="149009EF">
      <w:pPr>
        <w:pStyle w:val="174"/>
        <w:rPr>
          <w:rFonts w:hint="eastAsia" w:asciiTheme="minorEastAsia" w:hAnsiTheme="minorEastAsia" w:eastAsiaTheme="minorEastAsia" w:cstheme="minorEastAsia"/>
          <w:color w:val="auto"/>
          <w:szCs w:val="21"/>
          <w:highlight w:val="none"/>
        </w:rPr>
      </w:pPr>
    </w:p>
    <w:p w14:paraId="545E1376">
      <w:pPr>
        <w:pStyle w:val="174"/>
        <w:rPr>
          <w:rFonts w:hint="eastAsia" w:asciiTheme="minorEastAsia" w:hAnsiTheme="minorEastAsia" w:eastAsiaTheme="minorEastAsia" w:cstheme="minorEastAsia"/>
          <w:color w:val="auto"/>
          <w:szCs w:val="21"/>
          <w:highlight w:val="none"/>
        </w:rPr>
      </w:pPr>
    </w:p>
    <w:p w14:paraId="2D24A2FF">
      <w:pPr>
        <w:pStyle w:val="174"/>
        <w:rPr>
          <w:rFonts w:hint="eastAsia" w:asciiTheme="minorEastAsia" w:hAnsiTheme="minorEastAsia" w:eastAsiaTheme="minorEastAsia" w:cstheme="minorEastAsia"/>
          <w:color w:val="auto"/>
          <w:szCs w:val="21"/>
          <w:highlight w:val="none"/>
        </w:rPr>
      </w:pPr>
    </w:p>
    <w:p w14:paraId="78964C94">
      <w:pPr>
        <w:pStyle w:val="174"/>
        <w:rPr>
          <w:rFonts w:hint="eastAsia" w:asciiTheme="minorEastAsia" w:hAnsiTheme="minorEastAsia" w:eastAsiaTheme="minorEastAsia" w:cstheme="minorEastAsia"/>
          <w:color w:val="auto"/>
          <w:szCs w:val="21"/>
          <w:highlight w:val="none"/>
        </w:rPr>
      </w:pPr>
    </w:p>
    <w:p w14:paraId="69E50A9C">
      <w:pPr>
        <w:pStyle w:val="174"/>
        <w:rPr>
          <w:rFonts w:hint="eastAsia" w:asciiTheme="minorEastAsia" w:hAnsiTheme="minorEastAsia" w:eastAsiaTheme="minorEastAsia" w:cstheme="minorEastAsia"/>
          <w:color w:val="auto"/>
          <w:szCs w:val="21"/>
          <w:highlight w:val="none"/>
        </w:rPr>
      </w:pPr>
    </w:p>
    <w:p w14:paraId="4B33A492">
      <w:pPr>
        <w:pStyle w:val="174"/>
        <w:rPr>
          <w:rFonts w:hint="eastAsia" w:asciiTheme="minorEastAsia" w:hAnsiTheme="minorEastAsia" w:eastAsiaTheme="minorEastAsia" w:cstheme="minorEastAsia"/>
          <w:color w:val="auto"/>
          <w:szCs w:val="21"/>
          <w:highlight w:val="none"/>
        </w:rPr>
      </w:pPr>
    </w:p>
    <w:p w14:paraId="7F71AE38">
      <w:pPr>
        <w:pStyle w:val="174"/>
        <w:rPr>
          <w:rFonts w:hint="eastAsia" w:asciiTheme="minorEastAsia" w:hAnsiTheme="minorEastAsia" w:eastAsiaTheme="minorEastAsia" w:cstheme="minorEastAsia"/>
          <w:color w:val="auto"/>
          <w:szCs w:val="21"/>
          <w:highlight w:val="none"/>
        </w:rPr>
      </w:pPr>
    </w:p>
    <w:p w14:paraId="197011AA">
      <w:pPr>
        <w:pStyle w:val="174"/>
        <w:rPr>
          <w:rFonts w:hint="eastAsia" w:asciiTheme="minorEastAsia" w:hAnsiTheme="minorEastAsia" w:eastAsiaTheme="minorEastAsia" w:cstheme="minorEastAsia"/>
          <w:color w:val="auto"/>
          <w:szCs w:val="21"/>
          <w:highlight w:val="none"/>
        </w:rPr>
      </w:pPr>
    </w:p>
    <w:p w14:paraId="7A5518F6">
      <w:pPr>
        <w:pStyle w:val="174"/>
        <w:rPr>
          <w:rFonts w:hint="eastAsia" w:asciiTheme="minorEastAsia" w:hAnsiTheme="minorEastAsia" w:eastAsiaTheme="minorEastAsia" w:cstheme="minorEastAsia"/>
          <w:color w:val="auto"/>
          <w:szCs w:val="21"/>
          <w:highlight w:val="none"/>
        </w:rPr>
      </w:pPr>
    </w:p>
    <w:p w14:paraId="18CF6344">
      <w:pPr>
        <w:pStyle w:val="174"/>
        <w:rPr>
          <w:rFonts w:hint="eastAsia" w:asciiTheme="minorEastAsia" w:hAnsiTheme="minorEastAsia" w:eastAsiaTheme="minorEastAsia" w:cstheme="minorEastAsia"/>
          <w:color w:val="auto"/>
          <w:szCs w:val="21"/>
          <w:highlight w:val="none"/>
        </w:rPr>
      </w:pPr>
    </w:p>
    <w:p w14:paraId="024AF442">
      <w:pPr>
        <w:pStyle w:val="174"/>
        <w:rPr>
          <w:rFonts w:hint="eastAsia" w:asciiTheme="minorEastAsia" w:hAnsiTheme="minorEastAsia" w:eastAsiaTheme="minorEastAsia" w:cstheme="minorEastAsia"/>
          <w:color w:val="auto"/>
          <w:szCs w:val="21"/>
          <w:highlight w:val="none"/>
        </w:rPr>
      </w:pPr>
    </w:p>
    <w:p w14:paraId="68DABCB8">
      <w:pPr>
        <w:pStyle w:val="4"/>
        <w:jc w:val="center"/>
        <w:rPr>
          <w:rFonts w:hint="eastAsia" w:ascii="宋体" w:hAnsi="宋体"/>
          <w:color w:val="auto"/>
          <w:highlight w:val="none"/>
        </w:rPr>
      </w:pPr>
      <w:r>
        <w:rPr>
          <w:rFonts w:hint="eastAsia" w:ascii="宋体" w:hAnsi="宋体"/>
          <w:color w:val="auto"/>
          <w:highlight w:val="none"/>
        </w:rPr>
        <w:t>第四节 报价文件格式</w:t>
      </w:r>
    </w:p>
    <w:p w14:paraId="678D6567">
      <w:pPr>
        <w:snapToGrid w:val="0"/>
        <w:spacing w:before="156"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全流程电子文件</w:t>
      </w:r>
    </w:p>
    <w:p w14:paraId="3522B423">
      <w:pPr>
        <w:snapToGrid w:val="0"/>
        <w:spacing w:before="156" w:beforeLines="50" w:after="50"/>
        <w:rPr>
          <w:rFonts w:hint="eastAsia" w:ascii="宋体" w:hAnsi="宋体"/>
          <w:color w:val="auto"/>
          <w:sz w:val="24"/>
          <w:szCs w:val="20"/>
          <w:highlight w:val="none"/>
        </w:rPr>
      </w:pPr>
    </w:p>
    <w:p w14:paraId="5D0E8DD9">
      <w:pPr>
        <w:snapToGrid w:val="0"/>
        <w:spacing w:before="156" w:beforeLines="50" w:after="50"/>
        <w:rPr>
          <w:rFonts w:hint="eastAsia" w:ascii="宋体" w:hAnsi="宋体"/>
          <w:color w:val="auto"/>
          <w:sz w:val="24"/>
          <w:szCs w:val="20"/>
          <w:highlight w:val="none"/>
        </w:rPr>
      </w:pPr>
    </w:p>
    <w:p w14:paraId="54FB3898">
      <w:pPr>
        <w:snapToGrid w:val="0"/>
        <w:spacing w:before="156" w:beforeLines="50" w:after="50"/>
        <w:rPr>
          <w:rFonts w:hint="eastAsia" w:ascii="宋体" w:hAnsi="宋体"/>
          <w:color w:val="auto"/>
          <w:sz w:val="24"/>
          <w:szCs w:val="20"/>
          <w:highlight w:val="none"/>
        </w:rPr>
      </w:pPr>
    </w:p>
    <w:p w14:paraId="485964A3">
      <w:pPr>
        <w:snapToGrid w:val="0"/>
        <w:spacing w:before="156"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 xml:space="preserve">报 </w:t>
      </w:r>
      <w:r>
        <w:rPr>
          <w:rFonts w:ascii="方正小标宋简体" w:hAnsi="方正小标宋简体" w:eastAsia="方正小标宋简体" w:cs="方正小标宋简体"/>
          <w:bCs/>
          <w:color w:val="auto"/>
          <w:sz w:val="44"/>
          <w:szCs w:val="44"/>
          <w:highlight w:val="none"/>
        </w:rPr>
        <w:t xml:space="preserve"> </w:t>
      </w:r>
      <w:r>
        <w:rPr>
          <w:rFonts w:hint="eastAsia" w:ascii="方正小标宋简体" w:hAnsi="方正小标宋简体" w:eastAsia="方正小标宋简体" w:cs="方正小标宋简体"/>
          <w:bCs/>
          <w:color w:val="auto"/>
          <w:sz w:val="44"/>
          <w:szCs w:val="44"/>
          <w:highlight w:val="none"/>
        </w:rPr>
        <w:t>价  文  件（封面）</w:t>
      </w:r>
    </w:p>
    <w:p w14:paraId="529A9889">
      <w:pPr>
        <w:snapToGrid w:val="0"/>
        <w:spacing w:before="156" w:beforeLines="50" w:after="50"/>
        <w:rPr>
          <w:rFonts w:hint="eastAsia" w:ascii="宋体" w:hAnsi="宋体"/>
          <w:bCs/>
          <w:color w:val="auto"/>
          <w:sz w:val="24"/>
          <w:szCs w:val="20"/>
          <w:highlight w:val="none"/>
        </w:rPr>
      </w:pPr>
    </w:p>
    <w:p w14:paraId="6960CD04">
      <w:pPr>
        <w:snapToGrid w:val="0"/>
        <w:spacing w:before="156" w:beforeLines="50" w:after="50"/>
        <w:rPr>
          <w:rFonts w:hint="eastAsia" w:ascii="宋体" w:hAnsi="宋体"/>
          <w:bCs/>
          <w:color w:val="auto"/>
          <w:sz w:val="24"/>
          <w:szCs w:val="20"/>
          <w:highlight w:val="none"/>
        </w:rPr>
      </w:pPr>
    </w:p>
    <w:p w14:paraId="335E3D6E">
      <w:pPr>
        <w:snapToGrid w:val="0"/>
        <w:spacing w:before="156" w:beforeLines="50" w:after="50"/>
        <w:rPr>
          <w:rFonts w:hint="eastAsia" w:ascii="宋体" w:hAnsi="宋体"/>
          <w:bCs/>
          <w:color w:val="auto"/>
          <w:sz w:val="24"/>
          <w:szCs w:val="20"/>
          <w:highlight w:val="none"/>
        </w:rPr>
      </w:pPr>
    </w:p>
    <w:p w14:paraId="1949C241">
      <w:pPr>
        <w:snapToGrid w:val="0"/>
        <w:spacing w:before="156" w:beforeLines="50" w:after="50"/>
        <w:rPr>
          <w:rFonts w:hint="eastAsia" w:ascii="宋体" w:hAnsi="宋体"/>
          <w:bCs/>
          <w:color w:val="auto"/>
          <w:sz w:val="24"/>
          <w:szCs w:val="20"/>
          <w:highlight w:val="none"/>
        </w:rPr>
      </w:pPr>
    </w:p>
    <w:p w14:paraId="34E984DC">
      <w:pPr>
        <w:snapToGrid w:val="0"/>
        <w:spacing w:before="156" w:beforeLines="50" w:after="50"/>
        <w:rPr>
          <w:rFonts w:hint="eastAsia" w:ascii="宋体" w:hAnsi="宋体"/>
          <w:bCs/>
          <w:color w:val="auto"/>
          <w:sz w:val="24"/>
          <w:szCs w:val="20"/>
          <w:highlight w:val="none"/>
        </w:rPr>
      </w:pPr>
    </w:p>
    <w:p w14:paraId="54D34814">
      <w:pPr>
        <w:snapToGrid w:val="0"/>
        <w:spacing w:before="156"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4B0CBEEF">
      <w:pPr>
        <w:snapToGrid w:val="0"/>
        <w:spacing w:before="156" w:beforeLines="50" w:after="50"/>
        <w:ind w:firstLine="720" w:firstLineChars="225"/>
        <w:rPr>
          <w:rFonts w:hint="eastAsia" w:ascii="宋体" w:hAnsi="宋体" w:cs="仿宋_GB2312"/>
          <w:bCs/>
          <w:color w:val="auto"/>
          <w:sz w:val="32"/>
          <w:szCs w:val="32"/>
          <w:highlight w:val="none"/>
        </w:rPr>
      </w:pPr>
    </w:p>
    <w:p w14:paraId="6E927940">
      <w:pPr>
        <w:snapToGrid w:val="0"/>
        <w:spacing w:before="156"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7A6165D9">
      <w:pPr>
        <w:snapToGrid w:val="0"/>
        <w:spacing w:before="156"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6DE59044">
      <w:pPr>
        <w:snapToGrid w:val="0"/>
        <w:spacing w:before="156"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1308AED0">
      <w:pPr>
        <w:snapToGrid w:val="0"/>
        <w:spacing w:before="156" w:beforeLines="50" w:after="50"/>
        <w:ind w:firstLine="720" w:firstLineChars="225"/>
        <w:rPr>
          <w:rFonts w:hint="eastAsia" w:ascii="宋体" w:hAnsi="宋体" w:cs="仿宋_GB2312"/>
          <w:bCs/>
          <w:color w:val="auto"/>
          <w:sz w:val="32"/>
          <w:szCs w:val="32"/>
          <w:highlight w:val="none"/>
        </w:rPr>
      </w:pPr>
    </w:p>
    <w:p w14:paraId="3B1CA367">
      <w:pPr>
        <w:pStyle w:val="8"/>
        <w:snapToGrid w:val="0"/>
        <w:spacing w:before="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645F7AF8">
      <w:pPr>
        <w:pStyle w:val="8"/>
        <w:snapToGrid w:val="0"/>
        <w:spacing w:before="50" w:after="50"/>
        <w:ind w:firstLine="720" w:firstLineChars="225"/>
        <w:rPr>
          <w:rFonts w:hint="eastAsia" w:ascii="宋体" w:hAnsi="宋体" w:cs="仿宋_GB2312"/>
          <w:bCs/>
          <w:color w:val="auto"/>
          <w:sz w:val="32"/>
          <w:szCs w:val="32"/>
          <w:highlight w:val="none"/>
        </w:rPr>
      </w:pPr>
    </w:p>
    <w:p w14:paraId="110E8E18">
      <w:pPr>
        <w:pStyle w:val="8"/>
        <w:snapToGrid w:val="0"/>
        <w:spacing w:before="50" w:after="50"/>
        <w:ind w:firstLine="720" w:firstLineChars="225"/>
        <w:rPr>
          <w:rFonts w:hint="eastAsia" w:ascii="宋体" w:hAnsi="宋体" w:cs="仿宋_GB2312"/>
          <w:bCs/>
          <w:color w:val="auto"/>
          <w:sz w:val="32"/>
          <w:szCs w:val="32"/>
          <w:highlight w:val="none"/>
        </w:rPr>
      </w:pPr>
    </w:p>
    <w:p w14:paraId="0022422E">
      <w:pPr>
        <w:pStyle w:val="8"/>
        <w:snapToGrid w:val="0"/>
        <w:spacing w:before="50" w:after="50"/>
        <w:ind w:firstLine="1280" w:firstLineChars="400"/>
        <w:rPr>
          <w:rFonts w:hint="eastAsia" w:ascii="宋体" w:hAnsi="宋体" w:cs="仿宋_GB2312"/>
          <w:bCs/>
          <w:color w:val="auto"/>
          <w:sz w:val="32"/>
          <w:szCs w:val="32"/>
          <w:highlight w:val="none"/>
        </w:rPr>
      </w:pPr>
    </w:p>
    <w:p w14:paraId="1DA40673">
      <w:pPr>
        <w:snapToGrid w:val="0"/>
        <w:spacing w:before="156"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682126FC">
      <w:pPr>
        <w:snapToGrid w:val="0"/>
        <w:spacing w:before="156" w:beforeLines="50" w:after="50" w:line="400" w:lineRule="exact"/>
        <w:jc w:val="center"/>
        <w:rPr>
          <w:rFonts w:hint="eastAsia" w:ascii="宋体" w:hAnsi="宋体"/>
          <w:color w:val="auto"/>
          <w:sz w:val="24"/>
          <w:highlight w:val="none"/>
        </w:rPr>
      </w:pPr>
      <w:r>
        <w:rPr>
          <w:rFonts w:ascii="宋体" w:hAnsi="宋体"/>
          <w:color w:val="auto"/>
          <w:sz w:val="24"/>
          <w:highlight w:val="none"/>
        </w:rPr>
        <w:br w:type="page"/>
      </w:r>
    </w:p>
    <w:p w14:paraId="0045A38C">
      <w:pPr>
        <w:snapToGrid w:val="0"/>
        <w:spacing w:before="156" w:beforeLines="50" w:after="50" w:line="400" w:lineRule="exact"/>
        <w:jc w:val="center"/>
        <w:rPr>
          <w:rFonts w:hint="eastAsia" w:ascii="宋体" w:hAnsi="宋体"/>
          <w:color w:val="auto"/>
          <w:sz w:val="24"/>
          <w:highlight w:val="none"/>
        </w:rPr>
      </w:pPr>
    </w:p>
    <w:p w14:paraId="3070D32F">
      <w:pPr>
        <w:snapToGrid w:val="0"/>
        <w:spacing w:before="156" w:beforeLines="50" w:after="50" w:line="400" w:lineRule="exact"/>
        <w:jc w:val="center"/>
        <w:rPr>
          <w:rFonts w:hint="eastAsia" w:ascii="宋体" w:hAnsi="宋体"/>
          <w:b/>
          <w:bCs/>
          <w:color w:val="auto"/>
          <w:sz w:val="32"/>
          <w:szCs w:val="32"/>
          <w:highlight w:val="none"/>
        </w:rPr>
      </w:pPr>
      <w:r>
        <w:rPr>
          <w:rFonts w:hint="eastAsia" w:ascii="宋体" w:hAnsi="宋体"/>
          <w:b/>
          <w:bCs/>
          <w:color w:val="auto"/>
          <w:sz w:val="32"/>
          <w:szCs w:val="32"/>
          <w:highlight w:val="none"/>
        </w:rPr>
        <w:t>报价文件目录</w:t>
      </w:r>
    </w:p>
    <w:p w14:paraId="7189B5A8">
      <w:pPr>
        <w:rPr>
          <w:rFonts w:hint="eastAsia" w:ascii="宋体" w:hAnsi="宋体" w:cs="宋体"/>
          <w:color w:val="auto"/>
          <w:sz w:val="24"/>
          <w:szCs w:val="24"/>
          <w:highlight w:val="none"/>
        </w:rPr>
      </w:pPr>
    </w:p>
    <w:p w14:paraId="471B2451">
      <w:pPr>
        <w:pStyle w:val="17"/>
        <w:spacing w:line="360" w:lineRule="auto"/>
        <w:rPr>
          <w:color w:val="auto"/>
          <w:highlight w:val="none"/>
        </w:rPr>
      </w:pPr>
    </w:p>
    <w:p w14:paraId="5AE71AAA">
      <w:pPr>
        <w:spacing w:line="360" w:lineRule="auto"/>
        <w:jc w:val="distribute"/>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pacing w:val="2"/>
          <w:sz w:val="24"/>
          <w:szCs w:val="24"/>
          <w:highlight w:val="none"/>
        </w:rPr>
        <w:t>一、磋商函</w:t>
      </w:r>
      <w:r>
        <w:rPr>
          <w:rFonts w:hint="eastAsia" w:asciiTheme="minorEastAsia" w:hAnsiTheme="minorEastAsia" w:eastAsiaTheme="minorEastAsia" w:cstheme="minorEastAsia"/>
          <w:color w:val="auto"/>
          <w:kern w:val="0"/>
          <w:sz w:val="24"/>
          <w:szCs w:val="24"/>
          <w:highlight w:val="none"/>
        </w:rPr>
        <w:t>………………………………………………………………………（页码）</w:t>
      </w:r>
    </w:p>
    <w:p w14:paraId="2924D4D0">
      <w:pPr>
        <w:pStyle w:val="2"/>
        <w:spacing w:line="360" w:lineRule="auto"/>
        <w:jc w:val="distribute"/>
        <w:rPr>
          <w:color w:val="auto"/>
          <w:highlight w:val="none"/>
        </w:rPr>
      </w:pPr>
      <w:r>
        <w:rPr>
          <w:rFonts w:hint="eastAsia" w:asciiTheme="minorEastAsia" w:hAnsiTheme="minorEastAsia" w:eastAsiaTheme="minorEastAsia" w:cstheme="minorEastAsia"/>
          <w:b w:val="0"/>
          <w:bCs w:val="0"/>
          <w:color w:val="auto"/>
          <w:spacing w:val="2"/>
          <w:sz w:val="24"/>
          <w:szCs w:val="24"/>
          <w:highlight w:val="none"/>
        </w:rPr>
        <w:t>二、磋商函附表………………………………………………………………（页码）</w:t>
      </w:r>
    </w:p>
    <w:p w14:paraId="6A8F33B2">
      <w:pPr>
        <w:spacing w:line="360" w:lineRule="auto"/>
        <w:jc w:val="distribute"/>
        <w:rPr>
          <w:rFonts w:hint="eastAsia" w:asciiTheme="minorEastAsia" w:hAnsiTheme="minorEastAsia" w:eastAsiaTheme="minorEastAsia" w:cstheme="minorEastAsia"/>
          <w:color w:val="auto"/>
          <w:spacing w:val="2"/>
          <w:sz w:val="24"/>
          <w:szCs w:val="24"/>
          <w:highlight w:val="none"/>
        </w:rPr>
      </w:pPr>
      <w:r>
        <w:rPr>
          <w:rFonts w:hint="eastAsia" w:asciiTheme="minorEastAsia" w:hAnsiTheme="minorEastAsia" w:eastAsiaTheme="minorEastAsia" w:cstheme="minorEastAsia"/>
          <w:color w:val="auto"/>
          <w:spacing w:val="2"/>
          <w:sz w:val="24"/>
          <w:szCs w:val="24"/>
          <w:highlight w:val="none"/>
        </w:rPr>
        <w:t>三、磋商报价表………………………………………………………………（页码）</w:t>
      </w:r>
    </w:p>
    <w:p w14:paraId="4BC23A9E">
      <w:pPr>
        <w:spacing w:line="360" w:lineRule="auto"/>
        <w:jc w:val="distribute"/>
        <w:rPr>
          <w:rFonts w:hint="eastAsia" w:asciiTheme="minorEastAsia" w:hAnsiTheme="minorEastAsia" w:eastAsiaTheme="minorEastAsia" w:cstheme="minorEastAsia"/>
          <w:color w:val="auto"/>
          <w:spacing w:val="2"/>
          <w:sz w:val="24"/>
          <w:szCs w:val="24"/>
          <w:highlight w:val="none"/>
        </w:rPr>
      </w:pPr>
      <w:r>
        <w:rPr>
          <w:rFonts w:hint="eastAsia" w:asciiTheme="minorEastAsia" w:hAnsiTheme="minorEastAsia" w:eastAsiaTheme="minorEastAsia" w:cstheme="minorEastAsia"/>
          <w:color w:val="auto"/>
          <w:spacing w:val="2"/>
          <w:sz w:val="24"/>
          <w:szCs w:val="24"/>
          <w:highlight w:val="none"/>
        </w:rPr>
        <w:t>四、已标价的工程量清单报价有关材料……………………………………（页码）</w:t>
      </w:r>
    </w:p>
    <w:p w14:paraId="09F4A942">
      <w:pPr>
        <w:pStyle w:val="6"/>
        <w:rPr>
          <w:color w:val="auto"/>
          <w:highlight w:val="none"/>
        </w:rPr>
      </w:pPr>
    </w:p>
    <w:p w14:paraId="23AE3CA9">
      <w:pPr>
        <w:pStyle w:val="42"/>
        <w:ind w:firstLine="482"/>
        <w:rPr>
          <w:color w:val="auto"/>
          <w:highlight w:val="none"/>
        </w:rPr>
      </w:pPr>
    </w:p>
    <w:p w14:paraId="1B01E675">
      <w:pPr>
        <w:pStyle w:val="42"/>
        <w:ind w:firstLine="482"/>
        <w:rPr>
          <w:color w:val="auto"/>
          <w:highlight w:val="none"/>
        </w:rPr>
      </w:pPr>
    </w:p>
    <w:p w14:paraId="04EDEDB2">
      <w:pPr>
        <w:pStyle w:val="42"/>
        <w:ind w:firstLine="482"/>
        <w:rPr>
          <w:color w:val="auto"/>
          <w:highlight w:val="none"/>
        </w:rPr>
      </w:pPr>
    </w:p>
    <w:p w14:paraId="2A081152">
      <w:pPr>
        <w:pStyle w:val="42"/>
        <w:ind w:firstLine="482"/>
        <w:rPr>
          <w:color w:val="auto"/>
          <w:highlight w:val="none"/>
        </w:rPr>
      </w:pPr>
    </w:p>
    <w:p w14:paraId="6EEAE5D1">
      <w:pPr>
        <w:pStyle w:val="42"/>
        <w:ind w:firstLine="482"/>
        <w:rPr>
          <w:color w:val="auto"/>
          <w:highlight w:val="none"/>
        </w:rPr>
      </w:pPr>
    </w:p>
    <w:p w14:paraId="12995573">
      <w:pPr>
        <w:pStyle w:val="42"/>
        <w:ind w:firstLine="482"/>
        <w:rPr>
          <w:color w:val="auto"/>
          <w:highlight w:val="none"/>
        </w:rPr>
      </w:pPr>
    </w:p>
    <w:p w14:paraId="661491FB">
      <w:pPr>
        <w:pStyle w:val="42"/>
        <w:ind w:firstLine="482"/>
        <w:rPr>
          <w:color w:val="auto"/>
          <w:highlight w:val="none"/>
        </w:rPr>
      </w:pPr>
    </w:p>
    <w:p w14:paraId="33BB9FC0">
      <w:pPr>
        <w:pStyle w:val="42"/>
        <w:ind w:firstLine="482"/>
        <w:rPr>
          <w:color w:val="auto"/>
          <w:highlight w:val="none"/>
        </w:rPr>
      </w:pPr>
    </w:p>
    <w:p w14:paraId="1AD28A08">
      <w:pPr>
        <w:pStyle w:val="42"/>
        <w:ind w:firstLine="482"/>
        <w:rPr>
          <w:color w:val="auto"/>
          <w:highlight w:val="none"/>
        </w:rPr>
      </w:pPr>
    </w:p>
    <w:p w14:paraId="25243A10">
      <w:pPr>
        <w:pStyle w:val="42"/>
        <w:ind w:firstLine="482"/>
        <w:rPr>
          <w:color w:val="auto"/>
          <w:highlight w:val="none"/>
        </w:rPr>
      </w:pPr>
    </w:p>
    <w:p w14:paraId="04ED99D8">
      <w:pPr>
        <w:pStyle w:val="42"/>
        <w:ind w:firstLine="482"/>
        <w:rPr>
          <w:color w:val="auto"/>
          <w:highlight w:val="none"/>
        </w:rPr>
      </w:pPr>
    </w:p>
    <w:p w14:paraId="794F309C">
      <w:pPr>
        <w:pStyle w:val="42"/>
        <w:ind w:firstLine="482"/>
        <w:rPr>
          <w:color w:val="auto"/>
          <w:highlight w:val="none"/>
        </w:rPr>
      </w:pPr>
    </w:p>
    <w:p w14:paraId="51904DEB">
      <w:pPr>
        <w:pStyle w:val="42"/>
        <w:ind w:firstLine="482"/>
        <w:rPr>
          <w:color w:val="auto"/>
          <w:highlight w:val="none"/>
        </w:rPr>
      </w:pPr>
    </w:p>
    <w:p w14:paraId="123427FA">
      <w:pPr>
        <w:numPr>
          <w:ilvl w:val="0"/>
          <w:numId w:val="14"/>
        </w:numPr>
        <w:spacing w:line="400" w:lineRule="exact"/>
        <w:jc w:val="center"/>
        <w:rPr>
          <w:rFonts w:hint="eastAsia" w:asciiTheme="minorEastAsia" w:hAnsiTheme="minorEastAsia" w:eastAsiaTheme="minorEastAsia" w:cstheme="minorEastAsia"/>
          <w:b/>
          <w:bCs/>
          <w:color w:val="auto"/>
          <w:kern w:val="0"/>
          <w:sz w:val="30"/>
          <w:szCs w:val="30"/>
          <w:highlight w:val="none"/>
        </w:rPr>
      </w:pPr>
      <w:r>
        <w:rPr>
          <w:rFonts w:hint="eastAsia" w:asciiTheme="minorEastAsia" w:hAnsiTheme="minorEastAsia" w:eastAsiaTheme="minorEastAsia" w:cstheme="minorEastAsia"/>
          <w:b/>
          <w:bCs/>
          <w:color w:val="auto"/>
          <w:kern w:val="0"/>
          <w:sz w:val="30"/>
          <w:szCs w:val="30"/>
          <w:highlight w:val="none"/>
        </w:rPr>
        <w:t>磋商函</w:t>
      </w:r>
    </w:p>
    <w:p w14:paraId="2AF43B5C">
      <w:pPr>
        <w:spacing w:line="380" w:lineRule="exact"/>
        <w:rPr>
          <w:rFonts w:hint="eastAsia" w:asciiTheme="minorEastAsia" w:hAnsiTheme="minorEastAsia" w:eastAsiaTheme="minorEastAsia" w:cstheme="minorEastAsia"/>
          <w:color w:val="auto"/>
          <w:highlight w:val="none"/>
        </w:rPr>
      </w:pPr>
    </w:p>
    <w:p w14:paraId="2C21607C">
      <w:pPr>
        <w:spacing w:line="380" w:lineRule="exact"/>
        <w:rPr>
          <w:rFonts w:hint="eastAsia" w:asciiTheme="minorEastAsia" w:hAnsiTheme="minorEastAsia" w:eastAsiaTheme="minorEastAsia" w:cstheme="minorEastAsia"/>
          <w:color w:val="auto"/>
          <w:highlight w:val="none"/>
        </w:rPr>
      </w:pPr>
    </w:p>
    <w:p w14:paraId="04C8EB02">
      <w:pPr>
        <w:spacing w:line="38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致</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（采购单位名称）：</w:t>
      </w:r>
    </w:p>
    <w:p w14:paraId="68F51AC5">
      <w:pPr>
        <w:spacing w:line="380" w:lineRule="exact"/>
        <w:ind w:firstLine="63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 我公司根据收到并研究了</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工程（项目编号：</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）的竞争性磋商采购文件，愿意按竞争性磋商采购文件规定的内容承担该工程的施工任务，严格执行磋商供应商所承诺的责任和义务。</w:t>
      </w:r>
    </w:p>
    <w:p w14:paraId="6408D4E0">
      <w:pPr>
        <w:spacing w:line="380" w:lineRule="exact"/>
        <w:ind w:firstLine="525" w:firstLineChars="25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w:t>
      </w:r>
      <w:r>
        <w:rPr>
          <w:rFonts w:hint="eastAsia" w:asciiTheme="minorEastAsia" w:hAnsiTheme="minorEastAsia" w:eastAsiaTheme="minorEastAsia" w:cstheme="minorEastAsia"/>
          <w:color w:val="auto"/>
          <w:spacing w:val="8"/>
          <w:highlight w:val="none"/>
        </w:rPr>
        <w:t>我单位经考察现场和研究上述工程竞争性磋商采购文件的磋商须知前附表及磋商须知、合同条件、工程建设标准及其他有关文件后，我方</w:t>
      </w:r>
      <w:r>
        <w:rPr>
          <w:rFonts w:hint="eastAsia" w:asciiTheme="minorEastAsia" w:hAnsiTheme="minorEastAsia" w:eastAsiaTheme="minorEastAsia" w:cstheme="minorEastAsia"/>
          <w:bCs/>
          <w:color w:val="auto"/>
          <w:highlight w:val="none"/>
        </w:rPr>
        <w:t>愿以：人民币</w:t>
      </w:r>
      <w:r>
        <w:rPr>
          <w:rFonts w:hint="eastAsia" w:asciiTheme="minorEastAsia" w:hAnsiTheme="minorEastAsia" w:eastAsiaTheme="minorEastAsia" w:cstheme="minorEastAsia"/>
          <w:bCs/>
          <w:color w:val="auto"/>
          <w:highlight w:val="none"/>
          <w:u w:val="single"/>
        </w:rPr>
        <w:t xml:space="preserve">（大写）                  （小写）            </w:t>
      </w:r>
      <w:r>
        <w:rPr>
          <w:rFonts w:hint="eastAsia" w:asciiTheme="minorEastAsia" w:hAnsiTheme="minorEastAsia" w:eastAsiaTheme="minorEastAsia" w:cstheme="minorEastAsia"/>
          <w:bCs/>
          <w:color w:val="auto"/>
          <w:highlight w:val="none"/>
        </w:rPr>
        <w:t>的磋商报价</w:t>
      </w:r>
      <w:r>
        <w:rPr>
          <w:rFonts w:hint="eastAsia" w:asciiTheme="minorEastAsia" w:hAnsiTheme="minorEastAsia" w:eastAsiaTheme="minorEastAsia" w:cstheme="minorEastAsia"/>
          <w:bCs/>
          <w:color w:val="auto"/>
          <w:spacing w:val="8"/>
          <w:highlight w:val="none"/>
        </w:rPr>
        <w:t>，安全文明施工费为：</w:t>
      </w:r>
      <w:r>
        <w:rPr>
          <w:rFonts w:hint="eastAsia" w:asciiTheme="minorEastAsia" w:hAnsiTheme="minorEastAsia" w:eastAsiaTheme="minorEastAsia" w:cstheme="minorEastAsia"/>
          <w:bCs/>
          <w:color w:val="auto"/>
          <w:highlight w:val="none"/>
        </w:rPr>
        <w:t>人民币</w:t>
      </w:r>
      <w:r>
        <w:rPr>
          <w:rFonts w:hint="eastAsia" w:asciiTheme="minorEastAsia" w:hAnsiTheme="minorEastAsia" w:eastAsiaTheme="minorEastAsia" w:cstheme="minorEastAsia"/>
          <w:bCs/>
          <w:color w:val="auto"/>
          <w:highlight w:val="none"/>
          <w:u w:val="single"/>
        </w:rPr>
        <w:t>（大写）                  （小写）            ，</w:t>
      </w:r>
      <w:r>
        <w:rPr>
          <w:rFonts w:hint="eastAsia" w:asciiTheme="minorEastAsia" w:hAnsiTheme="minorEastAsia" w:eastAsiaTheme="minorEastAsia" w:cstheme="minorEastAsia"/>
          <w:bCs/>
          <w:color w:val="auto"/>
          <w:highlight w:val="none"/>
        </w:rPr>
        <w:t>并按上述工程量清单、合</w:t>
      </w:r>
      <w:r>
        <w:rPr>
          <w:rFonts w:hint="eastAsia" w:asciiTheme="minorEastAsia" w:hAnsiTheme="minorEastAsia" w:eastAsiaTheme="minorEastAsia" w:cstheme="minorEastAsia"/>
          <w:color w:val="auto"/>
          <w:highlight w:val="none"/>
        </w:rPr>
        <w:t>同条款、工程建设标准的条件要求承包工程的施工、竣工，并承担任何质量缺陷保修责任。</w:t>
      </w:r>
    </w:p>
    <w:p w14:paraId="56D9F142">
      <w:pPr>
        <w:pStyle w:val="2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     3、一旦我方成交，我方保证：在签订合同后</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天内开工，</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天（日历天）内竣工并移交整个工程，并保证工程质量达到</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等级；</w:t>
      </w:r>
    </w:p>
    <w:p w14:paraId="2E5E624F">
      <w:pPr>
        <w:spacing w:line="380" w:lineRule="exact"/>
        <w:ind w:firstLine="525" w:firstLineChars="25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4、我方同意所递交的响应文件在“磋商须知前附表及磋商须知”第13条规定的竞标有效期内有效，在此期间内我方的竞标有可能成交，我方将受此约束。</w:t>
      </w:r>
    </w:p>
    <w:p w14:paraId="1B71EF6B">
      <w:pPr>
        <w:spacing w:line="380" w:lineRule="exact"/>
        <w:ind w:firstLine="52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5、一旦成交，我公司保证按照竞争性磋商采购文件的要求和与采购人签订的工程施工合同，成立本工程的项目部，按响应文件拟订的项目经理和专业技术人员进驻施工现场实施施工合同。</w:t>
      </w:r>
    </w:p>
    <w:p w14:paraId="01AD64FE">
      <w:pPr>
        <w:spacing w:line="380" w:lineRule="exact"/>
        <w:ind w:firstLine="52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 我公司同意从竞标之日起至施工合同终止之日止，遵守本响应文件，在此期间，本响应文件一直对我公司具有约束力。同时，在制定和执行正式合同之前，除非另外达成协议并生效，本响应文件连同</w:t>
      </w:r>
      <w:r>
        <w:rPr>
          <w:rFonts w:hint="eastAsia" w:asciiTheme="minorEastAsia" w:hAnsiTheme="minorEastAsia" w:eastAsiaTheme="minorEastAsia" w:cstheme="minorEastAsia"/>
          <w:color w:val="auto"/>
          <w:spacing w:val="2"/>
          <w:highlight w:val="none"/>
        </w:rPr>
        <w:t>采购代理机构</w:t>
      </w:r>
      <w:r>
        <w:rPr>
          <w:rFonts w:hint="eastAsia" w:asciiTheme="minorEastAsia" w:hAnsiTheme="minorEastAsia" w:eastAsiaTheme="minorEastAsia" w:cstheme="minorEastAsia"/>
          <w:color w:val="auto"/>
          <w:highlight w:val="none"/>
        </w:rPr>
        <w:t>发出的成交通知书，应构成我们之间有约束力的合同。</w:t>
      </w:r>
    </w:p>
    <w:p w14:paraId="60B12645">
      <w:pPr>
        <w:spacing w:line="380" w:lineRule="exact"/>
        <w:rPr>
          <w:rFonts w:hint="eastAsia" w:asciiTheme="minorEastAsia" w:hAnsiTheme="minorEastAsia" w:eastAsiaTheme="minorEastAsia" w:cstheme="minorEastAsia"/>
          <w:color w:val="auto"/>
          <w:highlight w:val="none"/>
        </w:rPr>
      </w:pPr>
    </w:p>
    <w:p w14:paraId="6168CB34">
      <w:pPr>
        <w:spacing w:line="380" w:lineRule="exact"/>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磋商供应商（盖章）：</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 xml:space="preserve">     法定代表人（签字、盖章）：</w:t>
      </w:r>
      <w:r>
        <w:rPr>
          <w:rFonts w:hint="eastAsia" w:asciiTheme="minorEastAsia" w:hAnsiTheme="minorEastAsia" w:eastAsiaTheme="minorEastAsia" w:cstheme="minorEastAsia"/>
          <w:color w:val="auto"/>
          <w:highlight w:val="none"/>
          <w:u w:val="single"/>
        </w:rPr>
        <w:t xml:space="preserve">                </w:t>
      </w:r>
    </w:p>
    <w:p w14:paraId="7C009B9D">
      <w:pPr>
        <w:spacing w:line="38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地址：                                 邮政编码：</w:t>
      </w:r>
    </w:p>
    <w:p w14:paraId="50CD581E">
      <w:pPr>
        <w:spacing w:line="38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电话：</w:t>
      </w:r>
    </w:p>
    <w:p w14:paraId="5BE0A529">
      <w:pPr>
        <w:spacing w:line="38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开户银行名称：                     </w:t>
      </w:r>
    </w:p>
    <w:p w14:paraId="7AB53AD7">
      <w:pPr>
        <w:spacing w:line="38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银行</w:t>
      </w:r>
      <w:r>
        <w:rPr>
          <w:rFonts w:hint="eastAsia" w:asciiTheme="minorEastAsia" w:hAnsiTheme="minorEastAsia" w:eastAsiaTheme="minorEastAsia" w:cstheme="minorEastAsia"/>
          <w:color w:val="auto"/>
          <w:highlight w:val="none"/>
          <w:lang w:val="en-US" w:eastAsia="zh-CN"/>
        </w:rPr>
        <w:t>账</w:t>
      </w:r>
      <w:r>
        <w:rPr>
          <w:rFonts w:hint="eastAsia" w:asciiTheme="minorEastAsia" w:hAnsiTheme="minorEastAsia" w:eastAsiaTheme="minorEastAsia" w:cstheme="minorEastAsia"/>
          <w:color w:val="auto"/>
          <w:highlight w:val="none"/>
        </w:rPr>
        <w:t>号：</w:t>
      </w:r>
    </w:p>
    <w:p w14:paraId="4108A210">
      <w:pPr>
        <w:spacing w:line="38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开户行地址：     </w:t>
      </w:r>
    </w:p>
    <w:p w14:paraId="40B6A9C9">
      <w:pPr>
        <w:spacing w:line="38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日期：      年    月    日 </w:t>
      </w:r>
    </w:p>
    <w:p w14:paraId="3DDB65B7">
      <w:pPr>
        <w:pStyle w:val="6"/>
        <w:rPr>
          <w:color w:val="auto"/>
          <w:highlight w:val="none"/>
        </w:rPr>
      </w:pPr>
      <w:r>
        <w:rPr>
          <w:rFonts w:hint="eastAsia" w:asciiTheme="minorEastAsia" w:hAnsiTheme="minorEastAsia" w:eastAsiaTheme="minorEastAsia" w:cstheme="minorEastAsia"/>
          <w:color w:val="auto"/>
          <w:highlight w:val="none"/>
        </w:rPr>
        <w:br w:type="page"/>
      </w:r>
    </w:p>
    <w:p w14:paraId="193644AF">
      <w:pPr>
        <w:numPr>
          <w:ilvl w:val="0"/>
          <w:numId w:val="14"/>
        </w:numPr>
        <w:spacing w:line="400" w:lineRule="exact"/>
        <w:jc w:val="center"/>
        <w:rPr>
          <w:rFonts w:hint="eastAsia" w:asciiTheme="minorEastAsia" w:hAnsiTheme="minorEastAsia" w:eastAsiaTheme="minorEastAsia" w:cstheme="minorEastAsia"/>
          <w:b/>
          <w:bCs/>
          <w:color w:val="auto"/>
          <w:kern w:val="0"/>
          <w:sz w:val="30"/>
          <w:szCs w:val="30"/>
          <w:highlight w:val="none"/>
        </w:rPr>
      </w:pPr>
      <w:r>
        <w:rPr>
          <w:rFonts w:hint="eastAsia" w:asciiTheme="minorEastAsia" w:hAnsiTheme="minorEastAsia" w:eastAsiaTheme="minorEastAsia" w:cstheme="minorEastAsia"/>
          <w:b/>
          <w:bCs/>
          <w:color w:val="auto"/>
          <w:kern w:val="0"/>
          <w:sz w:val="30"/>
          <w:szCs w:val="30"/>
          <w:highlight w:val="none"/>
        </w:rPr>
        <w:t>磋商函附表</w:t>
      </w:r>
    </w:p>
    <w:p w14:paraId="4509CB31">
      <w:pPr>
        <w:pStyle w:val="2"/>
        <w:rPr>
          <w:color w:val="auto"/>
          <w:highlight w:val="none"/>
        </w:rPr>
      </w:pPr>
    </w:p>
    <w:tbl>
      <w:tblPr>
        <w:tblStyle w:val="44"/>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6"/>
        <w:gridCol w:w="2381"/>
        <w:gridCol w:w="3496"/>
        <w:gridCol w:w="2665"/>
      </w:tblGrid>
      <w:tr w14:paraId="6D31D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596" w:type="dxa"/>
            <w:tcBorders>
              <w:top w:val="single" w:color="auto" w:sz="4" w:space="0"/>
              <w:left w:val="single" w:color="auto" w:sz="4" w:space="0"/>
              <w:bottom w:val="single" w:color="auto" w:sz="4" w:space="0"/>
              <w:right w:val="single" w:color="auto" w:sz="4" w:space="0"/>
            </w:tcBorders>
            <w:vAlign w:val="center"/>
          </w:tcPr>
          <w:p w14:paraId="6232609B">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序 号</w:t>
            </w:r>
          </w:p>
        </w:tc>
        <w:tc>
          <w:tcPr>
            <w:tcW w:w="2381" w:type="dxa"/>
            <w:tcBorders>
              <w:top w:val="single" w:color="auto" w:sz="4" w:space="0"/>
              <w:left w:val="single" w:color="auto" w:sz="4" w:space="0"/>
              <w:bottom w:val="single" w:color="auto" w:sz="4" w:space="0"/>
              <w:right w:val="single" w:color="auto" w:sz="4" w:space="0"/>
            </w:tcBorders>
            <w:vAlign w:val="center"/>
          </w:tcPr>
          <w:p w14:paraId="03C3F363">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条款内容</w:t>
            </w:r>
          </w:p>
        </w:tc>
        <w:tc>
          <w:tcPr>
            <w:tcW w:w="3496" w:type="dxa"/>
            <w:tcBorders>
              <w:top w:val="single" w:color="auto" w:sz="4" w:space="0"/>
              <w:left w:val="single" w:color="auto" w:sz="4" w:space="0"/>
              <w:bottom w:val="single" w:color="auto" w:sz="4" w:space="0"/>
              <w:right w:val="single" w:color="auto" w:sz="4" w:space="0"/>
            </w:tcBorders>
            <w:vAlign w:val="center"/>
          </w:tcPr>
          <w:p w14:paraId="4773C38C">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约定内容</w:t>
            </w:r>
          </w:p>
        </w:tc>
        <w:tc>
          <w:tcPr>
            <w:tcW w:w="2665" w:type="dxa"/>
            <w:tcBorders>
              <w:top w:val="single" w:color="auto" w:sz="4" w:space="0"/>
              <w:left w:val="single" w:color="auto" w:sz="4" w:space="0"/>
              <w:bottom w:val="single" w:color="auto" w:sz="4" w:space="0"/>
              <w:right w:val="single" w:color="auto" w:sz="4" w:space="0"/>
            </w:tcBorders>
            <w:vAlign w:val="center"/>
          </w:tcPr>
          <w:p w14:paraId="50366920">
            <w:pPr>
              <w:jc w:val="center"/>
              <w:rPr>
                <w:rFonts w:hint="eastAsia" w:asciiTheme="minorEastAsia" w:hAnsiTheme="minorEastAsia" w:eastAsiaTheme="minorEastAsia" w:cstheme="minorEastAsia"/>
                <w:color w:val="auto"/>
                <w:highlight w:val="none"/>
              </w:rPr>
            </w:pPr>
            <w:r>
              <w:rPr>
                <w:rFonts w:hint="eastAsia" w:cs="宋体"/>
                <w:color w:val="auto"/>
                <w:highlight w:val="none"/>
              </w:rPr>
              <w:t>供应商响应情况</w:t>
            </w:r>
          </w:p>
        </w:tc>
      </w:tr>
      <w:tr w14:paraId="0ACBC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596" w:type="dxa"/>
            <w:tcBorders>
              <w:top w:val="single" w:color="auto" w:sz="4" w:space="0"/>
              <w:left w:val="single" w:color="auto" w:sz="4" w:space="0"/>
              <w:bottom w:val="single" w:color="auto" w:sz="4" w:space="0"/>
              <w:right w:val="single" w:color="auto" w:sz="4" w:space="0"/>
            </w:tcBorders>
            <w:vAlign w:val="center"/>
          </w:tcPr>
          <w:p w14:paraId="7128B05F">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w:t>
            </w:r>
          </w:p>
        </w:tc>
        <w:tc>
          <w:tcPr>
            <w:tcW w:w="2381" w:type="dxa"/>
            <w:tcBorders>
              <w:top w:val="single" w:color="auto" w:sz="4" w:space="0"/>
              <w:left w:val="single" w:color="auto" w:sz="4" w:space="0"/>
              <w:bottom w:val="single" w:color="auto" w:sz="4" w:space="0"/>
              <w:right w:val="single" w:color="auto" w:sz="4" w:space="0"/>
            </w:tcBorders>
            <w:vAlign w:val="center"/>
          </w:tcPr>
          <w:p w14:paraId="106DCF44">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项目经理</w:t>
            </w:r>
          </w:p>
        </w:tc>
        <w:tc>
          <w:tcPr>
            <w:tcW w:w="3496" w:type="dxa"/>
            <w:tcBorders>
              <w:top w:val="single" w:color="auto" w:sz="4" w:space="0"/>
              <w:left w:val="single" w:color="auto" w:sz="4" w:space="0"/>
              <w:bottom w:val="single" w:color="auto" w:sz="4" w:space="0"/>
              <w:right w:val="single" w:color="auto" w:sz="4" w:space="0"/>
            </w:tcBorders>
            <w:vAlign w:val="center"/>
          </w:tcPr>
          <w:p w14:paraId="160AC134">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姓名：</w:t>
            </w:r>
            <w:r>
              <w:rPr>
                <w:rFonts w:hint="eastAsia" w:asciiTheme="minorEastAsia" w:hAnsiTheme="minorEastAsia" w:eastAsiaTheme="minorEastAsia" w:cstheme="minorEastAsia"/>
                <w:color w:val="auto"/>
                <w:highlight w:val="none"/>
                <w:u w:val="single"/>
              </w:rPr>
              <w:t xml:space="preserve">          </w:t>
            </w:r>
          </w:p>
        </w:tc>
        <w:tc>
          <w:tcPr>
            <w:tcW w:w="2665" w:type="dxa"/>
            <w:tcBorders>
              <w:top w:val="single" w:color="auto" w:sz="4" w:space="0"/>
              <w:left w:val="single" w:color="auto" w:sz="4" w:space="0"/>
              <w:bottom w:val="single" w:color="auto" w:sz="4" w:space="0"/>
              <w:right w:val="single" w:color="auto" w:sz="4" w:space="0"/>
            </w:tcBorders>
            <w:vAlign w:val="center"/>
          </w:tcPr>
          <w:p w14:paraId="0C88EF2F">
            <w:pPr>
              <w:jc w:val="center"/>
              <w:rPr>
                <w:rFonts w:hint="eastAsia" w:asciiTheme="minorEastAsia" w:hAnsiTheme="minorEastAsia" w:eastAsiaTheme="minorEastAsia" w:cstheme="minorEastAsia"/>
                <w:color w:val="auto"/>
                <w:highlight w:val="none"/>
              </w:rPr>
            </w:pPr>
          </w:p>
        </w:tc>
      </w:tr>
      <w:tr w14:paraId="724AC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596" w:type="dxa"/>
            <w:tcBorders>
              <w:top w:val="single" w:color="auto" w:sz="4" w:space="0"/>
              <w:left w:val="single" w:color="auto" w:sz="4" w:space="0"/>
              <w:bottom w:val="single" w:color="auto" w:sz="4" w:space="0"/>
              <w:right w:val="single" w:color="auto" w:sz="4" w:space="0"/>
            </w:tcBorders>
            <w:vAlign w:val="center"/>
          </w:tcPr>
          <w:p w14:paraId="122F0044">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w:t>
            </w:r>
          </w:p>
        </w:tc>
        <w:tc>
          <w:tcPr>
            <w:tcW w:w="2381" w:type="dxa"/>
            <w:tcBorders>
              <w:top w:val="single" w:color="auto" w:sz="4" w:space="0"/>
              <w:left w:val="single" w:color="auto" w:sz="4" w:space="0"/>
              <w:bottom w:val="single" w:color="auto" w:sz="4" w:space="0"/>
              <w:right w:val="single" w:color="auto" w:sz="4" w:space="0"/>
            </w:tcBorders>
            <w:vAlign w:val="center"/>
          </w:tcPr>
          <w:p w14:paraId="60EEF5BA">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竞标有效期</w:t>
            </w:r>
          </w:p>
        </w:tc>
        <w:tc>
          <w:tcPr>
            <w:tcW w:w="3496" w:type="dxa"/>
            <w:tcBorders>
              <w:top w:val="single" w:color="auto" w:sz="4" w:space="0"/>
              <w:left w:val="single" w:color="auto" w:sz="4" w:space="0"/>
              <w:bottom w:val="single" w:color="auto" w:sz="4" w:space="0"/>
              <w:right w:val="single" w:color="auto" w:sz="4" w:space="0"/>
            </w:tcBorders>
            <w:vAlign w:val="center"/>
          </w:tcPr>
          <w:p w14:paraId="5DB06E37">
            <w:pPr>
              <w:jc w:val="center"/>
              <w:rPr>
                <w:rFonts w:hint="eastAsia" w:ascii="宋体" w:hAnsi="宋体" w:cs="宋体"/>
                <w:color w:val="auto"/>
                <w:highlight w:val="none"/>
                <w:u w:val="single"/>
              </w:rPr>
            </w:pPr>
            <w:r>
              <w:rPr>
                <w:rFonts w:hint="eastAsia" w:ascii="宋体" w:hAnsi="宋体" w:cs="宋体"/>
                <w:color w:val="auto"/>
                <w:highlight w:val="none"/>
                <w:u w:val="single"/>
              </w:rPr>
              <w:t xml:space="preserve">90 </w:t>
            </w:r>
            <w:r>
              <w:rPr>
                <w:rFonts w:hint="eastAsia" w:ascii="宋体" w:hAnsi="宋体" w:cs="宋体"/>
                <w:color w:val="auto"/>
                <w:highlight w:val="none"/>
              </w:rPr>
              <w:t>日历天</w:t>
            </w:r>
          </w:p>
        </w:tc>
        <w:tc>
          <w:tcPr>
            <w:tcW w:w="2665" w:type="dxa"/>
            <w:tcBorders>
              <w:top w:val="single" w:color="auto" w:sz="4" w:space="0"/>
              <w:left w:val="single" w:color="auto" w:sz="4" w:space="0"/>
              <w:bottom w:val="single" w:color="auto" w:sz="4" w:space="0"/>
              <w:right w:val="single" w:color="auto" w:sz="4" w:space="0"/>
            </w:tcBorders>
            <w:vAlign w:val="center"/>
          </w:tcPr>
          <w:p w14:paraId="42E6F222">
            <w:pPr>
              <w:jc w:val="center"/>
              <w:rPr>
                <w:rFonts w:hint="eastAsia" w:asciiTheme="minorEastAsia" w:hAnsiTheme="minorEastAsia" w:eastAsiaTheme="minorEastAsia" w:cstheme="minorEastAsia"/>
                <w:color w:val="auto"/>
                <w:highlight w:val="none"/>
              </w:rPr>
            </w:pPr>
          </w:p>
        </w:tc>
      </w:tr>
      <w:tr w14:paraId="6D3BA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596" w:type="dxa"/>
            <w:tcBorders>
              <w:top w:val="single" w:color="auto" w:sz="4" w:space="0"/>
              <w:left w:val="single" w:color="auto" w:sz="4" w:space="0"/>
              <w:bottom w:val="single" w:color="auto" w:sz="4" w:space="0"/>
              <w:right w:val="single" w:color="auto" w:sz="4" w:space="0"/>
            </w:tcBorders>
            <w:vAlign w:val="center"/>
          </w:tcPr>
          <w:p w14:paraId="48E2DBE9">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w:t>
            </w:r>
          </w:p>
        </w:tc>
        <w:tc>
          <w:tcPr>
            <w:tcW w:w="2381" w:type="dxa"/>
            <w:tcBorders>
              <w:top w:val="single" w:color="auto" w:sz="4" w:space="0"/>
              <w:left w:val="single" w:color="auto" w:sz="4" w:space="0"/>
              <w:bottom w:val="single" w:color="auto" w:sz="4" w:space="0"/>
              <w:right w:val="single" w:color="auto" w:sz="4" w:space="0"/>
            </w:tcBorders>
            <w:vAlign w:val="center"/>
          </w:tcPr>
          <w:p w14:paraId="1231A3BD">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工期</w:t>
            </w:r>
          </w:p>
        </w:tc>
        <w:tc>
          <w:tcPr>
            <w:tcW w:w="3496" w:type="dxa"/>
            <w:tcBorders>
              <w:top w:val="single" w:color="auto" w:sz="4" w:space="0"/>
              <w:left w:val="single" w:color="auto" w:sz="4" w:space="0"/>
              <w:bottom w:val="single" w:color="auto" w:sz="4" w:space="0"/>
              <w:right w:val="single" w:color="auto" w:sz="4" w:space="0"/>
            </w:tcBorders>
            <w:vAlign w:val="center"/>
          </w:tcPr>
          <w:p w14:paraId="03CCB32F">
            <w:pPr>
              <w:jc w:val="center"/>
              <w:rPr>
                <w:rFonts w:hint="eastAsia" w:ascii="宋体" w:hAnsi="宋体" w:cs="宋体"/>
                <w:color w:val="auto"/>
                <w:highlight w:val="none"/>
              </w:rPr>
            </w:pP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rPr>
              <w:t>日历天</w:t>
            </w:r>
          </w:p>
        </w:tc>
        <w:tc>
          <w:tcPr>
            <w:tcW w:w="2665" w:type="dxa"/>
            <w:tcBorders>
              <w:top w:val="single" w:color="auto" w:sz="4" w:space="0"/>
              <w:left w:val="single" w:color="auto" w:sz="4" w:space="0"/>
              <w:bottom w:val="single" w:color="auto" w:sz="4" w:space="0"/>
              <w:right w:val="single" w:color="auto" w:sz="4" w:space="0"/>
            </w:tcBorders>
            <w:vAlign w:val="center"/>
          </w:tcPr>
          <w:p w14:paraId="3697224E">
            <w:pPr>
              <w:jc w:val="center"/>
              <w:rPr>
                <w:rFonts w:hint="eastAsia" w:asciiTheme="minorEastAsia" w:hAnsiTheme="minorEastAsia" w:eastAsiaTheme="minorEastAsia" w:cstheme="minorEastAsia"/>
                <w:color w:val="auto"/>
                <w:highlight w:val="none"/>
              </w:rPr>
            </w:pPr>
          </w:p>
        </w:tc>
      </w:tr>
      <w:tr w14:paraId="6C3A1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8" w:hRule="atLeast"/>
          <w:jc w:val="center"/>
        </w:trPr>
        <w:tc>
          <w:tcPr>
            <w:tcW w:w="596" w:type="dxa"/>
            <w:tcBorders>
              <w:top w:val="single" w:color="auto" w:sz="4" w:space="0"/>
              <w:left w:val="single" w:color="auto" w:sz="4" w:space="0"/>
              <w:bottom w:val="single" w:color="auto" w:sz="4" w:space="0"/>
              <w:right w:val="single" w:color="auto" w:sz="4" w:space="0"/>
            </w:tcBorders>
            <w:vAlign w:val="center"/>
          </w:tcPr>
          <w:p w14:paraId="0F5C4AB3">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w:t>
            </w:r>
          </w:p>
        </w:tc>
        <w:tc>
          <w:tcPr>
            <w:tcW w:w="2381" w:type="dxa"/>
            <w:tcBorders>
              <w:top w:val="single" w:color="auto" w:sz="4" w:space="0"/>
              <w:left w:val="single" w:color="auto" w:sz="4" w:space="0"/>
              <w:bottom w:val="single" w:color="auto" w:sz="4" w:space="0"/>
              <w:right w:val="single" w:color="auto" w:sz="4" w:space="0"/>
            </w:tcBorders>
            <w:vAlign w:val="center"/>
          </w:tcPr>
          <w:p w14:paraId="6BBDDE05">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缺陷责任期</w:t>
            </w:r>
          </w:p>
        </w:tc>
        <w:tc>
          <w:tcPr>
            <w:tcW w:w="3496" w:type="dxa"/>
            <w:tcBorders>
              <w:top w:val="single" w:color="auto" w:sz="4" w:space="0"/>
              <w:left w:val="single" w:color="auto" w:sz="4" w:space="0"/>
              <w:bottom w:val="single" w:color="auto" w:sz="4" w:space="0"/>
              <w:right w:val="single" w:color="auto" w:sz="4" w:space="0"/>
            </w:tcBorders>
            <w:vAlign w:val="center"/>
          </w:tcPr>
          <w:p w14:paraId="0A92A2D3">
            <w:pPr>
              <w:jc w:val="left"/>
              <w:rPr>
                <w:rFonts w:hint="eastAsia" w:asciiTheme="minorEastAsia" w:hAnsiTheme="minorEastAsia" w:cstheme="minorEastAsia"/>
                <w:color w:val="auto"/>
                <w:highlight w:val="none"/>
              </w:rPr>
            </w:pPr>
            <w:r>
              <w:rPr>
                <w:rFonts w:hint="eastAsia" w:asciiTheme="minorEastAsia" w:hAnsiTheme="minorEastAsia" w:eastAsiaTheme="minorEastAsia" w:cstheme="minorEastAsia"/>
                <w:color w:val="auto"/>
                <w:highlight w:val="none"/>
              </w:rPr>
              <w:t>本工程缺陷责任期为24个月，</w:t>
            </w:r>
            <w:r>
              <w:rPr>
                <w:rFonts w:hint="eastAsia" w:hAnsi="宋体" w:cs="宋体"/>
                <w:color w:val="auto"/>
                <w:highlight w:val="none"/>
              </w:rPr>
              <w:t>缺陷责任期自工程竣工验收合格之日起计算。单位工程先于全部工程进行验收，单位工程缺陷责任期自单位工程验收合格之日起算。</w:t>
            </w:r>
          </w:p>
        </w:tc>
        <w:tc>
          <w:tcPr>
            <w:tcW w:w="2665" w:type="dxa"/>
            <w:tcBorders>
              <w:top w:val="single" w:color="auto" w:sz="4" w:space="0"/>
              <w:left w:val="single" w:color="auto" w:sz="4" w:space="0"/>
              <w:bottom w:val="single" w:color="auto" w:sz="4" w:space="0"/>
              <w:right w:val="single" w:color="auto" w:sz="4" w:space="0"/>
            </w:tcBorders>
            <w:vAlign w:val="center"/>
          </w:tcPr>
          <w:p w14:paraId="13C29801">
            <w:pPr>
              <w:jc w:val="center"/>
              <w:rPr>
                <w:rFonts w:hint="eastAsia" w:asciiTheme="minorEastAsia" w:hAnsiTheme="minorEastAsia" w:eastAsiaTheme="minorEastAsia" w:cstheme="minorEastAsia"/>
                <w:color w:val="auto"/>
                <w:highlight w:val="none"/>
              </w:rPr>
            </w:pPr>
          </w:p>
        </w:tc>
      </w:tr>
      <w:tr w14:paraId="5F3CD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596" w:type="dxa"/>
            <w:tcBorders>
              <w:top w:val="single" w:color="auto" w:sz="4" w:space="0"/>
              <w:left w:val="single" w:color="auto" w:sz="4" w:space="0"/>
              <w:bottom w:val="single" w:color="auto" w:sz="4" w:space="0"/>
              <w:right w:val="single" w:color="auto" w:sz="4" w:space="0"/>
            </w:tcBorders>
            <w:vAlign w:val="center"/>
          </w:tcPr>
          <w:p w14:paraId="00041FC5">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w:t>
            </w:r>
          </w:p>
        </w:tc>
        <w:tc>
          <w:tcPr>
            <w:tcW w:w="2381" w:type="dxa"/>
            <w:tcBorders>
              <w:top w:val="single" w:color="auto" w:sz="4" w:space="0"/>
              <w:left w:val="single" w:color="auto" w:sz="4" w:space="0"/>
              <w:bottom w:val="single" w:color="auto" w:sz="4" w:space="0"/>
              <w:right w:val="single" w:color="auto" w:sz="4" w:space="0"/>
            </w:tcBorders>
            <w:vAlign w:val="center"/>
          </w:tcPr>
          <w:p w14:paraId="14E5BE66">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发包人支付担保</w:t>
            </w:r>
          </w:p>
        </w:tc>
        <w:tc>
          <w:tcPr>
            <w:tcW w:w="3496" w:type="dxa"/>
            <w:tcBorders>
              <w:top w:val="single" w:color="auto" w:sz="4" w:space="0"/>
              <w:left w:val="single" w:color="auto" w:sz="4" w:space="0"/>
              <w:bottom w:val="single" w:color="auto" w:sz="4" w:space="0"/>
              <w:right w:val="single" w:color="auto" w:sz="4" w:space="0"/>
            </w:tcBorders>
            <w:vAlign w:val="center"/>
          </w:tcPr>
          <w:p w14:paraId="25C41F4A">
            <w:pPr>
              <w:jc w:val="center"/>
              <w:rPr>
                <w:rFonts w:hint="eastAsia" w:asciiTheme="minorEastAsia" w:hAnsiTheme="minorEastAsia" w:eastAsiaTheme="minorEastAsia" w:cstheme="minorEastAsia"/>
                <w:color w:val="auto"/>
                <w:highlight w:val="none"/>
              </w:rPr>
            </w:pPr>
            <w:r>
              <w:rPr>
                <w:rFonts w:hint="eastAsia"/>
                <w:color w:val="auto"/>
                <w:highlight w:val="none"/>
              </w:rPr>
              <w:t>无</w:t>
            </w:r>
          </w:p>
        </w:tc>
        <w:tc>
          <w:tcPr>
            <w:tcW w:w="2665" w:type="dxa"/>
            <w:tcBorders>
              <w:top w:val="single" w:color="auto" w:sz="4" w:space="0"/>
              <w:left w:val="single" w:color="auto" w:sz="4" w:space="0"/>
              <w:bottom w:val="single" w:color="auto" w:sz="4" w:space="0"/>
              <w:right w:val="single" w:color="auto" w:sz="4" w:space="0"/>
            </w:tcBorders>
            <w:vAlign w:val="center"/>
          </w:tcPr>
          <w:p w14:paraId="3BB1750F">
            <w:pPr>
              <w:jc w:val="center"/>
              <w:rPr>
                <w:rFonts w:hint="eastAsia" w:asciiTheme="minorEastAsia" w:hAnsiTheme="minorEastAsia" w:eastAsiaTheme="minorEastAsia" w:cstheme="minorEastAsia"/>
                <w:color w:val="auto"/>
                <w:highlight w:val="none"/>
              </w:rPr>
            </w:pPr>
          </w:p>
        </w:tc>
      </w:tr>
      <w:tr w14:paraId="22E86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596" w:type="dxa"/>
            <w:tcBorders>
              <w:top w:val="single" w:color="auto" w:sz="4" w:space="0"/>
              <w:left w:val="single" w:color="auto" w:sz="4" w:space="0"/>
              <w:bottom w:val="single" w:color="auto" w:sz="4" w:space="0"/>
              <w:right w:val="single" w:color="auto" w:sz="4" w:space="0"/>
            </w:tcBorders>
            <w:vAlign w:val="center"/>
          </w:tcPr>
          <w:p w14:paraId="35C2BB42">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w:t>
            </w:r>
          </w:p>
        </w:tc>
        <w:tc>
          <w:tcPr>
            <w:tcW w:w="2381" w:type="dxa"/>
            <w:tcBorders>
              <w:top w:val="single" w:color="auto" w:sz="4" w:space="0"/>
              <w:left w:val="single" w:color="auto" w:sz="4" w:space="0"/>
              <w:bottom w:val="single" w:color="auto" w:sz="4" w:space="0"/>
              <w:right w:val="single" w:color="auto" w:sz="4" w:space="0"/>
            </w:tcBorders>
            <w:vAlign w:val="center"/>
          </w:tcPr>
          <w:p w14:paraId="3A054122">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承包人履约担保金额</w:t>
            </w:r>
          </w:p>
        </w:tc>
        <w:tc>
          <w:tcPr>
            <w:tcW w:w="3496" w:type="dxa"/>
            <w:tcBorders>
              <w:top w:val="single" w:color="auto" w:sz="4" w:space="0"/>
              <w:left w:val="single" w:color="auto" w:sz="4" w:space="0"/>
              <w:bottom w:val="single" w:color="auto" w:sz="4" w:space="0"/>
              <w:right w:val="single" w:color="auto" w:sz="4" w:space="0"/>
            </w:tcBorders>
            <w:vAlign w:val="center"/>
          </w:tcPr>
          <w:p w14:paraId="3406A694">
            <w:pPr>
              <w:jc w:val="center"/>
              <w:rPr>
                <w:rFonts w:hint="eastAsia" w:asciiTheme="minorEastAsia" w:hAnsiTheme="minorEastAsia" w:eastAsiaTheme="minorEastAsia" w:cstheme="minorEastAsia"/>
                <w:color w:val="auto"/>
                <w:highlight w:val="none"/>
              </w:rPr>
            </w:pPr>
            <w:r>
              <w:rPr>
                <w:rFonts w:hint="eastAsia"/>
                <w:color w:val="auto"/>
                <w:highlight w:val="none"/>
              </w:rPr>
              <w:t>无</w:t>
            </w:r>
          </w:p>
        </w:tc>
        <w:tc>
          <w:tcPr>
            <w:tcW w:w="2665" w:type="dxa"/>
            <w:tcBorders>
              <w:top w:val="single" w:color="auto" w:sz="4" w:space="0"/>
              <w:left w:val="single" w:color="auto" w:sz="4" w:space="0"/>
              <w:bottom w:val="single" w:color="auto" w:sz="4" w:space="0"/>
              <w:right w:val="single" w:color="auto" w:sz="4" w:space="0"/>
            </w:tcBorders>
            <w:vAlign w:val="center"/>
          </w:tcPr>
          <w:p w14:paraId="7EA51613">
            <w:pPr>
              <w:jc w:val="center"/>
              <w:rPr>
                <w:rFonts w:hint="eastAsia" w:asciiTheme="minorEastAsia" w:hAnsiTheme="minorEastAsia" w:eastAsiaTheme="minorEastAsia" w:cstheme="minorEastAsia"/>
                <w:color w:val="auto"/>
                <w:highlight w:val="none"/>
              </w:rPr>
            </w:pPr>
          </w:p>
        </w:tc>
      </w:tr>
      <w:tr w14:paraId="68E5A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596" w:type="dxa"/>
            <w:tcBorders>
              <w:top w:val="single" w:color="auto" w:sz="4" w:space="0"/>
              <w:left w:val="single" w:color="auto" w:sz="4" w:space="0"/>
              <w:bottom w:val="single" w:color="auto" w:sz="4" w:space="0"/>
              <w:right w:val="single" w:color="auto" w:sz="4" w:space="0"/>
            </w:tcBorders>
            <w:vAlign w:val="center"/>
          </w:tcPr>
          <w:p w14:paraId="6D70139D">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7</w:t>
            </w:r>
          </w:p>
        </w:tc>
        <w:tc>
          <w:tcPr>
            <w:tcW w:w="2381" w:type="dxa"/>
            <w:tcBorders>
              <w:top w:val="single" w:color="auto" w:sz="4" w:space="0"/>
              <w:left w:val="single" w:color="auto" w:sz="4" w:space="0"/>
              <w:bottom w:val="single" w:color="auto" w:sz="4" w:space="0"/>
              <w:right w:val="single" w:color="auto" w:sz="4" w:space="0"/>
            </w:tcBorders>
            <w:vAlign w:val="center"/>
          </w:tcPr>
          <w:p w14:paraId="0408EB96">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分包</w:t>
            </w:r>
          </w:p>
        </w:tc>
        <w:tc>
          <w:tcPr>
            <w:tcW w:w="3496" w:type="dxa"/>
            <w:tcBorders>
              <w:top w:val="single" w:color="auto" w:sz="4" w:space="0"/>
              <w:left w:val="single" w:color="auto" w:sz="4" w:space="0"/>
              <w:bottom w:val="single" w:color="auto" w:sz="4" w:space="0"/>
              <w:right w:val="single" w:color="auto" w:sz="4" w:space="0"/>
            </w:tcBorders>
            <w:vAlign w:val="center"/>
          </w:tcPr>
          <w:p w14:paraId="68A64E98">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见分包项目情况表</w:t>
            </w:r>
          </w:p>
        </w:tc>
        <w:tc>
          <w:tcPr>
            <w:tcW w:w="2665" w:type="dxa"/>
            <w:tcBorders>
              <w:top w:val="single" w:color="auto" w:sz="4" w:space="0"/>
              <w:left w:val="single" w:color="auto" w:sz="4" w:space="0"/>
              <w:bottom w:val="single" w:color="auto" w:sz="4" w:space="0"/>
              <w:right w:val="single" w:color="auto" w:sz="4" w:space="0"/>
            </w:tcBorders>
            <w:vAlign w:val="center"/>
          </w:tcPr>
          <w:p w14:paraId="75984D34">
            <w:pPr>
              <w:jc w:val="center"/>
              <w:rPr>
                <w:rFonts w:hint="eastAsia" w:asciiTheme="minorEastAsia" w:hAnsiTheme="minorEastAsia" w:eastAsiaTheme="minorEastAsia" w:cstheme="minorEastAsia"/>
                <w:color w:val="auto"/>
                <w:highlight w:val="none"/>
              </w:rPr>
            </w:pPr>
          </w:p>
        </w:tc>
      </w:tr>
      <w:tr w14:paraId="5B080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596" w:type="dxa"/>
            <w:tcBorders>
              <w:top w:val="single" w:color="auto" w:sz="4" w:space="0"/>
              <w:left w:val="single" w:color="auto" w:sz="4" w:space="0"/>
              <w:bottom w:val="single" w:color="auto" w:sz="4" w:space="0"/>
              <w:right w:val="single" w:color="auto" w:sz="4" w:space="0"/>
            </w:tcBorders>
            <w:vAlign w:val="center"/>
          </w:tcPr>
          <w:p w14:paraId="1A87315A">
            <w:pPr>
              <w:jc w:val="center"/>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val="en-US" w:eastAsia="zh-CN"/>
              </w:rPr>
              <w:t>8</w:t>
            </w:r>
          </w:p>
        </w:tc>
        <w:tc>
          <w:tcPr>
            <w:tcW w:w="2381" w:type="dxa"/>
            <w:tcBorders>
              <w:top w:val="single" w:color="auto" w:sz="4" w:space="0"/>
              <w:left w:val="single" w:color="auto" w:sz="4" w:space="0"/>
              <w:bottom w:val="single" w:color="auto" w:sz="4" w:space="0"/>
              <w:right w:val="single" w:color="auto" w:sz="4" w:space="0"/>
            </w:tcBorders>
            <w:vAlign w:val="center"/>
          </w:tcPr>
          <w:p w14:paraId="59671071">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逾期竣工违约金最高限额</w:t>
            </w:r>
          </w:p>
        </w:tc>
        <w:tc>
          <w:tcPr>
            <w:tcW w:w="3496" w:type="dxa"/>
            <w:tcBorders>
              <w:top w:val="single" w:color="auto" w:sz="4" w:space="0"/>
              <w:left w:val="single" w:color="auto" w:sz="4" w:space="0"/>
              <w:bottom w:val="single" w:color="auto" w:sz="4" w:space="0"/>
              <w:right w:val="single" w:color="auto" w:sz="4" w:space="0"/>
            </w:tcBorders>
            <w:vAlign w:val="center"/>
          </w:tcPr>
          <w:p w14:paraId="3E5C30FE">
            <w:pPr>
              <w:jc w:val="left"/>
              <w:rPr>
                <w:rFonts w:hint="eastAsia" w:asciiTheme="minorEastAsia" w:hAnsiTheme="minorEastAsia" w:eastAsiaTheme="minorEastAsia" w:cstheme="minorEastAsia"/>
                <w:color w:val="auto"/>
                <w:highlight w:val="none"/>
              </w:rPr>
            </w:pPr>
            <w:r>
              <w:rPr>
                <w:rFonts w:hint="eastAsia"/>
                <w:color w:val="auto"/>
                <w:highlight w:val="none"/>
              </w:rPr>
              <w:t>逾期竣工的单项工程结算造价的</w:t>
            </w:r>
            <w:r>
              <w:rPr>
                <w:rFonts w:hint="eastAsia"/>
                <w:color w:val="auto"/>
                <w:highlight w:val="none"/>
                <w:u w:val="single"/>
              </w:rPr>
              <w:t>2%</w:t>
            </w:r>
          </w:p>
        </w:tc>
        <w:tc>
          <w:tcPr>
            <w:tcW w:w="2665" w:type="dxa"/>
            <w:tcBorders>
              <w:top w:val="single" w:color="auto" w:sz="4" w:space="0"/>
              <w:left w:val="single" w:color="auto" w:sz="4" w:space="0"/>
              <w:bottom w:val="single" w:color="auto" w:sz="4" w:space="0"/>
              <w:right w:val="single" w:color="auto" w:sz="4" w:space="0"/>
            </w:tcBorders>
            <w:vAlign w:val="center"/>
          </w:tcPr>
          <w:p w14:paraId="5DD2D06B">
            <w:pPr>
              <w:jc w:val="center"/>
              <w:rPr>
                <w:rFonts w:hint="eastAsia" w:asciiTheme="minorEastAsia" w:hAnsiTheme="minorEastAsia" w:eastAsiaTheme="minorEastAsia" w:cstheme="minorEastAsia"/>
                <w:color w:val="auto"/>
                <w:highlight w:val="none"/>
              </w:rPr>
            </w:pPr>
          </w:p>
        </w:tc>
      </w:tr>
      <w:tr w14:paraId="21DFF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596" w:type="dxa"/>
            <w:tcBorders>
              <w:top w:val="single" w:color="auto" w:sz="4" w:space="0"/>
              <w:left w:val="single" w:color="auto" w:sz="4" w:space="0"/>
              <w:bottom w:val="single" w:color="auto" w:sz="4" w:space="0"/>
              <w:right w:val="single" w:color="auto" w:sz="4" w:space="0"/>
            </w:tcBorders>
            <w:vAlign w:val="center"/>
          </w:tcPr>
          <w:p w14:paraId="60DF6DF9">
            <w:pPr>
              <w:jc w:val="center"/>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val="en-US" w:eastAsia="zh-CN"/>
              </w:rPr>
              <w:t>9</w:t>
            </w:r>
          </w:p>
        </w:tc>
        <w:tc>
          <w:tcPr>
            <w:tcW w:w="2381" w:type="dxa"/>
            <w:tcBorders>
              <w:top w:val="single" w:color="auto" w:sz="4" w:space="0"/>
              <w:left w:val="single" w:color="auto" w:sz="4" w:space="0"/>
              <w:bottom w:val="single" w:color="auto" w:sz="4" w:space="0"/>
              <w:right w:val="single" w:color="auto" w:sz="4" w:space="0"/>
            </w:tcBorders>
            <w:vAlign w:val="center"/>
          </w:tcPr>
          <w:p w14:paraId="4B8889CE">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质量标准</w:t>
            </w:r>
          </w:p>
        </w:tc>
        <w:tc>
          <w:tcPr>
            <w:tcW w:w="3496" w:type="dxa"/>
            <w:tcBorders>
              <w:top w:val="single" w:color="auto" w:sz="4" w:space="0"/>
              <w:left w:val="single" w:color="auto" w:sz="4" w:space="0"/>
              <w:bottom w:val="single" w:color="auto" w:sz="4" w:space="0"/>
              <w:right w:val="single" w:color="auto" w:sz="4" w:space="0"/>
            </w:tcBorders>
            <w:vAlign w:val="center"/>
          </w:tcPr>
          <w:p w14:paraId="451A31D4">
            <w:pPr>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达到国家工程施工验收规范合格标准</w:t>
            </w:r>
          </w:p>
        </w:tc>
        <w:tc>
          <w:tcPr>
            <w:tcW w:w="2665" w:type="dxa"/>
            <w:tcBorders>
              <w:top w:val="single" w:color="auto" w:sz="4" w:space="0"/>
              <w:left w:val="single" w:color="auto" w:sz="4" w:space="0"/>
              <w:bottom w:val="single" w:color="auto" w:sz="4" w:space="0"/>
              <w:right w:val="single" w:color="auto" w:sz="4" w:space="0"/>
            </w:tcBorders>
            <w:vAlign w:val="center"/>
          </w:tcPr>
          <w:p w14:paraId="24E9698F">
            <w:pPr>
              <w:jc w:val="center"/>
              <w:rPr>
                <w:rFonts w:hint="eastAsia" w:asciiTheme="minorEastAsia" w:hAnsiTheme="minorEastAsia" w:eastAsiaTheme="minorEastAsia" w:cstheme="minorEastAsia"/>
                <w:color w:val="auto"/>
                <w:highlight w:val="none"/>
              </w:rPr>
            </w:pPr>
          </w:p>
        </w:tc>
      </w:tr>
      <w:tr w14:paraId="5CF9C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596" w:type="dxa"/>
            <w:tcBorders>
              <w:top w:val="single" w:color="auto" w:sz="4" w:space="0"/>
              <w:left w:val="single" w:color="auto" w:sz="4" w:space="0"/>
              <w:bottom w:val="single" w:color="auto" w:sz="4" w:space="0"/>
              <w:right w:val="single" w:color="auto" w:sz="4" w:space="0"/>
            </w:tcBorders>
            <w:vAlign w:val="center"/>
          </w:tcPr>
          <w:p w14:paraId="4BD4DB9F">
            <w:pPr>
              <w:jc w:val="center"/>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t>1</w:t>
            </w:r>
            <w:r>
              <w:rPr>
                <w:rFonts w:hint="eastAsia" w:asciiTheme="minorEastAsia" w:hAnsiTheme="minorEastAsia" w:eastAsiaTheme="minorEastAsia" w:cstheme="minorEastAsia"/>
                <w:color w:val="auto"/>
                <w:highlight w:val="none"/>
                <w:lang w:val="en-US" w:eastAsia="zh-CN"/>
              </w:rPr>
              <w:t>0</w:t>
            </w:r>
          </w:p>
        </w:tc>
        <w:tc>
          <w:tcPr>
            <w:tcW w:w="2381" w:type="dxa"/>
            <w:tcBorders>
              <w:top w:val="single" w:color="auto" w:sz="4" w:space="0"/>
              <w:left w:val="single" w:color="auto" w:sz="4" w:space="0"/>
              <w:bottom w:val="single" w:color="auto" w:sz="4" w:space="0"/>
              <w:right w:val="single" w:color="auto" w:sz="4" w:space="0"/>
            </w:tcBorders>
            <w:vAlign w:val="center"/>
          </w:tcPr>
          <w:p w14:paraId="2A0BC6D6">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工程</w:t>
            </w:r>
            <w:r>
              <w:rPr>
                <w:rFonts w:hint="eastAsia" w:asciiTheme="minorEastAsia" w:hAnsiTheme="minorEastAsia" w:eastAsiaTheme="minorEastAsia" w:cstheme="minorEastAsia"/>
                <w:color w:val="auto"/>
                <w:highlight w:val="none"/>
              </w:rPr>
              <w:t>质量保证金额度</w:t>
            </w:r>
          </w:p>
        </w:tc>
        <w:tc>
          <w:tcPr>
            <w:tcW w:w="3496" w:type="dxa"/>
            <w:tcBorders>
              <w:top w:val="single" w:color="auto" w:sz="4" w:space="0"/>
              <w:left w:val="single" w:color="auto" w:sz="4" w:space="0"/>
              <w:bottom w:val="single" w:color="auto" w:sz="4" w:space="0"/>
              <w:right w:val="single" w:color="auto" w:sz="4" w:space="0"/>
            </w:tcBorders>
            <w:vAlign w:val="center"/>
          </w:tcPr>
          <w:p w14:paraId="01C0E2D8">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成交金额的</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lang w:val="en-US" w:eastAsia="zh-CN"/>
              </w:rPr>
              <w:t>3</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w:t>
            </w:r>
          </w:p>
        </w:tc>
        <w:tc>
          <w:tcPr>
            <w:tcW w:w="2665" w:type="dxa"/>
            <w:tcBorders>
              <w:top w:val="single" w:color="auto" w:sz="4" w:space="0"/>
              <w:left w:val="single" w:color="auto" w:sz="4" w:space="0"/>
              <w:bottom w:val="single" w:color="auto" w:sz="4" w:space="0"/>
              <w:right w:val="single" w:color="auto" w:sz="4" w:space="0"/>
            </w:tcBorders>
            <w:vAlign w:val="center"/>
          </w:tcPr>
          <w:p w14:paraId="6EC4062A">
            <w:pPr>
              <w:jc w:val="center"/>
              <w:rPr>
                <w:rFonts w:hint="eastAsia" w:asciiTheme="minorEastAsia" w:hAnsiTheme="minorEastAsia" w:eastAsiaTheme="minorEastAsia" w:cstheme="minorEastAsia"/>
                <w:color w:val="auto"/>
                <w:highlight w:val="none"/>
              </w:rPr>
            </w:pPr>
          </w:p>
        </w:tc>
      </w:tr>
      <w:tr w14:paraId="15AD3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596" w:type="dxa"/>
            <w:tcBorders>
              <w:top w:val="single" w:color="auto" w:sz="4" w:space="0"/>
              <w:left w:val="single" w:color="auto" w:sz="4" w:space="0"/>
              <w:bottom w:val="single" w:color="auto" w:sz="4" w:space="0"/>
              <w:right w:val="single" w:color="auto" w:sz="4" w:space="0"/>
            </w:tcBorders>
            <w:vAlign w:val="center"/>
          </w:tcPr>
          <w:p w14:paraId="44338B2B">
            <w:pPr>
              <w:jc w:val="center"/>
              <w:rPr>
                <w:rFonts w:hint="default"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11</w:t>
            </w:r>
          </w:p>
        </w:tc>
        <w:tc>
          <w:tcPr>
            <w:tcW w:w="2381" w:type="dxa"/>
            <w:tcBorders>
              <w:top w:val="single" w:color="auto" w:sz="4" w:space="0"/>
              <w:left w:val="single" w:color="auto" w:sz="4" w:space="0"/>
              <w:bottom w:val="single" w:color="auto" w:sz="4" w:space="0"/>
              <w:right w:val="single" w:color="auto" w:sz="4" w:space="0"/>
            </w:tcBorders>
            <w:vAlign w:val="center"/>
          </w:tcPr>
          <w:p w14:paraId="51F9C6A8">
            <w:pPr>
              <w:rPr>
                <w:rFonts w:hint="default"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技术规范</w:t>
            </w:r>
          </w:p>
        </w:tc>
        <w:tc>
          <w:tcPr>
            <w:tcW w:w="3496" w:type="dxa"/>
            <w:tcBorders>
              <w:top w:val="single" w:color="auto" w:sz="4" w:space="0"/>
              <w:left w:val="single" w:color="auto" w:sz="4" w:space="0"/>
              <w:bottom w:val="single" w:color="auto" w:sz="4" w:space="0"/>
              <w:right w:val="single" w:color="auto" w:sz="4" w:space="0"/>
            </w:tcBorders>
            <w:vAlign w:val="center"/>
          </w:tcPr>
          <w:p w14:paraId="07A3F8C1">
            <w:pPr>
              <w:jc w:val="center"/>
              <w:rPr>
                <w:rFonts w:hint="default"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按磋商文件第三章 技术规范要求</w:t>
            </w:r>
          </w:p>
        </w:tc>
        <w:tc>
          <w:tcPr>
            <w:tcW w:w="2665" w:type="dxa"/>
            <w:tcBorders>
              <w:top w:val="single" w:color="auto" w:sz="4" w:space="0"/>
              <w:left w:val="single" w:color="auto" w:sz="4" w:space="0"/>
              <w:bottom w:val="single" w:color="auto" w:sz="4" w:space="0"/>
              <w:right w:val="single" w:color="auto" w:sz="4" w:space="0"/>
            </w:tcBorders>
            <w:vAlign w:val="center"/>
          </w:tcPr>
          <w:p w14:paraId="68A6C95F">
            <w:pPr>
              <w:jc w:val="center"/>
              <w:rPr>
                <w:rFonts w:hint="eastAsia" w:asciiTheme="minorEastAsia" w:hAnsiTheme="minorEastAsia" w:eastAsiaTheme="minorEastAsia" w:cstheme="minorEastAsia"/>
                <w:color w:val="auto"/>
                <w:highlight w:val="none"/>
              </w:rPr>
            </w:pPr>
          </w:p>
        </w:tc>
      </w:tr>
    </w:tbl>
    <w:p w14:paraId="29DCB743">
      <w:pPr>
        <w:pStyle w:val="24"/>
        <w:spacing w:line="500" w:lineRule="exact"/>
        <w:ind w:firstLine="420"/>
        <w:rPr>
          <w:rFonts w:hint="eastAsia" w:asciiTheme="minorEastAsia" w:hAnsiTheme="minorEastAsia" w:eastAsiaTheme="minorEastAsia" w:cstheme="minorEastAsia"/>
          <w:color w:val="auto"/>
          <w:sz w:val="21"/>
          <w:szCs w:val="21"/>
          <w:highlight w:val="none"/>
        </w:rPr>
      </w:pPr>
    </w:p>
    <w:p w14:paraId="6A94A9FA">
      <w:pPr>
        <w:pStyle w:val="24"/>
        <w:spacing w:line="500" w:lineRule="exact"/>
        <w:ind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磋商供应商：(盖章)</w:t>
      </w:r>
    </w:p>
    <w:p w14:paraId="6695E37C">
      <w:pPr>
        <w:pStyle w:val="24"/>
        <w:spacing w:line="500" w:lineRule="exact"/>
        <w:ind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法定代表人：(签字或盖章)</w:t>
      </w:r>
    </w:p>
    <w:p w14:paraId="1BF13AB2">
      <w:pPr>
        <w:pStyle w:val="24"/>
        <w:spacing w:line="440" w:lineRule="exact"/>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日期：         年        月        日</w:t>
      </w:r>
    </w:p>
    <w:p w14:paraId="0310A3CD">
      <w:pPr>
        <w:rPr>
          <w:color w:val="auto"/>
          <w:highlight w:val="none"/>
        </w:rPr>
      </w:pPr>
    </w:p>
    <w:p w14:paraId="04EC0775">
      <w:pPr>
        <w:rPr>
          <w:rFonts w:hint="eastAsia" w:asciiTheme="minorEastAsia" w:hAnsiTheme="minorEastAsia" w:eastAsiaTheme="minorEastAsia" w:cstheme="minorEastAsia"/>
          <w:b/>
          <w:bCs/>
          <w:color w:val="auto"/>
          <w:kern w:val="0"/>
          <w:sz w:val="30"/>
          <w:szCs w:val="30"/>
          <w:highlight w:val="none"/>
        </w:rPr>
      </w:pPr>
      <w:r>
        <w:rPr>
          <w:rFonts w:hint="eastAsia" w:asciiTheme="minorEastAsia" w:hAnsiTheme="minorEastAsia" w:eastAsiaTheme="minorEastAsia" w:cstheme="minorEastAsia"/>
          <w:b/>
          <w:bCs/>
          <w:color w:val="auto"/>
          <w:kern w:val="0"/>
          <w:sz w:val="30"/>
          <w:szCs w:val="30"/>
          <w:highlight w:val="none"/>
        </w:rPr>
        <w:br w:type="page"/>
      </w:r>
    </w:p>
    <w:p w14:paraId="30D90427">
      <w:pPr>
        <w:numPr>
          <w:ilvl w:val="0"/>
          <w:numId w:val="14"/>
        </w:numPr>
        <w:spacing w:line="400" w:lineRule="exact"/>
        <w:jc w:val="center"/>
        <w:rPr>
          <w:rFonts w:hint="eastAsia" w:asciiTheme="minorEastAsia" w:hAnsiTheme="minorEastAsia" w:eastAsiaTheme="minorEastAsia" w:cstheme="minorEastAsia"/>
          <w:b/>
          <w:bCs/>
          <w:color w:val="auto"/>
          <w:kern w:val="0"/>
          <w:sz w:val="30"/>
          <w:szCs w:val="30"/>
          <w:highlight w:val="none"/>
        </w:rPr>
      </w:pPr>
      <w:r>
        <w:rPr>
          <w:rFonts w:hint="eastAsia" w:asciiTheme="minorEastAsia" w:hAnsiTheme="minorEastAsia" w:eastAsiaTheme="minorEastAsia" w:cstheme="minorEastAsia"/>
          <w:b/>
          <w:bCs/>
          <w:color w:val="auto"/>
          <w:kern w:val="0"/>
          <w:sz w:val="30"/>
          <w:szCs w:val="30"/>
          <w:highlight w:val="none"/>
        </w:rPr>
        <w:t>磋商报价表</w:t>
      </w:r>
    </w:p>
    <w:p w14:paraId="61E20B32">
      <w:pPr>
        <w:ind w:left="-178" w:leftChars="-85" w:right="-512" w:rightChars="-244" w:firstLine="630" w:firstLineChars="300"/>
        <w:jc w:val="left"/>
        <w:rPr>
          <w:rFonts w:hint="eastAsia" w:asciiTheme="minorEastAsia" w:hAnsiTheme="minorEastAsia" w:eastAsiaTheme="minorEastAsia" w:cstheme="minorEastAsia"/>
          <w:color w:val="auto"/>
          <w:highlight w:val="none"/>
        </w:rPr>
      </w:pPr>
    </w:p>
    <w:p w14:paraId="71E410BF">
      <w:pPr>
        <w:ind w:left="-178" w:leftChars="-85" w:right="-512" w:rightChars="-244" w:firstLine="630" w:firstLineChars="3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项目名称：  </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 xml:space="preserve">                  币种：人民币</w:t>
      </w:r>
    </w:p>
    <w:tbl>
      <w:tblPr>
        <w:tblStyle w:val="44"/>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3116"/>
        <w:gridCol w:w="1987"/>
        <w:gridCol w:w="1702"/>
      </w:tblGrid>
      <w:tr w14:paraId="3D592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5100" w:type="dxa"/>
            <w:gridSpan w:val="2"/>
            <w:vAlign w:val="center"/>
          </w:tcPr>
          <w:p w14:paraId="5636CB8A">
            <w:pPr>
              <w:widowControl/>
              <w:jc w:val="center"/>
              <w:rPr>
                <w:rFonts w:hint="eastAsia" w:ascii="宋体" w:hAnsi="宋体" w:cs="宋体"/>
                <w:color w:val="auto"/>
                <w:highlight w:val="none"/>
              </w:rPr>
            </w:pPr>
            <w:r>
              <w:rPr>
                <w:rFonts w:hint="eastAsia" w:ascii="宋体" w:hAnsi="宋体" w:cs="宋体"/>
                <w:color w:val="auto"/>
                <w:highlight w:val="none"/>
              </w:rPr>
              <w:t>投标总价</w:t>
            </w:r>
          </w:p>
        </w:tc>
        <w:tc>
          <w:tcPr>
            <w:tcW w:w="1987" w:type="dxa"/>
            <w:vAlign w:val="center"/>
          </w:tcPr>
          <w:p w14:paraId="719F875E">
            <w:pPr>
              <w:widowControl/>
              <w:jc w:val="right"/>
              <w:rPr>
                <w:rFonts w:hint="eastAsia" w:ascii="宋体" w:hAnsi="宋体" w:cs="宋体"/>
                <w:color w:val="auto"/>
                <w:highlight w:val="none"/>
              </w:rPr>
            </w:pPr>
            <w:r>
              <w:rPr>
                <w:rFonts w:hint="eastAsia" w:ascii="宋体" w:hAnsi="宋体" w:cs="宋体"/>
                <w:color w:val="auto"/>
                <w:highlight w:val="none"/>
              </w:rPr>
              <w:t>万元</w:t>
            </w:r>
          </w:p>
        </w:tc>
        <w:tc>
          <w:tcPr>
            <w:tcW w:w="1702" w:type="dxa"/>
            <w:vAlign w:val="center"/>
          </w:tcPr>
          <w:p w14:paraId="0D63690A">
            <w:pPr>
              <w:widowControl/>
              <w:jc w:val="center"/>
              <w:rPr>
                <w:rFonts w:hint="eastAsia" w:ascii="宋体" w:hAnsi="宋体" w:cs="宋体"/>
                <w:color w:val="auto"/>
                <w:highlight w:val="none"/>
              </w:rPr>
            </w:pPr>
            <w:r>
              <w:rPr>
                <w:rFonts w:hint="eastAsia" w:ascii="宋体" w:hAnsi="宋体" w:cs="宋体"/>
                <w:color w:val="auto"/>
                <w:highlight w:val="none"/>
              </w:rPr>
              <w:t>备注</w:t>
            </w:r>
          </w:p>
        </w:tc>
      </w:tr>
      <w:tr w14:paraId="71D57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984" w:type="dxa"/>
            <w:vMerge w:val="restart"/>
            <w:vAlign w:val="center"/>
          </w:tcPr>
          <w:p w14:paraId="6FFFED93">
            <w:pPr>
              <w:jc w:val="center"/>
              <w:rPr>
                <w:rFonts w:hint="eastAsia" w:ascii="宋体" w:hAnsi="宋体" w:cs="宋体"/>
                <w:color w:val="auto"/>
                <w:highlight w:val="none"/>
              </w:rPr>
            </w:pPr>
            <w:r>
              <w:rPr>
                <w:rFonts w:hint="eastAsia" w:ascii="宋体" w:hAnsi="宋体" w:cs="宋体"/>
                <w:color w:val="auto"/>
                <w:highlight w:val="none"/>
              </w:rPr>
              <w:t>其中</w:t>
            </w:r>
          </w:p>
        </w:tc>
        <w:tc>
          <w:tcPr>
            <w:tcW w:w="3116" w:type="dxa"/>
            <w:vAlign w:val="center"/>
          </w:tcPr>
          <w:p w14:paraId="711B160B">
            <w:pPr>
              <w:jc w:val="center"/>
              <w:rPr>
                <w:rFonts w:hint="eastAsia" w:ascii="宋体" w:hAnsi="宋体" w:cs="宋体"/>
                <w:color w:val="auto"/>
                <w:highlight w:val="none"/>
              </w:rPr>
            </w:pPr>
            <w:r>
              <w:rPr>
                <w:rFonts w:hint="eastAsia" w:ascii="宋体" w:hAnsi="宋体" w:cs="宋体"/>
                <w:color w:val="auto"/>
                <w:highlight w:val="none"/>
              </w:rPr>
              <w:t>安全文明施工费</w:t>
            </w:r>
          </w:p>
        </w:tc>
        <w:tc>
          <w:tcPr>
            <w:tcW w:w="1987" w:type="dxa"/>
            <w:vAlign w:val="center"/>
          </w:tcPr>
          <w:p w14:paraId="40EC3FC7">
            <w:pPr>
              <w:jc w:val="right"/>
              <w:rPr>
                <w:rFonts w:hint="eastAsia" w:ascii="宋体" w:hAnsi="宋体" w:cs="宋体"/>
                <w:color w:val="auto"/>
                <w:highlight w:val="none"/>
              </w:rPr>
            </w:pPr>
            <w:r>
              <w:rPr>
                <w:rFonts w:hint="eastAsia" w:ascii="宋体" w:hAnsi="宋体" w:cs="宋体"/>
                <w:color w:val="auto"/>
                <w:highlight w:val="none"/>
              </w:rPr>
              <w:t>万元</w:t>
            </w:r>
          </w:p>
        </w:tc>
        <w:tc>
          <w:tcPr>
            <w:tcW w:w="1702" w:type="dxa"/>
            <w:vAlign w:val="center"/>
          </w:tcPr>
          <w:p w14:paraId="028BB346">
            <w:pPr>
              <w:jc w:val="center"/>
              <w:rPr>
                <w:rFonts w:hint="eastAsia" w:ascii="宋体" w:hAnsi="宋体" w:cs="宋体"/>
                <w:color w:val="auto"/>
                <w:highlight w:val="none"/>
              </w:rPr>
            </w:pPr>
          </w:p>
        </w:tc>
      </w:tr>
      <w:tr w14:paraId="74C74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984" w:type="dxa"/>
            <w:vMerge w:val="continue"/>
            <w:vAlign w:val="center"/>
          </w:tcPr>
          <w:p w14:paraId="297F2906">
            <w:pPr>
              <w:widowControl/>
              <w:jc w:val="center"/>
              <w:rPr>
                <w:rFonts w:hint="eastAsia" w:ascii="宋体" w:hAnsi="宋体" w:cs="宋体"/>
                <w:color w:val="auto"/>
                <w:highlight w:val="none"/>
              </w:rPr>
            </w:pPr>
          </w:p>
        </w:tc>
        <w:tc>
          <w:tcPr>
            <w:tcW w:w="3116" w:type="dxa"/>
            <w:vAlign w:val="center"/>
          </w:tcPr>
          <w:p w14:paraId="1FE50299">
            <w:pPr>
              <w:jc w:val="center"/>
              <w:rPr>
                <w:rFonts w:hint="eastAsia" w:ascii="宋体" w:hAnsi="宋体" w:cs="宋体"/>
                <w:color w:val="auto"/>
                <w:highlight w:val="none"/>
              </w:rPr>
            </w:pPr>
            <w:r>
              <w:rPr>
                <w:rFonts w:hint="eastAsia" w:ascii="宋体" w:hAnsi="宋体" w:cs="宋体"/>
                <w:color w:val="auto"/>
                <w:highlight w:val="none"/>
              </w:rPr>
              <w:t>发包人提供材料（设备）暂估价（如有）</w:t>
            </w:r>
          </w:p>
        </w:tc>
        <w:tc>
          <w:tcPr>
            <w:tcW w:w="1987" w:type="dxa"/>
            <w:vAlign w:val="center"/>
          </w:tcPr>
          <w:p w14:paraId="0678887C">
            <w:pPr>
              <w:widowControl/>
              <w:jc w:val="right"/>
              <w:rPr>
                <w:rFonts w:hint="eastAsia" w:ascii="宋体" w:hAnsi="宋体" w:cs="宋体"/>
                <w:color w:val="auto"/>
                <w:highlight w:val="none"/>
              </w:rPr>
            </w:pPr>
            <w:r>
              <w:rPr>
                <w:rFonts w:hint="eastAsia" w:ascii="宋体" w:hAnsi="宋体" w:cs="宋体"/>
                <w:color w:val="auto"/>
                <w:highlight w:val="none"/>
              </w:rPr>
              <w:t>万元</w:t>
            </w:r>
          </w:p>
        </w:tc>
        <w:tc>
          <w:tcPr>
            <w:tcW w:w="1702" w:type="dxa"/>
          </w:tcPr>
          <w:p w14:paraId="10FA172B">
            <w:pPr>
              <w:widowControl/>
              <w:ind w:right="480"/>
              <w:rPr>
                <w:rFonts w:hint="eastAsia" w:ascii="宋体" w:hAnsi="宋体" w:cs="宋体"/>
                <w:color w:val="auto"/>
                <w:highlight w:val="none"/>
              </w:rPr>
            </w:pPr>
          </w:p>
        </w:tc>
      </w:tr>
      <w:tr w14:paraId="49D27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984" w:type="dxa"/>
            <w:vMerge w:val="continue"/>
            <w:vAlign w:val="center"/>
          </w:tcPr>
          <w:p w14:paraId="138048A8">
            <w:pPr>
              <w:widowControl/>
              <w:jc w:val="center"/>
              <w:rPr>
                <w:rFonts w:hint="eastAsia" w:ascii="宋体" w:hAnsi="宋体" w:cs="宋体"/>
                <w:color w:val="auto"/>
                <w:highlight w:val="none"/>
              </w:rPr>
            </w:pPr>
          </w:p>
        </w:tc>
        <w:tc>
          <w:tcPr>
            <w:tcW w:w="3116" w:type="dxa"/>
            <w:vAlign w:val="center"/>
          </w:tcPr>
          <w:p w14:paraId="7353D20A">
            <w:pPr>
              <w:widowControl/>
              <w:rPr>
                <w:rFonts w:hint="eastAsia" w:ascii="宋体" w:hAnsi="宋体" w:cs="宋体"/>
                <w:color w:val="auto"/>
                <w:highlight w:val="none"/>
              </w:rPr>
            </w:pPr>
            <w:r>
              <w:rPr>
                <w:rFonts w:hint="eastAsia" w:ascii="宋体" w:hAnsi="宋体" w:cs="宋体"/>
                <w:color w:val="auto"/>
                <w:highlight w:val="none"/>
              </w:rPr>
              <w:t>专业工程暂估价（如有）</w:t>
            </w:r>
          </w:p>
        </w:tc>
        <w:tc>
          <w:tcPr>
            <w:tcW w:w="1987" w:type="dxa"/>
            <w:vAlign w:val="center"/>
          </w:tcPr>
          <w:p w14:paraId="03C8AF75">
            <w:pPr>
              <w:widowControl/>
              <w:jc w:val="right"/>
              <w:rPr>
                <w:rFonts w:hint="eastAsia" w:ascii="宋体" w:hAnsi="宋体" w:cs="宋体"/>
                <w:color w:val="auto"/>
                <w:highlight w:val="none"/>
              </w:rPr>
            </w:pPr>
            <w:r>
              <w:rPr>
                <w:rFonts w:hint="eastAsia" w:ascii="宋体" w:hAnsi="宋体" w:cs="宋体"/>
                <w:color w:val="auto"/>
                <w:highlight w:val="none"/>
              </w:rPr>
              <w:t>万元</w:t>
            </w:r>
          </w:p>
        </w:tc>
        <w:tc>
          <w:tcPr>
            <w:tcW w:w="1702" w:type="dxa"/>
          </w:tcPr>
          <w:p w14:paraId="3FB331D0">
            <w:pPr>
              <w:widowControl/>
              <w:ind w:right="480"/>
              <w:rPr>
                <w:rFonts w:hint="eastAsia" w:ascii="宋体" w:hAnsi="宋体" w:cs="宋体"/>
                <w:color w:val="auto"/>
                <w:highlight w:val="none"/>
              </w:rPr>
            </w:pPr>
          </w:p>
        </w:tc>
      </w:tr>
      <w:tr w14:paraId="1EA51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984" w:type="dxa"/>
            <w:vMerge w:val="continue"/>
            <w:vAlign w:val="center"/>
          </w:tcPr>
          <w:p w14:paraId="6CFBA169">
            <w:pPr>
              <w:widowControl/>
              <w:jc w:val="center"/>
              <w:rPr>
                <w:rFonts w:hint="eastAsia" w:ascii="宋体" w:hAnsi="宋体" w:cs="宋体"/>
                <w:color w:val="auto"/>
                <w:highlight w:val="none"/>
              </w:rPr>
            </w:pPr>
          </w:p>
        </w:tc>
        <w:tc>
          <w:tcPr>
            <w:tcW w:w="3116" w:type="dxa"/>
            <w:vAlign w:val="center"/>
          </w:tcPr>
          <w:p w14:paraId="128DDECC">
            <w:pPr>
              <w:widowControl/>
              <w:ind w:firstLine="945" w:firstLineChars="450"/>
              <w:rPr>
                <w:rFonts w:hint="eastAsia" w:ascii="宋体" w:hAnsi="宋体" w:cs="宋体"/>
                <w:color w:val="auto"/>
                <w:highlight w:val="none"/>
              </w:rPr>
            </w:pPr>
            <w:r>
              <w:rPr>
                <w:rFonts w:hint="eastAsia" w:ascii="宋体" w:hAnsi="宋体" w:cs="宋体"/>
                <w:color w:val="auto"/>
                <w:highlight w:val="none"/>
              </w:rPr>
              <w:t>暂列金额（如有）</w:t>
            </w:r>
          </w:p>
        </w:tc>
        <w:tc>
          <w:tcPr>
            <w:tcW w:w="1987" w:type="dxa"/>
            <w:vAlign w:val="center"/>
          </w:tcPr>
          <w:p w14:paraId="21A3DBDF">
            <w:pPr>
              <w:widowControl/>
              <w:jc w:val="right"/>
              <w:rPr>
                <w:rFonts w:hint="eastAsia" w:ascii="宋体" w:hAnsi="宋体" w:cs="宋体"/>
                <w:color w:val="auto"/>
                <w:highlight w:val="none"/>
              </w:rPr>
            </w:pPr>
            <w:r>
              <w:rPr>
                <w:rFonts w:hint="eastAsia" w:ascii="宋体" w:hAnsi="宋体" w:cs="宋体"/>
                <w:color w:val="auto"/>
                <w:highlight w:val="none"/>
              </w:rPr>
              <w:t>万元</w:t>
            </w:r>
          </w:p>
        </w:tc>
        <w:tc>
          <w:tcPr>
            <w:tcW w:w="1702" w:type="dxa"/>
          </w:tcPr>
          <w:p w14:paraId="1AD6C36A">
            <w:pPr>
              <w:widowControl/>
              <w:ind w:right="480"/>
              <w:rPr>
                <w:rFonts w:hint="eastAsia" w:ascii="宋体" w:hAnsi="宋体" w:cs="宋体"/>
                <w:color w:val="auto"/>
                <w:highlight w:val="none"/>
              </w:rPr>
            </w:pPr>
          </w:p>
        </w:tc>
      </w:tr>
      <w:tr w14:paraId="692F7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984" w:type="dxa"/>
            <w:vMerge w:val="restart"/>
            <w:vAlign w:val="center"/>
          </w:tcPr>
          <w:p w14:paraId="13B68888">
            <w:pPr>
              <w:widowControl/>
              <w:jc w:val="center"/>
              <w:rPr>
                <w:rFonts w:hint="eastAsia" w:ascii="宋体" w:hAnsi="宋体" w:cs="宋体"/>
                <w:color w:val="auto"/>
                <w:highlight w:val="none"/>
              </w:rPr>
            </w:pPr>
            <w:r>
              <w:rPr>
                <w:rFonts w:hint="eastAsia" w:ascii="宋体" w:hAnsi="宋体" w:cs="宋体"/>
                <w:color w:val="auto"/>
                <w:highlight w:val="none"/>
              </w:rPr>
              <w:t>主要材料</w:t>
            </w:r>
          </w:p>
        </w:tc>
        <w:tc>
          <w:tcPr>
            <w:tcW w:w="3116" w:type="dxa"/>
            <w:vAlign w:val="center"/>
          </w:tcPr>
          <w:p w14:paraId="7A6ADAC1">
            <w:pPr>
              <w:widowControl/>
              <w:jc w:val="center"/>
              <w:rPr>
                <w:rFonts w:hint="eastAsia" w:ascii="宋体" w:hAnsi="宋体" w:cs="宋体"/>
                <w:color w:val="auto"/>
                <w:highlight w:val="none"/>
              </w:rPr>
            </w:pPr>
            <w:r>
              <w:rPr>
                <w:rFonts w:hint="eastAsia" w:ascii="宋体" w:hAnsi="宋体" w:cs="宋体"/>
                <w:color w:val="auto"/>
                <w:highlight w:val="none"/>
              </w:rPr>
              <w:t>钢筋</w:t>
            </w:r>
          </w:p>
        </w:tc>
        <w:tc>
          <w:tcPr>
            <w:tcW w:w="1987" w:type="dxa"/>
            <w:vAlign w:val="center"/>
          </w:tcPr>
          <w:p w14:paraId="023A3514">
            <w:pPr>
              <w:widowControl/>
              <w:jc w:val="right"/>
              <w:rPr>
                <w:rFonts w:hint="eastAsia" w:ascii="宋体" w:hAnsi="宋体" w:cs="宋体"/>
                <w:color w:val="auto"/>
                <w:highlight w:val="none"/>
              </w:rPr>
            </w:pPr>
            <w:r>
              <w:rPr>
                <w:rFonts w:hint="eastAsia" w:ascii="宋体" w:hAnsi="宋体" w:cs="宋体"/>
                <w:color w:val="auto"/>
                <w:highlight w:val="none"/>
              </w:rPr>
              <w:t>吨</w:t>
            </w:r>
          </w:p>
        </w:tc>
        <w:tc>
          <w:tcPr>
            <w:tcW w:w="1702" w:type="dxa"/>
          </w:tcPr>
          <w:p w14:paraId="1868F7EF">
            <w:pPr>
              <w:widowControl/>
              <w:jc w:val="right"/>
              <w:rPr>
                <w:rFonts w:hint="eastAsia" w:ascii="宋体" w:hAnsi="宋体" w:cs="宋体"/>
                <w:color w:val="auto"/>
                <w:highlight w:val="none"/>
              </w:rPr>
            </w:pPr>
          </w:p>
        </w:tc>
      </w:tr>
      <w:tr w14:paraId="1DEE0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984" w:type="dxa"/>
            <w:vMerge w:val="continue"/>
            <w:vAlign w:val="center"/>
          </w:tcPr>
          <w:p w14:paraId="29DC08C3">
            <w:pPr>
              <w:widowControl/>
              <w:jc w:val="center"/>
              <w:rPr>
                <w:rFonts w:hint="eastAsia" w:ascii="宋体" w:hAnsi="宋体" w:cs="宋体"/>
                <w:color w:val="auto"/>
                <w:highlight w:val="none"/>
              </w:rPr>
            </w:pPr>
          </w:p>
        </w:tc>
        <w:tc>
          <w:tcPr>
            <w:tcW w:w="3116" w:type="dxa"/>
            <w:vAlign w:val="center"/>
          </w:tcPr>
          <w:p w14:paraId="4557CB83">
            <w:pPr>
              <w:widowControl/>
              <w:jc w:val="center"/>
              <w:rPr>
                <w:rFonts w:hint="eastAsia" w:ascii="宋体" w:hAnsi="宋体" w:cs="宋体"/>
                <w:color w:val="auto"/>
                <w:highlight w:val="none"/>
              </w:rPr>
            </w:pPr>
            <w:r>
              <w:rPr>
                <w:rFonts w:hint="eastAsia" w:ascii="宋体" w:hAnsi="宋体" w:cs="宋体"/>
                <w:color w:val="auto"/>
                <w:highlight w:val="none"/>
              </w:rPr>
              <w:t>水泥（不含商品混凝土用量）</w:t>
            </w:r>
          </w:p>
        </w:tc>
        <w:tc>
          <w:tcPr>
            <w:tcW w:w="1987" w:type="dxa"/>
            <w:vAlign w:val="center"/>
          </w:tcPr>
          <w:p w14:paraId="0D7F49B2">
            <w:pPr>
              <w:widowControl/>
              <w:tabs>
                <w:tab w:val="left" w:pos="2398"/>
              </w:tabs>
              <w:ind w:right="18"/>
              <w:jc w:val="right"/>
              <w:rPr>
                <w:rFonts w:hint="eastAsia" w:ascii="宋体" w:hAnsi="宋体" w:cs="宋体"/>
                <w:color w:val="auto"/>
                <w:highlight w:val="none"/>
              </w:rPr>
            </w:pPr>
            <w:r>
              <w:rPr>
                <w:rFonts w:hint="eastAsia" w:ascii="宋体" w:hAnsi="宋体" w:cs="宋体"/>
                <w:color w:val="auto"/>
                <w:highlight w:val="none"/>
              </w:rPr>
              <w:t>吨</w:t>
            </w:r>
          </w:p>
        </w:tc>
        <w:tc>
          <w:tcPr>
            <w:tcW w:w="1702" w:type="dxa"/>
          </w:tcPr>
          <w:p w14:paraId="148E4EC6">
            <w:pPr>
              <w:widowControl/>
              <w:jc w:val="right"/>
              <w:rPr>
                <w:rFonts w:hint="eastAsia" w:ascii="宋体" w:hAnsi="宋体" w:cs="宋体"/>
                <w:color w:val="auto"/>
                <w:highlight w:val="none"/>
              </w:rPr>
            </w:pPr>
          </w:p>
        </w:tc>
      </w:tr>
      <w:tr w14:paraId="26B76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1984" w:type="dxa"/>
            <w:vMerge w:val="continue"/>
            <w:vAlign w:val="center"/>
          </w:tcPr>
          <w:p w14:paraId="02080698">
            <w:pPr>
              <w:widowControl/>
              <w:jc w:val="center"/>
              <w:rPr>
                <w:rFonts w:hint="eastAsia" w:ascii="宋体" w:hAnsi="宋体" w:cs="宋体"/>
                <w:color w:val="auto"/>
                <w:highlight w:val="none"/>
              </w:rPr>
            </w:pPr>
          </w:p>
        </w:tc>
        <w:tc>
          <w:tcPr>
            <w:tcW w:w="3116" w:type="dxa"/>
            <w:vAlign w:val="center"/>
          </w:tcPr>
          <w:p w14:paraId="5FE0D1BE">
            <w:pPr>
              <w:widowControl/>
              <w:jc w:val="center"/>
              <w:rPr>
                <w:rFonts w:hint="eastAsia" w:ascii="宋体" w:hAnsi="宋体" w:cs="宋体"/>
                <w:color w:val="auto"/>
                <w:highlight w:val="none"/>
              </w:rPr>
            </w:pPr>
            <w:r>
              <w:rPr>
                <w:rFonts w:hint="eastAsia" w:ascii="宋体" w:hAnsi="宋体" w:cs="宋体"/>
                <w:color w:val="auto"/>
                <w:highlight w:val="none"/>
              </w:rPr>
              <w:t>商品混凝土</w:t>
            </w:r>
          </w:p>
        </w:tc>
        <w:tc>
          <w:tcPr>
            <w:tcW w:w="1987" w:type="dxa"/>
            <w:vAlign w:val="center"/>
          </w:tcPr>
          <w:p w14:paraId="32B24EB5">
            <w:pPr>
              <w:widowControl/>
              <w:jc w:val="right"/>
              <w:rPr>
                <w:rFonts w:hint="eastAsia" w:ascii="宋体" w:hAnsi="宋体" w:cs="宋体"/>
                <w:color w:val="auto"/>
                <w:highlight w:val="none"/>
              </w:rPr>
            </w:pPr>
            <w:r>
              <w:rPr>
                <w:rFonts w:hint="eastAsia" w:ascii="宋体" w:hAnsi="宋体" w:cs="宋体"/>
                <w:color w:val="auto"/>
                <w:highlight w:val="none"/>
              </w:rPr>
              <w:t>m</w:t>
            </w:r>
            <w:r>
              <w:rPr>
                <w:rFonts w:hint="eastAsia" w:ascii="宋体" w:hAnsi="宋体" w:cs="宋体"/>
                <w:color w:val="auto"/>
                <w:highlight w:val="none"/>
                <w:vertAlign w:val="superscript"/>
              </w:rPr>
              <w:t>3</w:t>
            </w:r>
          </w:p>
        </w:tc>
        <w:tc>
          <w:tcPr>
            <w:tcW w:w="1702" w:type="dxa"/>
          </w:tcPr>
          <w:p w14:paraId="60D80F99">
            <w:pPr>
              <w:widowControl/>
              <w:jc w:val="right"/>
              <w:rPr>
                <w:rFonts w:hint="eastAsia" w:ascii="宋体" w:hAnsi="宋体" w:cs="宋体"/>
                <w:color w:val="auto"/>
                <w:highlight w:val="none"/>
              </w:rPr>
            </w:pPr>
          </w:p>
        </w:tc>
      </w:tr>
      <w:tr w14:paraId="7343C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8789" w:type="dxa"/>
            <w:gridSpan w:val="4"/>
            <w:vAlign w:val="center"/>
          </w:tcPr>
          <w:p w14:paraId="24CDD6C1">
            <w:pPr>
              <w:pStyle w:val="175"/>
              <w:spacing w:line="360" w:lineRule="auto"/>
              <w:jc w:val="left"/>
              <w:rPr>
                <w:rStyle w:val="170"/>
                <w:rFonts w:hint="eastAsia" w:ascii="宋体" w:hAnsi="宋体"/>
                <w:color w:val="auto"/>
                <w:highlight w:val="none"/>
                <w:u w:val="single"/>
              </w:rPr>
            </w:pPr>
            <w:r>
              <w:rPr>
                <w:rStyle w:val="170"/>
                <w:rFonts w:ascii="宋体" w:hAnsi="宋体"/>
                <w:color w:val="auto"/>
                <w:highlight w:val="none"/>
              </w:rPr>
              <w:t>统一社会信用代码：</w:t>
            </w:r>
            <w:r>
              <w:rPr>
                <w:rStyle w:val="170"/>
                <w:rFonts w:hint="eastAsia" w:ascii="宋体" w:hAnsi="宋体"/>
                <w:color w:val="auto"/>
                <w:highlight w:val="none"/>
                <w:u w:val="single"/>
              </w:rPr>
              <w:t xml:space="preserve">                                   </w:t>
            </w:r>
          </w:p>
          <w:p w14:paraId="0B3116F4">
            <w:pPr>
              <w:pStyle w:val="175"/>
              <w:spacing w:line="360" w:lineRule="auto"/>
              <w:jc w:val="left"/>
              <w:rPr>
                <w:rStyle w:val="170"/>
                <w:rFonts w:hint="eastAsia" w:ascii="宋体" w:hAnsi="宋体"/>
                <w:color w:val="auto"/>
                <w:highlight w:val="none"/>
              </w:rPr>
            </w:pPr>
            <w:r>
              <w:rPr>
                <w:rStyle w:val="170"/>
                <w:rFonts w:ascii="宋体" w:hAnsi="宋体"/>
                <w:color w:val="auto"/>
                <w:highlight w:val="none"/>
              </w:rPr>
              <w:t>法定代表人身份证号：</w:t>
            </w:r>
            <w:r>
              <w:rPr>
                <w:rStyle w:val="170"/>
                <w:rFonts w:hint="eastAsia" w:ascii="宋体" w:hAnsi="宋体"/>
                <w:color w:val="auto"/>
                <w:highlight w:val="none"/>
                <w:u w:val="single"/>
              </w:rPr>
              <w:t xml:space="preserve">                                 </w:t>
            </w:r>
          </w:p>
          <w:p w14:paraId="11EBF53D">
            <w:pPr>
              <w:pStyle w:val="175"/>
              <w:spacing w:line="360" w:lineRule="auto"/>
              <w:jc w:val="left"/>
              <w:rPr>
                <w:rStyle w:val="170"/>
                <w:rFonts w:hint="eastAsia" w:ascii="宋体" w:hAnsi="宋体"/>
                <w:color w:val="auto"/>
                <w:highlight w:val="none"/>
              </w:rPr>
            </w:pPr>
            <w:r>
              <w:rPr>
                <w:rStyle w:val="170"/>
                <w:rFonts w:ascii="宋体" w:hAnsi="宋体"/>
                <w:color w:val="auto"/>
                <w:highlight w:val="none"/>
              </w:rPr>
              <w:t>主要人员信息：</w:t>
            </w:r>
          </w:p>
          <w:p w14:paraId="5A00B4F4">
            <w:pPr>
              <w:pStyle w:val="175"/>
              <w:spacing w:line="360" w:lineRule="auto"/>
              <w:rPr>
                <w:rStyle w:val="170"/>
                <w:rFonts w:hint="eastAsia" w:ascii="宋体" w:hAnsi="宋体"/>
                <w:color w:val="auto"/>
                <w:highlight w:val="none"/>
              </w:rPr>
            </w:pPr>
            <w:r>
              <w:rPr>
                <w:rStyle w:val="170"/>
                <w:rFonts w:ascii="宋体" w:hAnsi="宋体"/>
                <w:color w:val="auto"/>
                <w:highlight w:val="none"/>
              </w:rPr>
              <w:t>项目经理：</w:t>
            </w:r>
            <w:r>
              <w:rPr>
                <w:rStyle w:val="170"/>
                <w:rFonts w:ascii="宋体" w:hAnsi="宋体"/>
                <w:color w:val="auto"/>
                <w:highlight w:val="none"/>
                <w:u w:val="single"/>
              </w:rPr>
              <w:t>姓名</w:t>
            </w:r>
            <w:r>
              <w:rPr>
                <w:rStyle w:val="170"/>
                <w:rFonts w:ascii="宋体" w:hAnsi="宋体"/>
                <w:color w:val="auto"/>
                <w:highlight w:val="none"/>
              </w:rPr>
              <w:t>（注册编号：</w:t>
            </w:r>
            <w:r>
              <w:rPr>
                <w:rStyle w:val="170"/>
                <w:rFonts w:hint="eastAsia" w:ascii="宋体" w:hAnsi="宋体"/>
                <w:color w:val="auto"/>
                <w:highlight w:val="none"/>
                <w:u w:val="single"/>
              </w:rPr>
              <w:t xml:space="preserve">               </w:t>
            </w:r>
            <w:r>
              <w:rPr>
                <w:rStyle w:val="170"/>
                <w:rFonts w:ascii="宋体" w:hAnsi="宋体"/>
                <w:color w:val="auto"/>
                <w:highlight w:val="none"/>
              </w:rPr>
              <w:t>身份证号：</w:t>
            </w:r>
            <w:r>
              <w:rPr>
                <w:rStyle w:val="170"/>
                <w:rFonts w:hint="eastAsia" w:ascii="宋体" w:hAnsi="宋体"/>
                <w:color w:val="auto"/>
                <w:highlight w:val="none"/>
                <w:u w:val="single"/>
              </w:rPr>
              <w:t xml:space="preserve">                        </w:t>
            </w:r>
            <w:r>
              <w:rPr>
                <w:rStyle w:val="170"/>
                <w:rFonts w:ascii="宋体" w:hAnsi="宋体"/>
                <w:color w:val="auto"/>
                <w:highlight w:val="none"/>
              </w:rPr>
              <w:t>）</w:t>
            </w:r>
          </w:p>
          <w:p w14:paraId="661E943C">
            <w:pPr>
              <w:pStyle w:val="175"/>
              <w:spacing w:line="360" w:lineRule="auto"/>
              <w:rPr>
                <w:rStyle w:val="170"/>
                <w:rFonts w:hint="eastAsia" w:ascii="宋体" w:hAnsi="宋体"/>
                <w:color w:val="auto"/>
                <w:highlight w:val="none"/>
              </w:rPr>
            </w:pPr>
            <w:r>
              <w:rPr>
                <w:rStyle w:val="170"/>
                <w:rFonts w:ascii="宋体" w:hAnsi="宋体"/>
                <w:color w:val="auto"/>
                <w:highlight w:val="none"/>
              </w:rPr>
              <w:t>技术负责人：</w:t>
            </w:r>
            <w:r>
              <w:rPr>
                <w:rStyle w:val="170"/>
                <w:rFonts w:ascii="宋体" w:hAnsi="宋体"/>
                <w:color w:val="auto"/>
                <w:highlight w:val="none"/>
                <w:u w:val="single"/>
              </w:rPr>
              <w:t>姓名</w:t>
            </w:r>
            <w:r>
              <w:rPr>
                <w:rStyle w:val="170"/>
                <w:rFonts w:ascii="宋体" w:hAnsi="宋体"/>
                <w:color w:val="auto"/>
                <w:highlight w:val="none"/>
              </w:rPr>
              <w:t>（证书号：</w:t>
            </w:r>
            <w:r>
              <w:rPr>
                <w:rStyle w:val="170"/>
                <w:rFonts w:hint="eastAsia" w:ascii="宋体" w:hAnsi="宋体"/>
                <w:color w:val="auto"/>
                <w:highlight w:val="none"/>
                <w:u w:val="single"/>
              </w:rPr>
              <w:t xml:space="preserve">                </w:t>
            </w:r>
            <w:r>
              <w:rPr>
                <w:rStyle w:val="170"/>
                <w:rFonts w:ascii="宋体" w:hAnsi="宋体"/>
                <w:color w:val="auto"/>
                <w:highlight w:val="none"/>
              </w:rPr>
              <w:t>）</w:t>
            </w:r>
          </w:p>
          <w:p w14:paraId="14F58BC7">
            <w:pPr>
              <w:pStyle w:val="175"/>
              <w:spacing w:line="360" w:lineRule="auto"/>
              <w:rPr>
                <w:rStyle w:val="170"/>
                <w:rFonts w:hint="eastAsia" w:ascii="宋体" w:hAnsi="宋体"/>
                <w:color w:val="auto"/>
                <w:highlight w:val="none"/>
              </w:rPr>
            </w:pPr>
            <w:r>
              <w:rPr>
                <w:rStyle w:val="170"/>
                <w:rFonts w:ascii="宋体" w:hAnsi="宋体"/>
                <w:color w:val="auto"/>
                <w:highlight w:val="none"/>
              </w:rPr>
              <w:t>安全员：</w:t>
            </w:r>
            <w:r>
              <w:rPr>
                <w:rStyle w:val="170"/>
                <w:rFonts w:ascii="宋体" w:hAnsi="宋体"/>
                <w:color w:val="auto"/>
                <w:highlight w:val="none"/>
                <w:u w:val="single"/>
              </w:rPr>
              <w:t>姓名</w:t>
            </w:r>
            <w:r>
              <w:rPr>
                <w:rStyle w:val="170"/>
                <w:rFonts w:ascii="宋体" w:hAnsi="宋体"/>
                <w:color w:val="auto"/>
                <w:highlight w:val="none"/>
              </w:rPr>
              <w:t>（</w:t>
            </w:r>
            <w:r>
              <w:rPr>
                <w:rFonts w:hint="eastAsia" w:ascii="宋体" w:hAnsi="宋体" w:cs="宋体"/>
                <w:color w:val="auto"/>
                <w:szCs w:val="21"/>
                <w:highlight w:val="none"/>
                <w:lang w:val="zh-CN"/>
              </w:rPr>
              <w:t>安全生产考核合格证书编号</w:t>
            </w:r>
            <w:r>
              <w:rPr>
                <w:rStyle w:val="170"/>
                <w:rFonts w:ascii="宋体" w:hAnsi="宋体"/>
                <w:color w:val="auto"/>
                <w:highlight w:val="none"/>
              </w:rPr>
              <w:t>：</w:t>
            </w:r>
            <w:r>
              <w:rPr>
                <w:rStyle w:val="170"/>
                <w:rFonts w:hint="eastAsia" w:ascii="宋体" w:hAnsi="宋体"/>
                <w:color w:val="auto"/>
                <w:highlight w:val="none"/>
                <w:u w:val="single"/>
              </w:rPr>
              <w:t xml:space="preserve">          </w:t>
            </w:r>
            <w:r>
              <w:rPr>
                <w:rStyle w:val="170"/>
                <w:rFonts w:ascii="宋体" w:hAnsi="宋体"/>
                <w:color w:val="auto"/>
                <w:highlight w:val="none"/>
              </w:rPr>
              <w:t xml:space="preserve"> 身份证号：</w:t>
            </w:r>
            <w:r>
              <w:rPr>
                <w:rStyle w:val="170"/>
                <w:rFonts w:hint="eastAsia" w:ascii="宋体" w:hAnsi="宋体"/>
                <w:color w:val="auto"/>
                <w:highlight w:val="none"/>
                <w:u w:val="single"/>
              </w:rPr>
              <w:t xml:space="preserve">              </w:t>
            </w:r>
            <w:r>
              <w:rPr>
                <w:rStyle w:val="170"/>
                <w:rFonts w:ascii="宋体" w:hAnsi="宋体"/>
                <w:color w:val="auto"/>
                <w:highlight w:val="none"/>
              </w:rPr>
              <w:t>）</w:t>
            </w:r>
          </w:p>
          <w:p w14:paraId="648EE0E5">
            <w:pPr>
              <w:pStyle w:val="175"/>
              <w:spacing w:line="360" w:lineRule="auto"/>
              <w:rPr>
                <w:rStyle w:val="170"/>
                <w:rFonts w:hint="eastAsia" w:ascii="宋体" w:hAnsi="宋体"/>
                <w:color w:val="auto"/>
                <w:highlight w:val="none"/>
              </w:rPr>
            </w:pPr>
            <w:r>
              <w:rPr>
                <w:rStyle w:val="170"/>
                <w:rFonts w:hint="eastAsia" w:ascii="宋体" w:hAnsi="宋体"/>
                <w:color w:val="auto"/>
                <w:highlight w:val="none"/>
              </w:rPr>
              <w:t>材料</w:t>
            </w:r>
            <w:r>
              <w:rPr>
                <w:rStyle w:val="170"/>
                <w:rFonts w:ascii="宋体" w:hAnsi="宋体"/>
                <w:color w:val="auto"/>
                <w:highlight w:val="none"/>
              </w:rPr>
              <w:t>员：</w:t>
            </w:r>
            <w:r>
              <w:rPr>
                <w:rStyle w:val="170"/>
                <w:rFonts w:ascii="宋体" w:hAnsi="宋体"/>
                <w:color w:val="auto"/>
                <w:highlight w:val="none"/>
                <w:u w:val="single"/>
              </w:rPr>
              <w:t>姓名</w:t>
            </w:r>
            <w:r>
              <w:rPr>
                <w:rStyle w:val="170"/>
                <w:rFonts w:ascii="宋体" w:hAnsi="宋体"/>
                <w:color w:val="auto"/>
                <w:highlight w:val="none"/>
              </w:rPr>
              <w:t>（证书号：</w:t>
            </w:r>
            <w:r>
              <w:rPr>
                <w:rStyle w:val="170"/>
                <w:rFonts w:hint="eastAsia" w:ascii="宋体" w:hAnsi="宋体"/>
                <w:color w:val="auto"/>
                <w:highlight w:val="none"/>
                <w:u w:val="single"/>
              </w:rPr>
              <w:t xml:space="preserve">                    </w:t>
            </w:r>
            <w:r>
              <w:rPr>
                <w:rStyle w:val="170"/>
                <w:rFonts w:ascii="宋体" w:hAnsi="宋体"/>
                <w:color w:val="auto"/>
                <w:highlight w:val="none"/>
              </w:rPr>
              <w:t>）</w:t>
            </w:r>
          </w:p>
          <w:p w14:paraId="69C12314">
            <w:pPr>
              <w:pStyle w:val="175"/>
              <w:spacing w:line="360" w:lineRule="auto"/>
              <w:rPr>
                <w:rStyle w:val="170"/>
                <w:rFonts w:hint="eastAsia" w:ascii="宋体" w:hAnsi="宋体"/>
                <w:color w:val="auto"/>
                <w:highlight w:val="none"/>
              </w:rPr>
            </w:pPr>
            <w:r>
              <w:rPr>
                <w:rStyle w:val="170"/>
                <w:rFonts w:hint="eastAsia" w:ascii="宋体" w:hAnsi="宋体"/>
                <w:color w:val="auto"/>
                <w:highlight w:val="none"/>
              </w:rPr>
              <w:t>质量员</w:t>
            </w:r>
            <w:r>
              <w:rPr>
                <w:rStyle w:val="170"/>
                <w:rFonts w:ascii="宋体" w:hAnsi="宋体"/>
                <w:color w:val="auto"/>
                <w:highlight w:val="none"/>
              </w:rPr>
              <w:t>：</w:t>
            </w:r>
            <w:r>
              <w:rPr>
                <w:rStyle w:val="170"/>
                <w:rFonts w:ascii="宋体" w:hAnsi="宋体"/>
                <w:color w:val="auto"/>
                <w:highlight w:val="none"/>
                <w:u w:val="single"/>
              </w:rPr>
              <w:t>姓名</w:t>
            </w:r>
            <w:r>
              <w:rPr>
                <w:rStyle w:val="170"/>
                <w:rFonts w:ascii="宋体" w:hAnsi="宋体"/>
                <w:color w:val="auto"/>
                <w:highlight w:val="none"/>
              </w:rPr>
              <w:t>（证书号：</w:t>
            </w:r>
            <w:r>
              <w:rPr>
                <w:rStyle w:val="170"/>
                <w:rFonts w:hint="eastAsia" w:ascii="宋体" w:hAnsi="宋体"/>
                <w:color w:val="auto"/>
                <w:highlight w:val="none"/>
                <w:u w:val="single"/>
              </w:rPr>
              <w:t xml:space="preserve">                    </w:t>
            </w:r>
            <w:r>
              <w:rPr>
                <w:rStyle w:val="170"/>
                <w:rFonts w:ascii="宋体" w:hAnsi="宋体"/>
                <w:color w:val="auto"/>
                <w:highlight w:val="none"/>
              </w:rPr>
              <w:t>）</w:t>
            </w:r>
          </w:p>
          <w:p w14:paraId="12360956">
            <w:pPr>
              <w:pStyle w:val="175"/>
              <w:spacing w:line="360" w:lineRule="auto"/>
              <w:rPr>
                <w:rStyle w:val="170"/>
                <w:rFonts w:hint="eastAsia" w:ascii="宋体" w:hAnsi="宋体"/>
                <w:color w:val="auto"/>
                <w:highlight w:val="none"/>
              </w:rPr>
            </w:pPr>
            <w:r>
              <w:rPr>
                <w:rStyle w:val="170"/>
                <w:rFonts w:ascii="宋体" w:hAnsi="宋体"/>
                <w:color w:val="auto"/>
                <w:highlight w:val="none"/>
              </w:rPr>
              <w:t>施工员：</w:t>
            </w:r>
            <w:r>
              <w:rPr>
                <w:rStyle w:val="170"/>
                <w:rFonts w:ascii="宋体" w:hAnsi="宋体"/>
                <w:color w:val="auto"/>
                <w:highlight w:val="none"/>
                <w:u w:val="single"/>
              </w:rPr>
              <w:t>姓名</w:t>
            </w:r>
            <w:r>
              <w:rPr>
                <w:rStyle w:val="170"/>
                <w:rFonts w:ascii="宋体" w:hAnsi="宋体"/>
                <w:color w:val="auto"/>
                <w:highlight w:val="none"/>
              </w:rPr>
              <w:t>（证书号：</w:t>
            </w:r>
            <w:r>
              <w:rPr>
                <w:rStyle w:val="170"/>
                <w:rFonts w:hint="eastAsia" w:ascii="宋体" w:hAnsi="宋体"/>
                <w:color w:val="auto"/>
                <w:highlight w:val="none"/>
                <w:u w:val="single"/>
              </w:rPr>
              <w:t xml:space="preserve">                    </w:t>
            </w:r>
            <w:r>
              <w:rPr>
                <w:rStyle w:val="170"/>
                <w:rFonts w:ascii="宋体" w:hAnsi="宋体"/>
                <w:color w:val="auto"/>
                <w:highlight w:val="none"/>
              </w:rPr>
              <w:t>）</w:t>
            </w:r>
          </w:p>
          <w:p w14:paraId="6BF38BEE">
            <w:pPr>
              <w:pStyle w:val="175"/>
              <w:spacing w:line="360" w:lineRule="auto"/>
              <w:rPr>
                <w:rStyle w:val="170"/>
                <w:rFonts w:hint="eastAsia" w:ascii="宋体" w:hAnsi="宋体"/>
                <w:color w:val="auto"/>
                <w:highlight w:val="none"/>
              </w:rPr>
            </w:pPr>
            <w:r>
              <w:rPr>
                <w:rStyle w:val="170"/>
                <w:rFonts w:hint="eastAsia" w:ascii="宋体" w:hAnsi="宋体"/>
                <w:color w:val="auto"/>
                <w:highlight w:val="none"/>
              </w:rPr>
              <w:t>质检员</w:t>
            </w:r>
            <w:r>
              <w:rPr>
                <w:rStyle w:val="170"/>
                <w:rFonts w:ascii="宋体" w:hAnsi="宋体"/>
                <w:color w:val="auto"/>
                <w:highlight w:val="none"/>
              </w:rPr>
              <w:t>（如有）：</w:t>
            </w:r>
            <w:r>
              <w:rPr>
                <w:rStyle w:val="170"/>
                <w:rFonts w:ascii="宋体" w:hAnsi="宋体"/>
                <w:color w:val="auto"/>
                <w:highlight w:val="none"/>
                <w:u w:val="single"/>
              </w:rPr>
              <w:t>姓名</w:t>
            </w:r>
            <w:r>
              <w:rPr>
                <w:rStyle w:val="170"/>
                <w:rFonts w:ascii="宋体" w:hAnsi="宋体"/>
                <w:color w:val="auto"/>
                <w:highlight w:val="none"/>
              </w:rPr>
              <w:t>（证书号：</w:t>
            </w:r>
            <w:r>
              <w:rPr>
                <w:rStyle w:val="170"/>
                <w:rFonts w:hint="eastAsia" w:ascii="宋体" w:hAnsi="宋体"/>
                <w:color w:val="auto"/>
                <w:highlight w:val="none"/>
                <w:u w:val="single"/>
              </w:rPr>
              <w:t xml:space="preserve">            </w:t>
            </w:r>
            <w:r>
              <w:rPr>
                <w:rStyle w:val="170"/>
                <w:rFonts w:ascii="宋体" w:hAnsi="宋体"/>
                <w:color w:val="auto"/>
                <w:highlight w:val="none"/>
              </w:rPr>
              <w:t>）</w:t>
            </w:r>
          </w:p>
          <w:p w14:paraId="6DDB1C0C">
            <w:pPr>
              <w:pStyle w:val="175"/>
              <w:spacing w:line="360" w:lineRule="auto"/>
              <w:rPr>
                <w:rStyle w:val="170"/>
                <w:rFonts w:hint="eastAsia" w:ascii="宋体" w:hAnsi="宋体"/>
                <w:color w:val="auto"/>
                <w:highlight w:val="none"/>
              </w:rPr>
            </w:pPr>
            <w:r>
              <w:rPr>
                <w:rStyle w:val="170"/>
                <w:rFonts w:ascii="宋体" w:hAnsi="宋体"/>
                <w:color w:val="auto"/>
                <w:szCs w:val="21"/>
                <w:highlight w:val="none"/>
              </w:rPr>
              <w:t>投标所用企业业绩</w:t>
            </w:r>
            <w:r>
              <w:rPr>
                <w:rStyle w:val="170"/>
                <w:rFonts w:ascii="宋体" w:hAnsi="宋体"/>
                <w:color w:val="auto"/>
                <w:highlight w:val="none"/>
              </w:rPr>
              <w:t>（如有）</w:t>
            </w:r>
            <w:r>
              <w:rPr>
                <w:rStyle w:val="170"/>
                <w:rFonts w:ascii="宋体" w:hAnsi="宋体"/>
                <w:color w:val="auto"/>
                <w:szCs w:val="21"/>
                <w:highlight w:val="none"/>
              </w:rPr>
              <w:t>:</w:t>
            </w:r>
          </w:p>
          <w:p w14:paraId="7A3F36D0">
            <w:pPr>
              <w:pStyle w:val="175"/>
              <w:spacing w:line="360" w:lineRule="auto"/>
              <w:rPr>
                <w:rStyle w:val="170"/>
                <w:rFonts w:hint="eastAsia" w:ascii="宋体" w:hAnsi="宋体"/>
                <w:color w:val="auto"/>
                <w:highlight w:val="none"/>
                <w:u w:val="single"/>
              </w:rPr>
            </w:pPr>
            <w:r>
              <w:rPr>
                <w:rStyle w:val="170"/>
                <w:rFonts w:ascii="宋体" w:hAnsi="宋体"/>
                <w:color w:val="auto"/>
                <w:highlight w:val="none"/>
              </w:rPr>
              <w:t>承诺工期：</w:t>
            </w:r>
            <w:r>
              <w:rPr>
                <w:rStyle w:val="170"/>
                <w:rFonts w:ascii="宋体" w:hAnsi="宋体"/>
                <w:color w:val="auto"/>
                <w:highlight w:val="none"/>
                <w:u w:val="single"/>
              </w:rPr>
              <w:t xml:space="preserve">    </w:t>
            </w:r>
            <w:r>
              <w:rPr>
                <w:rStyle w:val="170"/>
                <w:rFonts w:ascii="宋体" w:hAnsi="宋体"/>
                <w:color w:val="auto"/>
                <w:highlight w:val="none"/>
              </w:rPr>
              <w:t>日历天               承诺质量标准：</w:t>
            </w:r>
            <w:r>
              <w:rPr>
                <w:rStyle w:val="170"/>
                <w:rFonts w:ascii="宋体" w:hAnsi="宋体"/>
                <w:color w:val="auto"/>
                <w:highlight w:val="none"/>
                <w:u w:val="single"/>
              </w:rPr>
              <w:t xml:space="preserve"> </w:t>
            </w:r>
            <w:r>
              <w:rPr>
                <w:rStyle w:val="170"/>
                <w:rFonts w:hint="eastAsia" w:ascii="宋体" w:hAnsi="宋体"/>
                <w:color w:val="auto"/>
                <w:highlight w:val="none"/>
                <w:u w:val="single"/>
              </w:rPr>
              <w:t xml:space="preserve">                     </w:t>
            </w:r>
          </w:p>
          <w:p w14:paraId="67C20564">
            <w:pPr>
              <w:widowControl/>
              <w:rPr>
                <w:rFonts w:hint="eastAsia" w:ascii="宋体" w:hAnsi="宋体" w:cs="宋体"/>
                <w:color w:val="auto"/>
                <w:highlight w:val="none"/>
              </w:rPr>
            </w:pPr>
            <w:r>
              <w:rPr>
                <w:rStyle w:val="170"/>
                <w:rFonts w:hint="eastAsia" w:ascii="宋体" w:hAnsi="宋体"/>
                <w:color w:val="auto"/>
                <w:szCs w:val="24"/>
                <w:highlight w:val="none"/>
                <w:lang w:eastAsia="zh-CN"/>
              </w:rPr>
              <w:t>供应商</w:t>
            </w:r>
            <w:r>
              <w:rPr>
                <w:rStyle w:val="170"/>
                <w:rFonts w:ascii="宋体" w:hAnsi="宋体"/>
                <w:color w:val="auto"/>
                <w:szCs w:val="24"/>
                <w:highlight w:val="none"/>
              </w:rPr>
              <w:t>地址：</w:t>
            </w:r>
            <w:r>
              <w:rPr>
                <w:rStyle w:val="170"/>
                <w:rFonts w:ascii="宋体" w:hAnsi="宋体"/>
                <w:color w:val="auto"/>
                <w:szCs w:val="24"/>
                <w:highlight w:val="none"/>
                <w:u w:val="single"/>
              </w:rPr>
              <w:t xml:space="preserve"> </w:t>
            </w:r>
            <w:r>
              <w:rPr>
                <w:rStyle w:val="170"/>
                <w:rFonts w:hint="eastAsia" w:ascii="宋体" w:hAnsi="宋体"/>
                <w:color w:val="auto"/>
                <w:szCs w:val="24"/>
                <w:highlight w:val="none"/>
                <w:u w:val="single"/>
              </w:rPr>
              <w:t xml:space="preserve">                   </w:t>
            </w:r>
          </w:p>
        </w:tc>
      </w:tr>
    </w:tbl>
    <w:p w14:paraId="0B56EED3">
      <w:pPr>
        <w:spacing w:line="480" w:lineRule="auto"/>
        <w:ind w:firstLine="210" w:firstLineChars="100"/>
        <w:rPr>
          <w:rFonts w:hint="eastAsia" w:asciiTheme="minorEastAsia" w:hAnsiTheme="minorEastAsia" w:eastAsiaTheme="minorEastAsia" w:cstheme="minorEastAsia"/>
          <w:color w:val="auto"/>
          <w:highlight w:val="none"/>
        </w:rPr>
      </w:pPr>
    </w:p>
    <w:p w14:paraId="72B7CC11">
      <w:pPr>
        <w:spacing w:line="480" w:lineRule="auto"/>
        <w:ind w:firstLine="210" w:firstLineChars="1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磋商供应商（盖单位章）：</w:t>
      </w:r>
      <w:r>
        <w:rPr>
          <w:rFonts w:hint="eastAsia" w:asciiTheme="minorEastAsia" w:hAnsiTheme="minorEastAsia" w:eastAsiaTheme="minorEastAsia" w:cstheme="minorEastAsia"/>
          <w:color w:val="auto"/>
          <w:highlight w:val="none"/>
          <w:u w:val="single"/>
        </w:rPr>
        <w:t xml:space="preserve">                                 </w:t>
      </w:r>
    </w:p>
    <w:p w14:paraId="7A4F9C11">
      <w:pPr>
        <w:spacing w:line="480" w:lineRule="auto"/>
        <w:ind w:firstLine="210" w:firstLineChars="1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法定代表人或其委托代理人（签字或盖章）：</w:t>
      </w:r>
      <w:r>
        <w:rPr>
          <w:rFonts w:hint="eastAsia" w:asciiTheme="minorEastAsia" w:hAnsiTheme="minorEastAsia" w:eastAsiaTheme="minorEastAsia" w:cstheme="minorEastAsia"/>
          <w:color w:val="auto"/>
          <w:highlight w:val="none"/>
          <w:u w:val="single"/>
        </w:rPr>
        <w:t xml:space="preserve">              </w:t>
      </w:r>
    </w:p>
    <w:p w14:paraId="4A4191E8">
      <w:pPr>
        <w:spacing w:line="480" w:lineRule="auto"/>
        <w:ind w:firstLine="210" w:firstLineChars="1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日期：</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年</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月</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日</w:t>
      </w:r>
    </w:p>
    <w:p w14:paraId="4F40E5EC">
      <w:pPr>
        <w:pStyle w:val="62"/>
        <w:rPr>
          <w:rFonts w:hint="eastAsia" w:asciiTheme="minorEastAsia" w:hAnsiTheme="minorEastAsia" w:eastAsiaTheme="minorEastAsia" w:cstheme="minorEastAsia"/>
          <w:color w:val="auto"/>
          <w:highlight w:val="none"/>
        </w:rPr>
      </w:pPr>
    </w:p>
    <w:p w14:paraId="765B5DB1">
      <w:pPr>
        <w:pStyle w:val="17"/>
        <w:rPr>
          <w:rFonts w:hint="eastAsia" w:asciiTheme="minorEastAsia" w:hAnsiTheme="minorEastAsia" w:eastAsiaTheme="minorEastAsia" w:cstheme="minorEastAsia"/>
          <w:color w:val="auto"/>
          <w:highlight w:val="none"/>
        </w:rPr>
      </w:pPr>
    </w:p>
    <w:p w14:paraId="3DB920D6">
      <w:pPr>
        <w:rPr>
          <w:rFonts w:hint="eastAsia" w:asciiTheme="minorEastAsia" w:hAnsiTheme="minorEastAsia" w:eastAsiaTheme="minorEastAsia" w:cstheme="minorEastAsia"/>
          <w:b/>
          <w:bCs/>
          <w:color w:val="auto"/>
          <w:kern w:val="0"/>
          <w:sz w:val="30"/>
          <w:szCs w:val="30"/>
          <w:highlight w:val="none"/>
        </w:rPr>
      </w:pPr>
      <w:r>
        <w:rPr>
          <w:rFonts w:hint="eastAsia" w:asciiTheme="minorEastAsia" w:hAnsiTheme="minorEastAsia" w:eastAsiaTheme="minorEastAsia" w:cstheme="minorEastAsia"/>
          <w:b/>
          <w:bCs/>
          <w:color w:val="auto"/>
          <w:kern w:val="0"/>
          <w:sz w:val="30"/>
          <w:szCs w:val="30"/>
          <w:highlight w:val="none"/>
        </w:rPr>
        <w:br w:type="page"/>
      </w:r>
    </w:p>
    <w:p w14:paraId="20AED331">
      <w:pPr>
        <w:numPr>
          <w:ilvl w:val="0"/>
          <w:numId w:val="14"/>
        </w:numPr>
        <w:spacing w:line="400" w:lineRule="exact"/>
        <w:jc w:val="center"/>
        <w:rPr>
          <w:rFonts w:hint="eastAsia" w:asciiTheme="minorEastAsia" w:hAnsiTheme="minorEastAsia" w:eastAsiaTheme="minorEastAsia" w:cstheme="minorEastAsia"/>
          <w:b/>
          <w:bCs/>
          <w:color w:val="auto"/>
          <w:kern w:val="0"/>
          <w:sz w:val="30"/>
          <w:szCs w:val="30"/>
          <w:highlight w:val="none"/>
        </w:rPr>
      </w:pPr>
      <w:r>
        <w:rPr>
          <w:rFonts w:hint="eastAsia" w:asciiTheme="minorEastAsia" w:hAnsiTheme="minorEastAsia" w:eastAsiaTheme="minorEastAsia" w:cstheme="minorEastAsia"/>
          <w:b/>
          <w:bCs/>
          <w:color w:val="auto"/>
          <w:kern w:val="0"/>
          <w:sz w:val="30"/>
          <w:szCs w:val="30"/>
          <w:highlight w:val="none"/>
        </w:rPr>
        <w:t>已标价的工程量清单报价有关材料</w:t>
      </w:r>
    </w:p>
    <w:p w14:paraId="5B739488">
      <w:pPr>
        <w:pStyle w:val="6"/>
        <w:rPr>
          <w:rFonts w:hint="eastAsia" w:asciiTheme="minorEastAsia" w:hAnsiTheme="minorEastAsia" w:eastAsiaTheme="minorEastAsia" w:cstheme="minorEastAsia"/>
          <w:color w:val="auto"/>
          <w:highlight w:val="none"/>
        </w:rPr>
      </w:pPr>
    </w:p>
    <w:p w14:paraId="43EFD7B6">
      <w:pPr>
        <w:spacing w:line="360" w:lineRule="auto"/>
        <w:ind w:firstLine="420" w:firstLineChars="200"/>
        <w:rPr>
          <w:color w:val="auto"/>
          <w:highlight w:val="none"/>
        </w:rPr>
      </w:pPr>
      <w:r>
        <w:rPr>
          <w:rFonts w:hint="eastAsia"/>
          <w:color w:val="auto"/>
          <w:highlight w:val="none"/>
        </w:rPr>
        <w:t>1.</w:t>
      </w:r>
      <w:r>
        <w:rPr>
          <w:rFonts w:hint="eastAsia" w:cs="宋体"/>
          <w:color w:val="auto"/>
          <w:highlight w:val="none"/>
        </w:rPr>
        <w:t>供应商应依据竞争性磋商文件、招标工程量清单、</w:t>
      </w:r>
      <w:r>
        <w:rPr>
          <w:rFonts w:hint="eastAsia" w:asciiTheme="minorEastAsia" w:hAnsiTheme="minorEastAsia" w:eastAsiaTheme="minorEastAsia" w:cstheme="minorEastAsia"/>
          <w:color w:val="auto"/>
          <w:highlight w:val="none"/>
        </w:rPr>
        <w:t>《(GB50500-2013)建设工程工程量清单计价规范》广西壮族自治区实施细则”</w:t>
      </w:r>
      <w:r>
        <w:rPr>
          <w:rFonts w:hint="eastAsia" w:cs="宋体"/>
          <w:color w:val="auto"/>
          <w:highlight w:val="none"/>
        </w:rPr>
        <w:t>、《计算规范》自主报价，自主报价</w:t>
      </w:r>
      <w:r>
        <w:rPr>
          <w:rFonts w:hint="eastAsia" w:hAnsi="宋体" w:cs="宋体"/>
          <w:color w:val="auto"/>
          <w:highlight w:val="none"/>
        </w:rPr>
        <w:t>不得违反计价规范强制性条文规定。</w:t>
      </w:r>
      <w:r>
        <w:rPr>
          <w:rFonts w:hint="eastAsia" w:cs="宋体"/>
          <w:color w:val="auto"/>
          <w:highlight w:val="none"/>
        </w:rPr>
        <w:t>供应商不得采用总价让利或以百分比让利等形式进行报价，任何优惠（或降价、让利）均应反映在相应清单项目的综合单价中。同时，不得出现任意一项单价重大让利，</w:t>
      </w:r>
      <w:r>
        <w:rPr>
          <w:rFonts w:hint="eastAsia" w:hAnsi="宋体" w:cs="宋体"/>
          <w:color w:val="auto"/>
          <w:highlight w:val="none"/>
        </w:rPr>
        <w:t>不得以自有机械闲置、自有材料等不计成本为由</w:t>
      </w:r>
      <w:r>
        <w:rPr>
          <w:rFonts w:hint="eastAsia" w:cs="宋体"/>
          <w:color w:val="auto"/>
          <w:highlight w:val="none"/>
        </w:rPr>
        <w:t>低于工程成本报价。</w:t>
      </w:r>
    </w:p>
    <w:p w14:paraId="0BCCB73D">
      <w:pPr>
        <w:spacing w:line="360" w:lineRule="auto"/>
        <w:ind w:firstLine="420" w:firstLineChars="200"/>
        <w:rPr>
          <w:rFonts w:hint="eastAsia" w:hAnsi="宋体"/>
          <w:color w:val="auto"/>
          <w:highlight w:val="none"/>
        </w:rPr>
      </w:pPr>
      <w:r>
        <w:rPr>
          <w:rFonts w:hint="eastAsia"/>
          <w:color w:val="auto"/>
          <w:highlight w:val="none"/>
        </w:rPr>
        <w:t>2.</w:t>
      </w:r>
      <w:r>
        <w:rPr>
          <w:rFonts w:hint="eastAsia" w:cs="宋体"/>
          <w:color w:val="auto"/>
          <w:highlight w:val="none"/>
        </w:rPr>
        <w:t>供应商应按招标工程量清单填报价格。项目编码、项目名称、项目特征、计量单位、工程量必须与招标工程量清单一致，供应商</w:t>
      </w:r>
      <w:r>
        <w:rPr>
          <w:rFonts w:hint="eastAsia" w:hAnsi="宋体" w:cs="宋体"/>
          <w:color w:val="auto"/>
          <w:highlight w:val="none"/>
        </w:rPr>
        <w:t>不得对招标工程量清单项目进行增减调整。</w:t>
      </w:r>
    </w:p>
    <w:p w14:paraId="75528AC2">
      <w:pPr>
        <w:spacing w:line="360" w:lineRule="auto"/>
        <w:ind w:firstLine="420" w:firstLineChars="200"/>
        <w:rPr>
          <w:color w:val="auto"/>
          <w:highlight w:val="none"/>
        </w:rPr>
      </w:pPr>
      <w:r>
        <w:rPr>
          <w:rFonts w:hint="eastAsia"/>
          <w:color w:val="auto"/>
          <w:highlight w:val="none"/>
        </w:rPr>
        <w:t>3.</w:t>
      </w:r>
      <w:r>
        <w:rPr>
          <w:rFonts w:hint="eastAsia" w:cs="宋体"/>
          <w:color w:val="auto"/>
          <w:highlight w:val="none"/>
        </w:rPr>
        <w:t>综合单价中应包含竞争性磋商文件中划分的应由供应商承担的风险范围及其费用。</w:t>
      </w:r>
    </w:p>
    <w:p w14:paraId="3AD098C8">
      <w:pPr>
        <w:spacing w:line="360" w:lineRule="auto"/>
        <w:ind w:firstLine="420" w:firstLineChars="200"/>
        <w:rPr>
          <w:rFonts w:hint="eastAsia" w:hAnsi="宋体"/>
          <w:color w:val="auto"/>
          <w:highlight w:val="none"/>
        </w:rPr>
      </w:pPr>
      <w:r>
        <w:rPr>
          <w:rFonts w:hint="eastAsia"/>
          <w:color w:val="auto"/>
          <w:highlight w:val="none"/>
        </w:rPr>
        <w:t>4.</w:t>
      </w:r>
      <w:r>
        <w:rPr>
          <w:rFonts w:hint="eastAsia" w:hAnsi="宋体" w:cs="宋体"/>
          <w:color w:val="auto"/>
          <w:highlight w:val="none"/>
        </w:rPr>
        <w:t>分部分项工程项目和单价措施项目，应根据</w:t>
      </w:r>
      <w:r>
        <w:rPr>
          <w:rFonts w:hint="eastAsia" w:cs="宋体"/>
          <w:color w:val="auto"/>
          <w:highlight w:val="none"/>
        </w:rPr>
        <w:t>竞争性磋商文件</w:t>
      </w:r>
      <w:r>
        <w:rPr>
          <w:rFonts w:hint="eastAsia" w:hAnsi="宋体" w:cs="宋体"/>
          <w:color w:val="auto"/>
          <w:highlight w:val="none"/>
        </w:rPr>
        <w:t>和招标工程量清单项目中的特征描述确定综合单价计算。如出现招标工程量清单特征描述与设计图纸不符时，供应商应以招标工程量清单的项目特征描述为准，确定投标报价的综合单价。</w:t>
      </w:r>
    </w:p>
    <w:p w14:paraId="781B6FD1">
      <w:pPr>
        <w:spacing w:line="360" w:lineRule="auto"/>
        <w:ind w:firstLine="420" w:firstLineChars="200"/>
        <w:rPr>
          <w:color w:val="auto"/>
          <w:highlight w:val="none"/>
        </w:rPr>
      </w:pPr>
      <w:r>
        <w:rPr>
          <w:rFonts w:hint="eastAsia"/>
          <w:color w:val="auto"/>
          <w:highlight w:val="none"/>
        </w:rPr>
        <w:t>5.</w:t>
      </w:r>
      <w:r>
        <w:rPr>
          <w:rFonts w:hint="eastAsia" w:hAnsi="宋体" w:cs="宋体"/>
          <w:color w:val="auto"/>
          <w:highlight w:val="none"/>
        </w:rPr>
        <w:t>总价措施项目的金额应根据</w:t>
      </w:r>
      <w:r>
        <w:rPr>
          <w:rFonts w:hint="eastAsia" w:cs="宋体"/>
          <w:color w:val="auto"/>
          <w:highlight w:val="none"/>
        </w:rPr>
        <w:t>竞争性磋商文件</w:t>
      </w:r>
      <w:r>
        <w:rPr>
          <w:rFonts w:hint="eastAsia" w:hAnsi="宋体" w:cs="宋体"/>
          <w:color w:val="auto"/>
          <w:highlight w:val="none"/>
        </w:rPr>
        <w:t>及投标时拟定的施工组织设计或施工方案，按计价规范的规定自主确定。但</w:t>
      </w:r>
      <w:r>
        <w:rPr>
          <w:rFonts w:hint="eastAsia" w:cs="宋体"/>
          <w:color w:val="auto"/>
          <w:highlight w:val="none"/>
        </w:rPr>
        <w:t>安全文明施工费按国家、省级或行业建设主管部门的有关规定执行，作为不竞争费用单列。</w:t>
      </w:r>
    </w:p>
    <w:p w14:paraId="12DB0DBE">
      <w:pPr>
        <w:spacing w:line="360" w:lineRule="auto"/>
        <w:ind w:firstLine="420" w:firstLineChars="200"/>
        <w:rPr>
          <w:color w:val="auto"/>
          <w:highlight w:val="none"/>
        </w:rPr>
      </w:pPr>
      <w:r>
        <w:rPr>
          <w:rFonts w:hint="eastAsia"/>
          <w:color w:val="auto"/>
          <w:highlight w:val="none"/>
        </w:rPr>
        <w:t>6.</w:t>
      </w:r>
      <w:r>
        <w:rPr>
          <w:rFonts w:hint="eastAsia" w:cs="宋体"/>
          <w:color w:val="auto"/>
          <w:highlight w:val="none"/>
        </w:rPr>
        <w:t>其他项目费应按下列规定报价：</w:t>
      </w:r>
    </w:p>
    <w:p w14:paraId="34C27BAF">
      <w:pPr>
        <w:spacing w:line="360" w:lineRule="auto"/>
        <w:ind w:firstLine="420" w:firstLineChars="200"/>
        <w:rPr>
          <w:color w:val="auto"/>
          <w:highlight w:val="none"/>
        </w:rPr>
      </w:pPr>
      <w:r>
        <w:rPr>
          <w:rFonts w:hint="eastAsia" w:cs="宋体"/>
          <w:color w:val="auto"/>
          <w:highlight w:val="none"/>
        </w:rPr>
        <w:t>（</w:t>
      </w:r>
      <w:r>
        <w:rPr>
          <w:color w:val="auto"/>
          <w:highlight w:val="none"/>
        </w:rPr>
        <w:t>1</w:t>
      </w:r>
      <w:r>
        <w:rPr>
          <w:rFonts w:hint="eastAsia" w:cs="宋体"/>
          <w:color w:val="auto"/>
          <w:highlight w:val="none"/>
        </w:rPr>
        <w:t>）暂列金额应按招标工程量清单中列出的金额填写；</w:t>
      </w:r>
    </w:p>
    <w:p w14:paraId="2B5DD10C">
      <w:pPr>
        <w:pStyle w:val="168"/>
        <w:spacing w:line="360" w:lineRule="auto"/>
        <w:ind w:firstLine="420" w:firstLineChars="200"/>
        <w:rPr>
          <w:color w:val="auto"/>
          <w:highlight w:val="none"/>
        </w:rPr>
      </w:pPr>
      <w:r>
        <w:rPr>
          <w:rFonts w:hint="eastAsia" w:cs="宋体"/>
          <w:color w:val="auto"/>
          <w:highlight w:val="none"/>
        </w:rPr>
        <w:t>（</w:t>
      </w:r>
      <w:r>
        <w:rPr>
          <w:color w:val="auto"/>
          <w:highlight w:val="none"/>
        </w:rPr>
        <w:t>2</w:t>
      </w:r>
      <w:r>
        <w:rPr>
          <w:rFonts w:hint="eastAsia" w:cs="宋体"/>
          <w:color w:val="auto"/>
          <w:highlight w:val="none"/>
        </w:rPr>
        <w:t>）材料、工程设备暂估价应按招标工程量清单中列出的单价计入综合单价；</w:t>
      </w:r>
    </w:p>
    <w:p w14:paraId="638B7D5E">
      <w:pPr>
        <w:spacing w:line="360" w:lineRule="auto"/>
        <w:ind w:firstLine="420" w:firstLineChars="200"/>
        <w:rPr>
          <w:color w:val="auto"/>
          <w:highlight w:val="none"/>
        </w:rPr>
      </w:pPr>
      <w:r>
        <w:rPr>
          <w:rFonts w:hint="eastAsia" w:cs="宋体"/>
          <w:color w:val="auto"/>
          <w:highlight w:val="none"/>
        </w:rPr>
        <w:t>（</w:t>
      </w:r>
      <w:r>
        <w:rPr>
          <w:color w:val="auto"/>
          <w:highlight w:val="none"/>
        </w:rPr>
        <w:t>3</w:t>
      </w:r>
      <w:r>
        <w:rPr>
          <w:rFonts w:hint="eastAsia" w:cs="宋体"/>
          <w:color w:val="auto"/>
          <w:highlight w:val="none"/>
        </w:rPr>
        <w:t>）专业工程暂估价应按招标工程量清单中列出的金额填写；</w:t>
      </w:r>
    </w:p>
    <w:p w14:paraId="4D5C03B5">
      <w:pPr>
        <w:spacing w:line="360" w:lineRule="auto"/>
        <w:ind w:firstLine="420" w:firstLineChars="200"/>
        <w:rPr>
          <w:color w:val="auto"/>
          <w:highlight w:val="none"/>
        </w:rPr>
      </w:pPr>
      <w:r>
        <w:rPr>
          <w:rFonts w:hint="eastAsia" w:cs="宋体"/>
          <w:color w:val="auto"/>
          <w:highlight w:val="none"/>
        </w:rPr>
        <w:t>（</w:t>
      </w:r>
      <w:r>
        <w:rPr>
          <w:color w:val="auto"/>
          <w:highlight w:val="none"/>
        </w:rPr>
        <w:t>4</w:t>
      </w:r>
      <w:r>
        <w:rPr>
          <w:rFonts w:hint="eastAsia" w:cs="宋体"/>
          <w:color w:val="auto"/>
          <w:highlight w:val="none"/>
        </w:rPr>
        <w:t>）计日工应按招标工程量清单中列出的项目和估算数量，自主确定综合单价并计算计日工总额；计日工单价均不含规费和税金；</w:t>
      </w:r>
    </w:p>
    <w:p w14:paraId="72372D7F">
      <w:pPr>
        <w:spacing w:line="360" w:lineRule="auto"/>
        <w:ind w:firstLine="420" w:firstLineChars="200"/>
        <w:rPr>
          <w:color w:val="auto"/>
          <w:highlight w:val="none"/>
        </w:rPr>
      </w:pPr>
      <w:r>
        <w:rPr>
          <w:rFonts w:hint="eastAsia" w:cs="宋体"/>
          <w:color w:val="auto"/>
          <w:highlight w:val="none"/>
        </w:rPr>
        <w:t>（</w:t>
      </w:r>
      <w:r>
        <w:rPr>
          <w:color w:val="auto"/>
          <w:highlight w:val="none"/>
        </w:rPr>
        <w:t>5</w:t>
      </w:r>
      <w:r>
        <w:rPr>
          <w:rFonts w:hint="eastAsia" w:cs="宋体"/>
          <w:color w:val="auto"/>
          <w:highlight w:val="none"/>
        </w:rPr>
        <w:t>）总承包服务费应根据招标工程量清单中列出的内容</w:t>
      </w:r>
      <w:r>
        <w:rPr>
          <w:rFonts w:hint="eastAsia" w:hAnsi="宋体" w:cs="宋体"/>
          <w:color w:val="auto"/>
          <w:highlight w:val="none"/>
        </w:rPr>
        <w:t>和供应材料、设备情况，按照招标人提出的协调、配合与服务要求和施工现场管理需要</w:t>
      </w:r>
      <w:r>
        <w:rPr>
          <w:rFonts w:hint="eastAsia" w:cs="宋体"/>
          <w:color w:val="auto"/>
          <w:highlight w:val="none"/>
        </w:rPr>
        <w:t>自主确定。</w:t>
      </w:r>
    </w:p>
    <w:p w14:paraId="665521B6">
      <w:pPr>
        <w:spacing w:line="360" w:lineRule="auto"/>
        <w:ind w:firstLine="420" w:firstLineChars="200"/>
        <w:rPr>
          <w:color w:val="auto"/>
          <w:highlight w:val="none"/>
        </w:rPr>
      </w:pPr>
      <w:r>
        <w:rPr>
          <w:rFonts w:hint="eastAsia"/>
          <w:color w:val="auto"/>
          <w:highlight w:val="none"/>
        </w:rPr>
        <w:t>7.</w:t>
      </w:r>
      <w:r>
        <w:rPr>
          <w:rFonts w:hint="eastAsia" w:cs="宋体"/>
          <w:color w:val="auto"/>
          <w:highlight w:val="none"/>
        </w:rPr>
        <w:t>规费和增值税应按规定确定，作为不可竞争费用。</w:t>
      </w:r>
    </w:p>
    <w:p w14:paraId="55876D23">
      <w:pPr>
        <w:spacing w:line="360" w:lineRule="auto"/>
        <w:ind w:firstLine="420" w:firstLineChars="200"/>
        <w:rPr>
          <w:color w:val="auto"/>
          <w:highlight w:val="none"/>
        </w:rPr>
      </w:pPr>
      <w:r>
        <w:rPr>
          <w:rFonts w:hint="eastAsia"/>
          <w:color w:val="auto"/>
          <w:highlight w:val="none"/>
        </w:rPr>
        <w:t>8.</w:t>
      </w:r>
      <w:r>
        <w:rPr>
          <w:rFonts w:hint="eastAsia" w:cs="宋体"/>
          <w:color w:val="auto"/>
          <w:highlight w:val="none"/>
        </w:rPr>
        <w:t>招标工程量清单与计价表中列明的所有需要填写的单价和合价的项目，供应商均应填写且只允许有一个报价。未填写单价和合价的项目，视为此项费用已包含在已标价工程量清单中其他项目的单价和合价之中。竣工结算时，此项目不得重新组价予以调整。</w:t>
      </w:r>
    </w:p>
    <w:p w14:paraId="40777E0A">
      <w:pPr>
        <w:spacing w:line="360" w:lineRule="auto"/>
        <w:ind w:firstLine="420" w:firstLineChars="200"/>
        <w:rPr>
          <w:color w:val="auto"/>
          <w:highlight w:val="none"/>
        </w:rPr>
      </w:pPr>
      <w:r>
        <w:rPr>
          <w:rFonts w:hint="eastAsia"/>
          <w:color w:val="auto"/>
          <w:highlight w:val="none"/>
        </w:rPr>
        <w:t>9.</w:t>
      </w:r>
      <w:r>
        <w:rPr>
          <w:rFonts w:hint="eastAsia" w:cs="宋体"/>
          <w:color w:val="auto"/>
          <w:highlight w:val="none"/>
        </w:rPr>
        <w:t>竞标总价应当与分部分项工程费、措施项目费、其他项目费和规费、增值税的合计金额一致。</w:t>
      </w:r>
    </w:p>
    <w:p w14:paraId="4832932B">
      <w:pPr>
        <w:spacing w:line="360" w:lineRule="auto"/>
        <w:ind w:firstLine="420" w:firstLineChars="200"/>
        <w:rPr>
          <w:color w:val="auto"/>
          <w:highlight w:val="none"/>
        </w:rPr>
      </w:pPr>
      <w:r>
        <w:rPr>
          <w:rFonts w:hint="eastAsia"/>
          <w:color w:val="auto"/>
          <w:highlight w:val="none"/>
        </w:rPr>
        <w:t>10.</w:t>
      </w:r>
      <w:r>
        <w:rPr>
          <w:rFonts w:hint="eastAsia" w:cs="宋体"/>
          <w:color w:val="auto"/>
          <w:highlight w:val="none"/>
        </w:rPr>
        <w:t>供应商应按《承包人提供的主要材料和设备一览表》的内容填报，不得擅自调整材料和设备名称型号规格、单位、风险系数、基准单价。</w:t>
      </w:r>
    </w:p>
    <w:p w14:paraId="0210DCC2">
      <w:pPr>
        <w:spacing w:line="360" w:lineRule="auto"/>
        <w:ind w:firstLine="420" w:firstLineChars="200"/>
        <w:rPr>
          <w:rFonts w:hint="eastAsia" w:hAnsi="宋体"/>
          <w:color w:val="auto"/>
          <w:highlight w:val="none"/>
        </w:rPr>
      </w:pPr>
      <w:r>
        <w:rPr>
          <w:rFonts w:hint="eastAsia"/>
          <w:color w:val="auto"/>
          <w:highlight w:val="none"/>
        </w:rPr>
        <w:t>11.</w:t>
      </w:r>
      <w:r>
        <w:rPr>
          <w:rFonts w:hint="eastAsia" w:hAnsi="宋体" w:cs="宋体"/>
          <w:color w:val="auto"/>
          <w:highlight w:val="none"/>
        </w:rPr>
        <w:t>竞标报价</w:t>
      </w:r>
      <w:r>
        <w:rPr>
          <w:rFonts w:hint="eastAsia" w:cs="宋体"/>
          <w:color w:val="auto"/>
          <w:highlight w:val="none"/>
        </w:rPr>
        <w:t>表格按本工程工程量清单表格要求填写，并</w:t>
      </w:r>
      <w:r>
        <w:rPr>
          <w:rFonts w:hint="eastAsia" w:hAnsi="宋体" w:cs="宋体"/>
          <w:color w:val="auto"/>
          <w:highlight w:val="none"/>
        </w:rPr>
        <w:t>应按</w:t>
      </w:r>
      <w:r>
        <w:rPr>
          <w:rFonts w:hint="eastAsia" w:cs="宋体"/>
          <w:color w:val="auto"/>
          <w:highlight w:val="none"/>
        </w:rPr>
        <w:t>竞争性磋商文件</w:t>
      </w:r>
      <w:r>
        <w:rPr>
          <w:rFonts w:hint="eastAsia" w:hAnsi="宋体" w:cs="宋体"/>
          <w:color w:val="auto"/>
          <w:highlight w:val="none"/>
        </w:rPr>
        <w:t>要求，附上《工程量清单综合单价分析表》（表</w:t>
      </w:r>
      <w:r>
        <w:rPr>
          <w:color w:val="auto"/>
          <w:highlight w:val="none"/>
        </w:rPr>
        <w:t>-09</w:t>
      </w:r>
      <w:r>
        <w:rPr>
          <w:rFonts w:hint="eastAsia" w:hAnsi="宋体" w:cs="宋体"/>
          <w:color w:val="auto"/>
          <w:highlight w:val="none"/>
        </w:rPr>
        <w:t>）和《主要清单项目工料机分析表》（表</w:t>
      </w:r>
      <w:r>
        <w:rPr>
          <w:color w:val="auto"/>
          <w:highlight w:val="none"/>
        </w:rPr>
        <w:t>-10</w:t>
      </w:r>
      <w:r>
        <w:rPr>
          <w:rFonts w:hint="eastAsia" w:hAnsi="宋体" w:cs="宋体"/>
          <w:color w:val="auto"/>
          <w:highlight w:val="none"/>
        </w:rPr>
        <w:t>）。</w:t>
      </w:r>
    </w:p>
    <w:p w14:paraId="433F0250">
      <w:pPr>
        <w:spacing w:line="360" w:lineRule="auto"/>
        <w:ind w:firstLine="420" w:firstLineChars="200"/>
        <w:rPr>
          <w:rFonts w:cs="宋体"/>
          <w:color w:val="auto"/>
          <w:highlight w:val="none"/>
        </w:rPr>
        <w:sectPr>
          <w:footerReference r:id="rId8" w:type="first"/>
          <w:headerReference r:id="rId5" w:type="default"/>
          <w:footerReference r:id="rId6" w:type="default"/>
          <w:footerReference r:id="rId7" w:type="even"/>
          <w:pgSz w:w="11906" w:h="16838"/>
          <w:pgMar w:top="840" w:right="1006" w:bottom="1440" w:left="1020" w:header="851" w:footer="992" w:gutter="0"/>
          <w:cols w:space="720" w:num="1"/>
          <w:titlePg/>
          <w:docGrid w:type="lines" w:linePitch="312" w:charSpace="0"/>
        </w:sectPr>
      </w:pPr>
      <w:r>
        <w:rPr>
          <w:rFonts w:hint="eastAsia" w:cs="宋体"/>
          <w:color w:val="auto"/>
          <w:highlight w:val="none"/>
        </w:rPr>
        <w:t>未尽事宜详见本工程招标工程量清单、招标控制价编制说明以及现行《计价规范》等有关规定执行。</w:t>
      </w:r>
    </w:p>
    <w:p w14:paraId="17294339">
      <w:pPr>
        <w:spacing w:line="400" w:lineRule="exact"/>
        <w:jc w:val="center"/>
        <w:rPr>
          <w:rFonts w:hint="eastAsia" w:asciiTheme="minorEastAsia" w:hAnsiTheme="minorEastAsia" w:eastAsiaTheme="minorEastAsia" w:cstheme="minorEastAsia"/>
          <w:b/>
          <w:bCs/>
          <w:color w:val="auto"/>
          <w:kern w:val="0"/>
          <w:sz w:val="30"/>
          <w:szCs w:val="30"/>
          <w:highlight w:val="none"/>
        </w:rPr>
      </w:pPr>
      <w:r>
        <w:rPr>
          <w:rFonts w:hint="eastAsia" w:asciiTheme="minorEastAsia" w:hAnsiTheme="minorEastAsia" w:eastAsiaTheme="minorEastAsia" w:cstheme="minorEastAsia"/>
          <w:b/>
          <w:bCs/>
          <w:color w:val="auto"/>
          <w:kern w:val="0"/>
          <w:sz w:val="30"/>
          <w:szCs w:val="30"/>
          <w:highlight w:val="none"/>
        </w:rPr>
        <w:t>五、供应商如为中小微企业或监狱企业或残疾人福利性单位</w:t>
      </w:r>
    </w:p>
    <w:p w14:paraId="44026201">
      <w:pPr>
        <w:spacing w:line="400" w:lineRule="exact"/>
        <w:jc w:val="center"/>
        <w:rPr>
          <w:rFonts w:hint="eastAsia" w:asciiTheme="minorEastAsia" w:hAnsiTheme="minorEastAsia" w:eastAsiaTheme="minorEastAsia" w:cstheme="minorEastAsia"/>
          <w:b/>
          <w:bCs/>
          <w:color w:val="auto"/>
          <w:kern w:val="0"/>
          <w:sz w:val="30"/>
          <w:szCs w:val="30"/>
          <w:highlight w:val="none"/>
        </w:rPr>
      </w:pPr>
    </w:p>
    <w:p w14:paraId="2CED0D2E">
      <w:pPr>
        <w:spacing w:line="400" w:lineRule="exact"/>
        <w:jc w:val="center"/>
        <w:rPr>
          <w:rFonts w:hint="eastAsia" w:asciiTheme="minorEastAsia" w:hAnsiTheme="minorEastAsia" w:eastAsiaTheme="minorEastAsia" w:cstheme="minorEastAsia"/>
          <w:b/>
          <w:bCs/>
          <w:color w:val="auto"/>
          <w:kern w:val="0"/>
          <w:sz w:val="30"/>
          <w:szCs w:val="30"/>
          <w:highlight w:val="none"/>
        </w:rPr>
      </w:pPr>
    </w:p>
    <w:p w14:paraId="3AB97510">
      <w:pPr>
        <w:spacing w:line="400" w:lineRule="exact"/>
        <w:jc w:val="center"/>
        <w:rPr>
          <w:rFonts w:hint="eastAsia" w:asciiTheme="minorEastAsia" w:hAnsiTheme="minorEastAsia" w:eastAsiaTheme="minorEastAsia" w:cstheme="minorEastAsia"/>
          <w:b/>
          <w:bCs/>
          <w:color w:val="auto"/>
          <w:kern w:val="0"/>
          <w:sz w:val="30"/>
          <w:szCs w:val="30"/>
          <w:highlight w:val="none"/>
        </w:rPr>
      </w:pPr>
    </w:p>
    <w:p w14:paraId="31D342FB">
      <w:pPr>
        <w:spacing w:line="400" w:lineRule="exact"/>
        <w:jc w:val="center"/>
        <w:rPr>
          <w:rFonts w:hint="eastAsia" w:asciiTheme="minorEastAsia" w:hAnsiTheme="minorEastAsia" w:eastAsiaTheme="minorEastAsia" w:cstheme="minorEastAsia"/>
          <w:b/>
          <w:bCs/>
          <w:color w:val="auto"/>
          <w:kern w:val="0"/>
          <w:sz w:val="30"/>
          <w:szCs w:val="30"/>
          <w:highlight w:val="none"/>
        </w:rPr>
      </w:pPr>
      <w:r>
        <w:rPr>
          <w:rFonts w:hint="eastAsia" w:asciiTheme="minorEastAsia" w:hAnsiTheme="minorEastAsia" w:eastAsiaTheme="minorEastAsia" w:cstheme="minorEastAsia"/>
          <w:b/>
          <w:bCs/>
          <w:color w:val="auto"/>
          <w:kern w:val="0"/>
          <w:sz w:val="30"/>
          <w:szCs w:val="30"/>
          <w:highlight w:val="none"/>
        </w:rPr>
        <w:t>1、中小企业声明函</w:t>
      </w:r>
    </w:p>
    <w:p w14:paraId="7F7AED0C">
      <w:pPr>
        <w:spacing w:line="588" w:lineRule="exact"/>
        <w:jc w:val="center"/>
        <w:rPr>
          <w:rFonts w:hint="eastAsia" w:asciiTheme="minorEastAsia" w:hAnsiTheme="minorEastAsia" w:eastAsiaTheme="minorEastAsia" w:cstheme="minorEastAsia"/>
          <w:b/>
          <w:color w:val="auto"/>
          <w:spacing w:val="6"/>
          <w:sz w:val="32"/>
          <w:szCs w:val="32"/>
          <w:highlight w:val="none"/>
        </w:rPr>
      </w:pPr>
    </w:p>
    <w:p w14:paraId="63FFBBA3">
      <w:pPr>
        <w:spacing w:line="588" w:lineRule="exact"/>
        <w:ind w:firstLine="504" w:firstLineChars="200"/>
        <w:rPr>
          <w:rFonts w:hint="eastAsia" w:asciiTheme="minorEastAsia" w:hAnsiTheme="minorEastAsia" w:eastAsiaTheme="minorEastAsia" w:cstheme="minorEastAsia"/>
          <w:color w:val="auto"/>
          <w:spacing w:val="6"/>
          <w:sz w:val="24"/>
          <w:highlight w:val="none"/>
        </w:rPr>
      </w:pPr>
      <w:r>
        <w:rPr>
          <w:rFonts w:hint="eastAsia" w:asciiTheme="minorEastAsia" w:hAnsiTheme="minorEastAsia" w:eastAsiaTheme="minorEastAsia" w:cstheme="minorEastAsia"/>
          <w:color w:val="auto"/>
          <w:spacing w:val="6"/>
          <w:sz w:val="24"/>
          <w:highlight w:val="none"/>
        </w:rPr>
        <w:t>本公司郑重声明，根据《政府采购促进中小企业发展暂行办法》（财库[2020]46号）的规定，本公司参加</w:t>
      </w:r>
      <w:r>
        <w:rPr>
          <w:rFonts w:hint="eastAsia" w:asciiTheme="minorEastAsia" w:hAnsiTheme="minorEastAsia" w:eastAsiaTheme="minorEastAsia" w:cstheme="minorEastAsia"/>
          <w:color w:val="auto"/>
          <w:spacing w:val="6"/>
          <w:sz w:val="24"/>
          <w:highlight w:val="none"/>
          <w:u w:val="single"/>
        </w:rPr>
        <w:t xml:space="preserve">        </w:t>
      </w:r>
      <w:r>
        <w:rPr>
          <w:rFonts w:hint="eastAsia" w:asciiTheme="minorEastAsia" w:hAnsiTheme="minorEastAsia" w:eastAsiaTheme="minorEastAsia" w:cstheme="minorEastAsia"/>
          <w:color w:val="auto"/>
          <w:spacing w:val="6"/>
          <w:sz w:val="24"/>
          <w:highlight w:val="none"/>
        </w:rPr>
        <w:t>（采购人名称）的</w:t>
      </w:r>
      <w:r>
        <w:rPr>
          <w:rFonts w:hint="eastAsia" w:asciiTheme="minorEastAsia" w:hAnsiTheme="minorEastAsia" w:eastAsiaTheme="minorEastAsia" w:cstheme="minorEastAsia"/>
          <w:color w:val="auto"/>
          <w:spacing w:val="6"/>
          <w:sz w:val="24"/>
          <w:highlight w:val="none"/>
          <w:u w:val="single"/>
        </w:rPr>
        <w:t xml:space="preserve">         </w:t>
      </w:r>
      <w:r>
        <w:rPr>
          <w:rFonts w:hint="eastAsia" w:asciiTheme="minorEastAsia" w:hAnsiTheme="minorEastAsia" w:eastAsiaTheme="minorEastAsia" w:cstheme="minorEastAsia"/>
          <w:color w:val="auto"/>
          <w:spacing w:val="6"/>
          <w:sz w:val="24"/>
          <w:highlight w:val="none"/>
        </w:rPr>
        <w:t>（项目名称）采购活动，工程的施工单位全部为符合政策要求的中小企业（或者服务全部由符合政策要求的中小企业承接）。相关企业（</w:t>
      </w:r>
      <w:r>
        <w:rPr>
          <w:rFonts w:ascii="宋体" w:hAnsi="宋体" w:cs="宋体"/>
          <w:color w:val="auto"/>
          <w:sz w:val="24"/>
          <w:szCs w:val="24"/>
          <w:highlight w:val="none"/>
        </w:rPr>
        <w:t>含联合体中的中小企业、签订分包意向协议的中小企业</w:t>
      </w:r>
      <w:r>
        <w:rPr>
          <w:rFonts w:hint="eastAsia" w:asciiTheme="minorEastAsia" w:hAnsiTheme="minorEastAsia" w:eastAsiaTheme="minorEastAsia" w:cstheme="minorEastAsia"/>
          <w:color w:val="auto"/>
          <w:spacing w:val="6"/>
          <w:sz w:val="24"/>
          <w:highlight w:val="none"/>
        </w:rPr>
        <w:t>）</w:t>
      </w:r>
      <w:r>
        <w:rPr>
          <w:rFonts w:ascii="宋体" w:hAnsi="宋体" w:cs="宋体"/>
          <w:color w:val="auto"/>
          <w:sz w:val="24"/>
          <w:szCs w:val="24"/>
          <w:highlight w:val="none"/>
        </w:rPr>
        <w:t>的具体情况如下：</w:t>
      </w:r>
    </w:p>
    <w:p w14:paraId="374658A5">
      <w:pPr>
        <w:spacing w:line="588" w:lineRule="exact"/>
        <w:ind w:firstLine="480" w:firstLineChars="200"/>
        <w:jc w:val="left"/>
        <w:rPr>
          <w:rFonts w:hint="eastAsia" w:ascii="宋体" w:hAnsi="宋体" w:cs="宋体"/>
          <w:color w:val="auto"/>
          <w:sz w:val="24"/>
          <w:szCs w:val="24"/>
          <w:highlight w:val="none"/>
        </w:rPr>
      </w:pPr>
      <w:r>
        <w:rPr>
          <w:rFonts w:ascii="宋体" w:hAnsi="宋体" w:cs="宋体"/>
          <w:color w:val="auto"/>
          <w:sz w:val="24"/>
          <w:szCs w:val="24"/>
          <w:highlight w:val="none"/>
          <w:u w:val="single"/>
        </w:rPr>
        <w:t xml:space="preserve">（标的名称） </w:t>
      </w:r>
      <w:r>
        <w:rPr>
          <w:rFonts w:ascii="宋体" w:hAnsi="宋体" w:cs="宋体"/>
          <w:color w:val="auto"/>
          <w:sz w:val="24"/>
          <w:szCs w:val="24"/>
          <w:highlight w:val="none"/>
        </w:rPr>
        <w:t>，属于</w:t>
      </w:r>
      <w:r>
        <w:rPr>
          <w:rFonts w:hint="eastAsia" w:ascii="宋体" w:hAnsi="宋体" w:cs="宋体"/>
          <w:color w:val="auto"/>
          <w:sz w:val="24"/>
          <w:szCs w:val="24"/>
          <w:highlight w:val="none"/>
        </w:rPr>
        <w:t xml:space="preserve"> </w:t>
      </w:r>
      <w:r>
        <w:rPr>
          <w:rFonts w:hint="eastAsia" w:ascii="宋体" w:hAnsi="宋体" w:cs="宋体"/>
          <w:color w:val="auto"/>
          <w:sz w:val="24"/>
          <w:szCs w:val="24"/>
          <w:highlight w:val="none"/>
          <w:u w:val="single"/>
        </w:rPr>
        <w:t xml:space="preserve">建筑业 </w:t>
      </w:r>
      <w:r>
        <w:rPr>
          <w:rFonts w:ascii="宋体" w:hAnsi="宋体" w:cs="宋体"/>
          <w:color w:val="auto"/>
          <w:sz w:val="24"/>
          <w:szCs w:val="24"/>
          <w:highlight w:val="none"/>
        </w:rPr>
        <w:t>； 承建（承接）企业为</w:t>
      </w:r>
      <w:r>
        <w:rPr>
          <w:rFonts w:ascii="宋体" w:hAnsi="宋体" w:cs="宋体"/>
          <w:color w:val="auto"/>
          <w:sz w:val="24"/>
          <w:szCs w:val="24"/>
          <w:highlight w:val="none"/>
          <w:u w:val="single"/>
        </w:rPr>
        <w:t>（企业名称）</w:t>
      </w:r>
      <w:r>
        <w:rPr>
          <w:rFonts w:hint="eastAsia" w:ascii="宋体" w:hAnsi="宋体" w:cs="宋体"/>
          <w:color w:val="auto"/>
          <w:sz w:val="24"/>
          <w:szCs w:val="24"/>
          <w:highlight w:val="none"/>
          <w:u w:val="single"/>
        </w:rPr>
        <w:t xml:space="preserve"> </w:t>
      </w:r>
      <w:r>
        <w:rPr>
          <w:rFonts w:ascii="宋体" w:hAnsi="宋体" w:cs="宋体"/>
          <w:color w:val="auto"/>
          <w:sz w:val="24"/>
          <w:szCs w:val="24"/>
          <w:highlight w:val="none"/>
        </w:rPr>
        <w:t>，从业人员</w:t>
      </w:r>
      <w:r>
        <w:rPr>
          <w:rFonts w:hint="eastAsia" w:ascii="宋体" w:hAnsi="宋体" w:cs="宋体"/>
          <w:color w:val="auto"/>
          <w:sz w:val="24"/>
          <w:szCs w:val="24"/>
          <w:highlight w:val="none"/>
          <w:u w:val="single"/>
        </w:rPr>
        <w:t xml:space="preserve">    </w:t>
      </w:r>
      <w:r>
        <w:rPr>
          <w:rFonts w:ascii="宋体" w:hAnsi="宋体" w:cs="宋体"/>
          <w:color w:val="auto"/>
          <w:sz w:val="24"/>
          <w:szCs w:val="24"/>
          <w:highlight w:val="none"/>
        </w:rPr>
        <w:t>人，营业收入为</w:t>
      </w:r>
      <w:r>
        <w:rPr>
          <w:rFonts w:hint="eastAsia" w:ascii="宋体" w:hAnsi="宋体" w:cs="宋体"/>
          <w:color w:val="auto"/>
          <w:sz w:val="24"/>
          <w:szCs w:val="24"/>
          <w:highlight w:val="none"/>
          <w:u w:val="single"/>
        </w:rPr>
        <w:t xml:space="preserve">     </w:t>
      </w:r>
      <w:r>
        <w:rPr>
          <w:rFonts w:ascii="宋体" w:hAnsi="宋体" w:cs="宋体"/>
          <w:color w:val="auto"/>
          <w:sz w:val="24"/>
          <w:szCs w:val="24"/>
          <w:highlight w:val="none"/>
        </w:rPr>
        <w:t>万元，资产总额为</w:t>
      </w:r>
      <w:r>
        <w:rPr>
          <w:rFonts w:hint="eastAsia" w:ascii="宋体" w:hAnsi="宋体" w:cs="宋体"/>
          <w:color w:val="auto"/>
          <w:sz w:val="24"/>
          <w:szCs w:val="24"/>
          <w:highlight w:val="none"/>
          <w:u w:val="single"/>
        </w:rPr>
        <w:t xml:space="preserve">     </w:t>
      </w:r>
      <w:r>
        <w:rPr>
          <w:rFonts w:ascii="宋体" w:hAnsi="宋体" w:cs="宋体"/>
          <w:color w:val="auto"/>
          <w:sz w:val="24"/>
          <w:szCs w:val="24"/>
          <w:highlight w:val="none"/>
        </w:rPr>
        <w:t>万元，属于</w:t>
      </w:r>
      <w:r>
        <w:rPr>
          <w:rFonts w:hint="eastAsia" w:ascii="宋体" w:hAnsi="宋体" w:cs="宋体"/>
          <w:color w:val="auto"/>
          <w:sz w:val="24"/>
          <w:szCs w:val="24"/>
          <w:highlight w:val="none"/>
          <w:u w:val="single"/>
        </w:rPr>
        <w:t xml:space="preserve">            </w:t>
      </w:r>
      <w:r>
        <w:rPr>
          <w:rFonts w:ascii="宋体" w:hAnsi="宋体" w:cs="宋体"/>
          <w:color w:val="auto"/>
          <w:sz w:val="24"/>
          <w:szCs w:val="24"/>
          <w:highlight w:val="none"/>
          <w:u w:val="single"/>
        </w:rPr>
        <w:t>（中型企业、小型企业、微型企业）</w:t>
      </w:r>
      <w:r>
        <w:rPr>
          <w:rFonts w:ascii="宋体" w:hAnsi="宋体" w:cs="宋体"/>
          <w:color w:val="auto"/>
          <w:sz w:val="24"/>
          <w:szCs w:val="24"/>
          <w:highlight w:val="none"/>
        </w:rPr>
        <w:t>；</w:t>
      </w:r>
    </w:p>
    <w:p w14:paraId="69714449">
      <w:pPr>
        <w:spacing w:line="588" w:lineRule="exact"/>
        <w:ind w:firstLine="504" w:firstLineChars="200"/>
        <w:rPr>
          <w:rFonts w:hint="eastAsia" w:asciiTheme="minorEastAsia" w:hAnsiTheme="minorEastAsia" w:eastAsiaTheme="minorEastAsia" w:cstheme="minorEastAsia"/>
          <w:color w:val="auto"/>
          <w:spacing w:val="6"/>
          <w:sz w:val="24"/>
          <w:highlight w:val="none"/>
        </w:rPr>
      </w:pPr>
      <w:r>
        <w:rPr>
          <w:rFonts w:hint="eastAsia" w:asciiTheme="minorEastAsia" w:hAnsiTheme="minorEastAsia" w:eastAsiaTheme="minorEastAsia" w:cstheme="minorEastAsia"/>
          <w:color w:val="auto"/>
          <w:spacing w:val="6"/>
          <w:sz w:val="24"/>
          <w:highlight w:val="none"/>
        </w:rPr>
        <w:t>本公司对上述声明的真实性负责。如有虚假，将依法承担相应责任。</w:t>
      </w:r>
    </w:p>
    <w:p w14:paraId="40AAD0C9">
      <w:pPr>
        <w:spacing w:line="588" w:lineRule="exact"/>
        <w:ind w:firstLine="504" w:firstLineChars="200"/>
        <w:rPr>
          <w:rFonts w:hint="eastAsia" w:asciiTheme="minorEastAsia" w:hAnsiTheme="minorEastAsia" w:eastAsiaTheme="minorEastAsia" w:cstheme="minorEastAsia"/>
          <w:color w:val="auto"/>
          <w:spacing w:val="6"/>
          <w:sz w:val="24"/>
          <w:highlight w:val="none"/>
        </w:rPr>
      </w:pPr>
    </w:p>
    <w:p w14:paraId="0CA75FEC">
      <w:pPr>
        <w:tabs>
          <w:tab w:val="left" w:pos="4860"/>
        </w:tabs>
        <w:spacing w:line="588" w:lineRule="exact"/>
        <w:ind w:right="1560" w:firstLine="504" w:firstLineChars="200"/>
        <w:jc w:val="center"/>
        <w:rPr>
          <w:rFonts w:hint="eastAsia" w:asciiTheme="minorEastAsia" w:hAnsiTheme="minorEastAsia" w:eastAsiaTheme="minorEastAsia" w:cstheme="minorEastAsia"/>
          <w:color w:val="auto"/>
          <w:spacing w:val="6"/>
          <w:sz w:val="24"/>
          <w:highlight w:val="none"/>
        </w:rPr>
      </w:pPr>
      <w:r>
        <w:rPr>
          <w:rFonts w:hint="eastAsia" w:asciiTheme="minorEastAsia" w:hAnsiTheme="minorEastAsia" w:eastAsiaTheme="minorEastAsia" w:cstheme="minorEastAsia"/>
          <w:color w:val="auto"/>
          <w:spacing w:val="6"/>
          <w:sz w:val="24"/>
          <w:highlight w:val="none"/>
        </w:rPr>
        <w:t xml:space="preserve">                                      </w:t>
      </w:r>
    </w:p>
    <w:p w14:paraId="53D8E20D">
      <w:pPr>
        <w:tabs>
          <w:tab w:val="left" w:pos="4860"/>
        </w:tabs>
        <w:spacing w:line="588" w:lineRule="exact"/>
        <w:ind w:right="1560" w:firstLine="504" w:firstLineChars="200"/>
        <w:jc w:val="center"/>
        <w:rPr>
          <w:rFonts w:hint="eastAsia" w:asciiTheme="minorEastAsia" w:hAnsiTheme="minorEastAsia" w:eastAsiaTheme="minorEastAsia" w:cstheme="minorEastAsia"/>
          <w:color w:val="auto"/>
          <w:spacing w:val="6"/>
          <w:sz w:val="24"/>
          <w:highlight w:val="none"/>
        </w:rPr>
      </w:pPr>
    </w:p>
    <w:p w14:paraId="7569CC1B">
      <w:pPr>
        <w:tabs>
          <w:tab w:val="left" w:pos="4860"/>
        </w:tabs>
        <w:spacing w:line="588" w:lineRule="exact"/>
        <w:ind w:right="1560" w:firstLine="504" w:firstLineChars="200"/>
        <w:jc w:val="center"/>
        <w:rPr>
          <w:rFonts w:hint="eastAsia" w:asciiTheme="minorEastAsia" w:hAnsiTheme="minorEastAsia" w:eastAsiaTheme="minorEastAsia" w:cstheme="minorEastAsia"/>
          <w:color w:val="auto"/>
          <w:spacing w:val="6"/>
          <w:sz w:val="24"/>
          <w:highlight w:val="none"/>
        </w:rPr>
      </w:pPr>
      <w:r>
        <w:rPr>
          <w:rFonts w:hint="eastAsia" w:asciiTheme="minorEastAsia" w:hAnsiTheme="minorEastAsia" w:eastAsiaTheme="minorEastAsia" w:cstheme="minorEastAsia"/>
          <w:color w:val="auto"/>
          <w:spacing w:val="6"/>
          <w:sz w:val="24"/>
          <w:highlight w:val="none"/>
        </w:rPr>
        <w:t xml:space="preserve">                               企业名称（盖章）： </w:t>
      </w:r>
    </w:p>
    <w:p w14:paraId="4A0A2508">
      <w:pPr>
        <w:snapToGrid w:val="0"/>
        <w:spacing w:before="165" w:beforeLines="50" w:line="500" w:lineRule="exact"/>
        <w:ind w:left="1480" w:leftChars="650" w:hanging="115" w:hangingChars="46"/>
        <w:jc w:val="left"/>
        <w:rPr>
          <w:rFonts w:hint="eastAsia" w:asciiTheme="minorEastAsia" w:hAnsiTheme="minorEastAsia" w:eastAsiaTheme="minorEastAsia" w:cstheme="minorEastAsia"/>
          <w:color w:val="auto"/>
          <w:spacing w:val="6"/>
          <w:sz w:val="24"/>
          <w:highlight w:val="none"/>
        </w:rPr>
      </w:pPr>
      <w:r>
        <w:rPr>
          <w:rFonts w:hint="eastAsia" w:asciiTheme="minorEastAsia" w:hAnsiTheme="minorEastAsia" w:eastAsiaTheme="minorEastAsia" w:cstheme="minorEastAsia"/>
          <w:color w:val="auto"/>
          <w:spacing w:val="6"/>
          <w:sz w:val="24"/>
          <w:highlight w:val="none"/>
        </w:rPr>
        <w:t xml:space="preserve">                                 日  期：</w:t>
      </w:r>
    </w:p>
    <w:p w14:paraId="6FB1DF7A">
      <w:pPr>
        <w:pStyle w:val="17"/>
        <w:rPr>
          <w:color w:val="auto"/>
          <w:highlight w:val="none"/>
        </w:rPr>
      </w:pPr>
    </w:p>
    <w:p w14:paraId="1F2EB32C">
      <w:pPr>
        <w:pStyle w:val="62"/>
        <w:rPr>
          <w:color w:val="auto"/>
          <w:highlight w:val="none"/>
        </w:rPr>
      </w:pPr>
    </w:p>
    <w:p w14:paraId="774D266E">
      <w:pPr>
        <w:spacing w:line="360" w:lineRule="auto"/>
        <w:contextualSpacing/>
        <w:jc w:val="left"/>
        <w:rPr>
          <w:rFonts w:hint="eastAsia" w:ascii="宋体" w:hAnsi="宋体" w:cs="宋体"/>
          <w:b/>
          <w:color w:val="auto"/>
          <w:sz w:val="24"/>
          <w:szCs w:val="24"/>
          <w:highlight w:val="none"/>
        </w:rPr>
      </w:pPr>
      <w:r>
        <w:rPr>
          <w:rFonts w:hint="eastAsia" w:ascii="宋体" w:hAnsi="宋体" w:cs="宋体"/>
          <w:color w:val="auto"/>
          <w:sz w:val="24"/>
          <w:szCs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5A783602">
      <w:pPr>
        <w:jc w:val="left"/>
        <w:rPr>
          <w:rFonts w:hint="eastAsia" w:ascii="宋体" w:hAnsi="宋体" w:cs="宋体"/>
          <w:color w:val="auto"/>
          <w:kern w:val="0"/>
          <w:sz w:val="32"/>
          <w:szCs w:val="32"/>
          <w:highlight w:val="none"/>
        </w:rPr>
      </w:pPr>
    </w:p>
    <w:p w14:paraId="38827A8C">
      <w:pPr>
        <w:rPr>
          <w:rFonts w:hint="eastAsia" w:ascii="宋体" w:hAnsi="宋体" w:cs="宋体"/>
          <w:b/>
          <w:bCs/>
          <w:color w:val="auto"/>
          <w:kern w:val="0"/>
          <w:sz w:val="32"/>
          <w:szCs w:val="32"/>
          <w:highlight w:val="none"/>
        </w:rPr>
      </w:pPr>
      <w:r>
        <w:rPr>
          <w:rFonts w:hint="eastAsia" w:ascii="宋体" w:hAnsi="宋体" w:cs="宋体"/>
          <w:b/>
          <w:bCs/>
          <w:color w:val="auto"/>
          <w:kern w:val="0"/>
          <w:sz w:val="32"/>
          <w:szCs w:val="32"/>
          <w:highlight w:val="none"/>
        </w:rPr>
        <w:br w:type="page"/>
      </w:r>
    </w:p>
    <w:p w14:paraId="3FC671C2">
      <w:pPr>
        <w:jc w:val="left"/>
        <w:rPr>
          <w:rFonts w:hint="eastAsia" w:ascii="宋体" w:hAnsi="宋体" w:cs="宋体"/>
          <w:b/>
          <w:bCs/>
          <w:color w:val="auto"/>
          <w:kern w:val="0"/>
          <w:sz w:val="32"/>
          <w:szCs w:val="32"/>
          <w:highlight w:val="none"/>
        </w:rPr>
      </w:pPr>
      <w:r>
        <w:rPr>
          <w:rFonts w:hint="eastAsia" w:ascii="宋体" w:hAnsi="宋体" w:cs="宋体"/>
          <w:b/>
          <w:bCs/>
          <w:color w:val="auto"/>
          <w:kern w:val="0"/>
          <w:sz w:val="32"/>
          <w:szCs w:val="32"/>
          <w:highlight w:val="none"/>
        </w:rPr>
        <w:t>附：</w:t>
      </w:r>
    </w:p>
    <w:p w14:paraId="737AE6AC">
      <w:pPr>
        <w:spacing w:line="528" w:lineRule="exact"/>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中小微企业划型标准</w:t>
      </w:r>
    </w:p>
    <w:tbl>
      <w:tblPr>
        <w:tblStyle w:val="44"/>
        <w:tblW w:w="9052" w:type="dxa"/>
        <w:jc w:val="center"/>
        <w:tblLayout w:type="fixed"/>
        <w:tblCellMar>
          <w:top w:w="0" w:type="dxa"/>
          <w:left w:w="108" w:type="dxa"/>
          <w:bottom w:w="0" w:type="dxa"/>
          <w:right w:w="108" w:type="dxa"/>
        </w:tblCellMar>
      </w:tblPr>
      <w:tblGrid>
        <w:gridCol w:w="1904"/>
        <w:gridCol w:w="1384"/>
        <w:gridCol w:w="913"/>
        <w:gridCol w:w="1966"/>
        <w:gridCol w:w="1743"/>
        <w:gridCol w:w="1142"/>
      </w:tblGrid>
      <w:tr w14:paraId="599C3AD6">
        <w:tblPrEx>
          <w:tblCellMar>
            <w:top w:w="0" w:type="dxa"/>
            <w:left w:w="108" w:type="dxa"/>
            <w:bottom w:w="0" w:type="dxa"/>
            <w:right w:w="108" w:type="dxa"/>
          </w:tblCellMar>
        </w:tblPrEx>
        <w:trPr>
          <w:trHeight w:val="285" w:hRule="atLeast"/>
          <w:jc w:val="center"/>
        </w:trPr>
        <w:tc>
          <w:tcPr>
            <w:tcW w:w="1904" w:type="dxa"/>
            <w:tcBorders>
              <w:top w:val="single" w:color="auto" w:sz="4" w:space="0"/>
              <w:left w:val="single" w:color="auto" w:sz="4" w:space="0"/>
              <w:bottom w:val="single" w:color="auto" w:sz="4" w:space="0"/>
              <w:right w:val="single" w:color="auto" w:sz="4" w:space="0"/>
            </w:tcBorders>
            <w:vAlign w:val="center"/>
          </w:tcPr>
          <w:p w14:paraId="216582EE">
            <w:pPr>
              <w:widowControl/>
              <w:jc w:val="center"/>
              <w:rPr>
                <w:rFonts w:hint="eastAsia" w:ascii="宋体" w:hAnsi="宋体" w:cs="宋体"/>
                <w:b/>
                <w:color w:val="auto"/>
                <w:kern w:val="0"/>
                <w:sz w:val="24"/>
                <w:highlight w:val="none"/>
              </w:rPr>
            </w:pPr>
            <w:r>
              <w:rPr>
                <w:rFonts w:hint="eastAsia" w:ascii="宋体" w:hAnsi="宋体" w:cs="宋体"/>
                <w:b/>
                <w:color w:val="auto"/>
                <w:kern w:val="0"/>
                <w:sz w:val="24"/>
                <w:highlight w:val="none"/>
              </w:rPr>
              <w:t>行业名称</w:t>
            </w:r>
          </w:p>
        </w:tc>
        <w:tc>
          <w:tcPr>
            <w:tcW w:w="1384" w:type="dxa"/>
            <w:tcBorders>
              <w:top w:val="single" w:color="auto" w:sz="4" w:space="0"/>
              <w:left w:val="nil"/>
              <w:bottom w:val="single" w:color="auto" w:sz="4" w:space="0"/>
              <w:right w:val="single" w:color="auto" w:sz="4" w:space="0"/>
            </w:tcBorders>
            <w:vAlign w:val="center"/>
          </w:tcPr>
          <w:p w14:paraId="7D1369A9">
            <w:pPr>
              <w:widowControl/>
              <w:jc w:val="center"/>
              <w:rPr>
                <w:rFonts w:hint="eastAsia" w:ascii="宋体" w:hAnsi="宋体" w:cs="宋体"/>
                <w:b/>
                <w:color w:val="auto"/>
                <w:kern w:val="0"/>
                <w:sz w:val="24"/>
                <w:highlight w:val="none"/>
              </w:rPr>
            </w:pPr>
            <w:r>
              <w:rPr>
                <w:rFonts w:hint="eastAsia" w:ascii="宋体" w:hAnsi="宋体" w:cs="宋体"/>
                <w:b/>
                <w:color w:val="auto"/>
                <w:kern w:val="0"/>
                <w:sz w:val="24"/>
                <w:highlight w:val="none"/>
              </w:rPr>
              <w:t>指标名称</w:t>
            </w:r>
          </w:p>
        </w:tc>
        <w:tc>
          <w:tcPr>
            <w:tcW w:w="913" w:type="dxa"/>
            <w:tcBorders>
              <w:top w:val="single" w:color="auto" w:sz="4" w:space="0"/>
              <w:left w:val="nil"/>
              <w:bottom w:val="single" w:color="auto" w:sz="4" w:space="0"/>
              <w:right w:val="single" w:color="auto" w:sz="4" w:space="0"/>
            </w:tcBorders>
            <w:vAlign w:val="center"/>
          </w:tcPr>
          <w:p w14:paraId="2DC4BBD7">
            <w:pPr>
              <w:widowControl/>
              <w:jc w:val="center"/>
              <w:rPr>
                <w:rFonts w:hint="eastAsia" w:ascii="宋体" w:hAnsi="宋体" w:cs="宋体"/>
                <w:b/>
                <w:color w:val="auto"/>
                <w:kern w:val="0"/>
                <w:sz w:val="24"/>
                <w:highlight w:val="none"/>
              </w:rPr>
            </w:pPr>
            <w:r>
              <w:rPr>
                <w:rFonts w:hint="eastAsia" w:ascii="宋体" w:hAnsi="宋体" w:cs="宋体"/>
                <w:b/>
                <w:color w:val="auto"/>
                <w:kern w:val="0"/>
                <w:sz w:val="24"/>
                <w:highlight w:val="none"/>
              </w:rPr>
              <w:t>计量单位</w:t>
            </w:r>
          </w:p>
        </w:tc>
        <w:tc>
          <w:tcPr>
            <w:tcW w:w="1966" w:type="dxa"/>
            <w:tcBorders>
              <w:top w:val="single" w:color="auto" w:sz="4" w:space="0"/>
              <w:left w:val="nil"/>
              <w:bottom w:val="single" w:color="auto" w:sz="4" w:space="0"/>
              <w:right w:val="single" w:color="auto" w:sz="4" w:space="0"/>
            </w:tcBorders>
            <w:vAlign w:val="center"/>
          </w:tcPr>
          <w:p w14:paraId="3F1D397A">
            <w:pPr>
              <w:widowControl/>
              <w:jc w:val="center"/>
              <w:rPr>
                <w:rFonts w:hint="eastAsia" w:ascii="宋体" w:hAnsi="宋体" w:cs="宋体"/>
                <w:b/>
                <w:color w:val="auto"/>
                <w:kern w:val="0"/>
                <w:sz w:val="24"/>
                <w:highlight w:val="none"/>
              </w:rPr>
            </w:pPr>
            <w:r>
              <w:rPr>
                <w:rFonts w:hint="eastAsia" w:ascii="宋体" w:hAnsi="宋体" w:cs="宋体"/>
                <w:b/>
                <w:color w:val="auto"/>
                <w:kern w:val="0"/>
                <w:sz w:val="24"/>
                <w:highlight w:val="none"/>
              </w:rPr>
              <w:t>中型</w:t>
            </w:r>
          </w:p>
        </w:tc>
        <w:tc>
          <w:tcPr>
            <w:tcW w:w="1743" w:type="dxa"/>
            <w:tcBorders>
              <w:top w:val="single" w:color="auto" w:sz="4" w:space="0"/>
              <w:left w:val="nil"/>
              <w:bottom w:val="single" w:color="auto" w:sz="4" w:space="0"/>
              <w:right w:val="single" w:color="auto" w:sz="4" w:space="0"/>
            </w:tcBorders>
            <w:vAlign w:val="center"/>
          </w:tcPr>
          <w:p w14:paraId="561BADC5">
            <w:pPr>
              <w:widowControl/>
              <w:jc w:val="center"/>
              <w:rPr>
                <w:rFonts w:hint="eastAsia" w:ascii="宋体" w:hAnsi="宋体" w:cs="宋体"/>
                <w:b/>
                <w:color w:val="auto"/>
                <w:kern w:val="0"/>
                <w:sz w:val="24"/>
                <w:highlight w:val="none"/>
              </w:rPr>
            </w:pPr>
            <w:r>
              <w:rPr>
                <w:rFonts w:hint="eastAsia" w:ascii="宋体" w:hAnsi="宋体" w:cs="宋体"/>
                <w:b/>
                <w:color w:val="auto"/>
                <w:kern w:val="0"/>
                <w:sz w:val="24"/>
                <w:highlight w:val="none"/>
              </w:rPr>
              <w:t>小型</w:t>
            </w:r>
          </w:p>
        </w:tc>
        <w:tc>
          <w:tcPr>
            <w:tcW w:w="1142" w:type="dxa"/>
            <w:tcBorders>
              <w:top w:val="single" w:color="auto" w:sz="4" w:space="0"/>
              <w:left w:val="nil"/>
              <w:bottom w:val="single" w:color="auto" w:sz="4" w:space="0"/>
              <w:right w:val="single" w:color="auto" w:sz="4" w:space="0"/>
            </w:tcBorders>
            <w:vAlign w:val="center"/>
          </w:tcPr>
          <w:p w14:paraId="3F8CFC09">
            <w:pPr>
              <w:widowControl/>
              <w:jc w:val="center"/>
              <w:rPr>
                <w:rFonts w:hint="eastAsia" w:ascii="宋体" w:hAnsi="宋体" w:cs="宋体"/>
                <w:b/>
                <w:color w:val="auto"/>
                <w:kern w:val="0"/>
                <w:sz w:val="24"/>
                <w:highlight w:val="none"/>
              </w:rPr>
            </w:pPr>
            <w:r>
              <w:rPr>
                <w:rFonts w:hint="eastAsia" w:ascii="宋体" w:hAnsi="宋体" w:cs="宋体"/>
                <w:b/>
                <w:color w:val="auto"/>
                <w:kern w:val="0"/>
                <w:sz w:val="24"/>
                <w:highlight w:val="none"/>
              </w:rPr>
              <w:t>微型</w:t>
            </w:r>
          </w:p>
        </w:tc>
      </w:tr>
      <w:tr w14:paraId="51099629">
        <w:tblPrEx>
          <w:tblCellMar>
            <w:top w:w="0" w:type="dxa"/>
            <w:left w:w="108" w:type="dxa"/>
            <w:bottom w:w="0" w:type="dxa"/>
            <w:right w:w="108" w:type="dxa"/>
          </w:tblCellMar>
        </w:tblPrEx>
        <w:trPr>
          <w:trHeight w:val="225" w:hRule="atLeast"/>
          <w:jc w:val="center"/>
        </w:trPr>
        <w:tc>
          <w:tcPr>
            <w:tcW w:w="1904" w:type="dxa"/>
            <w:tcBorders>
              <w:top w:val="nil"/>
              <w:left w:val="single" w:color="auto" w:sz="4" w:space="0"/>
              <w:bottom w:val="single" w:color="auto" w:sz="4" w:space="0"/>
              <w:right w:val="single" w:color="auto" w:sz="4" w:space="0"/>
            </w:tcBorders>
            <w:vAlign w:val="center"/>
          </w:tcPr>
          <w:p w14:paraId="2D7C0C42">
            <w:pPr>
              <w:widowControl/>
              <w:jc w:val="center"/>
              <w:rPr>
                <w:rFonts w:hint="eastAsia" w:ascii="宋体" w:hAnsi="宋体" w:cs="宋体"/>
                <w:b/>
                <w:bCs/>
                <w:color w:val="auto"/>
                <w:kern w:val="0"/>
                <w:highlight w:val="none"/>
              </w:rPr>
            </w:pPr>
            <w:r>
              <w:rPr>
                <w:rFonts w:hint="eastAsia" w:ascii="宋体" w:hAnsi="宋体" w:cs="宋体"/>
                <w:b/>
                <w:bCs/>
                <w:color w:val="auto"/>
                <w:kern w:val="0"/>
                <w:highlight w:val="none"/>
              </w:rPr>
              <w:t>农、林、牧、渔</w:t>
            </w:r>
          </w:p>
        </w:tc>
        <w:tc>
          <w:tcPr>
            <w:tcW w:w="1384" w:type="dxa"/>
            <w:tcBorders>
              <w:top w:val="nil"/>
              <w:left w:val="nil"/>
              <w:bottom w:val="single" w:color="auto" w:sz="4" w:space="0"/>
              <w:right w:val="single" w:color="auto" w:sz="4" w:space="0"/>
            </w:tcBorders>
            <w:vAlign w:val="center"/>
          </w:tcPr>
          <w:p w14:paraId="3D597CDC">
            <w:pPr>
              <w:widowControl/>
              <w:jc w:val="left"/>
              <w:rPr>
                <w:rFonts w:hint="eastAsia" w:ascii="宋体" w:hAnsi="宋体" w:cs="宋体"/>
                <w:color w:val="auto"/>
                <w:kern w:val="0"/>
                <w:highlight w:val="none"/>
              </w:rPr>
            </w:pPr>
            <w:r>
              <w:rPr>
                <w:rFonts w:hint="eastAsia" w:ascii="宋体" w:hAnsi="宋体" w:cs="宋体"/>
                <w:color w:val="auto"/>
                <w:kern w:val="0"/>
                <w:highlight w:val="none"/>
              </w:rPr>
              <w:t>营业收入（Y）</w:t>
            </w:r>
          </w:p>
        </w:tc>
        <w:tc>
          <w:tcPr>
            <w:tcW w:w="913" w:type="dxa"/>
            <w:tcBorders>
              <w:top w:val="nil"/>
              <w:left w:val="nil"/>
              <w:bottom w:val="single" w:color="auto" w:sz="4" w:space="0"/>
              <w:right w:val="single" w:color="auto" w:sz="4" w:space="0"/>
            </w:tcBorders>
            <w:vAlign w:val="center"/>
          </w:tcPr>
          <w:p w14:paraId="4EBD5890">
            <w:pPr>
              <w:widowControl/>
              <w:jc w:val="center"/>
              <w:rPr>
                <w:rFonts w:hint="eastAsia" w:ascii="宋体" w:hAnsi="宋体" w:cs="宋体"/>
                <w:color w:val="auto"/>
                <w:kern w:val="0"/>
                <w:highlight w:val="none"/>
              </w:rPr>
            </w:pPr>
            <w:r>
              <w:rPr>
                <w:rFonts w:hint="eastAsia" w:ascii="宋体" w:hAnsi="宋体" w:cs="宋体"/>
                <w:color w:val="auto"/>
                <w:kern w:val="0"/>
                <w:highlight w:val="none"/>
              </w:rPr>
              <w:t>万元</w:t>
            </w:r>
          </w:p>
        </w:tc>
        <w:tc>
          <w:tcPr>
            <w:tcW w:w="1966" w:type="dxa"/>
            <w:tcBorders>
              <w:top w:val="nil"/>
              <w:left w:val="nil"/>
              <w:bottom w:val="single" w:color="auto" w:sz="4" w:space="0"/>
              <w:right w:val="single" w:color="auto" w:sz="4" w:space="0"/>
            </w:tcBorders>
            <w:vAlign w:val="center"/>
          </w:tcPr>
          <w:p w14:paraId="458E19D3">
            <w:pPr>
              <w:widowControl/>
              <w:jc w:val="left"/>
              <w:rPr>
                <w:rFonts w:hint="eastAsia" w:ascii="宋体" w:hAnsi="宋体" w:cs="宋体"/>
                <w:color w:val="auto"/>
                <w:kern w:val="0"/>
                <w:highlight w:val="none"/>
              </w:rPr>
            </w:pPr>
            <w:r>
              <w:rPr>
                <w:rFonts w:hint="eastAsia" w:ascii="宋体" w:hAnsi="宋体" w:cs="宋体"/>
                <w:color w:val="auto"/>
                <w:kern w:val="0"/>
                <w:highlight w:val="none"/>
              </w:rPr>
              <w:t>500≤Y＜20000</w:t>
            </w:r>
          </w:p>
        </w:tc>
        <w:tc>
          <w:tcPr>
            <w:tcW w:w="1743" w:type="dxa"/>
            <w:tcBorders>
              <w:top w:val="nil"/>
              <w:left w:val="nil"/>
              <w:bottom w:val="single" w:color="auto" w:sz="4" w:space="0"/>
              <w:right w:val="single" w:color="auto" w:sz="4" w:space="0"/>
            </w:tcBorders>
            <w:vAlign w:val="center"/>
          </w:tcPr>
          <w:p w14:paraId="1C5C9F3C">
            <w:pPr>
              <w:widowControl/>
              <w:jc w:val="left"/>
              <w:rPr>
                <w:rFonts w:hint="eastAsia" w:ascii="宋体" w:hAnsi="宋体" w:cs="宋体"/>
                <w:color w:val="auto"/>
                <w:kern w:val="0"/>
                <w:highlight w:val="none"/>
              </w:rPr>
            </w:pPr>
            <w:r>
              <w:rPr>
                <w:rFonts w:hint="eastAsia" w:ascii="宋体" w:hAnsi="宋体" w:cs="宋体"/>
                <w:color w:val="auto"/>
                <w:kern w:val="0"/>
                <w:highlight w:val="none"/>
              </w:rPr>
              <w:t>50≤Y＜500</w:t>
            </w:r>
          </w:p>
        </w:tc>
        <w:tc>
          <w:tcPr>
            <w:tcW w:w="1142" w:type="dxa"/>
            <w:tcBorders>
              <w:top w:val="nil"/>
              <w:left w:val="nil"/>
              <w:bottom w:val="single" w:color="auto" w:sz="4" w:space="0"/>
              <w:right w:val="single" w:color="auto" w:sz="4" w:space="0"/>
            </w:tcBorders>
            <w:vAlign w:val="center"/>
          </w:tcPr>
          <w:p w14:paraId="4F388774">
            <w:pPr>
              <w:widowControl/>
              <w:jc w:val="left"/>
              <w:rPr>
                <w:rFonts w:hint="eastAsia" w:ascii="宋体" w:hAnsi="宋体" w:cs="宋体"/>
                <w:color w:val="auto"/>
                <w:kern w:val="0"/>
                <w:highlight w:val="none"/>
              </w:rPr>
            </w:pPr>
            <w:r>
              <w:rPr>
                <w:rFonts w:hint="eastAsia" w:ascii="宋体" w:hAnsi="宋体" w:cs="宋体"/>
                <w:color w:val="auto"/>
                <w:kern w:val="0"/>
                <w:highlight w:val="none"/>
              </w:rPr>
              <w:t>Y＜50</w:t>
            </w:r>
          </w:p>
        </w:tc>
      </w:tr>
      <w:tr w14:paraId="255E5A0E">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vAlign w:val="center"/>
          </w:tcPr>
          <w:p w14:paraId="4950F2B0">
            <w:pPr>
              <w:widowControl/>
              <w:jc w:val="center"/>
              <w:rPr>
                <w:rFonts w:hint="eastAsia" w:ascii="宋体" w:hAnsi="宋体" w:cs="宋体"/>
                <w:b/>
                <w:bCs/>
                <w:color w:val="auto"/>
                <w:kern w:val="0"/>
                <w:highlight w:val="none"/>
              </w:rPr>
            </w:pPr>
            <w:r>
              <w:rPr>
                <w:rFonts w:hint="eastAsia" w:ascii="宋体" w:hAnsi="宋体" w:cs="宋体"/>
                <w:b/>
                <w:bCs/>
                <w:color w:val="auto"/>
                <w:kern w:val="0"/>
                <w:highlight w:val="none"/>
              </w:rPr>
              <w:t>工业</w:t>
            </w:r>
          </w:p>
        </w:tc>
        <w:tc>
          <w:tcPr>
            <w:tcW w:w="1384" w:type="dxa"/>
            <w:tcBorders>
              <w:top w:val="nil"/>
              <w:left w:val="nil"/>
              <w:bottom w:val="single" w:color="auto" w:sz="4" w:space="0"/>
              <w:right w:val="single" w:color="auto" w:sz="4" w:space="0"/>
            </w:tcBorders>
            <w:vAlign w:val="center"/>
          </w:tcPr>
          <w:p w14:paraId="018F6206">
            <w:pPr>
              <w:widowControl/>
              <w:jc w:val="left"/>
              <w:rPr>
                <w:rFonts w:hint="eastAsia" w:ascii="宋体" w:hAnsi="宋体" w:cs="宋体"/>
                <w:color w:val="auto"/>
                <w:kern w:val="0"/>
                <w:highlight w:val="none"/>
              </w:rPr>
            </w:pPr>
            <w:r>
              <w:rPr>
                <w:rFonts w:hint="eastAsia" w:ascii="宋体" w:hAnsi="宋体" w:cs="宋体"/>
                <w:color w:val="auto"/>
                <w:kern w:val="0"/>
                <w:highlight w:val="none"/>
              </w:rPr>
              <w:t>从业人员（X）</w:t>
            </w:r>
          </w:p>
        </w:tc>
        <w:tc>
          <w:tcPr>
            <w:tcW w:w="913" w:type="dxa"/>
            <w:tcBorders>
              <w:top w:val="nil"/>
              <w:left w:val="nil"/>
              <w:bottom w:val="single" w:color="auto" w:sz="4" w:space="0"/>
              <w:right w:val="single" w:color="auto" w:sz="4" w:space="0"/>
            </w:tcBorders>
            <w:vAlign w:val="center"/>
          </w:tcPr>
          <w:p w14:paraId="49F551C1">
            <w:pPr>
              <w:widowControl/>
              <w:jc w:val="center"/>
              <w:rPr>
                <w:rFonts w:hint="eastAsia" w:ascii="宋体" w:hAnsi="宋体" w:cs="宋体"/>
                <w:color w:val="auto"/>
                <w:kern w:val="0"/>
                <w:highlight w:val="none"/>
              </w:rPr>
            </w:pPr>
            <w:r>
              <w:rPr>
                <w:rFonts w:hint="eastAsia" w:ascii="宋体" w:hAnsi="宋体" w:cs="宋体"/>
                <w:color w:val="auto"/>
                <w:kern w:val="0"/>
                <w:highlight w:val="none"/>
              </w:rPr>
              <w:t>人</w:t>
            </w:r>
          </w:p>
        </w:tc>
        <w:tc>
          <w:tcPr>
            <w:tcW w:w="1966" w:type="dxa"/>
            <w:tcBorders>
              <w:top w:val="nil"/>
              <w:left w:val="nil"/>
              <w:bottom w:val="single" w:color="auto" w:sz="4" w:space="0"/>
              <w:right w:val="single" w:color="auto" w:sz="4" w:space="0"/>
            </w:tcBorders>
            <w:vAlign w:val="center"/>
          </w:tcPr>
          <w:p w14:paraId="0734819F">
            <w:pPr>
              <w:widowControl/>
              <w:jc w:val="left"/>
              <w:rPr>
                <w:rFonts w:hint="eastAsia" w:ascii="宋体" w:hAnsi="宋体" w:cs="宋体"/>
                <w:color w:val="auto"/>
                <w:kern w:val="0"/>
                <w:highlight w:val="none"/>
              </w:rPr>
            </w:pPr>
            <w:r>
              <w:rPr>
                <w:rFonts w:hint="eastAsia" w:ascii="宋体" w:hAnsi="宋体" w:cs="宋体"/>
                <w:color w:val="auto"/>
                <w:kern w:val="0"/>
                <w:highlight w:val="none"/>
              </w:rPr>
              <w:t>300≤X＜1000</w:t>
            </w:r>
          </w:p>
        </w:tc>
        <w:tc>
          <w:tcPr>
            <w:tcW w:w="1743" w:type="dxa"/>
            <w:tcBorders>
              <w:top w:val="nil"/>
              <w:left w:val="nil"/>
              <w:bottom w:val="single" w:color="auto" w:sz="4" w:space="0"/>
              <w:right w:val="single" w:color="auto" w:sz="4" w:space="0"/>
            </w:tcBorders>
            <w:vAlign w:val="center"/>
          </w:tcPr>
          <w:p w14:paraId="05347532">
            <w:pPr>
              <w:widowControl/>
              <w:jc w:val="left"/>
              <w:rPr>
                <w:rFonts w:hint="eastAsia" w:ascii="宋体" w:hAnsi="宋体" w:cs="宋体"/>
                <w:color w:val="auto"/>
                <w:kern w:val="0"/>
                <w:highlight w:val="none"/>
              </w:rPr>
            </w:pPr>
            <w:r>
              <w:rPr>
                <w:rFonts w:hint="eastAsia" w:ascii="宋体" w:hAnsi="宋体" w:cs="宋体"/>
                <w:color w:val="auto"/>
                <w:kern w:val="0"/>
                <w:highlight w:val="none"/>
              </w:rPr>
              <w:t>20≤X＜300</w:t>
            </w:r>
          </w:p>
        </w:tc>
        <w:tc>
          <w:tcPr>
            <w:tcW w:w="1142" w:type="dxa"/>
            <w:tcBorders>
              <w:top w:val="nil"/>
              <w:left w:val="nil"/>
              <w:bottom w:val="single" w:color="auto" w:sz="4" w:space="0"/>
              <w:right w:val="single" w:color="auto" w:sz="4" w:space="0"/>
            </w:tcBorders>
            <w:vAlign w:val="center"/>
          </w:tcPr>
          <w:p w14:paraId="1D791444">
            <w:pPr>
              <w:widowControl/>
              <w:jc w:val="left"/>
              <w:rPr>
                <w:rFonts w:hint="eastAsia" w:ascii="宋体" w:hAnsi="宋体" w:cs="宋体"/>
                <w:color w:val="auto"/>
                <w:kern w:val="0"/>
                <w:highlight w:val="none"/>
              </w:rPr>
            </w:pPr>
            <w:r>
              <w:rPr>
                <w:rFonts w:hint="eastAsia" w:ascii="宋体" w:hAnsi="宋体" w:cs="宋体"/>
                <w:color w:val="auto"/>
                <w:kern w:val="0"/>
                <w:highlight w:val="none"/>
              </w:rPr>
              <w:t>X＜20</w:t>
            </w:r>
          </w:p>
        </w:tc>
      </w:tr>
      <w:tr w14:paraId="4B81E3ED">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vAlign w:val="center"/>
          </w:tcPr>
          <w:p w14:paraId="01C22533">
            <w:pPr>
              <w:widowControl/>
              <w:jc w:val="left"/>
              <w:rPr>
                <w:rFonts w:hint="eastAsia" w:ascii="宋体" w:hAnsi="宋体" w:cs="宋体"/>
                <w:b/>
                <w:bCs/>
                <w:color w:val="auto"/>
                <w:kern w:val="0"/>
                <w:highlight w:val="none"/>
              </w:rPr>
            </w:pPr>
          </w:p>
        </w:tc>
        <w:tc>
          <w:tcPr>
            <w:tcW w:w="1384" w:type="dxa"/>
            <w:tcBorders>
              <w:top w:val="nil"/>
              <w:left w:val="nil"/>
              <w:bottom w:val="single" w:color="auto" w:sz="4" w:space="0"/>
              <w:right w:val="single" w:color="auto" w:sz="4" w:space="0"/>
            </w:tcBorders>
            <w:vAlign w:val="center"/>
          </w:tcPr>
          <w:p w14:paraId="493B2C92">
            <w:pPr>
              <w:widowControl/>
              <w:jc w:val="left"/>
              <w:rPr>
                <w:rFonts w:hint="eastAsia" w:ascii="宋体" w:hAnsi="宋体" w:cs="宋体"/>
                <w:color w:val="auto"/>
                <w:kern w:val="0"/>
                <w:highlight w:val="none"/>
              </w:rPr>
            </w:pPr>
            <w:r>
              <w:rPr>
                <w:rFonts w:hint="eastAsia" w:ascii="宋体" w:hAnsi="宋体" w:cs="宋体"/>
                <w:color w:val="auto"/>
                <w:kern w:val="0"/>
                <w:highlight w:val="none"/>
              </w:rPr>
              <w:t>营业收入（Y）</w:t>
            </w:r>
          </w:p>
        </w:tc>
        <w:tc>
          <w:tcPr>
            <w:tcW w:w="913" w:type="dxa"/>
            <w:tcBorders>
              <w:top w:val="nil"/>
              <w:left w:val="nil"/>
              <w:bottom w:val="single" w:color="auto" w:sz="4" w:space="0"/>
              <w:right w:val="single" w:color="auto" w:sz="4" w:space="0"/>
            </w:tcBorders>
            <w:vAlign w:val="center"/>
          </w:tcPr>
          <w:p w14:paraId="2C79EEEA">
            <w:pPr>
              <w:widowControl/>
              <w:jc w:val="center"/>
              <w:rPr>
                <w:rFonts w:hint="eastAsia" w:ascii="宋体" w:hAnsi="宋体" w:cs="宋体"/>
                <w:color w:val="auto"/>
                <w:kern w:val="0"/>
                <w:highlight w:val="none"/>
              </w:rPr>
            </w:pPr>
            <w:r>
              <w:rPr>
                <w:rFonts w:hint="eastAsia" w:ascii="宋体" w:hAnsi="宋体" w:cs="宋体"/>
                <w:color w:val="auto"/>
                <w:kern w:val="0"/>
                <w:highlight w:val="none"/>
              </w:rPr>
              <w:t>万元</w:t>
            </w:r>
          </w:p>
        </w:tc>
        <w:tc>
          <w:tcPr>
            <w:tcW w:w="1966" w:type="dxa"/>
            <w:tcBorders>
              <w:top w:val="nil"/>
              <w:left w:val="nil"/>
              <w:bottom w:val="single" w:color="auto" w:sz="4" w:space="0"/>
              <w:right w:val="single" w:color="auto" w:sz="4" w:space="0"/>
            </w:tcBorders>
            <w:vAlign w:val="center"/>
          </w:tcPr>
          <w:p w14:paraId="02D27ADA">
            <w:pPr>
              <w:widowControl/>
              <w:jc w:val="left"/>
              <w:rPr>
                <w:rFonts w:hint="eastAsia" w:ascii="宋体" w:hAnsi="宋体" w:cs="宋体"/>
                <w:color w:val="auto"/>
                <w:kern w:val="0"/>
                <w:highlight w:val="none"/>
              </w:rPr>
            </w:pPr>
            <w:r>
              <w:rPr>
                <w:rFonts w:hint="eastAsia" w:ascii="宋体" w:hAnsi="宋体" w:cs="宋体"/>
                <w:color w:val="auto"/>
                <w:kern w:val="0"/>
                <w:highlight w:val="none"/>
              </w:rPr>
              <w:t>2000≤Y＜40000</w:t>
            </w:r>
          </w:p>
        </w:tc>
        <w:tc>
          <w:tcPr>
            <w:tcW w:w="1743" w:type="dxa"/>
            <w:tcBorders>
              <w:top w:val="nil"/>
              <w:left w:val="nil"/>
              <w:bottom w:val="single" w:color="auto" w:sz="4" w:space="0"/>
              <w:right w:val="single" w:color="auto" w:sz="4" w:space="0"/>
            </w:tcBorders>
            <w:vAlign w:val="center"/>
          </w:tcPr>
          <w:p w14:paraId="76A897EF">
            <w:pPr>
              <w:widowControl/>
              <w:jc w:val="left"/>
              <w:rPr>
                <w:rFonts w:hint="eastAsia" w:ascii="宋体" w:hAnsi="宋体" w:cs="宋体"/>
                <w:color w:val="auto"/>
                <w:kern w:val="0"/>
                <w:highlight w:val="none"/>
              </w:rPr>
            </w:pPr>
            <w:r>
              <w:rPr>
                <w:rFonts w:hint="eastAsia" w:ascii="宋体" w:hAnsi="宋体" w:cs="宋体"/>
                <w:color w:val="auto"/>
                <w:kern w:val="0"/>
                <w:highlight w:val="none"/>
              </w:rPr>
              <w:t>300≤Y＜2000</w:t>
            </w:r>
          </w:p>
        </w:tc>
        <w:tc>
          <w:tcPr>
            <w:tcW w:w="1142" w:type="dxa"/>
            <w:tcBorders>
              <w:top w:val="nil"/>
              <w:left w:val="nil"/>
              <w:bottom w:val="single" w:color="auto" w:sz="4" w:space="0"/>
              <w:right w:val="single" w:color="auto" w:sz="4" w:space="0"/>
            </w:tcBorders>
            <w:vAlign w:val="center"/>
          </w:tcPr>
          <w:p w14:paraId="7A99C5EC">
            <w:pPr>
              <w:widowControl/>
              <w:jc w:val="left"/>
              <w:rPr>
                <w:rFonts w:hint="eastAsia" w:ascii="宋体" w:hAnsi="宋体" w:cs="宋体"/>
                <w:color w:val="auto"/>
                <w:kern w:val="0"/>
                <w:highlight w:val="none"/>
              </w:rPr>
            </w:pPr>
            <w:r>
              <w:rPr>
                <w:rFonts w:hint="eastAsia" w:ascii="宋体" w:hAnsi="宋体" w:cs="宋体"/>
                <w:color w:val="auto"/>
                <w:kern w:val="0"/>
                <w:highlight w:val="none"/>
              </w:rPr>
              <w:t>Y＜300</w:t>
            </w:r>
          </w:p>
        </w:tc>
      </w:tr>
      <w:tr w14:paraId="1F22F9B5">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vAlign w:val="center"/>
          </w:tcPr>
          <w:p w14:paraId="2F37903B">
            <w:pPr>
              <w:widowControl/>
              <w:jc w:val="center"/>
              <w:rPr>
                <w:rFonts w:hint="eastAsia" w:ascii="宋体" w:hAnsi="宋体" w:cs="宋体"/>
                <w:b/>
                <w:bCs/>
                <w:color w:val="auto"/>
                <w:kern w:val="0"/>
                <w:highlight w:val="none"/>
              </w:rPr>
            </w:pPr>
            <w:r>
              <w:rPr>
                <w:rFonts w:hint="eastAsia" w:ascii="宋体" w:hAnsi="宋体" w:cs="宋体"/>
                <w:b/>
                <w:bCs/>
                <w:color w:val="auto"/>
                <w:kern w:val="0"/>
                <w:highlight w:val="none"/>
              </w:rPr>
              <w:t>建筑业</w:t>
            </w:r>
          </w:p>
        </w:tc>
        <w:tc>
          <w:tcPr>
            <w:tcW w:w="1384" w:type="dxa"/>
            <w:tcBorders>
              <w:top w:val="nil"/>
              <w:left w:val="nil"/>
              <w:bottom w:val="single" w:color="auto" w:sz="4" w:space="0"/>
              <w:right w:val="single" w:color="auto" w:sz="4" w:space="0"/>
            </w:tcBorders>
            <w:vAlign w:val="center"/>
          </w:tcPr>
          <w:p w14:paraId="2EEC77C7">
            <w:pPr>
              <w:widowControl/>
              <w:jc w:val="left"/>
              <w:rPr>
                <w:rFonts w:hint="eastAsia" w:ascii="宋体" w:hAnsi="宋体" w:cs="宋体"/>
                <w:color w:val="auto"/>
                <w:kern w:val="0"/>
                <w:highlight w:val="none"/>
              </w:rPr>
            </w:pPr>
            <w:r>
              <w:rPr>
                <w:rFonts w:hint="eastAsia" w:ascii="宋体" w:hAnsi="宋体" w:cs="宋体"/>
                <w:color w:val="auto"/>
                <w:kern w:val="0"/>
                <w:highlight w:val="none"/>
              </w:rPr>
              <w:t>营业收入（Y）</w:t>
            </w:r>
          </w:p>
        </w:tc>
        <w:tc>
          <w:tcPr>
            <w:tcW w:w="913" w:type="dxa"/>
            <w:tcBorders>
              <w:top w:val="nil"/>
              <w:left w:val="nil"/>
              <w:bottom w:val="single" w:color="auto" w:sz="4" w:space="0"/>
              <w:right w:val="single" w:color="auto" w:sz="4" w:space="0"/>
            </w:tcBorders>
            <w:vAlign w:val="center"/>
          </w:tcPr>
          <w:p w14:paraId="7384444E">
            <w:pPr>
              <w:widowControl/>
              <w:jc w:val="center"/>
              <w:rPr>
                <w:rFonts w:hint="eastAsia" w:ascii="宋体" w:hAnsi="宋体" w:cs="宋体"/>
                <w:color w:val="auto"/>
                <w:kern w:val="0"/>
                <w:highlight w:val="none"/>
              </w:rPr>
            </w:pPr>
            <w:r>
              <w:rPr>
                <w:rFonts w:hint="eastAsia" w:ascii="宋体" w:hAnsi="宋体" w:cs="宋体"/>
                <w:color w:val="auto"/>
                <w:kern w:val="0"/>
                <w:highlight w:val="none"/>
              </w:rPr>
              <w:t>万元</w:t>
            </w:r>
          </w:p>
        </w:tc>
        <w:tc>
          <w:tcPr>
            <w:tcW w:w="1966" w:type="dxa"/>
            <w:tcBorders>
              <w:top w:val="nil"/>
              <w:left w:val="nil"/>
              <w:bottom w:val="single" w:color="auto" w:sz="4" w:space="0"/>
              <w:right w:val="single" w:color="auto" w:sz="4" w:space="0"/>
            </w:tcBorders>
            <w:vAlign w:val="center"/>
          </w:tcPr>
          <w:p w14:paraId="01C5FE3D">
            <w:pPr>
              <w:widowControl/>
              <w:jc w:val="left"/>
              <w:rPr>
                <w:rFonts w:hint="eastAsia" w:ascii="宋体" w:hAnsi="宋体" w:cs="宋体"/>
                <w:color w:val="auto"/>
                <w:kern w:val="0"/>
                <w:highlight w:val="none"/>
              </w:rPr>
            </w:pPr>
            <w:r>
              <w:rPr>
                <w:rFonts w:hint="eastAsia" w:ascii="宋体" w:hAnsi="宋体" w:cs="宋体"/>
                <w:color w:val="auto"/>
                <w:kern w:val="0"/>
                <w:highlight w:val="none"/>
              </w:rPr>
              <w:t>6000≤Y＜80000</w:t>
            </w:r>
          </w:p>
        </w:tc>
        <w:tc>
          <w:tcPr>
            <w:tcW w:w="1743" w:type="dxa"/>
            <w:tcBorders>
              <w:top w:val="nil"/>
              <w:left w:val="nil"/>
              <w:bottom w:val="single" w:color="auto" w:sz="4" w:space="0"/>
              <w:right w:val="single" w:color="auto" w:sz="4" w:space="0"/>
            </w:tcBorders>
            <w:vAlign w:val="center"/>
          </w:tcPr>
          <w:p w14:paraId="413D4C02">
            <w:pPr>
              <w:widowControl/>
              <w:jc w:val="left"/>
              <w:rPr>
                <w:rFonts w:hint="eastAsia" w:ascii="宋体" w:hAnsi="宋体" w:cs="宋体"/>
                <w:color w:val="auto"/>
                <w:kern w:val="0"/>
                <w:highlight w:val="none"/>
              </w:rPr>
            </w:pPr>
            <w:r>
              <w:rPr>
                <w:rFonts w:hint="eastAsia" w:ascii="宋体" w:hAnsi="宋体" w:cs="宋体"/>
                <w:color w:val="auto"/>
                <w:kern w:val="0"/>
                <w:highlight w:val="none"/>
              </w:rPr>
              <w:t>300≤Y＜6000</w:t>
            </w:r>
          </w:p>
        </w:tc>
        <w:tc>
          <w:tcPr>
            <w:tcW w:w="1142" w:type="dxa"/>
            <w:tcBorders>
              <w:top w:val="nil"/>
              <w:left w:val="nil"/>
              <w:bottom w:val="single" w:color="auto" w:sz="4" w:space="0"/>
              <w:right w:val="single" w:color="auto" w:sz="4" w:space="0"/>
            </w:tcBorders>
            <w:vAlign w:val="center"/>
          </w:tcPr>
          <w:p w14:paraId="26791666">
            <w:pPr>
              <w:widowControl/>
              <w:jc w:val="left"/>
              <w:rPr>
                <w:rFonts w:hint="eastAsia" w:ascii="宋体" w:hAnsi="宋体" w:cs="宋体"/>
                <w:color w:val="auto"/>
                <w:kern w:val="0"/>
                <w:highlight w:val="none"/>
              </w:rPr>
            </w:pPr>
            <w:r>
              <w:rPr>
                <w:rFonts w:hint="eastAsia" w:ascii="宋体" w:hAnsi="宋体" w:cs="宋体"/>
                <w:color w:val="auto"/>
                <w:kern w:val="0"/>
                <w:highlight w:val="none"/>
              </w:rPr>
              <w:t>Y＜300</w:t>
            </w:r>
          </w:p>
        </w:tc>
      </w:tr>
      <w:tr w14:paraId="1C07A285">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vAlign w:val="center"/>
          </w:tcPr>
          <w:p w14:paraId="29FAFF88">
            <w:pPr>
              <w:widowControl/>
              <w:jc w:val="left"/>
              <w:rPr>
                <w:rFonts w:hint="eastAsia" w:ascii="宋体" w:hAnsi="宋体" w:cs="宋体"/>
                <w:b/>
                <w:bCs/>
                <w:color w:val="auto"/>
                <w:kern w:val="0"/>
                <w:highlight w:val="none"/>
              </w:rPr>
            </w:pPr>
          </w:p>
        </w:tc>
        <w:tc>
          <w:tcPr>
            <w:tcW w:w="1384" w:type="dxa"/>
            <w:tcBorders>
              <w:top w:val="nil"/>
              <w:left w:val="nil"/>
              <w:bottom w:val="single" w:color="auto" w:sz="4" w:space="0"/>
              <w:right w:val="single" w:color="auto" w:sz="4" w:space="0"/>
            </w:tcBorders>
            <w:vAlign w:val="center"/>
          </w:tcPr>
          <w:p w14:paraId="76FD5853">
            <w:pPr>
              <w:widowControl/>
              <w:jc w:val="left"/>
              <w:rPr>
                <w:rFonts w:hint="eastAsia" w:ascii="宋体" w:hAnsi="宋体" w:cs="宋体"/>
                <w:color w:val="auto"/>
                <w:kern w:val="0"/>
                <w:highlight w:val="none"/>
              </w:rPr>
            </w:pPr>
            <w:r>
              <w:rPr>
                <w:rFonts w:hint="eastAsia" w:ascii="宋体" w:hAnsi="宋体" w:cs="宋体"/>
                <w:color w:val="auto"/>
                <w:kern w:val="0"/>
                <w:highlight w:val="none"/>
              </w:rPr>
              <w:t>资产总额（Z）</w:t>
            </w:r>
          </w:p>
        </w:tc>
        <w:tc>
          <w:tcPr>
            <w:tcW w:w="913" w:type="dxa"/>
            <w:tcBorders>
              <w:top w:val="nil"/>
              <w:left w:val="nil"/>
              <w:bottom w:val="single" w:color="auto" w:sz="4" w:space="0"/>
              <w:right w:val="single" w:color="auto" w:sz="4" w:space="0"/>
            </w:tcBorders>
            <w:vAlign w:val="center"/>
          </w:tcPr>
          <w:p w14:paraId="4462A2A2">
            <w:pPr>
              <w:widowControl/>
              <w:jc w:val="center"/>
              <w:rPr>
                <w:rFonts w:hint="eastAsia" w:ascii="宋体" w:hAnsi="宋体" w:cs="宋体"/>
                <w:color w:val="auto"/>
                <w:kern w:val="0"/>
                <w:highlight w:val="none"/>
              </w:rPr>
            </w:pPr>
            <w:r>
              <w:rPr>
                <w:rFonts w:hint="eastAsia" w:ascii="宋体" w:hAnsi="宋体" w:cs="宋体"/>
                <w:color w:val="auto"/>
                <w:kern w:val="0"/>
                <w:highlight w:val="none"/>
              </w:rPr>
              <w:t>万元</w:t>
            </w:r>
          </w:p>
        </w:tc>
        <w:tc>
          <w:tcPr>
            <w:tcW w:w="1966" w:type="dxa"/>
            <w:tcBorders>
              <w:top w:val="nil"/>
              <w:left w:val="nil"/>
              <w:bottom w:val="single" w:color="auto" w:sz="4" w:space="0"/>
              <w:right w:val="single" w:color="auto" w:sz="4" w:space="0"/>
            </w:tcBorders>
            <w:vAlign w:val="center"/>
          </w:tcPr>
          <w:p w14:paraId="17CA903A">
            <w:pPr>
              <w:widowControl/>
              <w:jc w:val="left"/>
              <w:rPr>
                <w:rFonts w:hint="eastAsia" w:ascii="宋体" w:hAnsi="宋体" w:cs="宋体"/>
                <w:color w:val="auto"/>
                <w:kern w:val="0"/>
                <w:highlight w:val="none"/>
              </w:rPr>
            </w:pPr>
            <w:r>
              <w:rPr>
                <w:rFonts w:hint="eastAsia" w:ascii="宋体" w:hAnsi="宋体" w:cs="宋体"/>
                <w:color w:val="auto"/>
                <w:kern w:val="0"/>
                <w:highlight w:val="none"/>
              </w:rPr>
              <w:t>5000≤Z＜80000</w:t>
            </w:r>
          </w:p>
        </w:tc>
        <w:tc>
          <w:tcPr>
            <w:tcW w:w="1743" w:type="dxa"/>
            <w:tcBorders>
              <w:top w:val="nil"/>
              <w:left w:val="nil"/>
              <w:bottom w:val="single" w:color="auto" w:sz="4" w:space="0"/>
              <w:right w:val="single" w:color="auto" w:sz="4" w:space="0"/>
            </w:tcBorders>
            <w:vAlign w:val="center"/>
          </w:tcPr>
          <w:p w14:paraId="1A535BDE">
            <w:pPr>
              <w:widowControl/>
              <w:jc w:val="left"/>
              <w:rPr>
                <w:rFonts w:hint="eastAsia" w:ascii="宋体" w:hAnsi="宋体" w:cs="宋体"/>
                <w:color w:val="auto"/>
                <w:kern w:val="0"/>
                <w:highlight w:val="none"/>
              </w:rPr>
            </w:pPr>
            <w:r>
              <w:rPr>
                <w:rFonts w:hint="eastAsia" w:ascii="宋体" w:hAnsi="宋体" w:cs="宋体"/>
                <w:color w:val="auto"/>
                <w:kern w:val="0"/>
                <w:highlight w:val="none"/>
              </w:rPr>
              <w:t>300≤Z＜5000</w:t>
            </w:r>
          </w:p>
        </w:tc>
        <w:tc>
          <w:tcPr>
            <w:tcW w:w="1142" w:type="dxa"/>
            <w:tcBorders>
              <w:top w:val="nil"/>
              <w:left w:val="nil"/>
              <w:bottom w:val="single" w:color="auto" w:sz="4" w:space="0"/>
              <w:right w:val="single" w:color="auto" w:sz="4" w:space="0"/>
            </w:tcBorders>
            <w:vAlign w:val="center"/>
          </w:tcPr>
          <w:p w14:paraId="2DF91300">
            <w:pPr>
              <w:widowControl/>
              <w:jc w:val="left"/>
              <w:rPr>
                <w:rFonts w:hint="eastAsia" w:ascii="宋体" w:hAnsi="宋体" w:cs="宋体"/>
                <w:color w:val="auto"/>
                <w:kern w:val="0"/>
                <w:highlight w:val="none"/>
              </w:rPr>
            </w:pPr>
            <w:r>
              <w:rPr>
                <w:rFonts w:hint="eastAsia" w:ascii="宋体" w:hAnsi="宋体" w:cs="宋体"/>
                <w:color w:val="auto"/>
                <w:kern w:val="0"/>
                <w:highlight w:val="none"/>
              </w:rPr>
              <w:t>Z＜300</w:t>
            </w:r>
          </w:p>
        </w:tc>
      </w:tr>
      <w:tr w14:paraId="3E5E81ED">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vAlign w:val="center"/>
          </w:tcPr>
          <w:p w14:paraId="386F3661">
            <w:pPr>
              <w:widowControl/>
              <w:jc w:val="center"/>
              <w:rPr>
                <w:rFonts w:hint="eastAsia" w:ascii="宋体" w:hAnsi="宋体" w:cs="宋体"/>
                <w:b/>
                <w:bCs/>
                <w:color w:val="auto"/>
                <w:kern w:val="0"/>
                <w:highlight w:val="none"/>
              </w:rPr>
            </w:pPr>
            <w:r>
              <w:rPr>
                <w:rFonts w:hint="eastAsia" w:ascii="宋体" w:hAnsi="宋体" w:cs="宋体"/>
                <w:b/>
                <w:bCs/>
                <w:color w:val="auto"/>
                <w:kern w:val="0"/>
                <w:highlight w:val="none"/>
              </w:rPr>
              <w:t>批发业</w:t>
            </w:r>
          </w:p>
        </w:tc>
        <w:tc>
          <w:tcPr>
            <w:tcW w:w="1384" w:type="dxa"/>
            <w:tcBorders>
              <w:top w:val="nil"/>
              <w:left w:val="nil"/>
              <w:bottom w:val="single" w:color="auto" w:sz="4" w:space="0"/>
              <w:right w:val="single" w:color="auto" w:sz="4" w:space="0"/>
            </w:tcBorders>
            <w:vAlign w:val="center"/>
          </w:tcPr>
          <w:p w14:paraId="1B6BF454">
            <w:pPr>
              <w:widowControl/>
              <w:jc w:val="left"/>
              <w:rPr>
                <w:rFonts w:hint="eastAsia" w:ascii="宋体" w:hAnsi="宋体" w:cs="宋体"/>
                <w:color w:val="auto"/>
                <w:kern w:val="0"/>
                <w:highlight w:val="none"/>
              </w:rPr>
            </w:pPr>
            <w:r>
              <w:rPr>
                <w:rFonts w:hint="eastAsia" w:ascii="宋体" w:hAnsi="宋体" w:cs="宋体"/>
                <w:color w:val="auto"/>
                <w:kern w:val="0"/>
                <w:highlight w:val="none"/>
              </w:rPr>
              <w:t>从业人员（X）</w:t>
            </w:r>
          </w:p>
        </w:tc>
        <w:tc>
          <w:tcPr>
            <w:tcW w:w="913" w:type="dxa"/>
            <w:tcBorders>
              <w:top w:val="nil"/>
              <w:left w:val="nil"/>
              <w:bottom w:val="single" w:color="auto" w:sz="4" w:space="0"/>
              <w:right w:val="single" w:color="auto" w:sz="4" w:space="0"/>
            </w:tcBorders>
            <w:vAlign w:val="center"/>
          </w:tcPr>
          <w:p w14:paraId="51A9B79A">
            <w:pPr>
              <w:widowControl/>
              <w:jc w:val="center"/>
              <w:rPr>
                <w:rFonts w:hint="eastAsia" w:ascii="宋体" w:hAnsi="宋体" w:cs="宋体"/>
                <w:color w:val="auto"/>
                <w:kern w:val="0"/>
                <w:highlight w:val="none"/>
              </w:rPr>
            </w:pPr>
            <w:r>
              <w:rPr>
                <w:rFonts w:hint="eastAsia" w:ascii="宋体" w:hAnsi="宋体" w:cs="宋体"/>
                <w:color w:val="auto"/>
                <w:kern w:val="0"/>
                <w:highlight w:val="none"/>
              </w:rPr>
              <w:t>人</w:t>
            </w:r>
          </w:p>
        </w:tc>
        <w:tc>
          <w:tcPr>
            <w:tcW w:w="1966" w:type="dxa"/>
            <w:tcBorders>
              <w:top w:val="nil"/>
              <w:left w:val="nil"/>
              <w:bottom w:val="single" w:color="auto" w:sz="4" w:space="0"/>
              <w:right w:val="single" w:color="auto" w:sz="4" w:space="0"/>
            </w:tcBorders>
            <w:vAlign w:val="center"/>
          </w:tcPr>
          <w:p w14:paraId="3322E2F8">
            <w:pPr>
              <w:widowControl/>
              <w:jc w:val="left"/>
              <w:rPr>
                <w:rFonts w:hint="eastAsia" w:ascii="宋体" w:hAnsi="宋体" w:cs="宋体"/>
                <w:color w:val="auto"/>
                <w:kern w:val="0"/>
                <w:highlight w:val="none"/>
              </w:rPr>
            </w:pPr>
            <w:r>
              <w:rPr>
                <w:rFonts w:hint="eastAsia" w:ascii="宋体" w:hAnsi="宋体" w:cs="宋体"/>
                <w:color w:val="auto"/>
                <w:kern w:val="0"/>
                <w:highlight w:val="none"/>
              </w:rPr>
              <w:t>20≤X＜200</w:t>
            </w:r>
          </w:p>
        </w:tc>
        <w:tc>
          <w:tcPr>
            <w:tcW w:w="1743" w:type="dxa"/>
            <w:tcBorders>
              <w:top w:val="nil"/>
              <w:left w:val="nil"/>
              <w:bottom w:val="single" w:color="auto" w:sz="4" w:space="0"/>
              <w:right w:val="single" w:color="auto" w:sz="4" w:space="0"/>
            </w:tcBorders>
            <w:vAlign w:val="center"/>
          </w:tcPr>
          <w:p w14:paraId="075D34FA">
            <w:pPr>
              <w:widowControl/>
              <w:jc w:val="left"/>
              <w:rPr>
                <w:rFonts w:hint="eastAsia" w:ascii="宋体" w:hAnsi="宋体" w:cs="宋体"/>
                <w:color w:val="auto"/>
                <w:kern w:val="0"/>
                <w:highlight w:val="none"/>
              </w:rPr>
            </w:pPr>
            <w:r>
              <w:rPr>
                <w:rFonts w:hint="eastAsia" w:ascii="宋体" w:hAnsi="宋体" w:cs="宋体"/>
                <w:color w:val="auto"/>
                <w:kern w:val="0"/>
                <w:highlight w:val="none"/>
              </w:rPr>
              <w:t>5≤X＜20</w:t>
            </w:r>
          </w:p>
        </w:tc>
        <w:tc>
          <w:tcPr>
            <w:tcW w:w="1142" w:type="dxa"/>
            <w:tcBorders>
              <w:top w:val="nil"/>
              <w:left w:val="nil"/>
              <w:bottom w:val="single" w:color="auto" w:sz="4" w:space="0"/>
              <w:right w:val="single" w:color="auto" w:sz="4" w:space="0"/>
            </w:tcBorders>
            <w:vAlign w:val="center"/>
          </w:tcPr>
          <w:p w14:paraId="755F82CD">
            <w:pPr>
              <w:widowControl/>
              <w:jc w:val="left"/>
              <w:rPr>
                <w:rFonts w:hint="eastAsia" w:ascii="宋体" w:hAnsi="宋体" w:cs="宋体"/>
                <w:color w:val="auto"/>
                <w:kern w:val="0"/>
                <w:highlight w:val="none"/>
              </w:rPr>
            </w:pPr>
            <w:r>
              <w:rPr>
                <w:rFonts w:hint="eastAsia" w:ascii="宋体" w:hAnsi="宋体" w:cs="宋体"/>
                <w:color w:val="auto"/>
                <w:kern w:val="0"/>
                <w:highlight w:val="none"/>
              </w:rPr>
              <w:t>X＜5</w:t>
            </w:r>
          </w:p>
        </w:tc>
      </w:tr>
      <w:tr w14:paraId="4CB09794">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vAlign w:val="center"/>
          </w:tcPr>
          <w:p w14:paraId="536F1F4C">
            <w:pPr>
              <w:widowControl/>
              <w:jc w:val="left"/>
              <w:rPr>
                <w:rFonts w:hint="eastAsia" w:ascii="宋体" w:hAnsi="宋体" w:cs="宋体"/>
                <w:b/>
                <w:bCs/>
                <w:color w:val="auto"/>
                <w:kern w:val="0"/>
                <w:highlight w:val="none"/>
              </w:rPr>
            </w:pPr>
          </w:p>
        </w:tc>
        <w:tc>
          <w:tcPr>
            <w:tcW w:w="1384" w:type="dxa"/>
            <w:tcBorders>
              <w:top w:val="nil"/>
              <w:left w:val="nil"/>
              <w:bottom w:val="single" w:color="auto" w:sz="4" w:space="0"/>
              <w:right w:val="single" w:color="auto" w:sz="4" w:space="0"/>
            </w:tcBorders>
            <w:vAlign w:val="center"/>
          </w:tcPr>
          <w:p w14:paraId="28458D16">
            <w:pPr>
              <w:widowControl/>
              <w:jc w:val="left"/>
              <w:rPr>
                <w:rFonts w:hint="eastAsia" w:ascii="宋体" w:hAnsi="宋体" w:cs="宋体"/>
                <w:color w:val="auto"/>
                <w:kern w:val="0"/>
                <w:highlight w:val="none"/>
              </w:rPr>
            </w:pPr>
            <w:r>
              <w:rPr>
                <w:rFonts w:hint="eastAsia" w:ascii="宋体" w:hAnsi="宋体" w:cs="宋体"/>
                <w:color w:val="auto"/>
                <w:kern w:val="0"/>
                <w:highlight w:val="none"/>
              </w:rPr>
              <w:t>营业收入（Y）</w:t>
            </w:r>
          </w:p>
        </w:tc>
        <w:tc>
          <w:tcPr>
            <w:tcW w:w="913" w:type="dxa"/>
            <w:tcBorders>
              <w:top w:val="nil"/>
              <w:left w:val="nil"/>
              <w:bottom w:val="single" w:color="auto" w:sz="4" w:space="0"/>
              <w:right w:val="single" w:color="auto" w:sz="4" w:space="0"/>
            </w:tcBorders>
            <w:vAlign w:val="center"/>
          </w:tcPr>
          <w:p w14:paraId="5155BCAC">
            <w:pPr>
              <w:widowControl/>
              <w:jc w:val="center"/>
              <w:rPr>
                <w:rFonts w:hint="eastAsia" w:ascii="宋体" w:hAnsi="宋体" w:cs="宋体"/>
                <w:color w:val="auto"/>
                <w:kern w:val="0"/>
                <w:highlight w:val="none"/>
              </w:rPr>
            </w:pPr>
            <w:r>
              <w:rPr>
                <w:rFonts w:hint="eastAsia" w:ascii="宋体" w:hAnsi="宋体" w:cs="宋体"/>
                <w:color w:val="auto"/>
                <w:kern w:val="0"/>
                <w:highlight w:val="none"/>
              </w:rPr>
              <w:t>万元</w:t>
            </w:r>
          </w:p>
        </w:tc>
        <w:tc>
          <w:tcPr>
            <w:tcW w:w="1966" w:type="dxa"/>
            <w:tcBorders>
              <w:top w:val="nil"/>
              <w:left w:val="nil"/>
              <w:bottom w:val="single" w:color="auto" w:sz="4" w:space="0"/>
              <w:right w:val="single" w:color="auto" w:sz="4" w:space="0"/>
            </w:tcBorders>
            <w:vAlign w:val="center"/>
          </w:tcPr>
          <w:p w14:paraId="6C344E7A">
            <w:pPr>
              <w:widowControl/>
              <w:jc w:val="left"/>
              <w:rPr>
                <w:rFonts w:hint="eastAsia" w:ascii="宋体" w:hAnsi="宋体" w:cs="宋体"/>
                <w:color w:val="auto"/>
                <w:kern w:val="0"/>
                <w:highlight w:val="none"/>
              </w:rPr>
            </w:pPr>
            <w:r>
              <w:rPr>
                <w:rFonts w:hint="eastAsia" w:ascii="宋体" w:hAnsi="宋体" w:cs="宋体"/>
                <w:color w:val="auto"/>
                <w:kern w:val="0"/>
                <w:highlight w:val="none"/>
              </w:rPr>
              <w:t>5000≤Y＜40000</w:t>
            </w:r>
          </w:p>
        </w:tc>
        <w:tc>
          <w:tcPr>
            <w:tcW w:w="1743" w:type="dxa"/>
            <w:tcBorders>
              <w:top w:val="nil"/>
              <w:left w:val="nil"/>
              <w:bottom w:val="single" w:color="auto" w:sz="4" w:space="0"/>
              <w:right w:val="single" w:color="auto" w:sz="4" w:space="0"/>
            </w:tcBorders>
            <w:vAlign w:val="center"/>
          </w:tcPr>
          <w:p w14:paraId="2E33A48F">
            <w:pPr>
              <w:widowControl/>
              <w:jc w:val="left"/>
              <w:rPr>
                <w:rFonts w:hint="eastAsia" w:ascii="宋体" w:hAnsi="宋体" w:cs="宋体"/>
                <w:color w:val="auto"/>
                <w:kern w:val="0"/>
                <w:highlight w:val="none"/>
              </w:rPr>
            </w:pPr>
            <w:r>
              <w:rPr>
                <w:rFonts w:hint="eastAsia" w:ascii="宋体" w:hAnsi="宋体" w:cs="宋体"/>
                <w:color w:val="auto"/>
                <w:kern w:val="0"/>
                <w:highlight w:val="none"/>
              </w:rPr>
              <w:t>1000≤Y＜5000</w:t>
            </w:r>
          </w:p>
        </w:tc>
        <w:tc>
          <w:tcPr>
            <w:tcW w:w="1142" w:type="dxa"/>
            <w:tcBorders>
              <w:top w:val="nil"/>
              <w:left w:val="nil"/>
              <w:bottom w:val="single" w:color="auto" w:sz="4" w:space="0"/>
              <w:right w:val="single" w:color="auto" w:sz="4" w:space="0"/>
            </w:tcBorders>
            <w:vAlign w:val="center"/>
          </w:tcPr>
          <w:p w14:paraId="5FC61C0F">
            <w:pPr>
              <w:widowControl/>
              <w:jc w:val="left"/>
              <w:rPr>
                <w:rFonts w:hint="eastAsia" w:ascii="宋体" w:hAnsi="宋体" w:cs="宋体"/>
                <w:color w:val="auto"/>
                <w:kern w:val="0"/>
                <w:highlight w:val="none"/>
              </w:rPr>
            </w:pPr>
            <w:r>
              <w:rPr>
                <w:rFonts w:hint="eastAsia" w:ascii="宋体" w:hAnsi="宋体" w:cs="宋体"/>
                <w:color w:val="auto"/>
                <w:kern w:val="0"/>
                <w:highlight w:val="none"/>
              </w:rPr>
              <w:t>Y＜1000</w:t>
            </w:r>
          </w:p>
        </w:tc>
      </w:tr>
      <w:tr w14:paraId="4B11F451">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vAlign w:val="center"/>
          </w:tcPr>
          <w:p w14:paraId="6BC60F26">
            <w:pPr>
              <w:widowControl/>
              <w:jc w:val="center"/>
              <w:rPr>
                <w:rFonts w:hint="eastAsia" w:ascii="宋体" w:hAnsi="宋体" w:cs="宋体"/>
                <w:b/>
                <w:bCs/>
                <w:color w:val="auto"/>
                <w:kern w:val="0"/>
                <w:highlight w:val="none"/>
              </w:rPr>
            </w:pPr>
            <w:r>
              <w:rPr>
                <w:rFonts w:hint="eastAsia" w:ascii="宋体" w:hAnsi="宋体" w:cs="宋体"/>
                <w:b/>
                <w:bCs/>
                <w:color w:val="auto"/>
                <w:kern w:val="0"/>
                <w:highlight w:val="none"/>
              </w:rPr>
              <w:t>零售业</w:t>
            </w:r>
          </w:p>
        </w:tc>
        <w:tc>
          <w:tcPr>
            <w:tcW w:w="1384" w:type="dxa"/>
            <w:tcBorders>
              <w:top w:val="nil"/>
              <w:left w:val="nil"/>
              <w:bottom w:val="single" w:color="auto" w:sz="4" w:space="0"/>
              <w:right w:val="single" w:color="auto" w:sz="4" w:space="0"/>
            </w:tcBorders>
            <w:vAlign w:val="center"/>
          </w:tcPr>
          <w:p w14:paraId="14088632">
            <w:pPr>
              <w:widowControl/>
              <w:jc w:val="left"/>
              <w:rPr>
                <w:rFonts w:hint="eastAsia" w:ascii="宋体" w:hAnsi="宋体" w:cs="宋体"/>
                <w:color w:val="auto"/>
                <w:kern w:val="0"/>
                <w:highlight w:val="none"/>
              </w:rPr>
            </w:pPr>
            <w:r>
              <w:rPr>
                <w:rFonts w:hint="eastAsia" w:ascii="宋体" w:hAnsi="宋体" w:cs="宋体"/>
                <w:color w:val="auto"/>
                <w:kern w:val="0"/>
                <w:highlight w:val="none"/>
              </w:rPr>
              <w:t>从业人员（X）</w:t>
            </w:r>
          </w:p>
        </w:tc>
        <w:tc>
          <w:tcPr>
            <w:tcW w:w="913" w:type="dxa"/>
            <w:tcBorders>
              <w:top w:val="nil"/>
              <w:left w:val="nil"/>
              <w:bottom w:val="single" w:color="auto" w:sz="4" w:space="0"/>
              <w:right w:val="single" w:color="auto" w:sz="4" w:space="0"/>
            </w:tcBorders>
            <w:vAlign w:val="center"/>
          </w:tcPr>
          <w:p w14:paraId="7FEAFB70">
            <w:pPr>
              <w:widowControl/>
              <w:jc w:val="center"/>
              <w:rPr>
                <w:rFonts w:hint="eastAsia" w:ascii="宋体" w:hAnsi="宋体" w:cs="宋体"/>
                <w:color w:val="auto"/>
                <w:kern w:val="0"/>
                <w:highlight w:val="none"/>
              </w:rPr>
            </w:pPr>
            <w:r>
              <w:rPr>
                <w:rFonts w:hint="eastAsia" w:ascii="宋体" w:hAnsi="宋体" w:cs="宋体"/>
                <w:color w:val="auto"/>
                <w:kern w:val="0"/>
                <w:highlight w:val="none"/>
              </w:rPr>
              <w:t>人</w:t>
            </w:r>
          </w:p>
        </w:tc>
        <w:tc>
          <w:tcPr>
            <w:tcW w:w="1966" w:type="dxa"/>
            <w:tcBorders>
              <w:top w:val="nil"/>
              <w:left w:val="nil"/>
              <w:bottom w:val="single" w:color="auto" w:sz="4" w:space="0"/>
              <w:right w:val="single" w:color="auto" w:sz="4" w:space="0"/>
            </w:tcBorders>
            <w:vAlign w:val="center"/>
          </w:tcPr>
          <w:p w14:paraId="5497F31B">
            <w:pPr>
              <w:widowControl/>
              <w:jc w:val="left"/>
              <w:rPr>
                <w:rFonts w:hint="eastAsia" w:ascii="宋体" w:hAnsi="宋体" w:cs="宋体"/>
                <w:color w:val="auto"/>
                <w:kern w:val="0"/>
                <w:highlight w:val="none"/>
              </w:rPr>
            </w:pPr>
            <w:r>
              <w:rPr>
                <w:rFonts w:hint="eastAsia" w:ascii="宋体" w:hAnsi="宋体" w:cs="宋体"/>
                <w:color w:val="auto"/>
                <w:kern w:val="0"/>
                <w:highlight w:val="none"/>
              </w:rPr>
              <w:t>50≤X＜300</w:t>
            </w:r>
          </w:p>
        </w:tc>
        <w:tc>
          <w:tcPr>
            <w:tcW w:w="1743" w:type="dxa"/>
            <w:tcBorders>
              <w:top w:val="nil"/>
              <w:left w:val="nil"/>
              <w:bottom w:val="single" w:color="auto" w:sz="4" w:space="0"/>
              <w:right w:val="single" w:color="auto" w:sz="4" w:space="0"/>
            </w:tcBorders>
            <w:vAlign w:val="center"/>
          </w:tcPr>
          <w:p w14:paraId="5AA407EE">
            <w:pPr>
              <w:widowControl/>
              <w:jc w:val="left"/>
              <w:rPr>
                <w:rFonts w:hint="eastAsia" w:ascii="宋体" w:hAnsi="宋体" w:cs="宋体"/>
                <w:color w:val="auto"/>
                <w:kern w:val="0"/>
                <w:highlight w:val="none"/>
              </w:rPr>
            </w:pPr>
            <w:r>
              <w:rPr>
                <w:rFonts w:hint="eastAsia" w:ascii="宋体" w:hAnsi="宋体" w:cs="宋体"/>
                <w:color w:val="auto"/>
                <w:kern w:val="0"/>
                <w:highlight w:val="none"/>
              </w:rPr>
              <w:t>10≤X＜50</w:t>
            </w:r>
          </w:p>
        </w:tc>
        <w:tc>
          <w:tcPr>
            <w:tcW w:w="1142" w:type="dxa"/>
            <w:tcBorders>
              <w:top w:val="nil"/>
              <w:left w:val="nil"/>
              <w:bottom w:val="single" w:color="auto" w:sz="4" w:space="0"/>
              <w:right w:val="single" w:color="auto" w:sz="4" w:space="0"/>
            </w:tcBorders>
            <w:vAlign w:val="center"/>
          </w:tcPr>
          <w:p w14:paraId="3E2F7312">
            <w:pPr>
              <w:widowControl/>
              <w:jc w:val="left"/>
              <w:rPr>
                <w:rFonts w:hint="eastAsia" w:ascii="宋体" w:hAnsi="宋体" w:cs="宋体"/>
                <w:color w:val="auto"/>
                <w:kern w:val="0"/>
                <w:highlight w:val="none"/>
              </w:rPr>
            </w:pPr>
            <w:r>
              <w:rPr>
                <w:rFonts w:hint="eastAsia" w:ascii="宋体" w:hAnsi="宋体" w:cs="宋体"/>
                <w:color w:val="auto"/>
                <w:kern w:val="0"/>
                <w:highlight w:val="none"/>
              </w:rPr>
              <w:t>X＜10</w:t>
            </w:r>
          </w:p>
        </w:tc>
      </w:tr>
      <w:tr w14:paraId="052ACB78">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vAlign w:val="center"/>
          </w:tcPr>
          <w:p w14:paraId="6EBC6842">
            <w:pPr>
              <w:widowControl/>
              <w:jc w:val="left"/>
              <w:rPr>
                <w:rFonts w:hint="eastAsia" w:ascii="宋体" w:hAnsi="宋体" w:cs="宋体"/>
                <w:b/>
                <w:bCs/>
                <w:color w:val="auto"/>
                <w:kern w:val="0"/>
                <w:highlight w:val="none"/>
              </w:rPr>
            </w:pPr>
          </w:p>
        </w:tc>
        <w:tc>
          <w:tcPr>
            <w:tcW w:w="1384" w:type="dxa"/>
            <w:tcBorders>
              <w:top w:val="nil"/>
              <w:left w:val="nil"/>
              <w:bottom w:val="single" w:color="auto" w:sz="4" w:space="0"/>
              <w:right w:val="single" w:color="auto" w:sz="4" w:space="0"/>
            </w:tcBorders>
            <w:vAlign w:val="center"/>
          </w:tcPr>
          <w:p w14:paraId="738178BF">
            <w:pPr>
              <w:widowControl/>
              <w:jc w:val="left"/>
              <w:rPr>
                <w:rFonts w:hint="eastAsia" w:ascii="宋体" w:hAnsi="宋体" w:cs="宋体"/>
                <w:color w:val="auto"/>
                <w:kern w:val="0"/>
                <w:highlight w:val="none"/>
              </w:rPr>
            </w:pPr>
            <w:r>
              <w:rPr>
                <w:rFonts w:hint="eastAsia" w:ascii="宋体" w:hAnsi="宋体" w:cs="宋体"/>
                <w:color w:val="auto"/>
                <w:kern w:val="0"/>
                <w:highlight w:val="none"/>
              </w:rPr>
              <w:t>营业收入（Y）</w:t>
            </w:r>
          </w:p>
        </w:tc>
        <w:tc>
          <w:tcPr>
            <w:tcW w:w="913" w:type="dxa"/>
            <w:tcBorders>
              <w:top w:val="nil"/>
              <w:left w:val="nil"/>
              <w:bottom w:val="single" w:color="auto" w:sz="4" w:space="0"/>
              <w:right w:val="single" w:color="auto" w:sz="4" w:space="0"/>
            </w:tcBorders>
            <w:vAlign w:val="center"/>
          </w:tcPr>
          <w:p w14:paraId="649307B5">
            <w:pPr>
              <w:widowControl/>
              <w:jc w:val="center"/>
              <w:rPr>
                <w:rFonts w:hint="eastAsia" w:ascii="宋体" w:hAnsi="宋体" w:cs="宋体"/>
                <w:color w:val="auto"/>
                <w:kern w:val="0"/>
                <w:highlight w:val="none"/>
              </w:rPr>
            </w:pPr>
            <w:r>
              <w:rPr>
                <w:rFonts w:hint="eastAsia" w:ascii="宋体" w:hAnsi="宋体" w:cs="宋体"/>
                <w:color w:val="auto"/>
                <w:kern w:val="0"/>
                <w:highlight w:val="none"/>
              </w:rPr>
              <w:t>万元</w:t>
            </w:r>
          </w:p>
        </w:tc>
        <w:tc>
          <w:tcPr>
            <w:tcW w:w="1966" w:type="dxa"/>
            <w:tcBorders>
              <w:top w:val="nil"/>
              <w:left w:val="nil"/>
              <w:bottom w:val="single" w:color="auto" w:sz="4" w:space="0"/>
              <w:right w:val="single" w:color="auto" w:sz="4" w:space="0"/>
            </w:tcBorders>
            <w:vAlign w:val="center"/>
          </w:tcPr>
          <w:p w14:paraId="4558FE19">
            <w:pPr>
              <w:widowControl/>
              <w:jc w:val="left"/>
              <w:rPr>
                <w:rFonts w:hint="eastAsia" w:ascii="宋体" w:hAnsi="宋体" w:cs="宋体"/>
                <w:color w:val="auto"/>
                <w:kern w:val="0"/>
                <w:highlight w:val="none"/>
              </w:rPr>
            </w:pPr>
            <w:r>
              <w:rPr>
                <w:rFonts w:hint="eastAsia" w:ascii="宋体" w:hAnsi="宋体" w:cs="宋体"/>
                <w:color w:val="auto"/>
                <w:kern w:val="0"/>
                <w:highlight w:val="none"/>
              </w:rPr>
              <w:t>500≤Y＜20000</w:t>
            </w:r>
          </w:p>
        </w:tc>
        <w:tc>
          <w:tcPr>
            <w:tcW w:w="1743" w:type="dxa"/>
            <w:tcBorders>
              <w:top w:val="nil"/>
              <w:left w:val="nil"/>
              <w:bottom w:val="single" w:color="auto" w:sz="4" w:space="0"/>
              <w:right w:val="single" w:color="auto" w:sz="4" w:space="0"/>
            </w:tcBorders>
            <w:vAlign w:val="center"/>
          </w:tcPr>
          <w:p w14:paraId="57939461">
            <w:pPr>
              <w:widowControl/>
              <w:jc w:val="left"/>
              <w:rPr>
                <w:rFonts w:hint="eastAsia" w:ascii="宋体" w:hAnsi="宋体" w:cs="宋体"/>
                <w:color w:val="auto"/>
                <w:kern w:val="0"/>
                <w:highlight w:val="none"/>
              </w:rPr>
            </w:pPr>
            <w:r>
              <w:rPr>
                <w:rFonts w:hint="eastAsia" w:ascii="宋体" w:hAnsi="宋体" w:cs="宋体"/>
                <w:color w:val="auto"/>
                <w:kern w:val="0"/>
                <w:highlight w:val="none"/>
              </w:rPr>
              <w:t>100≤Y＜500</w:t>
            </w:r>
          </w:p>
        </w:tc>
        <w:tc>
          <w:tcPr>
            <w:tcW w:w="1142" w:type="dxa"/>
            <w:tcBorders>
              <w:top w:val="nil"/>
              <w:left w:val="nil"/>
              <w:bottom w:val="single" w:color="auto" w:sz="4" w:space="0"/>
              <w:right w:val="single" w:color="auto" w:sz="4" w:space="0"/>
            </w:tcBorders>
            <w:vAlign w:val="center"/>
          </w:tcPr>
          <w:p w14:paraId="560736ED">
            <w:pPr>
              <w:widowControl/>
              <w:jc w:val="left"/>
              <w:rPr>
                <w:rFonts w:hint="eastAsia" w:ascii="宋体" w:hAnsi="宋体" w:cs="宋体"/>
                <w:color w:val="auto"/>
                <w:kern w:val="0"/>
                <w:highlight w:val="none"/>
              </w:rPr>
            </w:pPr>
            <w:r>
              <w:rPr>
                <w:rFonts w:hint="eastAsia" w:ascii="宋体" w:hAnsi="宋体" w:cs="宋体"/>
                <w:color w:val="auto"/>
                <w:kern w:val="0"/>
                <w:highlight w:val="none"/>
              </w:rPr>
              <w:t>Y＜100</w:t>
            </w:r>
          </w:p>
        </w:tc>
      </w:tr>
      <w:tr w14:paraId="1A089E8A">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vAlign w:val="center"/>
          </w:tcPr>
          <w:p w14:paraId="30B8C60D">
            <w:pPr>
              <w:widowControl/>
              <w:jc w:val="center"/>
              <w:rPr>
                <w:rFonts w:hint="eastAsia" w:ascii="宋体" w:hAnsi="宋体" w:cs="宋体"/>
                <w:b/>
                <w:bCs/>
                <w:color w:val="auto"/>
                <w:kern w:val="0"/>
                <w:highlight w:val="none"/>
              </w:rPr>
            </w:pPr>
            <w:r>
              <w:rPr>
                <w:rFonts w:hint="eastAsia" w:ascii="宋体" w:hAnsi="宋体" w:cs="宋体"/>
                <w:b/>
                <w:bCs/>
                <w:color w:val="auto"/>
                <w:kern w:val="0"/>
                <w:highlight w:val="none"/>
              </w:rPr>
              <w:t>交通运输业</w:t>
            </w:r>
          </w:p>
        </w:tc>
        <w:tc>
          <w:tcPr>
            <w:tcW w:w="1384" w:type="dxa"/>
            <w:tcBorders>
              <w:top w:val="nil"/>
              <w:left w:val="nil"/>
              <w:bottom w:val="single" w:color="auto" w:sz="4" w:space="0"/>
              <w:right w:val="single" w:color="auto" w:sz="4" w:space="0"/>
            </w:tcBorders>
            <w:vAlign w:val="center"/>
          </w:tcPr>
          <w:p w14:paraId="0D2414C8">
            <w:pPr>
              <w:widowControl/>
              <w:jc w:val="left"/>
              <w:rPr>
                <w:rFonts w:hint="eastAsia" w:ascii="宋体" w:hAnsi="宋体" w:cs="宋体"/>
                <w:color w:val="auto"/>
                <w:kern w:val="0"/>
                <w:highlight w:val="none"/>
              </w:rPr>
            </w:pPr>
            <w:r>
              <w:rPr>
                <w:rFonts w:hint="eastAsia" w:ascii="宋体" w:hAnsi="宋体" w:cs="宋体"/>
                <w:color w:val="auto"/>
                <w:kern w:val="0"/>
                <w:highlight w:val="none"/>
              </w:rPr>
              <w:t>从业人员（X）</w:t>
            </w:r>
          </w:p>
        </w:tc>
        <w:tc>
          <w:tcPr>
            <w:tcW w:w="913" w:type="dxa"/>
            <w:tcBorders>
              <w:top w:val="nil"/>
              <w:left w:val="nil"/>
              <w:bottom w:val="single" w:color="auto" w:sz="4" w:space="0"/>
              <w:right w:val="single" w:color="auto" w:sz="4" w:space="0"/>
            </w:tcBorders>
            <w:vAlign w:val="center"/>
          </w:tcPr>
          <w:p w14:paraId="0EB9985C">
            <w:pPr>
              <w:widowControl/>
              <w:jc w:val="center"/>
              <w:rPr>
                <w:rFonts w:hint="eastAsia" w:ascii="宋体" w:hAnsi="宋体" w:cs="宋体"/>
                <w:color w:val="auto"/>
                <w:kern w:val="0"/>
                <w:highlight w:val="none"/>
              </w:rPr>
            </w:pPr>
            <w:r>
              <w:rPr>
                <w:rFonts w:hint="eastAsia" w:ascii="宋体" w:hAnsi="宋体" w:cs="宋体"/>
                <w:color w:val="auto"/>
                <w:kern w:val="0"/>
                <w:highlight w:val="none"/>
              </w:rPr>
              <w:t>人</w:t>
            </w:r>
          </w:p>
        </w:tc>
        <w:tc>
          <w:tcPr>
            <w:tcW w:w="1966" w:type="dxa"/>
            <w:tcBorders>
              <w:top w:val="nil"/>
              <w:left w:val="nil"/>
              <w:bottom w:val="single" w:color="auto" w:sz="4" w:space="0"/>
              <w:right w:val="single" w:color="auto" w:sz="4" w:space="0"/>
            </w:tcBorders>
            <w:vAlign w:val="center"/>
          </w:tcPr>
          <w:p w14:paraId="74DE5BB2">
            <w:pPr>
              <w:widowControl/>
              <w:jc w:val="left"/>
              <w:rPr>
                <w:rFonts w:hint="eastAsia" w:ascii="宋体" w:hAnsi="宋体" w:cs="宋体"/>
                <w:color w:val="auto"/>
                <w:kern w:val="0"/>
                <w:highlight w:val="none"/>
              </w:rPr>
            </w:pPr>
            <w:r>
              <w:rPr>
                <w:rFonts w:hint="eastAsia" w:ascii="宋体" w:hAnsi="宋体" w:cs="宋体"/>
                <w:color w:val="auto"/>
                <w:kern w:val="0"/>
                <w:highlight w:val="none"/>
              </w:rPr>
              <w:t>300≤X＜1000</w:t>
            </w:r>
          </w:p>
        </w:tc>
        <w:tc>
          <w:tcPr>
            <w:tcW w:w="1743" w:type="dxa"/>
            <w:tcBorders>
              <w:top w:val="nil"/>
              <w:left w:val="nil"/>
              <w:bottom w:val="single" w:color="auto" w:sz="4" w:space="0"/>
              <w:right w:val="single" w:color="auto" w:sz="4" w:space="0"/>
            </w:tcBorders>
            <w:vAlign w:val="center"/>
          </w:tcPr>
          <w:p w14:paraId="45ED0FA5">
            <w:pPr>
              <w:widowControl/>
              <w:jc w:val="left"/>
              <w:rPr>
                <w:rFonts w:hint="eastAsia" w:ascii="宋体" w:hAnsi="宋体" w:cs="宋体"/>
                <w:color w:val="auto"/>
                <w:kern w:val="0"/>
                <w:highlight w:val="none"/>
              </w:rPr>
            </w:pPr>
            <w:r>
              <w:rPr>
                <w:rFonts w:hint="eastAsia" w:ascii="宋体" w:hAnsi="宋体" w:cs="宋体"/>
                <w:color w:val="auto"/>
                <w:kern w:val="0"/>
                <w:highlight w:val="none"/>
              </w:rPr>
              <w:t>20≤X＜300</w:t>
            </w:r>
          </w:p>
        </w:tc>
        <w:tc>
          <w:tcPr>
            <w:tcW w:w="1142" w:type="dxa"/>
            <w:tcBorders>
              <w:top w:val="nil"/>
              <w:left w:val="nil"/>
              <w:bottom w:val="single" w:color="auto" w:sz="4" w:space="0"/>
              <w:right w:val="single" w:color="auto" w:sz="4" w:space="0"/>
            </w:tcBorders>
            <w:vAlign w:val="center"/>
          </w:tcPr>
          <w:p w14:paraId="7FCF8CCB">
            <w:pPr>
              <w:widowControl/>
              <w:jc w:val="left"/>
              <w:rPr>
                <w:rFonts w:hint="eastAsia" w:ascii="宋体" w:hAnsi="宋体" w:cs="宋体"/>
                <w:color w:val="auto"/>
                <w:kern w:val="0"/>
                <w:highlight w:val="none"/>
              </w:rPr>
            </w:pPr>
            <w:r>
              <w:rPr>
                <w:rFonts w:hint="eastAsia" w:ascii="宋体" w:hAnsi="宋体" w:cs="宋体"/>
                <w:color w:val="auto"/>
                <w:kern w:val="0"/>
                <w:highlight w:val="none"/>
              </w:rPr>
              <w:t>X＜20</w:t>
            </w:r>
          </w:p>
        </w:tc>
      </w:tr>
      <w:tr w14:paraId="0FC2E48E">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vAlign w:val="center"/>
          </w:tcPr>
          <w:p w14:paraId="7F8BD181">
            <w:pPr>
              <w:widowControl/>
              <w:jc w:val="left"/>
              <w:rPr>
                <w:rFonts w:hint="eastAsia" w:ascii="宋体" w:hAnsi="宋体" w:cs="宋体"/>
                <w:b/>
                <w:bCs/>
                <w:color w:val="auto"/>
                <w:kern w:val="0"/>
                <w:highlight w:val="none"/>
              </w:rPr>
            </w:pPr>
          </w:p>
        </w:tc>
        <w:tc>
          <w:tcPr>
            <w:tcW w:w="1384" w:type="dxa"/>
            <w:tcBorders>
              <w:top w:val="nil"/>
              <w:left w:val="nil"/>
              <w:bottom w:val="single" w:color="auto" w:sz="4" w:space="0"/>
              <w:right w:val="single" w:color="auto" w:sz="4" w:space="0"/>
            </w:tcBorders>
            <w:vAlign w:val="center"/>
          </w:tcPr>
          <w:p w14:paraId="1F57AEFE">
            <w:pPr>
              <w:widowControl/>
              <w:jc w:val="left"/>
              <w:rPr>
                <w:rFonts w:hint="eastAsia" w:ascii="宋体" w:hAnsi="宋体" w:cs="宋体"/>
                <w:color w:val="auto"/>
                <w:kern w:val="0"/>
                <w:highlight w:val="none"/>
              </w:rPr>
            </w:pPr>
            <w:r>
              <w:rPr>
                <w:rFonts w:hint="eastAsia" w:ascii="宋体" w:hAnsi="宋体" w:cs="宋体"/>
                <w:color w:val="auto"/>
                <w:kern w:val="0"/>
                <w:highlight w:val="none"/>
              </w:rPr>
              <w:t>营业收入（Y）</w:t>
            </w:r>
          </w:p>
        </w:tc>
        <w:tc>
          <w:tcPr>
            <w:tcW w:w="913" w:type="dxa"/>
            <w:tcBorders>
              <w:top w:val="nil"/>
              <w:left w:val="nil"/>
              <w:bottom w:val="single" w:color="auto" w:sz="4" w:space="0"/>
              <w:right w:val="single" w:color="auto" w:sz="4" w:space="0"/>
            </w:tcBorders>
            <w:vAlign w:val="center"/>
          </w:tcPr>
          <w:p w14:paraId="6A06AC55">
            <w:pPr>
              <w:widowControl/>
              <w:jc w:val="center"/>
              <w:rPr>
                <w:rFonts w:hint="eastAsia" w:ascii="宋体" w:hAnsi="宋体" w:cs="宋体"/>
                <w:color w:val="auto"/>
                <w:kern w:val="0"/>
                <w:highlight w:val="none"/>
              </w:rPr>
            </w:pPr>
            <w:r>
              <w:rPr>
                <w:rFonts w:hint="eastAsia" w:ascii="宋体" w:hAnsi="宋体" w:cs="宋体"/>
                <w:color w:val="auto"/>
                <w:kern w:val="0"/>
                <w:highlight w:val="none"/>
              </w:rPr>
              <w:t>万元</w:t>
            </w:r>
          </w:p>
        </w:tc>
        <w:tc>
          <w:tcPr>
            <w:tcW w:w="1966" w:type="dxa"/>
            <w:tcBorders>
              <w:top w:val="nil"/>
              <w:left w:val="nil"/>
              <w:bottom w:val="single" w:color="auto" w:sz="4" w:space="0"/>
              <w:right w:val="single" w:color="auto" w:sz="4" w:space="0"/>
            </w:tcBorders>
            <w:vAlign w:val="center"/>
          </w:tcPr>
          <w:p w14:paraId="51AEB3FF">
            <w:pPr>
              <w:widowControl/>
              <w:jc w:val="left"/>
              <w:rPr>
                <w:rFonts w:hint="eastAsia" w:ascii="宋体" w:hAnsi="宋体" w:cs="宋体"/>
                <w:color w:val="auto"/>
                <w:kern w:val="0"/>
                <w:highlight w:val="none"/>
              </w:rPr>
            </w:pPr>
            <w:r>
              <w:rPr>
                <w:rFonts w:hint="eastAsia" w:ascii="宋体" w:hAnsi="宋体" w:cs="宋体"/>
                <w:color w:val="auto"/>
                <w:kern w:val="0"/>
                <w:highlight w:val="none"/>
              </w:rPr>
              <w:t>3000≤Y＜30000</w:t>
            </w:r>
          </w:p>
        </w:tc>
        <w:tc>
          <w:tcPr>
            <w:tcW w:w="1743" w:type="dxa"/>
            <w:tcBorders>
              <w:top w:val="nil"/>
              <w:left w:val="nil"/>
              <w:bottom w:val="single" w:color="auto" w:sz="4" w:space="0"/>
              <w:right w:val="single" w:color="auto" w:sz="4" w:space="0"/>
            </w:tcBorders>
            <w:vAlign w:val="center"/>
          </w:tcPr>
          <w:p w14:paraId="062D8A7F">
            <w:pPr>
              <w:widowControl/>
              <w:jc w:val="left"/>
              <w:rPr>
                <w:rFonts w:hint="eastAsia" w:ascii="宋体" w:hAnsi="宋体" w:cs="宋体"/>
                <w:color w:val="auto"/>
                <w:kern w:val="0"/>
                <w:highlight w:val="none"/>
              </w:rPr>
            </w:pPr>
            <w:r>
              <w:rPr>
                <w:rFonts w:hint="eastAsia" w:ascii="宋体" w:hAnsi="宋体" w:cs="宋体"/>
                <w:color w:val="auto"/>
                <w:kern w:val="0"/>
                <w:highlight w:val="none"/>
              </w:rPr>
              <w:t>200≤Y＜3000</w:t>
            </w:r>
          </w:p>
        </w:tc>
        <w:tc>
          <w:tcPr>
            <w:tcW w:w="1142" w:type="dxa"/>
            <w:tcBorders>
              <w:top w:val="nil"/>
              <w:left w:val="nil"/>
              <w:bottom w:val="single" w:color="auto" w:sz="4" w:space="0"/>
              <w:right w:val="single" w:color="auto" w:sz="4" w:space="0"/>
            </w:tcBorders>
            <w:vAlign w:val="center"/>
          </w:tcPr>
          <w:p w14:paraId="49B0AD99">
            <w:pPr>
              <w:widowControl/>
              <w:jc w:val="left"/>
              <w:rPr>
                <w:rFonts w:hint="eastAsia" w:ascii="宋体" w:hAnsi="宋体" w:cs="宋体"/>
                <w:color w:val="auto"/>
                <w:kern w:val="0"/>
                <w:highlight w:val="none"/>
              </w:rPr>
            </w:pPr>
            <w:r>
              <w:rPr>
                <w:rFonts w:hint="eastAsia" w:ascii="宋体" w:hAnsi="宋体" w:cs="宋体"/>
                <w:color w:val="auto"/>
                <w:kern w:val="0"/>
                <w:highlight w:val="none"/>
              </w:rPr>
              <w:t>Y＜200</w:t>
            </w:r>
          </w:p>
        </w:tc>
      </w:tr>
      <w:tr w14:paraId="4E77DB02">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vAlign w:val="center"/>
          </w:tcPr>
          <w:p w14:paraId="2FCAF915">
            <w:pPr>
              <w:widowControl/>
              <w:jc w:val="center"/>
              <w:rPr>
                <w:rFonts w:hint="eastAsia" w:ascii="宋体" w:hAnsi="宋体" w:cs="宋体"/>
                <w:b/>
                <w:bCs/>
                <w:color w:val="auto"/>
                <w:kern w:val="0"/>
                <w:highlight w:val="none"/>
              </w:rPr>
            </w:pPr>
            <w:r>
              <w:rPr>
                <w:rFonts w:hint="eastAsia" w:ascii="宋体" w:hAnsi="宋体" w:cs="宋体"/>
                <w:b/>
                <w:bCs/>
                <w:color w:val="auto"/>
                <w:kern w:val="0"/>
                <w:highlight w:val="none"/>
              </w:rPr>
              <w:t>仓储业</w:t>
            </w:r>
          </w:p>
        </w:tc>
        <w:tc>
          <w:tcPr>
            <w:tcW w:w="1384" w:type="dxa"/>
            <w:tcBorders>
              <w:top w:val="nil"/>
              <w:left w:val="nil"/>
              <w:bottom w:val="single" w:color="auto" w:sz="4" w:space="0"/>
              <w:right w:val="single" w:color="auto" w:sz="4" w:space="0"/>
            </w:tcBorders>
            <w:vAlign w:val="center"/>
          </w:tcPr>
          <w:p w14:paraId="7300C8C2">
            <w:pPr>
              <w:widowControl/>
              <w:jc w:val="left"/>
              <w:rPr>
                <w:rFonts w:hint="eastAsia" w:ascii="宋体" w:hAnsi="宋体" w:cs="宋体"/>
                <w:color w:val="auto"/>
                <w:kern w:val="0"/>
                <w:highlight w:val="none"/>
              </w:rPr>
            </w:pPr>
            <w:r>
              <w:rPr>
                <w:rFonts w:hint="eastAsia" w:ascii="宋体" w:hAnsi="宋体" w:cs="宋体"/>
                <w:color w:val="auto"/>
                <w:kern w:val="0"/>
                <w:highlight w:val="none"/>
              </w:rPr>
              <w:t>从业人员（X）</w:t>
            </w:r>
          </w:p>
        </w:tc>
        <w:tc>
          <w:tcPr>
            <w:tcW w:w="913" w:type="dxa"/>
            <w:tcBorders>
              <w:top w:val="nil"/>
              <w:left w:val="nil"/>
              <w:bottom w:val="single" w:color="auto" w:sz="4" w:space="0"/>
              <w:right w:val="single" w:color="auto" w:sz="4" w:space="0"/>
            </w:tcBorders>
            <w:vAlign w:val="center"/>
          </w:tcPr>
          <w:p w14:paraId="52B46702">
            <w:pPr>
              <w:widowControl/>
              <w:jc w:val="center"/>
              <w:rPr>
                <w:rFonts w:hint="eastAsia" w:ascii="宋体" w:hAnsi="宋体" w:cs="宋体"/>
                <w:color w:val="auto"/>
                <w:kern w:val="0"/>
                <w:highlight w:val="none"/>
              </w:rPr>
            </w:pPr>
            <w:r>
              <w:rPr>
                <w:rFonts w:hint="eastAsia" w:ascii="宋体" w:hAnsi="宋体" w:cs="宋体"/>
                <w:color w:val="auto"/>
                <w:kern w:val="0"/>
                <w:highlight w:val="none"/>
              </w:rPr>
              <w:t>人</w:t>
            </w:r>
          </w:p>
        </w:tc>
        <w:tc>
          <w:tcPr>
            <w:tcW w:w="1966" w:type="dxa"/>
            <w:tcBorders>
              <w:top w:val="nil"/>
              <w:left w:val="nil"/>
              <w:bottom w:val="single" w:color="auto" w:sz="4" w:space="0"/>
              <w:right w:val="single" w:color="auto" w:sz="4" w:space="0"/>
            </w:tcBorders>
            <w:vAlign w:val="center"/>
          </w:tcPr>
          <w:p w14:paraId="2D54444A">
            <w:pPr>
              <w:widowControl/>
              <w:jc w:val="left"/>
              <w:rPr>
                <w:rFonts w:hint="eastAsia" w:ascii="宋体" w:hAnsi="宋体" w:cs="宋体"/>
                <w:color w:val="auto"/>
                <w:kern w:val="0"/>
                <w:highlight w:val="none"/>
              </w:rPr>
            </w:pPr>
            <w:r>
              <w:rPr>
                <w:rFonts w:hint="eastAsia" w:ascii="宋体" w:hAnsi="宋体" w:cs="宋体"/>
                <w:color w:val="auto"/>
                <w:kern w:val="0"/>
                <w:highlight w:val="none"/>
              </w:rPr>
              <w:t>100≤X＜200</w:t>
            </w:r>
          </w:p>
        </w:tc>
        <w:tc>
          <w:tcPr>
            <w:tcW w:w="1743" w:type="dxa"/>
            <w:tcBorders>
              <w:top w:val="nil"/>
              <w:left w:val="nil"/>
              <w:bottom w:val="single" w:color="auto" w:sz="4" w:space="0"/>
              <w:right w:val="single" w:color="auto" w:sz="4" w:space="0"/>
            </w:tcBorders>
            <w:vAlign w:val="center"/>
          </w:tcPr>
          <w:p w14:paraId="63205610">
            <w:pPr>
              <w:widowControl/>
              <w:jc w:val="left"/>
              <w:rPr>
                <w:rFonts w:hint="eastAsia" w:ascii="宋体" w:hAnsi="宋体" w:cs="宋体"/>
                <w:color w:val="auto"/>
                <w:kern w:val="0"/>
                <w:highlight w:val="none"/>
              </w:rPr>
            </w:pPr>
            <w:r>
              <w:rPr>
                <w:rFonts w:hint="eastAsia" w:ascii="宋体" w:hAnsi="宋体" w:cs="宋体"/>
                <w:color w:val="auto"/>
                <w:kern w:val="0"/>
                <w:highlight w:val="none"/>
              </w:rPr>
              <w:t>20≤X＜100</w:t>
            </w:r>
          </w:p>
        </w:tc>
        <w:tc>
          <w:tcPr>
            <w:tcW w:w="1142" w:type="dxa"/>
            <w:tcBorders>
              <w:top w:val="nil"/>
              <w:left w:val="nil"/>
              <w:bottom w:val="single" w:color="auto" w:sz="4" w:space="0"/>
              <w:right w:val="single" w:color="auto" w:sz="4" w:space="0"/>
            </w:tcBorders>
            <w:vAlign w:val="center"/>
          </w:tcPr>
          <w:p w14:paraId="070601AC">
            <w:pPr>
              <w:widowControl/>
              <w:jc w:val="left"/>
              <w:rPr>
                <w:rFonts w:hint="eastAsia" w:ascii="宋体" w:hAnsi="宋体" w:cs="宋体"/>
                <w:color w:val="auto"/>
                <w:kern w:val="0"/>
                <w:highlight w:val="none"/>
              </w:rPr>
            </w:pPr>
            <w:r>
              <w:rPr>
                <w:rFonts w:hint="eastAsia" w:ascii="宋体" w:hAnsi="宋体" w:cs="宋体"/>
                <w:color w:val="auto"/>
                <w:kern w:val="0"/>
                <w:highlight w:val="none"/>
              </w:rPr>
              <w:t>X＜20</w:t>
            </w:r>
          </w:p>
        </w:tc>
      </w:tr>
      <w:tr w14:paraId="44D2FBAD">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vAlign w:val="center"/>
          </w:tcPr>
          <w:p w14:paraId="117A374F">
            <w:pPr>
              <w:widowControl/>
              <w:jc w:val="left"/>
              <w:rPr>
                <w:rFonts w:hint="eastAsia" w:ascii="宋体" w:hAnsi="宋体" w:cs="宋体"/>
                <w:b/>
                <w:bCs/>
                <w:color w:val="auto"/>
                <w:kern w:val="0"/>
                <w:highlight w:val="none"/>
              </w:rPr>
            </w:pPr>
          </w:p>
        </w:tc>
        <w:tc>
          <w:tcPr>
            <w:tcW w:w="1384" w:type="dxa"/>
            <w:tcBorders>
              <w:top w:val="nil"/>
              <w:left w:val="nil"/>
              <w:bottom w:val="single" w:color="auto" w:sz="4" w:space="0"/>
              <w:right w:val="single" w:color="auto" w:sz="4" w:space="0"/>
            </w:tcBorders>
            <w:vAlign w:val="center"/>
          </w:tcPr>
          <w:p w14:paraId="782648A1">
            <w:pPr>
              <w:widowControl/>
              <w:jc w:val="left"/>
              <w:rPr>
                <w:rFonts w:hint="eastAsia" w:ascii="宋体" w:hAnsi="宋体" w:cs="宋体"/>
                <w:color w:val="auto"/>
                <w:kern w:val="0"/>
                <w:highlight w:val="none"/>
              </w:rPr>
            </w:pPr>
            <w:r>
              <w:rPr>
                <w:rFonts w:hint="eastAsia" w:ascii="宋体" w:hAnsi="宋体" w:cs="宋体"/>
                <w:color w:val="auto"/>
                <w:kern w:val="0"/>
                <w:highlight w:val="none"/>
              </w:rPr>
              <w:t>营业收入（Y）</w:t>
            </w:r>
          </w:p>
        </w:tc>
        <w:tc>
          <w:tcPr>
            <w:tcW w:w="913" w:type="dxa"/>
            <w:tcBorders>
              <w:top w:val="nil"/>
              <w:left w:val="nil"/>
              <w:bottom w:val="single" w:color="auto" w:sz="4" w:space="0"/>
              <w:right w:val="single" w:color="auto" w:sz="4" w:space="0"/>
            </w:tcBorders>
            <w:vAlign w:val="center"/>
          </w:tcPr>
          <w:p w14:paraId="642C6CFC">
            <w:pPr>
              <w:widowControl/>
              <w:jc w:val="center"/>
              <w:rPr>
                <w:rFonts w:hint="eastAsia" w:ascii="宋体" w:hAnsi="宋体" w:cs="宋体"/>
                <w:color w:val="auto"/>
                <w:kern w:val="0"/>
                <w:highlight w:val="none"/>
              </w:rPr>
            </w:pPr>
            <w:r>
              <w:rPr>
                <w:rFonts w:hint="eastAsia" w:ascii="宋体" w:hAnsi="宋体" w:cs="宋体"/>
                <w:color w:val="auto"/>
                <w:kern w:val="0"/>
                <w:highlight w:val="none"/>
              </w:rPr>
              <w:t>万元</w:t>
            </w:r>
          </w:p>
        </w:tc>
        <w:tc>
          <w:tcPr>
            <w:tcW w:w="1966" w:type="dxa"/>
            <w:tcBorders>
              <w:top w:val="nil"/>
              <w:left w:val="nil"/>
              <w:bottom w:val="single" w:color="auto" w:sz="4" w:space="0"/>
              <w:right w:val="single" w:color="auto" w:sz="4" w:space="0"/>
            </w:tcBorders>
            <w:vAlign w:val="center"/>
          </w:tcPr>
          <w:p w14:paraId="193FDDC1">
            <w:pPr>
              <w:widowControl/>
              <w:jc w:val="left"/>
              <w:rPr>
                <w:rFonts w:hint="eastAsia" w:ascii="宋体" w:hAnsi="宋体" w:cs="宋体"/>
                <w:color w:val="auto"/>
                <w:kern w:val="0"/>
                <w:highlight w:val="none"/>
              </w:rPr>
            </w:pPr>
            <w:r>
              <w:rPr>
                <w:rFonts w:hint="eastAsia" w:ascii="宋体" w:hAnsi="宋体" w:cs="宋体"/>
                <w:color w:val="auto"/>
                <w:kern w:val="0"/>
                <w:highlight w:val="none"/>
              </w:rPr>
              <w:t>1000≤Y＜30000</w:t>
            </w:r>
          </w:p>
        </w:tc>
        <w:tc>
          <w:tcPr>
            <w:tcW w:w="1743" w:type="dxa"/>
            <w:tcBorders>
              <w:top w:val="nil"/>
              <w:left w:val="nil"/>
              <w:bottom w:val="single" w:color="auto" w:sz="4" w:space="0"/>
              <w:right w:val="single" w:color="auto" w:sz="4" w:space="0"/>
            </w:tcBorders>
            <w:vAlign w:val="center"/>
          </w:tcPr>
          <w:p w14:paraId="0A86794B">
            <w:pPr>
              <w:widowControl/>
              <w:jc w:val="left"/>
              <w:rPr>
                <w:rFonts w:hint="eastAsia" w:ascii="宋体" w:hAnsi="宋体" w:cs="宋体"/>
                <w:color w:val="auto"/>
                <w:kern w:val="0"/>
                <w:highlight w:val="none"/>
              </w:rPr>
            </w:pPr>
            <w:r>
              <w:rPr>
                <w:rFonts w:hint="eastAsia" w:ascii="宋体" w:hAnsi="宋体" w:cs="宋体"/>
                <w:color w:val="auto"/>
                <w:kern w:val="0"/>
                <w:highlight w:val="none"/>
              </w:rPr>
              <w:t>100≤Y＜1000</w:t>
            </w:r>
          </w:p>
        </w:tc>
        <w:tc>
          <w:tcPr>
            <w:tcW w:w="1142" w:type="dxa"/>
            <w:tcBorders>
              <w:top w:val="nil"/>
              <w:left w:val="nil"/>
              <w:bottom w:val="single" w:color="auto" w:sz="4" w:space="0"/>
              <w:right w:val="single" w:color="auto" w:sz="4" w:space="0"/>
            </w:tcBorders>
            <w:vAlign w:val="center"/>
          </w:tcPr>
          <w:p w14:paraId="76C0C0F0">
            <w:pPr>
              <w:widowControl/>
              <w:jc w:val="left"/>
              <w:rPr>
                <w:rFonts w:hint="eastAsia" w:ascii="宋体" w:hAnsi="宋体" w:cs="宋体"/>
                <w:color w:val="auto"/>
                <w:kern w:val="0"/>
                <w:highlight w:val="none"/>
              </w:rPr>
            </w:pPr>
            <w:r>
              <w:rPr>
                <w:rFonts w:hint="eastAsia" w:ascii="宋体" w:hAnsi="宋体" w:cs="宋体"/>
                <w:color w:val="auto"/>
                <w:kern w:val="0"/>
                <w:highlight w:val="none"/>
              </w:rPr>
              <w:t>Y＜100</w:t>
            </w:r>
          </w:p>
        </w:tc>
      </w:tr>
      <w:tr w14:paraId="18DA7D5A">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vAlign w:val="center"/>
          </w:tcPr>
          <w:p w14:paraId="77F4F59B">
            <w:pPr>
              <w:widowControl/>
              <w:jc w:val="center"/>
              <w:rPr>
                <w:rFonts w:hint="eastAsia" w:ascii="宋体" w:hAnsi="宋体" w:cs="宋体"/>
                <w:b/>
                <w:bCs/>
                <w:color w:val="auto"/>
                <w:kern w:val="0"/>
                <w:highlight w:val="none"/>
              </w:rPr>
            </w:pPr>
            <w:r>
              <w:rPr>
                <w:rFonts w:hint="eastAsia" w:ascii="宋体" w:hAnsi="宋体" w:cs="宋体"/>
                <w:b/>
                <w:bCs/>
                <w:color w:val="auto"/>
                <w:kern w:val="0"/>
                <w:highlight w:val="none"/>
              </w:rPr>
              <w:t>邮政业</w:t>
            </w:r>
          </w:p>
        </w:tc>
        <w:tc>
          <w:tcPr>
            <w:tcW w:w="1384" w:type="dxa"/>
            <w:tcBorders>
              <w:top w:val="nil"/>
              <w:left w:val="nil"/>
              <w:bottom w:val="single" w:color="auto" w:sz="4" w:space="0"/>
              <w:right w:val="single" w:color="auto" w:sz="4" w:space="0"/>
            </w:tcBorders>
            <w:vAlign w:val="center"/>
          </w:tcPr>
          <w:p w14:paraId="7F96434B">
            <w:pPr>
              <w:widowControl/>
              <w:jc w:val="left"/>
              <w:rPr>
                <w:rFonts w:hint="eastAsia" w:ascii="宋体" w:hAnsi="宋体" w:cs="宋体"/>
                <w:color w:val="auto"/>
                <w:kern w:val="0"/>
                <w:highlight w:val="none"/>
              </w:rPr>
            </w:pPr>
            <w:r>
              <w:rPr>
                <w:rFonts w:hint="eastAsia" w:ascii="宋体" w:hAnsi="宋体" w:cs="宋体"/>
                <w:color w:val="auto"/>
                <w:kern w:val="0"/>
                <w:highlight w:val="none"/>
              </w:rPr>
              <w:t>从业人员（X）</w:t>
            </w:r>
          </w:p>
        </w:tc>
        <w:tc>
          <w:tcPr>
            <w:tcW w:w="913" w:type="dxa"/>
            <w:tcBorders>
              <w:top w:val="nil"/>
              <w:left w:val="nil"/>
              <w:bottom w:val="single" w:color="auto" w:sz="4" w:space="0"/>
              <w:right w:val="single" w:color="auto" w:sz="4" w:space="0"/>
            </w:tcBorders>
            <w:vAlign w:val="center"/>
          </w:tcPr>
          <w:p w14:paraId="5FDBCF08">
            <w:pPr>
              <w:widowControl/>
              <w:jc w:val="center"/>
              <w:rPr>
                <w:rFonts w:hint="eastAsia" w:ascii="宋体" w:hAnsi="宋体" w:cs="宋体"/>
                <w:color w:val="auto"/>
                <w:kern w:val="0"/>
                <w:highlight w:val="none"/>
              </w:rPr>
            </w:pPr>
            <w:r>
              <w:rPr>
                <w:rFonts w:hint="eastAsia" w:ascii="宋体" w:hAnsi="宋体" w:cs="宋体"/>
                <w:color w:val="auto"/>
                <w:kern w:val="0"/>
                <w:highlight w:val="none"/>
              </w:rPr>
              <w:t>人</w:t>
            </w:r>
          </w:p>
        </w:tc>
        <w:tc>
          <w:tcPr>
            <w:tcW w:w="1966" w:type="dxa"/>
            <w:tcBorders>
              <w:top w:val="nil"/>
              <w:left w:val="nil"/>
              <w:bottom w:val="single" w:color="auto" w:sz="4" w:space="0"/>
              <w:right w:val="single" w:color="auto" w:sz="4" w:space="0"/>
            </w:tcBorders>
            <w:vAlign w:val="center"/>
          </w:tcPr>
          <w:p w14:paraId="6B1DA7C5">
            <w:pPr>
              <w:widowControl/>
              <w:jc w:val="left"/>
              <w:rPr>
                <w:rFonts w:hint="eastAsia" w:ascii="宋体" w:hAnsi="宋体" w:cs="宋体"/>
                <w:color w:val="auto"/>
                <w:kern w:val="0"/>
                <w:highlight w:val="none"/>
              </w:rPr>
            </w:pPr>
            <w:r>
              <w:rPr>
                <w:rFonts w:hint="eastAsia" w:ascii="宋体" w:hAnsi="宋体" w:cs="宋体"/>
                <w:color w:val="auto"/>
                <w:kern w:val="0"/>
                <w:highlight w:val="none"/>
              </w:rPr>
              <w:t>300≤X＜1000</w:t>
            </w:r>
          </w:p>
        </w:tc>
        <w:tc>
          <w:tcPr>
            <w:tcW w:w="1743" w:type="dxa"/>
            <w:tcBorders>
              <w:top w:val="nil"/>
              <w:left w:val="nil"/>
              <w:bottom w:val="single" w:color="auto" w:sz="4" w:space="0"/>
              <w:right w:val="single" w:color="auto" w:sz="4" w:space="0"/>
            </w:tcBorders>
            <w:vAlign w:val="center"/>
          </w:tcPr>
          <w:p w14:paraId="54536F16">
            <w:pPr>
              <w:widowControl/>
              <w:jc w:val="left"/>
              <w:rPr>
                <w:rFonts w:hint="eastAsia" w:ascii="宋体" w:hAnsi="宋体" w:cs="宋体"/>
                <w:color w:val="auto"/>
                <w:kern w:val="0"/>
                <w:highlight w:val="none"/>
              </w:rPr>
            </w:pPr>
            <w:r>
              <w:rPr>
                <w:rFonts w:hint="eastAsia" w:ascii="宋体" w:hAnsi="宋体" w:cs="宋体"/>
                <w:color w:val="auto"/>
                <w:kern w:val="0"/>
                <w:highlight w:val="none"/>
              </w:rPr>
              <w:t>20≤X＜300</w:t>
            </w:r>
          </w:p>
        </w:tc>
        <w:tc>
          <w:tcPr>
            <w:tcW w:w="1142" w:type="dxa"/>
            <w:tcBorders>
              <w:top w:val="nil"/>
              <w:left w:val="nil"/>
              <w:bottom w:val="single" w:color="auto" w:sz="4" w:space="0"/>
              <w:right w:val="single" w:color="auto" w:sz="4" w:space="0"/>
            </w:tcBorders>
            <w:vAlign w:val="center"/>
          </w:tcPr>
          <w:p w14:paraId="64069ECE">
            <w:pPr>
              <w:widowControl/>
              <w:jc w:val="left"/>
              <w:rPr>
                <w:rFonts w:hint="eastAsia" w:ascii="宋体" w:hAnsi="宋体" w:cs="宋体"/>
                <w:color w:val="auto"/>
                <w:kern w:val="0"/>
                <w:highlight w:val="none"/>
              </w:rPr>
            </w:pPr>
            <w:r>
              <w:rPr>
                <w:rFonts w:hint="eastAsia" w:ascii="宋体" w:hAnsi="宋体" w:cs="宋体"/>
                <w:color w:val="auto"/>
                <w:kern w:val="0"/>
                <w:highlight w:val="none"/>
              </w:rPr>
              <w:t>X＜20</w:t>
            </w:r>
          </w:p>
        </w:tc>
      </w:tr>
      <w:tr w14:paraId="2CDB2F6F">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vAlign w:val="center"/>
          </w:tcPr>
          <w:p w14:paraId="5918474D">
            <w:pPr>
              <w:widowControl/>
              <w:jc w:val="left"/>
              <w:rPr>
                <w:rFonts w:hint="eastAsia" w:ascii="宋体" w:hAnsi="宋体" w:cs="宋体"/>
                <w:b/>
                <w:bCs/>
                <w:color w:val="auto"/>
                <w:kern w:val="0"/>
                <w:highlight w:val="none"/>
              </w:rPr>
            </w:pPr>
          </w:p>
        </w:tc>
        <w:tc>
          <w:tcPr>
            <w:tcW w:w="1384" w:type="dxa"/>
            <w:tcBorders>
              <w:top w:val="nil"/>
              <w:left w:val="nil"/>
              <w:bottom w:val="single" w:color="auto" w:sz="4" w:space="0"/>
              <w:right w:val="single" w:color="auto" w:sz="4" w:space="0"/>
            </w:tcBorders>
            <w:vAlign w:val="center"/>
          </w:tcPr>
          <w:p w14:paraId="6BFC2A64">
            <w:pPr>
              <w:widowControl/>
              <w:jc w:val="left"/>
              <w:rPr>
                <w:rFonts w:hint="eastAsia" w:ascii="宋体" w:hAnsi="宋体" w:cs="宋体"/>
                <w:color w:val="auto"/>
                <w:kern w:val="0"/>
                <w:highlight w:val="none"/>
              </w:rPr>
            </w:pPr>
            <w:r>
              <w:rPr>
                <w:rFonts w:hint="eastAsia" w:ascii="宋体" w:hAnsi="宋体" w:cs="宋体"/>
                <w:color w:val="auto"/>
                <w:kern w:val="0"/>
                <w:highlight w:val="none"/>
              </w:rPr>
              <w:t>营业收入（Y）</w:t>
            </w:r>
          </w:p>
        </w:tc>
        <w:tc>
          <w:tcPr>
            <w:tcW w:w="913" w:type="dxa"/>
            <w:tcBorders>
              <w:top w:val="nil"/>
              <w:left w:val="nil"/>
              <w:bottom w:val="single" w:color="auto" w:sz="4" w:space="0"/>
              <w:right w:val="single" w:color="auto" w:sz="4" w:space="0"/>
            </w:tcBorders>
            <w:vAlign w:val="center"/>
          </w:tcPr>
          <w:p w14:paraId="57268261">
            <w:pPr>
              <w:widowControl/>
              <w:jc w:val="center"/>
              <w:rPr>
                <w:rFonts w:hint="eastAsia" w:ascii="宋体" w:hAnsi="宋体" w:cs="宋体"/>
                <w:color w:val="auto"/>
                <w:kern w:val="0"/>
                <w:highlight w:val="none"/>
              </w:rPr>
            </w:pPr>
            <w:r>
              <w:rPr>
                <w:rFonts w:hint="eastAsia" w:ascii="宋体" w:hAnsi="宋体" w:cs="宋体"/>
                <w:color w:val="auto"/>
                <w:kern w:val="0"/>
                <w:highlight w:val="none"/>
              </w:rPr>
              <w:t>万元</w:t>
            </w:r>
          </w:p>
        </w:tc>
        <w:tc>
          <w:tcPr>
            <w:tcW w:w="1966" w:type="dxa"/>
            <w:tcBorders>
              <w:top w:val="nil"/>
              <w:left w:val="nil"/>
              <w:bottom w:val="single" w:color="auto" w:sz="4" w:space="0"/>
              <w:right w:val="single" w:color="auto" w:sz="4" w:space="0"/>
            </w:tcBorders>
            <w:vAlign w:val="center"/>
          </w:tcPr>
          <w:p w14:paraId="277FBCFF">
            <w:pPr>
              <w:widowControl/>
              <w:jc w:val="left"/>
              <w:rPr>
                <w:rFonts w:hint="eastAsia" w:ascii="宋体" w:hAnsi="宋体" w:cs="宋体"/>
                <w:color w:val="auto"/>
                <w:kern w:val="0"/>
                <w:highlight w:val="none"/>
              </w:rPr>
            </w:pPr>
            <w:r>
              <w:rPr>
                <w:rFonts w:hint="eastAsia" w:ascii="宋体" w:hAnsi="宋体" w:cs="宋体"/>
                <w:color w:val="auto"/>
                <w:kern w:val="0"/>
                <w:highlight w:val="none"/>
              </w:rPr>
              <w:t>2000≤Y＜30000</w:t>
            </w:r>
          </w:p>
        </w:tc>
        <w:tc>
          <w:tcPr>
            <w:tcW w:w="1743" w:type="dxa"/>
            <w:tcBorders>
              <w:top w:val="nil"/>
              <w:left w:val="nil"/>
              <w:bottom w:val="single" w:color="auto" w:sz="4" w:space="0"/>
              <w:right w:val="single" w:color="auto" w:sz="4" w:space="0"/>
            </w:tcBorders>
            <w:vAlign w:val="center"/>
          </w:tcPr>
          <w:p w14:paraId="4E2A2DC1">
            <w:pPr>
              <w:widowControl/>
              <w:jc w:val="left"/>
              <w:rPr>
                <w:rFonts w:hint="eastAsia" w:ascii="宋体" w:hAnsi="宋体" w:cs="宋体"/>
                <w:color w:val="auto"/>
                <w:kern w:val="0"/>
                <w:highlight w:val="none"/>
              </w:rPr>
            </w:pPr>
            <w:r>
              <w:rPr>
                <w:rFonts w:hint="eastAsia" w:ascii="宋体" w:hAnsi="宋体" w:cs="宋体"/>
                <w:color w:val="auto"/>
                <w:kern w:val="0"/>
                <w:highlight w:val="none"/>
              </w:rPr>
              <w:t>100≤Y＜2000</w:t>
            </w:r>
          </w:p>
        </w:tc>
        <w:tc>
          <w:tcPr>
            <w:tcW w:w="1142" w:type="dxa"/>
            <w:tcBorders>
              <w:top w:val="nil"/>
              <w:left w:val="nil"/>
              <w:bottom w:val="single" w:color="auto" w:sz="4" w:space="0"/>
              <w:right w:val="single" w:color="auto" w:sz="4" w:space="0"/>
            </w:tcBorders>
            <w:vAlign w:val="center"/>
          </w:tcPr>
          <w:p w14:paraId="069804A3">
            <w:pPr>
              <w:widowControl/>
              <w:jc w:val="left"/>
              <w:rPr>
                <w:rFonts w:hint="eastAsia" w:ascii="宋体" w:hAnsi="宋体" w:cs="宋体"/>
                <w:color w:val="auto"/>
                <w:kern w:val="0"/>
                <w:highlight w:val="none"/>
              </w:rPr>
            </w:pPr>
            <w:r>
              <w:rPr>
                <w:rFonts w:hint="eastAsia" w:ascii="宋体" w:hAnsi="宋体" w:cs="宋体"/>
                <w:color w:val="auto"/>
                <w:kern w:val="0"/>
                <w:highlight w:val="none"/>
              </w:rPr>
              <w:t>Y＜100</w:t>
            </w:r>
          </w:p>
        </w:tc>
      </w:tr>
      <w:tr w14:paraId="68028C57">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vAlign w:val="center"/>
          </w:tcPr>
          <w:p w14:paraId="356A2A59">
            <w:pPr>
              <w:widowControl/>
              <w:jc w:val="center"/>
              <w:rPr>
                <w:rFonts w:hint="eastAsia" w:ascii="宋体" w:hAnsi="宋体" w:cs="宋体"/>
                <w:b/>
                <w:bCs/>
                <w:color w:val="auto"/>
                <w:kern w:val="0"/>
                <w:highlight w:val="none"/>
              </w:rPr>
            </w:pPr>
            <w:r>
              <w:rPr>
                <w:rFonts w:hint="eastAsia" w:ascii="宋体" w:hAnsi="宋体" w:cs="宋体"/>
                <w:b/>
                <w:bCs/>
                <w:color w:val="auto"/>
                <w:kern w:val="0"/>
                <w:highlight w:val="none"/>
              </w:rPr>
              <w:t>住宿业</w:t>
            </w:r>
          </w:p>
        </w:tc>
        <w:tc>
          <w:tcPr>
            <w:tcW w:w="1384" w:type="dxa"/>
            <w:tcBorders>
              <w:top w:val="nil"/>
              <w:left w:val="nil"/>
              <w:bottom w:val="single" w:color="auto" w:sz="4" w:space="0"/>
              <w:right w:val="single" w:color="auto" w:sz="4" w:space="0"/>
            </w:tcBorders>
            <w:vAlign w:val="center"/>
          </w:tcPr>
          <w:p w14:paraId="4D98BFBB">
            <w:pPr>
              <w:widowControl/>
              <w:jc w:val="left"/>
              <w:rPr>
                <w:rFonts w:hint="eastAsia" w:ascii="宋体" w:hAnsi="宋体" w:cs="宋体"/>
                <w:color w:val="auto"/>
                <w:kern w:val="0"/>
                <w:highlight w:val="none"/>
              </w:rPr>
            </w:pPr>
            <w:r>
              <w:rPr>
                <w:rFonts w:hint="eastAsia" w:ascii="宋体" w:hAnsi="宋体" w:cs="宋体"/>
                <w:color w:val="auto"/>
                <w:kern w:val="0"/>
                <w:highlight w:val="none"/>
              </w:rPr>
              <w:t>从业人员（X）</w:t>
            </w:r>
          </w:p>
        </w:tc>
        <w:tc>
          <w:tcPr>
            <w:tcW w:w="913" w:type="dxa"/>
            <w:tcBorders>
              <w:top w:val="nil"/>
              <w:left w:val="nil"/>
              <w:bottom w:val="single" w:color="auto" w:sz="4" w:space="0"/>
              <w:right w:val="single" w:color="auto" w:sz="4" w:space="0"/>
            </w:tcBorders>
            <w:vAlign w:val="center"/>
          </w:tcPr>
          <w:p w14:paraId="3AF09FB1">
            <w:pPr>
              <w:widowControl/>
              <w:jc w:val="center"/>
              <w:rPr>
                <w:rFonts w:hint="eastAsia" w:ascii="宋体" w:hAnsi="宋体" w:cs="宋体"/>
                <w:color w:val="auto"/>
                <w:kern w:val="0"/>
                <w:highlight w:val="none"/>
              </w:rPr>
            </w:pPr>
            <w:r>
              <w:rPr>
                <w:rFonts w:hint="eastAsia" w:ascii="宋体" w:hAnsi="宋体" w:cs="宋体"/>
                <w:color w:val="auto"/>
                <w:kern w:val="0"/>
                <w:highlight w:val="none"/>
              </w:rPr>
              <w:t>人</w:t>
            </w:r>
          </w:p>
        </w:tc>
        <w:tc>
          <w:tcPr>
            <w:tcW w:w="1966" w:type="dxa"/>
            <w:tcBorders>
              <w:top w:val="nil"/>
              <w:left w:val="nil"/>
              <w:bottom w:val="single" w:color="auto" w:sz="4" w:space="0"/>
              <w:right w:val="single" w:color="auto" w:sz="4" w:space="0"/>
            </w:tcBorders>
            <w:vAlign w:val="center"/>
          </w:tcPr>
          <w:p w14:paraId="414D67C9">
            <w:pPr>
              <w:widowControl/>
              <w:jc w:val="left"/>
              <w:rPr>
                <w:rFonts w:hint="eastAsia" w:ascii="宋体" w:hAnsi="宋体" w:cs="宋体"/>
                <w:color w:val="auto"/>
                <w:kern w:val="0"/>
                <w:highlight w:val="none"/>
              </w:rPr>
            </w:pPr>
            <w:r>
              <w:rPr>
                <w:rFonts w:hint="eastAsia" w:ascii="宋体" w:hAnsi="宋体" w:cs="宋体"/>
                <w:color w:val="auto"/>
                <w:kern w:val="0"/>
                <w:highlight w:val="none"/>
              </w:rPr>
              <w:t>100≤X＜300</w:t>
            </w:r>
          </w:p>
        </w:tc>
        <w:tc>
          <w:tcPr>
            <w:tcW w:w="1743" w:type="dxa"/>
            <w:tcBorders>
              <w:top w:val="nil"/>
              <w:left w:val="nil"/>
              <w:bottom w:val="single" w:color="auto" w:sz="4" w:space="0"/>
              <w:right w:val="single" w:color="auto" w:sz="4" w:space="0"/>
            </w:tcBorders>
            <w:vAlign w:val="center"/>
          </w:tcPr>
          <w:p w14:paraId="65932C07">
            <w:pPr>
              <w:widowControl/>
              <w:jc w:val="left"/>
              <w:rPr>
                <w:rFonts w:hint="eastAsia" w:ascii="宋体" w:hAnsi="宋体" w:cs="宋体"/>
                <w:color w:val="auto"/>
                <w:kern w:val="0"/>
                <w:highlight w:val="none"/>
              </w:rPr>
            </w:pPr>
            <w:r>
              <w:rPr>
                <w:rFonts w:hint="eastAsia" w:ascii="宋体" w:hAnsi="宋体" w:cs="宋体"/>
                <w:color w:val="auto"/>
                <w:kern w:val="0"/>
                <w:highlight w:val="none"/>
              </w:rPr>
              <w:t>10≤X＜100</w:t>
            </w:r>
          </w:p>
        </w:tc>
        <w:tc>
          <w:tcPr>
            <w:tcW w:w="1142" w:type="dxa"/>
            <w:tcBorders>
              <w:top w:val="nil"/>
              <w:left w:val="nil"/>
              <w:bottom w:val="single" w:color="auto" w:sz="4" w:space="0"/>
              <w:right w:val="single" w:color="auto" w:sz="4" w:space="0"/>
            </w:tcBorders>
            <w:vAlign w:val="center"/>
          </w:tcPr>
          <w:p w14:paraId="360A70F0">
            <w:pPr>
              <w:widowControl/>
              <w:jc w:val="left"/>
              <w:rPr>
                <w:rFonts w:hint="eastAsia" w:ascii="宋体" w:hAnsi="宋体" w:cs="宋体"/>
                <w:color w:val="auto"/>
                <w:kern w:val="0"/>
                <w:highlight w:val="none"/>
              </w:rPr>
            </w:pPr>
            <w:r>
              <w:rPr>
                <w:rFonts w:hint="eastAsia" w:ascii="宋体" w:hAnsi="宋体" w:cs="宋体"/>
                <w:color w:val="auto"/>
                <w:kern w:val="0"/>
                <w:highlight w:val="none"/>
              </w:rPr>
              <w:t>X＜10</w:t>
            </w:r>
          </w:p>
        </w:tc>
      </w:tr>
      <w:tr w14:paraId="09ECEDCA">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vAlign w:val="center"/>
          </w:tcPr>
          <w:p w14:paraId="0190B0F8">
            <w:pPr>
              <w:widowControl/>
              <w:jc w:val="left"/>
              <w:rPr>
                <w:rFonts w:hint="eastAsia" w:ascii="宋体" w:hAnsi="宋体" w:cs="宋体"/>
                <w:b/>
                <w:bCs/>
                <w:color w:val="auto"/>
                <w:kern w:val="0"/>
                <w:highlight w:val="none"/>
              </w:rPr>
            </w:pPr>
          </w:p>
        </w:tc>
        <w:tc>
          <w:tcPr>
            <w:tcW w:w="1384" w:type="dxa"/>
            <w:tcBorders>
              <w:top w:val="nil"/>
              <w:left w:val="nil"/>
              <w:bottom w:val="single" w:color="auto" w:sz="4" w:space="0"/>
              <w:right w:val="single" w:color="auto" w:sz="4" w:space="0"/>
            </w:tcBorders>
            <w:vAlign w:val="center"/>
          </w:tcPr>
          <w:p w14:paraId="48FF6A93">
            <w:pPr>
              <w:widowControl/>
              <w:jc w:val="left"/>
              <w:rPr>
                <w:rFonts w:hint="eastAsia" w:ascii="宋体" w:hAnsi="宋体" w:cs="宋体"/>
                <w:color w:val="auto"/>
                <w:kern w:val="0"/>
                <w:highlight w:val="none"/>
              </w:rPr>
            </w:pPr>
            <w:r>
              <w:rPr>
                <w:rFonts w:hint="eastAsia" w:ascii="宋体" w:hAnsi="宋体" w:cs="宋体"/>
                <w:color w:val="auto"/>
                <w:kern w:val="0"/>
                <w:highlight w:val="none"/>
              </w:rPr>
              <w:t>营业收入（Y）</w:t>
            </w:r>
          </w:p>
        </w:tc>
        <w:tc>
          <w:tcPr>
            <w:tcW w:w="913" w:type="dxa"/>
            <w:tcBorders>
              <w:top w:val="nil"/>
              <w:left w:val="nil"/>
              <w:bottom w:val="single" w:color="auto" w:sz="4" w:space="0"/>
              <w:right w:val="single" w:color="auto" w:sz="4" w:space="0"/>
            </w:tcBorders>
            <w:vAlign w:val="center"/>
          </w:tcPr>
          <w:p w14:paraId="0A769332">
            <w:pPr>
              <w:widowControl/>
              <w:jc w:val="center"/>
              <w:rPr>
                <w:rFonts w:hint="eastAsia" w:ascii="宋体" w:hAnsi="宋体" w:cs="宋体"/>
                <w:color w:val="auto"/>
                <w:kern w:val="0"/>
                <w:highlight w:val="none"/>
              </w:rPr>
            </w:pPr>
            <w:r>
              <w:rPr>
                <w:rFonts w:hint="eastAsia" w:ascii="宋体" w:hAnsi="宋体" w:cs="宋体"/>
                <w:color w:val="auto"/>
                <w:kern w:val="0"/>
                <w:highlight w:val="none"/>
              </w:rPr>
              <w:t>万元</w:t>
            </w:r>
          </w:p>
        </w:tc>
        <w:tc>
          <w:tcPr>
            <w:tcW w:w="1966" w:type="dxa"/>
            <w:tcBorders>
              <w:top w:val="nil"/>
              <w:left w:val="nil"/>
              <w:bottom w:val="single" w:color="auto" w:sz="4" w:space="0"/>
              <w:right w:val="single" w:color="auto" w:sz="4" w:space="0"/>
            </w:tcBorders>
            <w:vAlign w:val="center"/>
          </w:tcPr>
          <w:p w14:paraId="1878061B">
            <w:pPr>
              <w:widowControl/>
              <w:jc w:val="left"/>
              <w:rPr>
                <w:rFonts w:hint="eastAsia" w:ascii="宋体" w:hAnsi="宋体" w:cs="宋体"/>
                <w:color w:val="auto"/>
                <w:kern w:val="0"/>
                <w:highlight w:val="none"/>
              </w:rPr>
            </w:pPr>
            <w:r>
              <w:rPr>
                <w:rFonts w:hint="eastAsia" w:ascii="宋体" w:hAnsi="宋体" w:cs="宋体"/>
                <w:color w:val="auto"/>
                <w:kern w:val="0"/>
                <w:highlight w:val="none"/>
              </w:rPr>
              <w:t>2000≤Y＜10000</w:t>
            </w:r>
          </w:p>
        </w:tc>
        <w:tc>
          <w:tcPr>
            <w:tcW w:w="1743" w:type="dxa"/>
            <w:tcBorders>
              <w:top w:val="nil"/>
              <w:left w:val="nil"/>
              <w:bottom w:val="single" w:color="auto" w:sz="4" w:space="0"/>
              <w:right w:val="single" w:color="auto" w:sz="4" w:space="0"/>
            </w:tcBorders>
            <w:vAlign w:val="center"/>
          </w:tcPr>
          <w:p w14:paraId="1F142D25">
            <w:pPr>
              <w:widowControl/>
              <w:jc w:val="left"/>
              <w:rPr>
                <w:rFonts w:hint="eastAsia" w:ascii="宋体" w:hAnsi="宋体" w:cs="宋体"/>
                <w:color w:val="auto"/>
                <w:kern w:val="0"/>
                <w:highlight w:val="none"/>
              </w:rPr>
            </w:pPr>
            <w:r>
              <w:rPr>
                <w:rFonts w:hint="eastAsia" w:ascii="宋体" w:hAnsi="宋体" w:cs="宋体"/>
                <w:color w:val="auto"/>
                <w:kern w:val="0"/>
                <w:highlight w:val="none"/>
              </w:rPr>
              <w:t>100≤Y＜2000</w:t>
            </w:r>
          </w:p>
        </w:tc>
        <w:tc>
          <w:tcPr>
            <w:tcW w:w="1142" w:type="dxa"/>
            <w:tcBorders>
              <w:top w:val="nil"/>
              <w:left w:val="nil"/>
              <w:bottom w:val="single" w:color="auto" w:sz="4" w:space="0"/>
              <w:right w:val="single" w:color="auto" w:sz="4" w:space="0"/>
            </w:tcBorders>
            <w:vAlign w:val="center"/>
          </w:tcPr>
          <w:p w14:paraId="190298CF">
            <w:pPr>
              <w:widowControl/>
              <w:jc w:val="left"/>
              <w:rPr>
                <w:rFonts w:hint="eastAsia" w:ascii="宋体" w:hAnsi="宋体" w:cs="宋体"/>
                <w:color w:val="auto"/>
                <w:kern w:val="0"/>
                <w:highlight w:val="none"/>
              </w:rPr>
            </w:pPr>
            <w:r>
              <w:rPr>
                <w:rFonts w:hint="eastAsia" w:ascii="宋体" w:hAnsi="宋体" w:cs="宋体"/>
                <w:color w:val="auto"/>
                <w:kern w:val="0"/>
                <w:highlight w:val="none"/>
              </w:rPr>
              <w:t>Y＜100</w:t>
            </w:r>
          </w:p>
        </w:tc>
      </w:tr>
      <w:tr w14:paraId="189731FA">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vAlign w:val="center"/>
          </w:tcPr>
          <w:p w14:paraId="2FCF13E7">
            <w:pPr>
              <w:widowControl/>
              <w:jc w:val="center"/>
              <w:rPr>
                <w:rFonts w:hint="eastAsia" w:ascii="宋体" w:hAnsi="宋体" w:cs="宋体"/>
                <w:b/>
                <w:bCs/>
                <w:color w:val="auto"/>
                <w:kern w:val="0"/>
                <w:highlight w:val="none"/>
              </w:rPr>
            </w:pPr>
            <w:r>
              <w:rPr>
                <w:rFonts w:hint="eastAsia" w:ascii="宋体" w:hAnsi="宋体" w:cs="宋体"/>
                <w:b/>
                <w:bCs/>
                <w:color w:val="auto"/>
                <w:kern w:val="0"/>
                <w:highlight w:val="none"/>
              </w:rPr>
              <w:t>餐饮业</w:t>
            </w:r>
          </w:p>
        </w:tc>
        <w:tc>
          <w:tcPr>
            <w:tcW w:w="1384" w:type="dxa"/>
            <w:tcBorders>
              <w:top w:val="nil"/>
              <w:left w:val="nil"/>
              <w:bottom w:val="single" w:color="auto" w:sz="4" w:space="0"/>
              <w:right w:val="single" w:color="auto" w:sz="4" w:space="0"/>
            </w:tcBorders>
            <w:vAlign w:val="center"/>
          </w:tcPr>
          <w:p w14:paraId="45BFF65B">
            <w:pPr>
              <w:widowControl/>
              <w:jc w:val="left"/>
              <w:rPr>
                <w:rFonts w:hint="eastAsia" w:ascii="宋体" w:hAnsi="宋体" w:cs="宋体"/>
                <w:color w:val="auto"/>
                <w:kern w:val="0"/>
                <w:highlight w:val="none"/>
              </w:rPr>
            </w:pPr>
            <w:r>
              <w:rPr>
                <w:rFonts w:hint="eastAsia" w:ascii="宋体" w:hAnsi="宋体" w:cs="宋体"/>
                <w:color w:val="auto"/>
                <w:kern w:val="0"/>
                <w:highlight w:val="none"/>
              </w:rPr>
              <w:t>从业人员（X）</w:t>
            </w:r>
          </w:p>
        </w:tc>
        <w:tc>
          <w:tcPr>
            <w:tcW w:w="913" w:type="dxa"/>
            <w:tcBorders>
              <w:top w:val="nil"/>
              <w:left w:val="nil"/>
              <w:bottom w:val="single" w:color="auto" w:sz="4" w:space="0"/>
              <w:right w:val="single" w:color="auto" w:sz="4" w:space="0"/>
            </w:tcBorders>
            <w:vAlign w:val="center"/>
          </w:tcPr>
          <w:p w14:paraId="72593379">
            <w:pPr>
              <w:widowControl/>
              <w:jc w:val="center"/>
              <w:rPr>
                <w:rFonts w:hint="eastAsia" w:ascii="宋体" w:hAnsi="宋体" w:cs="宋体"/>
                <w:color w:val="auto"/>
                <w:kern w:val="0"/>
                <w:highlight w:val="none"/>
              </w:rPr>
            </w:pPr>
            <w:r>
              <w:rPr>
                <w:rFonts w:hint="eastAsia" w:ascii="宋体" w:hAnsi="宋体" w:cs="宋体"/>
                <w:color w:val="auto"/>
                <w:kern w:val="0"/>
                <w:highlight w:val="none"/>
              </w:rPr>
              <w:t>人</w:t>
            </w:r>
          </w:p>
        </w:tc>
        <w:tc>
          <w:tcPr>
            <w:tcW w:w="1966" w:type="dxa"/>
            <w:tcBorders>
              <w:top w:val="nil"/>
              <w:left w:val="nil"/>
              <w:bottom w:val="single" w:color="auto" w:sz="4" w:space="0"/>
              <w:right w:val="single" w:color="auto" w:sz="4" w:space="0"/>
            </w:tcBorders>
            <w:vAlign w:val="center"/>
          </w:tcPr>
          <w:p w14:paraId="1D26D3C8">
            <w:pPr>
              <w:widowControl/>
              <w:jc w:val="left"/>
              <w:rPr>
                <w:rFonts w:hint="eastAsia" w:ascii="宋体" w:hAnsi="宋体" w:cs="宋体"/>
                <w:color w:val="auto"/>
                <w:kern w:val="0"/>
                <w:highlight w:val="none"/>
              </w:rPr>
            </w:pPr>
            <w:r>
              <w:rPr>
                <w:rFonts w:hint="eastAsia" w:ascii="宋体" w:hAnsi="宋体" w:cs="宋体"/>
                <w:color w:val="auto"/>
                <w:kern w:val="0"/>
                <w:highlight w:val="none"/>
              </w:rPr>
              <w:t>100≤X＜300</w:t>
            </w:r>
          </w:p>
        </w:tc>
        <w:tc>
          <w:tcPr>
            <w:tcW w:w="1743" w:type="dxa"/>
            <w:tcBorders>
              <w:top w:val="nil"/>
              <w:left w:val="nil"/>
              <w:bottom w:val="single" w:color="auto" w:sz="4" w:space="0"/>
              <w:right w:val="single" w:color="auto" w:sz="4" w:space="0"/>
            </w:tcBorders>
            <w:vAlign w:val="center"/>
          </w:tcPr>
          <w:p w14:paraId="74D6CEF3">
            <w:pPr>
              <w:widowControl/>
              <w:jc w:val="left"/>
              <w:rPr>
                <w:rFonts w:hint="eastAsia" w:ascii="宋体" w:hAnsi="宋体" w:cs="宋体"/>
                <w:color w:val="auto"/>
                <w:kern w:val="0"/>
                <w:highlight w:val="none"/>
              </w:rPr>
            </w:pPr>
            <w:r>
              <w:rPr>
                <w:rFonts w:hint="eastAsia" w:ascii="宋体" w:hAnsi="宋体" w:cs="宋体"/>
                <w:color w:val="auto"/>
                <w:kern w:val="0"/>
                <w:highlight w:val="none"/>
              </w:rPr>
              <w:t>10≤X＜100</w:t>
            </w:r>
          </w:p>
        </w:tc>
        <w:tc>
          <w:tcPr>
            <w:tcW w:w="1142" w:type="dxa"/>
            <w:tcBorders>
              <w:top w:val="nil"/>
              <w:left w:val="nil"/>
              <w:bottom w:val="single" w:color="auto" w:sz="4" w:space="0"/>
              <w:right w:val="single" w:color="auto" w:sz="4" w:space="0"/>
            </w:tcBorders>
            <w:vAlign w:val="center"/>
          </w:tcPr>
          <w:p w14:paraId="3F5BA246">
            <w:pPr>
              <w:widowControl/>
              <w:jc w:val="left"/>
              <w:rPr>
                <w:rFonts w:hint="eastAsia" w:ascii="宋体" w:hAnsi="宋体" w:cs="宋体"/>
                <w:color w:val="auto"/>
                <w:kern w:val="0"/>
                <w:highlight w:val="none"/>
              </w:rPr>
            </w:pPr>
            <w:r>
              <w:rPr>
                <w:rFonts w:hint="eastAsia" w:ascii="宋体" w:hAnsi="宋体" w:cs="宋体"/>
                <w:color w:val="auto"/>
                <w:kern w:val="0"/>
                <w:highlight w:val="none"/>
              </w:rPr>
              <w:t>X＜10</w:t>
            </w:r>
          </w:p>
        </w:tc>
      </w:tr>
      <w:tr w14:paraId="06988115">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vAlign w:val="center"/>
          </w:tcPr>
          <w:p w14:paraId="358E4A48">
            <w:pPr>
              <w:widowControl/>
              <w:jc w:val="left"/>
              <w:rPr>
                <w:rFonts w:hint="eastAsia" w:ascii="宋体" w:hAnsi="宋体" w:cs="宋体"/>
                <w:b/>
                <w:bCs/>
                <w:color w:val="auto"/>
                <w:kern w:val="0"/>
                <w:highlight w:val="none"/>
              </w:rPr>
            </w:pPr>
          </w:p>
        </w:tc>
        <w:tc>
          <w:tcPr>
            <w:tcW w:w="1384" w:type="dxa"/>
            <w:tcBorders>
              <w:top w:val="nil"/>
              <w:left w:val="nil"/>
              <w:bottom w:val="single" w:color="auto" w:sz="4" w:space="0"/>
              <w:right w:val="single" w:color="auto" w:sz="4" w:space="0"/>
            </w:tcBorders>
            <w:vAlign w:val="center"/>
          </w:tcPr>
          <w:p w14:paraId="0128A1E4">
            <w:pPr>
              <w:widowControl/>
              <w:jc w:val="left"/>
              <w:rPr>
                <w:rFonts w:hint="eastAsia" w:ascii="宋体" w:hAnsi="宋体" w:cs="宋体"/>
                <w:color w:val="auto"/>
                <w:kern w:val="0"/>
                <w:highlight w:val="none"/>
              </w:rPr>
            </w:pPr>
            <w:r>
              <w:rPr>
                <w:rFonts w:hint="eastAsia" w:ascii="宋体" w:hAnsi="宋体" w:cs="宋体"/>
                <w:color w:val="auto"/>
                <w:kern w:val="0"/>
                <w:highlight w:val="none"/>
              </w:rPr>
              <w:t>营业收入（Y）</w:t>
            </w:r>
          </w:p>
        </w:tc>
        <w:tc>
          <w:tcPr>
            <w:tcW w:w="913" w:type="dxa"/>
            <w:tcBorders>
              <w:top w:val="nil"/>
              <w:left w:val="nil"/>
              <w:bottom w:val="single" w:color="auto" w:sz="4" w:space="0"/>
              <w:right w:val="single" w:color="auto" w:sz="4" w:space="0"/>
            </w:tcBorders>
            <w:vAlign w:val="center"/>
          </w:tcPr>
          <w:p w14:paraId="4090E900">
            <w:pPr>
              <w:widowControl/>
              <w:jc w:val="center"/>
              <w:rPr>
                <w:rFonts w:hint="eastAsia" w:ascii="宋体" w:hAnsi="宋体" w:cs="宋体"/>
                <w:color w:val="auto"/>
                <w:kern w:val="0"/>
                <w:highlight w:val="none"/>
              </w:rPr>
            </w:pPr>
            <w:r>
              <w:rPr>
                <w:rFonts w:hint="eastAsia" w:ascii="宋体" w:hAnsi="宋体" w:cs="宋体"/>
                <w:color w:val="auto"/>
                <w:kern w:val="0"/>
                <w:highlight w:val="none"/>
              </w:rPr>
              <w:t>万元</w:t>
            </w:r>
          </w:p>
        </w:tc>
        <w:tc>
          <w:tcPr>
            <w:tcW w:w="1966" w:type="dxa"/>
            <w:tcBorders>
              <w:top w:val="nil"/>
              <w:left w:val="nil"/>
              <w:bottom w:val="single" w:color="auto" w:sz="4" w:space="0"/>
              <w:right w:val="single" w:color="auto" w:sz="4" w:space="0"/>
            </w:tcBorders>
            <w:vAlign w:val="center"/>
          </w:tcPr>
          <w:p w14:paraId="3FD4657E">
            <w:pPr>
              <w:widowControl/>
              <w:jc w:val="left"/>
              <w:rPr>
                <w:rFonts w:hint="eastAsia" w:ascii="宋体" w:hAnsi="宋体" w:cs="宋体"/>
                <w:color w:val="auto"/>
                <w:kern w:val="0"/>
                <w:highlight w:val="none"/>
              </w:rPr>
            </w:pPr>
            <w:r>
              <w:rPr>
                <w:rFonts w:hint="eastAsia" w:ascii="宋体" w:hAnsi="宋体" w:cs="宋体"/>
                <w:color w:val="auto"/>
                <w:kern w:val="0"/>
                <w:highlight w:val="none"/>
              </w:rPr>
              <w:t>2000≤Y＜10000</w:t>
            </w:r>
          </w:p>
        </w:tc>
        <w:tc>
          <w:tcPr>
            <w:tcW w:w="1743" w:type="dxa"/>
            <w:tcBorders>
              <w:top w:val="nil"/>
              <w:left w:val="nil"/>
              <w:bottom w:val="single" w:color="auto" w:sz="4" w:space="0"/>
              <w:right w:val="single" w:color="auto" w:sz="4" w:space="0"/>
            </w:tcBorders>
            <w:vAlign w:val="center"/>
          </w:tcPr>
          <w:p w14:paraId="393F7CAA">
            <w:pPr>
              <w:widowControl/>
              <w:jc w:val="left"/>
              <w:rPr>
                <w:rFonts w:hint="eastAsia" w:ascii="宋体" w:hAnsi="宋体" w:cs="宋体"/>
                <w:color w:val="auto"/>
                <w:kern w:val="0"/>
                <w:highlight w:val="none"/>
              </w:rPr>
            </w:pPr>
            <w:r>
              <w:rPr>
                <w:rFonts w:hint="eastAsia" w:ascii="宋体" w:hAnsi="宋体" w:cs="宋体"/>
                <w:color w:val="auto"/>
                <w:kern w:val="0"/>
                <w:highlight w:val="none"/>
              </w:rPr>
              <w:t>100≤Y＜2000</w:t>
            </w:r>
          </w:p>
        </w:tc>
        <w:tc>
          <w:tcPr>
            <w:tcW w:w="1142" w:type="dxa"/>
            <w:tcBorders>
              <w:top w:val="nil"/>
              <w:left w:val="nil"/>
              <w:bottom w:val="single" w:color="auto" w:sz="4" w:space="0"/>
              <w:right w:val="single" w:color="auto" w:sz="4" w:space="0"/>
            </w:tcBorders>
            <w:vAlign w:val="center"/>
          </w:tcPr>
          <w:p w14:paraId="3EAC3437">
            <w:pPr>
              <w:widowControl/>
              <w:jc w:val="left"/>
              <w:rPr>
                <w:rFonts w:hint="eastAsia" w:ascii="宋体" w:hAnsi="宋体" w:cs="宋体"/>
                <w:color w:val="auto"/>
                <w:kern w:val="0"/>
                <w:highlight w:val="none"/>
              </w:rPr>
            </w:pPr>
            <w:r>
              <w:rPr>
                <w:rFonts w:hint="eastAsia" w:ascii="宋体" w:hAnsi="宋体" w:cs="宋体"/>
                <w:color w:val="auto"/>
                <w:kern w:val="0"/>
                <w:highlight w:val="none"/>
              </w:rPr>
              <w:t>Y＜100</w:t>
            </w:r>
          </w:p>
        </w:tc>
      </w:tr>
      <w:tr w14:paraId="4A4F1120">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vAlign w:val="center"/>
          </w:tcPr>
          <w:p w14:paraId="4DF6047C">
            <w:pPr>
              <w:widowControl/>
              <w:jc w:val="center"/>
              <w:rPr>
                <w:rFonts w:hint="eastAsia" w:ascii="宋体" w:hAnsi="宋体" w:cs="宋体"/>
                <w:b/>
                <w:bCs/>
                <w:color w:val="auto"/>
                <w:kern w:val="0"/>
                <w:highlight w:val="none"/>
              </w:rPr>
            </w:pPr>
            <w:r>
              <w:rPr>
                <w:rFonts w:hint="eastAsia" w:ascii="宋体" w:hAnsi="宋体" w:cs="宋体"/>
                <w:b/>
                <w:bCs/>
                <w:color w:val="auto"/>
                <w:kern w:val="0"/>
                <w:highlight w:val="none"/>
              </w:rPr>
              <w:t>信息传输业</w:t>
            </w:r>
          </w:p>
        </w:tc>
        <w:tc>
          <w:tcPr>
            <w:tcW w:w="1384" w:type="dxa"/>
            <w:tcBorders>
              <w:top w:val="nil"/>
              <w:left w:val="nil"/>
              <w:bottom w:val="single" w:color="auto" w:sz="4" w:space="0"/>
              <w:right w:val="single" w:color="auto" w:sz="4" w:space="0"/>
            </w:tcBorders>
            <w:vAlign w:val="center"/>
          </w:tcPr>
          <w:p w14:paraId="217BDD64">
            <w:pPr>
              <w:widowControl/>
              <w:jc w:val="left"/>
              <w:rPr>
                <w:rFonts w:hint="eastAsia" w:ascii="宋体" w:hAnsi="宋体" w:cs="宋体"/>
                <w:color w:val="auto"/>
                <w:kern w:val="0"/>
                <w:highlight w:val="none"/>
              </w:rPr>
            </w:pPr>
            <w:r>
              <w:rPr>
                <w:rFonts w:hint="eastAsia" w:ascii="宋体" w:hAnsi="宋体" w:cs="宋体"/>
                <w:color w:val="auto"/>
                <w:kern w:val="0"/>
                <w:highlight w:val="none"/>
              </w:rPr>
              <w:t>从业人员（X）</w:t>
            </w:r>
          </w:p>
        </w:tc>
        <w:tc>
          <w:tcPr>
            <w:tcW w:w="913" w:type="dxa"/>
            <w:tcBorders>
              <w:top w:val="nil"/>
              <w:left w:val="nil"/>
              <w:bottom w:val="single" w:color="auto" w:sz="4" w:space="0"/>
              <w:right w:val="single" w:color="auto" w:sz="4" w:space="0"/>
            </w:tcBorders>
            <w:vAlign w:val="center"/>
          </w:tcPr>
          <w:p w14:paraId="3DA1DBC7">
            <w:pPr>
              <w:widowControl/>
              <w:jc w:val="center"/>
              <w:rPr>
                <w:rFonts w:hint="eastAsia" w:ascii="宋体" w:hAnsi="宋体" w:cs="宋体"/>
                <w:color w:val="auto"/>
                <w:kern w:val="0"/>
                <w:highlight w:val="none"/>
              </w:rPr>
            </w:pPr>
            <w:r>
              <w:rPr>
                <w:rFonts w:hint="eastAsia" w:ascii="宋体" w:hAnsi="宋体" w:cs="宋体"/>
                <w:color w:val="auto"/>
                <w:kern w:val="0"/>
                <w:highlight w:val="none"/>
              </w:rPr>
              <w:t>人</w:t>
            </w:r>
          </w:p>
        </w:tc>
        <w:tc>
          <w:tcPr>
            <w:tcW w:w="1966" w:type="dxa"/>
            <w:tcBorders>
              <w:top w:val="nil"/>
              <w:left w:val="nil"/>
              <w:bottom w:val="single" w:color="auto" w:sz="4" w:space="0"/>
              <w:right w:val="single" w:color="auto" w:sz="4" w:space="0"/>
            </w:tcBorders>
            <w:vAlign w:val="center"/>
          </w:tcPr>
          <w:p w14:paraId="436C380E">
            <w:pPr>
              <w:widowControl/>
              <w:jc w:val="left"/>
              <w:rPr>
                <w:rFonts w:hint="eastAsia" w:ascii="宋体" w:hAnsi="宋体" w:cs="宋体"/>
                <w:color w:val="auto"/>
                <w:kern w:val="0"/>
                <w:highlight w:val="none"/>
              </w:rPr>
            </w:pPr>
            <w:r>
              <w:rPr>
                <w:rFonts w:hint="eastAsia" w:ascii="宋体" w:hAnsi="宋体" w:cs="宋体"/>
                <w:color w:val="auto"/>
                <w:kern w:val="0"/>
                <w:highlight w:val="none"/>
              </w:rPr>
              <w:t>100≤X＜2000</w:t>
            </w:r>
          </w:p>
        </w:tc>
        <w:tc>
          <w:tcPr>
            <w:tcW w:w="1743" w:type="dxa"/>
            <w:tcBorders>
              <w:top w:val="nil"/>
              <w:left w:val="nil"/>
              <w:bottom w:val="single" w:color="auto" w:sz="4" w:space="0"/>
              <w:right w:val="single" w:color="auto" w:sz="4" w:space="0"/>
            </w:tcBorders>
            <w:vAlign w:val="center"/>
          </w:tcPr>
          <w:p w14:paraId="27B75AF3">
            <w:pPr>
              <w:widowControl/>
              <w:jc w:val="left"/>
              <w:rPr>
                <w:rFonts w:hint="eastAsia" w:ascii="宋体" w:hAnsi="宋体" w:cs="宋体"/>
                <w:color w:val="auto"/>
                <w:kern w:val="0"/>
                <w:highlight w:val="none"/>
              </w:rPr>
            </w:pPr>
            <w:r>
              <w:rPr>
                <w:rFonts w:hint="eastAsia" w:ascii="宋体" w:hAnsi="宋体" w:cs="宋体"/>
                <w:color w:val="auto"/>
                <w:kern w:val="0"/>
                <w:highlight w:val="none"/>
              </w:rPr>
              <w:t>10≤X＜100</w:t>
            </w:r>
          </w:p>
        </w:tc>
        <w:tc>
          <w:tcPr>
            <w:tcW w:w="1142" w:type="dxa"/>
            <w:tcBorders>
              <w:top w:val="nil"/>
              <w:left w:val="nil"/>
              <w:bottom w:val="single" w:color="auto" w:sz="4" w:space="0"/>
              <w:right w:val="single" w:color="auto" w:sz="4" w:space="0"/>
            </w:tcBorders>
            <w:vAlign w:val="center"/>
          </w:tcPr>
          <w:p w14:paraId="25A22F75">
            <w:pPr>
              <w:widowControl/>
              <w:jc w:val="left"/>
              <w:rPr>
                <w:rFonts w:hint="eastAsia" w:ascii="宋体" w:hAnsi="宋体" w:cs="宋体"/>
                <w:color w:val="auto"/>
                <w:kern w:val="0"/>
                <w:highlight w:val="none"/>
              </w:rPr>
            </w:pPr>
            <w:r>
              <w:rPr>
                <w:rFonts w:hint="eastAsia" w:ascii="宋体" w:hAnsi="宋体" w:cs="宋体"/>
                <w:color w:val="auto"/>
                <w:kern w:val="0"/>
                <w:highlight w:val="none"/>
              </w:rPr>
              <w:t>X＜10</w:t>
            </w:r>
          </w:p>
        </w:tc>
      </w:tr>
      <w:tr w14:paraId="404E7807">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vAlign w:val="center"/>
          </w:tcPr>
          <w:p w14:paraId="18C5530B">
            <w:pPr>
              <w:widowControl/>
              <w:jc w:val="left"/>
              <w:rPr>
                <w:rFonts w:hint="eastAsia" w:ascii="宋体" w:hAnsi="宋体" w:cs="宋体"/>
                <w:b/>
                <w:bCs/>
                <w:color w:val="auto"/>
                <w:kern w:val="0"/>
                <w:highlight w:val="none"/>
              </w:rPr>
            </w:pPr>
          </w:p>
        </w:tc>
        <w:tc>
          <w:tcPr>
            <w:tcW w:w="1384" w:type="dxa"/>
            <w:tcBorders>
              <w:top w:val="nil"/>
              <w:left w:val="nil"/>
              <w:bottom w:val="single" w:color="auto" w:sz="4" w:space="0"/>
              <w:right w:val="single" w:color="auto" w:sz="4" w:space="0"/>
            </w:tcBorders>
            <w:vAlign w:val="center"/>
          </w:tcPr>
          <w:p w14:paraId="230DC6C4">
            <w:pPr>
              <w:widowControl/>
              <w:jc w:val="left"/>
              <w:rPr>
                <w:rFonts w:hint="eastAsia" w:ascii="宋体" w:hAnsi="宋体" w:cs="宋体"/>
                <w:color w:val="auto"/>
                <w:kern w:val="0"/>
                <w:highlight w:val="none"/>
              </w:rPr>
            </w:pPr>
            <w:r>
              <w:rPr>
                <w:rFonts w:hint="eastAsia" w:ascii="宋体" w:hAnsi="宋体" w:cs="宋体"/>
                <w:color w:val="auto"/>
                <w:kern w:val="0"/>
                <w:highlight w:val="none"/>
              </w:rPr>
              <w:t>营业收入（Y）</w:t>
            </w:r>
          </w:p>
        </w:tc>
        <w:tc>
          <w:tcPr>
            <w:tcW w:w="913" w:type="dxa"/>
            <w:tcBorders>
              <w:top w:val="nil"/>
              <w:left w:val="nil"/>
              <w:bottom w:val="single" w:color="auto" w:sz="4" w:space="0"/>
              <w:right w:val="single" w:color="auto" w:sz="4" w:space="0"/>
            </w:tcBorders>
            <w:vAlign w:val="center"/>
          </w:tcPr>
          <w:p w14:paraId="1EFB9329">
            <w:pPr>
              <w:widowControl/>
              <w:jc w:val="center"/>
              <w:rPr>
                <w:rFonts w:hint="eastAsia" w:ascii="宋体" w:hAnsi="宋体" w:cs="宋体"/>
                <w:color w:val="auto"/>
                <w:kern w:val="0"/>
                <w:highlight w:val="none"/>
              </w:rPr>
            </w:pPr>
            <w:r>
              <w:rPr>
                <w:rFonts w:hint="eastAsia" w:ascii="宋体" w:hAnsi="宋体" w:cs="宋体"/>
                <w:color w:val="auto"/>
                <w:kern w:val="0"/>
                <w:highlight w:val="none"/>
              </w:rPr>
              <w:t>万元</w:t>
            </w:r>
          </w:p>
        </w:tc>
        <w:tc>
          <w:tcPr>
            <w:tcW w:w="1966" w:type="dxa"/>
            <w:tcBorders>
              <w:top w:val="nil"/>
              <w:left w:val="nil"/>
              <w:bottom w:val="single" w:color="auto" w:sz="4" w:space="0"/>
              <w:right w:val="single" w:color="auto" w:sz="4" w:space="0"/>
            </w:tcBorders>
            <w:vAlign w:val="center"/>
          </w:tcPr>
          <w:p w14:paraId="775A6E95">
            <w:pPr>
              <w:widowControl/>
              <w:jc w:val="left"/>
              <w:rPr>
                <w:rFonts w:hint="eastAsia" w:ascii="宋体" w:hAnsi="宋体" w:cs="宋体"/>
                <w:color w:val="auto"/>
                <w:kern w:val="0"/>
                <w:highlight w:val="none"/>
              </w:rPr>
            </w:pPr>
            <w:r>
              <w:rPr>
                <w:rFonts w:hint="eastAsia" w:ascii="宋体" w:hAnsi="宋体" w:cs="宋体"/>
                <w:color w:val="auto"/>
                <w:kern w:val="0"/>
                <w:highlight w:val="none"/>
              </w:rPr>
              <w:t>1000≤Y＜100000</w:t>
            </w:r>
          </w:p>
        </w:tc>
        <w:tc>
          <w:tcPr>
            <w:tcW w:w="1743" w:type="dxa"/>
            <w:tcBorders>
              <w:top w:val="nil"/>
              <w:left w:val="nil"/>
              <w:bottom w:val="single" w:color="auto" w:sz="4" w:space="0"/>
              <w:right w:val="single" w:color="auto" w:sz="4" w:space="0"/>
            </w:tcBorders>
            <w:vAlign w:val="center"/>
          </w:tcPr>
          <w:p w14:paraId="3DA8AD32">
            <w:pPr>
              <w:widowControl/>
              <w:jc w:val="left"/>
              <w:rPr>
                <w:rFonts w:hint="eastAsia" w:ascii="宋体" w:hAnsi="宋体" w:cs="宋体"/>
                <w:color w:val="auto"/>
                <w:kern w:val="0"/>
                <w:highlight w:val="none"/>
              </w:rPr>
            </w:pPr>
            <w:r>
              <w:rPr>
                <w:rFonts w:hint="eastAsia" w:ascii="宋体" w:hAnsi="宋体" w:cs="宋体"/>
                <w:color w:val="auto"/>
                <w:kern w:val="0"/>
                <w:highlight w:val="none"/>
              </w:rPr>
              <w:t>100≤Y＜1000</w:t>
            </w:r>
          </w:p>
        </w:tc>
        <w:tc>
          <w:tcPr>
            <w:tcW w:w="1142" w:type="dxa"/>
            <w:tcBorders>
              <w:top w:val="nil"/>
              <w:left w:val="nil"/>
              <w:bottom w:val="single" w:color="auto" w:sz="4" w:space="0"/>
              <w:right w:val="single" w:color="auto" w:sz="4" w:space="0"/>
            </w:tcBorders>
            <w:vAlign w:val="center"/>
          </w:tcPr>
          <w:p w14:paraId="036C37DB">
            <w:pPr>
              <w:widowControl/>
              <w:jc w:val="left"/>
              <w:rPr>
                <w:rFonts w:hint="eastAsia" w:ascii="宋体" w:hAnsi="宋体" w:cs="宋体"/>
                <w:color w:val="auto"/>
                <w:kern w:val="0"/>
                <w:highlight w:val="none"/>
              </w:rPr>
            </w:pPr>
            <w:r>
              <w:rPr>
                <w:rFonts w:hint="eastAsia" w:ascii="宋体" w:hAnsi="宋体" w:cs="宋体"/>
                <w:color w:val="auto"/>
                <w:kern w:val="0"/>
                <w:highlight w:val="none"/>
              </w:rPr>
              <w:t>Y＜100</w:t>
            </w:r>
          </w:p>
        </w:tc>
      </w:tr>
      <w:tr w14:paraId="19638F72">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vAlign w:val="center"/>
          </w:tcPr>
          <w:p w14:paraId="0DCEC1F8">
            <w:pPr>
              <w:widowControl/>
              <w:jc w:val="center"/>
              <w:rPr>
                <w:rFonts w:hint="eastAsia" w:ascii="宋体" w:hAnsi="宋体" w:cs="宋体"/>
                <w:b/>
                <w:bCs/>
                <w:color w:val="auto"/>
                <w:kern w:val="0"/>
                <w:highlight w:val="none"/>
              </w:rPr>
            </w:pPr>
            <w:r>
              <w:rPr>
                <w:rFonts w:hint="eastAsia" w:ascii="宋体" w:hAnsi="宋体" w:cs="宋体"/>
                <w:b/>
                <w:bCs/>
                <w:color w:val="auto"/>
                <w:kern w:val="0"/>
                <w:highlight w:val="none"/>
              </w:rPr>
              <w:t>软件和信息技术服务业</w:t>
            </w:r>
          </w:p>
        </w:tc>
        <w:tc>
          <w:tcPr>
            <w:tcW w:w="1384" w:type="dxa"/>
            <w:tcBorders>
              <w:top w:val="nil"/>
              <w:left w:val="nil"/>
              <w:bottom w:val="single" w:color="auto" w:sz="4" w:space="0"/>
              <w:right w:val="single" w:color="auto" w:sz="4" w:space="0"/>
            </w:tcBorders>
            <w:vAlign w:val="center"/>
          </w:tcPr>
          <w:p w14:paraId="613B25BB">
            <w:pPr>
              <w:widowControl/>
              <w:jc w:val="left"/>
              <w:rPr>
                <w:rFonts w:hint="eastAsia" w:ascii="宋体" w:hAnsi="宋体" w:cs="宋体"/>
                <w:color w:val="auto"/>
                <w:kern w:val="0"/>
                <w:highlight w:val="none"/>
              </w:rPr>
            </w:pPr>
            <w:r>
              <w:rPr>
                <w:rFonts w:hint="eastAsia" w:ascii="宋体" w:hAnsi="宋体" w:cs="宋体"/>
                <w:color w:val="auto"/>
                <w:kern w:val="0"/>
                <w:highlight w:val="none"/>
              </w:rPr>
              <w:t>从业人员（X）</w:t>
            </w:r>
          </w:p>
        </w:tc>
        <w:tc>
          <w:tcPr>
            <w:tcW w:w="913" w:type="dxa"/>
            <w:tcBorders>
              <w:top w:val="nil"/>
              <w:left w:val="nil"/>
              <w:bottom w:val="single" w:color="auto" w:sz="4" w:space="0"/>
              <w:right w:val="single" w:color="auto" w:sz="4" w:space="0"/>
            </w:tcBorders>
            <w:vAlign w:val="center"/>
          </w:tcPr>
          <w:p w14:paraId="0F6B1A74">
            <w:pPr>
              <w:widowControl/>
              <w:jc w:val="center"/>
              <w:rPr>
                <w:rFonts w:hint="eastAsia" w:ascii="宋体" w:hAnsi="宋体" w:cs="宋体"/>
                <w:color w:val="auto"/>
                <w:kern w:val="0"/>
                <w:highlight w:val="none"/>
              </w:rPr>
            </w:pPr>
            <w:r>
              <w:rPr>
                <w:rFonts w:hint="eastAsia" w:ascii="宋体" w:hAnsi="宋体" w:cs="宋体"/>
                <w:color w:val="auto"/>
                <w:kern w:val="0"/>
                <w:highlight w:val="none"/>
              </w:rPr>
              <w:t>人</w:t>
            </w:r>
          </w:p>
        </w:tc>
        <w:tc>
          <w:tcPr>
            <w:tcW w:w="1966" w:type="dxa"/>
            <w:tcBorders>
              <w:top w:val="nil"/>
              <w:left w:val="nil"/>
              <w:bottom w:val="single" w:color="auto" w:sz="4" w:space="0"/>
              <w:right w:val="single" w:color="auto" w:sz="4" w:space="0"/>
            </w:tcBorders>
            <w:vAlign w:val="center"/>
          </w:tcPr>
          <w:p w14:paraId="0172F629">
            <w:pPr>
              <w:widowControl/>
              <w:jc w:val="left"/>
              <w:rPr>
                <w:rFonts w:hint="eastAsia" w:ascii="宋体" w:hAnsi="宋体" w:cs="宋体"/>
                <w:color w:val="auto"/>
                <w:kern w:val="0"/>
                <w:highlight w:val="none"/>
              </w:rPr>
            </w:pPr>
            <w:r>
              <w:rPr>
                <w:rFonts w:hint="eastAsia" w:ascii="宋体" w:hAnsi="宋体" w:cs="宋体"/>
                <w:color w:val="auto"/>
                <w:kern w:val="0"/>
                <w:highlight w:val="none"/>
              </w:rPr>
              <w:t>100≤X＜300</w:t>
            </w:r>
          </w:p>
        </w:tc>
        <w:tc>
          <w:tcPr>
            <w:tcW w:w="1743" w:type="dxa"/>
            <w:tcBorders>
              <w:top w:val="nil"/>
              <w:left w:val="nil"/>
              <w:bottom w:val="single" w:color="auto" w:sz="4" w:space="0"/>
              <w:right w:val="single" w:color="auto" w:sz="4" w:space="0"/>
            </w:tcBorders>
            <w:vAlign w:val="center"/>
          </w:tcPr>
          <w:p w14:paraId="46EAA995">
            <w:pPr>
              <w:widowControl/>
              <w:jc w:val="left"/>
              <w:rPr>
                <w:rFonts w:hint="eastAsia" w:ascii="宋体" w:hAnsi="宋体" w:cs="宋体"/>
                <w:color w:val="auto"/>
                <w:kern w:val="0"/>
                <w:highlight w:val="none"/>
              </w:rPr>
            </w:pPr>
            <w:r>
              <w:rPr>
                <w:rFonts w:hint="eastAsia" w:ascii="宋体" w:hAnsi="宋体" w:cs="宋体"/>
                <w:color w:val="auto"/>
                <w:kern w:val="0"/>
                <w:highlight w:val="none"/>
              </w:rPr>
              <w:t>10≤X＜100</w:t>
            </w:r>
          </w:p>
        </w:tc>
        <w:tc>
          <w:tcPr>
            <w:tcW w:w="1142" w:type="dxa"/>
            <w:tcBorders>
              <w:top w:val="nil"/>
              <w:left w:val="nil"/>
              <w:bottom w:val="single" w:color="auto" w:sz="4" w:space="0"/>
              <w:right w:val="single" w:color="auto" w:sz="4" w:space="0"/>
            </w:tcBorders>
            <w:vAlign w:val="center"/>
          </w:tcPr>
          <w:p w14:paraId="272CE982">
            <w:pPr>
              <w:widowControl/>
              <w:jc w:val="left"/>
              <w:rPr>
                <w:rFonts w:hint="eastAsia" w:ascii="宋体" w:hAnsi="宋体" w:cs="宋体"/>
                <w:color w:val="auto"/>
                <w:kern w:val="0"/>
                <w:highlight w:val="none"/>
              </w:rPr>
            </w:pPr>
            <w:r>
              <w:rPr>
                <w:rFonts w:hint="eastAsia" w:ascii="宋体" w:hAnsi="宋体" w:cs="宋体"/>
                <w:color w:val="auto"/>
                <w:kern w:val="0"/>
                <w:highlight w:val="none"/>
              </w:rPr>
              <w:t>X＜10</w:t>
            </w:r>
          </w:p>
        </w:tc>
      </w:tr>
      <w:tr w14:paraId="53ED3C38">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vAlign w:val="center"/>
          </w:tcPr>
          <w:p w14:paraId="3A159A90">
            <w:pPr>
              <w:widowControl/>
              <w:jc w:val="left"/>
              <w:rPr>
                <w:rFonts w:hint="eastAsia" w:ascii="宋体" w:hAnsi="宋体" w:cs="宋体"/>
                <w:b/>
                <w:bCs/>
                <w:color w:val="auto"/>
                <w:kern w:val="0"/>
                <w:highlight w:val="none"/>
              </w:rPr>
            </w:pPr>
          </w:p>
        </w:tc>
        <w:tc>
          <w:tcPr>
            <w:tcW w:w="1384" w:type="dxa"/>
            <w:tcBorders>
              <w:top w:val="nil"/>
              <w:left w:val="nil"/>
              <w:bottom w:val="single" w:color="auto" w:sz="4" w:space="0"/>
              <w:right w:val="single" w:color="auto" w:sz="4" w:space="0"/>
            </w:tcBorders>
            <w:vAlign w:val="center"/>
          </w:tcPr>
          <w:p w14:paraId="6C2E1B75">
            <w:pPr>
              <w:widowControl/>
              <w:jc w:val="left"/>
              <w:rPr>
                <w:rFonts w:hint="eastAsia" w:ascii="宋体" w:hAnsi="宋体" w:cs="宋体"/>
                <w:color w:val="auto"/>
                <w:kern w:val="0"/>
                <w:highlight w:val="none"/>
              </w:rPr>
            </w:pPr>
            <w:r>
              <w:rPr>
                <w:rFonts w:hint="eastAsia" w:ascii="宋体" w:hAnsi="宋体" w:cs="宋体"/>
                <w:color w:val="auto"/>
                <w:kern w:val="0"/>
                <w:highlight w:val="none"/>
              </w:rPr>
              <w:t>营业收入（Y）</w:t>
            </w:r>
          </w:p>
        </w:tc>
        <w:tc>
          <w:tcPr>
            <w:tcW w:w="913" w:type="dxa"/>
            <w:tcBorders>
              <w:top w:val="nil"/>
              <w:left w:val="nil"/>
              <w:bottom w:val="single" w:color="auto" w:sz="4" w:space="0"/>
              <w:right w:val="single" w:color="auto" w:sz="4" w:space="0"/>
            </w:tcBorders>
            <w:vAlign w:val="center"/>
          </w:tcPr>
          <w:p w14:paraId="2ABE45AB">
            <w:pPr>
              <w:widowControl/>
              <w:jc w:val="center"/>
              <w:rPr>
                <w:rFonts w:hint="eastAsia" w:ascii="宋体" w:hAnsi="宋体" w:cs="宋体"/>
                <w:color w:val="auto"/>
                <w:kern w:val="0"/>
                <w:highlight w:val="none"/>
              </w:rPr>
            </w:pPr>
            <w:r>
              <w:rPr>
                <w:rFonts w:hint="eastAsia" w:ascii="宋体" w:hAnsi="宋体" w:cs="宋体"/>
                <w:color w:val="auto"/>
                <w:kern w:val="0"/>
                <w:highlight w:val="none"/>
              </w:rPr>
              <w:t>万元</w:t>
            </w:r>
          </w:p>
        </w:tc>
        <w:tc>
          <w:tcPr>
            <w:tcW w:w="1966" w:type="dxa"/>
            <w:tcBorders>
              <w:top w:val="nil"/>
              <w:left w:val="nil"/>
              <w:bottom w:val="single" w:color="auto" w:sz="4" w:space="0"/>
              <w:right w:val="single" w:color="auto" w:sz="4" w:space="0"/>
            </w:tcBorders>
            <w:vAlign w:val="center"/>
          </w:tcPr>
          <w:p w14:paraId="34F3E078">
            <w:pPr>
              <w:widowControl/>
              <w:jc w:val="left"/>
              <w:rPr>
                <w:rFonts w:hint="eastAsia" w:ascii="宋体" w:hAnsi="宋体" w:cs="宋体"/>
                <w:color w:val="auto"/>
                <w:kern w:val="0"/>
                <w:highlight w:val="none"/>
              </w:rPr>
            </w:pPr>
            <w:r>
              <w:rPr>
                <w:rFonts w:hint="eastAsia" w:ascii="宋体" w:hAnsi="宋体" w:cs="宋体"/>
                <w:color w:val="auto"/>
                <w:kern w:val="0"/>
                <w:highlight w:val="none"/>
              </w:rPr>
              <w:t>1000≤Y＜10000</w:t>
            </w:r>
          </w:p>
        </w:tc>
        <w:tc>
          <w:tcPr>
            <w:tcW w:w="1743" w:type="dxa"/>
            <w:tcBorders>
              <w:top w:val="nil"/>
              <w:left w:val="nil"/>
              <w:bottom w:val="single" w:color="auto" w:sz="4" w:space="0"/>
              <w:right w:val="single" w:color="auto" w:sz="4" w:space="0"/>
            </w:tcBorders>
            <w:vAlign w:val="center"/>
          </w:tcPr>
          <w:p w14:paraId="7073614C">
            <w:pPr>
              <w:widowControl/>
              <w:jc w:val="left"/>
              <w:rPr>
                <w:rFonts w:hint="eastAsia" w:ascii="宋体" w:hAnsi="宋体" w:cs="宋体"/>
                <w:color w:val="auto"/>
                <w:kern w:val="0"/>
                <w:highlight w:val="none"/>
              </w:rPr>
            </w:pPr>
            <w:r>
              <w:rPr>
                <w:rFonts w:hint="eastAsia" w:ascii="宋体" w:hAnsi="宋体" w:cs="宋体"/>
                <w:color w:val="auto"/>
                <w:kern w:val="0"/>
                <w:highlight w:val="none"/>
              </w:rPr>
              <w:t>50≤Y＜1000</w:t>
            </w:r>
          </w:p>
        </w:tc>
        <w:tc>
          <w:tcPr>
            <w:tcW w:w="1142" w:type="dxa"/>
            <w:tcBorders>
              <w:top w:val="nil"/>
              <w:left w:val="nil"/>
              <w:bottom w:val="single" w:color="auto" w:sz="4" w:space="0"/>
              <w:right w:val="single" w:color="auto" w:sz="4" w:space="0"/>
            </w:tcBorders>
            <w:vAlign w:val="center"/>
          </w:tcPr>
          <w:p w14:paraId="7BB3B797">
            <w:pPr>
              <w:widowControl/>
              <w:jc w:val="left"/>
              <w:rPr>
                <w:rFonts w:hint="eastAsia" w:ascii="宋体" w:hAnsi="宋体" w:cs="宋体"/>
                <w:color w:val="auto"/>
                <w:kern w:val="0"/>
                <w:highlight w:val="none"/>
              </w:rPr>
            </w:pPr>
            <w:r>
              <w:rPr>
                <w:rFonts w:hint="eastAsia" w:ascii="宋体" w:hAnsi="宋体" w:cs="宋体"/>
                <w:color w:val="auto"/>
                <w:kern w:val="0"/>
                <w:highlight w:val="none"/>
              </w:rPr>
              <w:t>Y＜50</w:t>
            </w:r>
          </w:p>
        </w:tc>
      </w:tr>
      <w:tr w14:paraId="1BCD2F19">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vAlign w:val="center"/>
          </w:tcPr>
          <w:p w14:paraId="72AD7A40">
            <w:pPr>
              <w:widowControl/>
              <w:jc w:val="center"/>
              <w:rPr>
                <w:rFonts w:hint="eastAsia" w:ascii="宋体" w:hAnsi="宋体" w:cs="宋体"/>
                <w:b/>
                <w:bCs/>
                <w:color w:val="auto"/>
                <w:kern w:val="0"/>
                <w:highlight w:val="none"/>
              </w:rPr>
            </w:pPr>
            <w:r>
              <w:rPr>
                <w:rFonts w:hint="eastAsia" w:ascii="宋体" w:hAnsi="宋体" w:cs="宋体"/>
                <w:b/>
                <w:bCs/>
                <w:color w:val="auto"/>
                <w:kern w:val="0"/>
                <w:highlight w:val="none"/>
              </w:rPr>
              <w:t>房地产开发经营</w:t>
            </w:r>
          </w:p>
        </w:tc>
        <w:tc>
          <w:tcPr>
            <w:tcW w:w="1384" w:type="dxa"/>
            <w:tcBorders>
              <w:top w:val="nil"/>
              <w:left w:val="nil"/>
              <w:bottom w:val="single" w:color="auto" w:sz="4" w:space="0"/>
              <w:right w:val="single" w:color="auto" w:sz="4" w:space="0"/>
            </w:tcBorders>
            <w:vAlign w:val="center"/>
          </w:tcPr>
          <w:p w14:paraId="100BD6A7">
            <w:pPr>
              <w:widowControl/>
              <w:jc w:val="left"/>
              <w:rPr>
                <w:rFonts w:hint="eastAsia" w:ascii="宋体" w:hAnsi="宋体" w:cs="宋体"/>
                <w:color w:val="auto"/>
                <w:kern w:val="0"/>
                <w:highlight w:val="none"/>
              </w:rPr>
            </w:pPr>
            <w:r>
              <w:rPr>
                <w:rFonts w:hint="eastAsia" w:ascii="宋体" w:hAnsi="宋体" w:cs="宋体"/>
                <w:color w:val="auto"/>
                <w:kern w:val="0"/>
                <w:highlight w:val="none"/>
              </w:rPr>
              <w:t>营业收入（Y）</w:t>
            </w:r>
          </w:p>
        </w:tc>
        <w:tc>
          <w:tcPr>
            <w:tcW w:w="913" w:type="dxa"/>
            <w:tcBorders>
              <w:top w:val="nil"/>
              <w:left w:val="nil"/>
              <w:bottom w:val="single" w:color="auto" w:sz="4" w:space="0"/>
              <w:right w:val="single" w:color="auto" w:sz="4" w:space="0"/>
            </w:tcBorders>
            <w:vAlign w:val="center"/>
          </w:tcPr>
          <w:p w14:paraId="4FB2F687">
            <w:pPr>
              <w:widowControl/>
              <w:jc w:val="center"/>
              <w:rPr>
                <w:rFonts w:hint="eastAsia" w:ascii="宋体" w:hAnsi="宋体" w:cs="宋体"/>
                <w:color w:val="auto"/>
                <w:kern w:val="0"/>
                <w:highlight w:val="none"/>
              </w:rPr>
            </w:pPr>
            <w:r>
              <w:rPr>
                <w:rFonts w:hint="eastAsia" w:ascii="宋体" w:hAnsi="宋体" w:cs="宋体"/>
                <w:color w:val="auto"/>
                <w:kern w:val="0"/>
                <w:highlight w:val="none"/>
              </w:rPr>
              <w:t>万元</w:t>
            </w:r>
          </w:p>
        </w:tc>
        <w:tc>
          <w:tcPr>
            <w:tcW w:w="1966" w:type="dxa"/>
            <w:tcBorders>
              <w:top w:val="nil"/>
              <w:left w:val="nil"/>
              <w:bottom w:val="single" w:color="auto" w:sz="4" w:space="0"/>
              <w:right w:val="single" w:color="auto" w:sz="4" w:space="0"/>
            </w:tcBorders>
            <w:vAlign w:val="center"/>
          </w:tcPr>
          <w:p w14:paraId="1D5C11C0">
            <w:pPr>
              <w:widowControl/>
              <w:jc w:val="left"/>
              <w:rPr>
                <w:rFonts w:hint="eastAsia" w:ascii="宋体" w:hAnsi="宋体" w:cs="宋体"/>
                <w:color w:val="auto"/>
                <w:kern w:val="0"/>
                <w:highlight w:val="none"/>
              </w:rPr>
            </w:pPr>
            <w:r>
              <w:rPr>
                <w:rFonts w:hint="eastAsia" w:ascii="宋体" w:hAnsi="宋体" w:cs="宋体"/>
                <w:color w:val="auto"/>
                <w:kern w:val="0"/>
                <w:highlight w:val="none"/>
              </w:rPr>
              <w:t>1000≤Y＜200000</w:t>
            </w:r>
          </w:p>
        </w:tc>
        <w:tc>
          <w:tcPr>
            <w:tcW w:w="1743" w:type="dxa"/>
            <w:tcBorders>
              <w:top w:val="nil"/>
              <w:left w:val="nil"/>
              <w:bottom w:val="single" w:color="auto" w:sz="4" w:space="0"/>
              <w:right w:val="single" w:color="auto" w:sz="4" w:space="0"/>
            </w:tcBorders>
            <w:vAlign w:val="center"/>
          </w:tcPr>
          <w:p w14:paraId="77A5B5D1">
            <w:pPr>
              <w:widowControl/>
              <w:jc w:val="left"/>
              <w:rPr>
                <w:rFonts w:hint="eastAsia" w:ascii="宋体" w:hAnsi="宋体" w:cs="宋体"/>
                <w:color w:val="auto"/>
                <w:kern w:val="0"/>
                <w:highlight w:val="none"/>
              </w:rPr>
            </w:pPr>
            <w:r>
              <w:rPr>
                <w:rFonts w:hint="eastAsia" w:ascii="宋体" w:hAnsi="宋体" w:cs="宋体"/>
                <w:color w:val="auto"/>
                <w:kern w:val="0"/>
                <w:highlight w:val="none"/>
              </w:rPr>
              <w:t>100≤X＜1000</w:t>
            </w:r>
          </w:p>
        </w:tc>
        <w:tc>
          <w:tcPr>
            <w:tcW w:w="1142" w:type="dxa"/>
            <w:tcBorders>
              <w:top w:val="nil"/>
              <w:left w:val="nil"/>
              <w:bottom w:val="single" w:color="auto" w:sz="4" w:space="0"/>
              <w:right w:val="single" w:color="auto" w:sz="4" w:space="0"/>
            </w:tcBorders>
            <w:vAlign w:val="center"/>
          </w:tcPr>
          <w:p w14:paraId="740EE038">
            <w:pPr>
              <w:widowControl/>
              <w:jc w:val="left"/>
              <w:rPr>
                <w:rFonts w:hint="eastAsia" w:ascii="宋体" w:hAnsi="宋体" w:cs="宋体"/>
                <w:color w:val="auto"/>
                <w:kern w:val="0"/>
                <w:highlight w:val="none"/>
              </w:rPr>
            </w:pPr>
            <w:r>
              <w:rPr>
                <w:rFonts w:hint="eastAsia" w:ascii="宋体" w:hAnsi="宋体" w:cs="宋体"/>
                <w:color w:val="auto"/>
                <w:kern w:val="0"/>
                <w:highlight w:val="none"/>
              </w:rPr>
              <w:t>X＜100</w:t>
            </w:r>
          </w:p>
        </w:tc>
      </w:tr>
      <w:tr w14:paraId="75B0F7BC">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vAlign w:val="center"/>
          </w:tcPr>
          <w:p w14:paraId="12648414">
            <w:pPr>
              <w:widowControl/>
              <w:jc w:val="left"/>
              <w:rPr>
                <w:rFonts w:hint="eastAsia" w:ascii="宋体" w:hAnsi="宋体" w:cs="宋体"/>
                <w:b/>
                <w:bCs/>
                <w:color w:val="auto"/>
                <w:kern w:val="0"/>
                <w:highlight w:val="none"/>
              </w:rPr>
            </w:pPr>
          </w:p>
        </w:tc>
        <w:tc>
          <w:tcPr>
            <w:tcW w:w="1384" w:type="dxa"/>
            <w:tcBorders>
              <w:top w:val="nil"/>
              <w:left w:val="nil"/>
              <w:bottom w:val="single" w:color="auto" w:sz="4" w:space="0"/>
              <w:right w:val="single" w:color="auto" w:sz="4" w:space="0"/>
            </w:tcBorders>
            <w:vAlign w:val="center"/>
          </w:tcPr>
          <w:p w14:paraId="318517ED">
            <w:pPr>
              <w:widowControl/>
              <w:jc w:val="left"/>
              <w:rPr>
                <w:rFonts w:hint="eastAsia" w:ascii="宋体" w:hAnsi="宋体" w:cs="宋体"/>
                <w:color w:val="auto"/>
                <w:kern w:val="0"/>
                <w:highlight w:val="none"/>
              </w:rPr>
            </w:pPr>
            <w:r>
              <w:rPr>
                <w:rFonts w:hint="eastAsia" w:ascii="宋体" w:hAnsi="宋体" w:cs="宋体"/>
                <w:color w:val="auto"/>
                <w:kern w:val="0"/>
                <w:highlight w:val="none"/>
              </w:rPr>
              <w:t>资产总额（Z）</w:t>
            </w:r>
          </w:p>
        </w:tc>
        <w:tc>
          <w:tcPr>
            <w:tcW w:w="913" w:type="dxa"/>
            <w:tcBorders>
              <w:top w:val="nil"/>
              <w:left w:val="nil"/>
              <w:bottom w:val="single" w:color="auto" w:sz="4" w:space="0"/>
              <w:right w:val="single" w:color="auto" w:sz="4" w:space="0"/>
            </w:tcBorders>
            <w:vAlign w:val="center"/>
          </w:tcPr>
          <w:p w14:paraId="4811C300">
            <w:pPr>
              <w:widowControl/>
              <w:jc w:val="center"/>
              <w:rPr>
                <w:rFonts w:hint="eastAsia" w:ascii="宋体" w:hAnsi="宋体" w:cs="宋体"/>
                <w:color w:val="auto"/>
                <w:kern w:val="0"/>
                <w:highlight w:val="none"/>
              </w:rPr>
            </w:pPr>
            <w:r>
              <w:rPr>
                <w:rFonts w:hint="eastAsia" w:ascii="宋体" w:hAnsi="宋体" w:cs="宋体"/>
                <w:color w:val="auto"/>
                <w:kern w:val="0"/>
                <w:highlight w:val="none"/>
              </w:rPr>
              <w:t>万元</w:t>
            </w:r>
          </w:p>
        </w:tc>
        <w:tc>
          <w:tcPr>
            <w:tcW w:w="1966" w:type="dxa"/>
            <w:tcBorders>
              <w:top w:val="nil"/>
              <w:left w:val="nil"/>
              <w:bottom w:val="single" w:color="auto" w:sz="4" w:space="0"/>
              <w:right w:val="single" w:color="auto" w:sz="4" w:space="0"/>
            </w:tcBorders>
            <w:vAlign w:val="center"/>
          </w:tcPr>
          <w:p w14:paraId="50B7BA38">
            <w:pPr>
              <w:widowControl/>
              <w:jc w:val="left"/>
              <w:rPr>
                <w:rFonts w:hint="eastAsia" w:ascii="宋体" w:hAnsi="宋体" w:cs="宋体"/>
                <w:color w:val="auto"/>
                <w:kern w:val="0"/>
                <w:highlight w:val="none"/>
              </w:rPr>
            </w:pPr>
            <w:r>
              <w:rPr>
                <w:rFonts w:hint="eastAsia" w:ascii="宋体" w:hAnsi="宋体" w:cs="宋体"/>
                <w:color w:val="auto"/>
                <w:kern w:val="0"/>
                <w:highlight w:val="none"/>
              </w:rPr>
              <w:t>5000≤Z＜10000</w:t>
            </w:r>
          </w:p>
        </w:tc>
        <w:tc>
          <w:tcPr>
            <w:tcW w:w="1743" w:type="dxa"/>
            <w:tcBorders>
              <w:top w:val="nil"/>
              <w:left w:val="nil"/>
              <w:bottom w:val="single" w:color="auto" w:sz="4" w:space="0"/>
              <w:right w:val="single" w:color="auto" w:sz="4" w:space="0"/>
            </w:tcBorders>
            <w:vAlign w:val="center"/>
          </w:tcPr>
          <w:p w14:paraId="3F3A907E">
            <w:pPr>
              <w:widowControl/>
              <w:jc w:val="left"/>
              <w:rPr>
                <w:rFonts w:hint="eastAsia" w:ascii="宋体" w:hAnsi="宋体" w:cs="宋体"/>
                <w:color w:val="auto"/>
                <w:kern w:val="0"/>
                <w:highlight w:val="none"/>
              </w:rPr>
            </w:pPr>
            <w:r>
              <w:rPr>
                <w:rFonts w:hint="eastAsia" w:ascii="宋体" w:hAnsi="宋体" w:cs="宋体"/>
                <w:color w:val="auto"/>
                <w:kern w:val="0"/>
                <w:highlight w:val="none"/>
              </w:rPr>
              <w:t>2000≤Y＜5000</w:t>
            </w:r>
          </w:p>
        </w:tc>
        <w:tc>
          <w:tcPr>
            <w:tcW w:w="1142" w:type="dxa"/>
            <w:tcBorders>
              <w:top w:val="nil"/>
              <w:left w:val="nil"/>
              <w:bottom w:val="single" w:color="auto" w:sz="4" w:space="0"/>
              <w:right w:val="single" w:color="auto" w:sz="4" w:space="0"/>
            </w:tcBorders>
            <w:vAlign w:val="center"/>
          </w:tcPr>
          <w:p w14:paraId="3CE1CC28">
            <w:pPr>
              <w:widowControl/>
              <w:jc w:val="left"/>
              <w:rPr>
                <w:rFonts w:hint="eastAsia" w:ascii="宋体" w:hAnsi="宋体" w:cs="宋体"/>
                <w:color w:val="auto"/>
                <w:kern w:val="0"/>
                <w:highlight w:val="none"/>
              </w:rPr>
            </w:pPr>
            <w:r>
              <w:rPr>
                <w:rFonts w:hint="eastAsia" w:ascii="宋体" w:hAnsi="宋体" w:cs="宋体"/>
                <w:color w:val="auto"/>
                <w:kern w:val="0"/>
                <w:highlight w:val="none"/>
              </w:rPr>
              <w:t>Y＜2000</w:t>
            </w:r>
          </w:p>
        </w:tc>
      </w:tr>
      <w:tr w14:paraId="2F7C5995">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vAlign w:val="center"/>
          </w:tcPr>
          <w:p w14:paraId="5EBBDD13">
            <w:pPr>
              <w:widowControl/>
              <w:jc w:val="center"/>
              <w:rPr>
                <w:rFonts w:hint="eastAsia" w:ascii="宋体" w:hAnsi="宋体" w:cs="宋体"/>
                <w:b/>
                <w:bCs/>
                <w:color w:val="auto"/>
                <w:kern w:val="0"/>
                <w:highlight w:val="none"/>
              </w:rPr>
            </w:pPr>
            <w:r>
              <w:rPr>
                <w:rFonts w:hint="eastAsia" w:ascii="宋体" w:hAnsi="宋体" w:cs="宋体"/>
                <w:b/>
                <w:bCs/>
                <w:color w:val="auto"/>
                <w:kern w:val="0"/>
                <w:highlight w:val="none"/>
              </w:rPr>
              <w:t>物业管理</w:t>
            </w:r>
          </w:p>
        </w:tc>
        <w:tc>
          <w:tcPr>
            <w:tcW w:w="1384" w:type="dxa"/>
            <w:tcBorders>
              <w:top w:val="nil"/>
              <w:left w:val="nil"/>
              <w:bottom w:val="single" w:color="auto" w:sz="4" w:space="0"/>
              <w:right w:val="single" w:color="auto" w:sz="4" w:space="0"/>
            </w:tcBorders>
            <w:vAlign w:val="center"/>
          </w:tcPr>
          <w:p w14:paraId="77E0531B">
            <w:pPr>
              <w:widowControl/>
              <w:jc w:val="left"/>
              <w:rPr>
                <w:rFonts w:hint="eastAsia" w:ascii="宋体" w:hAnsi="宋体" w:cs="宋体"/>
                <w:color w:val="auto"/>
                <w:kern w:val="0"/>
                <w:highlight w:val="none"/>
              </w:rPr>
            </w:pPr>
            <w:r>
              <w:rPr>
                <w:rFonts w:hint="eastAsia" w:ascii="宋体" w:hAnsi="宋体" w:cs="宋体"/>
                <w:color w:val="auto"/>
                <w:kern w:val="0"/>
                <w:highlight w:val="none"/>
              </w:rPr>
              <w:t>从业人员（X）</w:t>
            </w:r>
          </w:p>
        </w:tc>
        <w:tc>
          <w:tcPr>
            <w:tcW w:w="913" w:type="dxa"/>
            <w:tcBorders>
              <w:top w:val="nil"/>
              <w:left w:val="nil"/>
              <w:bottom w:val="single" w:color="auto" w:sz="4" w:space="0"/>
              <w:right w:val="single" w:color="auto" w:sz="4" w:space="0"/>
            </w:tcBorders>
            <w:vAlign w:val="center"/>
          </w:tcPr>
          <w:p w14:paraId="591D674F">
            <w:pPr>
              <w:widowControl/>
              <w:jc w:val="center"/>
              <w:rPr>
                <w:rFonts w:hint="eastAsia" w:ascii="宋体" w:hAnsi="宋体" w:cs="宋体"/>
                <w:color w:val="auto"/>
                <w:kern w:val="0"/>
                <w:highlight w:val="none"/>
              </w:rPr>
            </w:pPr>
            <w:r>
              <w:rPr>
                <w:rFonts w:hint="eastAsia" w:ascii="宋体" w:hAnsi="宋体" w:cs="宋体"/>
                <w:color w:val="auto"/>
                <w:kern w:val="0"/>
                <w:highlight w:val="none"/>
              </w:rPr>
              <w:t>人</w:t>
            </w:r>
          </w:p>
        </w:tc>
        <w:tc>
          <w:tcPr>
            <w:tcW w:w="1966" w:type="dxa"/>
            <w:tcBorders>
              <w:top w:val="nil"/>
              <w:left w:val="nil"/>
              <w:bottom w:val="single" w:color="auto" w:sz="4" w:space="0"/>
              <w:right w:val="single" w:color="auto" w:sz="4" w:space="0"/>
            </w:tcBorders>
            <w:vAlign w:val="center"/>
          </w:tcPr>
          <w:p w14:paraId="554C853D">
            <w:pPr>
              <w:widowControl/>
              <w:jc w:val="left"/>
              <w:rPr>
                <w:rFonts w:hint="eastAsia" w:ascii="宋体" w:hAnsi="宋体" w:cs="宋体"/>
                <w:color w:val="auto"/>
                <w:kern w:val="0"/>
                <w:highlight w:val="none"/>
              </w:rPr>
            </w:pPr>
            <w:r>
              <w:rPr>
                <w:rFonts w:hint="eastAsia" w:ascii="宋体" w:hAnsi="宋体" w:cs="宋体"/>
                <w:color w:val="auto"/>
                <w:kern w:val="0"/>
                <w:highlight w:val="none"/>
              </w:rPr>
              <w:t>300≤X＜1000</w:t>
            </w:r>
          </w:p>
        </w:tc>
        <w:tc>
          <w:tcPr>
            <w:tcW w:w="1743" w:type="dxa"/>
            <w:tcBorders>
              <w:top w:val="nil"/>
              <w:left w:val="nil"/>
              <w:bottom w:val="single" w:color="auto" w:sz="4" w:space="0"/>
              <w:right w:val="single" w:color="auto" w:sz="4" w:space="0"/>
            </w:tcBorders>
            <w:vAlign w:val="center"/>
          </w:tcPr>
          <w:p w14:paraId="456AA852">
            <w:pPr>
              <w:widowControl/>
              <w:jc w:val="left"/>
              <w:rPr>
                <w:rFonts w:hint="eastAsia" w:ascii="宋体" w:hAnsi="宋体" w:cs="宋体"/>
                <w:color w:val="auto"/>
                <w:kern w:val="0"/>
                <w:highlight w:val="none"/>
              </w:rPr>
            </w:pPr>
            <w:r>
              <w:rPr>
                <w:rFonts w:hint="eastAsia" w:ascii="宋体" w:hAnsi="宋体" w:cs="宋体"/>
                <w:color w:val="auto"/>
                <w:kern w:val="0"/>
                <w:highlight w:val="none"/>
              </w:rPr>
              <w:t>100≤X＜300</w:t>
            </w:r>
          </w:p>
        </w:tc>
        <w:tc>
          <w:tcPr>
            <w:tcW w:w="1142" w:type="dxa"/>
            <w:tcBorders>
              <w:top w:val="nil"/>
              <w:left w:val="nil"/>
              <w:bottom w:val="single" w:color="auto" w:sz="4" w:space="0"/>
              <w:right w:val="single" w:color="auto" w:sz="4" w:space="0"/>
            </w:tcBorders>
            <w:vAlign w:val="center"/>
          </w:tcPr>
          <w:p w14:paraId="23DA3331">
            <w:pPr>
              <w:widowControl/>
              <w:jc w:val="left"/>
              <w:rPr>
                <w:rFonts w:hint="eastAsia" w:ascii="宋体" w:hAnsi="宋体" w:cs="宋体"/>
                <w:color w:val="auto"/>
                <w:kern w:val="0"/>
                <w:highlight w:val="none"/>
              </w:rPr>
            </w:pPr>
            <w:r>
              <w:rPr>
                <w:rFonts w:hint="eastAsia" w:ascii="宋体" w:hAnsi="宋体" w:cs="宋体"/>
                <w:color w:val="auto"/>
                <w:kern w:val="0"/>
                <w:highlight w:val="none"/>
              </w:rPr>
              <w:t>X＜100</w:t>
            </w:r>
          </w:p>
        </w:tc>
      </w:tr>
      <w:tr w14:paraId="5626A588">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vAlign w:val="center"/>
          </w:tcPr>
          <w:p w14:paraId="12187C2E">
            <w:pPr>
              <w:widowControl/>
              <w:jc w:val="left"/>
              <w:rPr>
                <w:rFonts w:hint="eastAsia" w:ascii="宋体" w:hAnsi="宋体" w:cs="宋体"/>
                <w:b/>
                <w:bCs/>
                <w:color w:val="auto"/>
                <w:kern w:val="0"/>
                <w:highlight w:val="none"/>
              </w:rPr>
            </w:pPr>
          </w:p>
        </w:tc>
        <w:tc>
          <w:tcPr>
            <w:tcW w:w="1384" w:type="dxa"/>
            <w:tcBorders>
              <w:top w:val="nil"/>
              <w:left w:val="nil"/>
              <w:bottom w:val="single" w:color="auto" w:sz="4" w:space="0"/>
              <w:right w:val="single" w:color="auto" w:sz="4" w:space="0"/>
            </w:tcBorders>
            <w:vAlign w:val="center"/>
          </w:tcPr>
          <w:p w14:paraId="75013F35">
            <w:pPr>
              <w:widowControl/>
              <w:jc w:val="left"/>
              <w:rPr>
                <w:rFonts w:hint="eastAsia" w:ascii="宋体" w:hAnsi="宋体" w:cs="宋体"/>
                <w:color w:val="auto"/>
                <w:kern w:val="0"/>
                <w:highlight w:val="none"/>
              </w:rPr>
            </w:pPr>
            <w:r>
              <w:rPr>
                <w:rFonts w:hint="eastAsia" w:ascii="宋体" w:hAnsi="宋体" w:cs="宋体"/>
                <w:color w:val="auto"/>
                <w:kern w:val="0"/>
                <w:highlight w:val="none"/>
              </w:rPr>
              <w:t>营业收入（Y）</w:t>
            </w:r>
          </w:p>
        </w:tc>
        <w:tc>
          <w:tcPr>
            <w:tcW w:w="913" w:type="dxa"/>
            <w:tcBorders>
              <w:top w:val="nil"/>
              <w:left w:val="nil"/>
              <w:bottom w:val="single" w:color="auto" w:sz="4" w:space="0"/>
              <w:right w:val="single" w:color="auto" w:sz="4" w:space="0"/>
            </w:tcBorders>
            <w:vAlign w:val="center"/>
          </w:tcPr>
          <w:p w14:paraId="440F574E">
            <w:pPr>
              <w:widowControl/>
              <w:jc w:val="center"/>
              <w:rPr>
                <w:rFonts w:hint="eastAsia" w:ascii="宋体" w:hAnsi="宋体" w:cs="宋体"/>
                <w:color w:val="auto"/>
                <w:kern w:val="0"/>
                <w:highlight w:val="none"/>
              </w:rPr>
            </w:pPr>
            <w:r>
              <w:rPr>
                <w:rFonts w:hint="eastAsia" w:ascii="宋体" w:hAnsi="宋体" w:cs="宋体"/>
                <w:color w:val="auto"/>
                <w:kern w:val="0"/>
                <w:highlight w:val="none"/>
              </w:rPr>
              <w:t>万元</w:t>
            </w:r>
          </w:p>
        </w:tc>
        <w:tc>
          <w:tcPr>
            <w:tcW w:w="1966" w:type="dxa"/>
            <w:tcBorders>
              <w:top w:val="nil"/>
              <w:left w:val="nil"/>
              <w:bottom w:val="single" w:color="auto" w:sz="4" w:space="0"/>
              <w:right w:val="single" w:color="auto" w:sz="4" w:space="0"/>
            </w:tcBorders>
            <w:vAlign w:val="center"/>
          </w:tcPr>
          <w:p w14:paraId="46483462">
            <w:pPr>
              <w:widowControl/>
              <w:jc w:val="left"/>
              <w:rPr>
                <w:rFonts w:hint="eastAsia" w:ascii="宋体" w:hAnsi="宋体" w:cs="宋体"/>
                <w:color w:val="auto"/>
                <w:kern w:val="0"/>
                <w:highlight w:val="none"/>
              </w:rPr>
            </w:pPr>
            <w:r>
              <w:rPr>
                <w:rFonts w:hint="eastAsia" w:ascii="宋体" w:hAnsi="宋体" w:cs="宋体"/>
                <w:color w:val="auto"/>
                <w:kern w:val="0"/>
                <w:highlight w:val="none"/>
              </w:rPr>
              <w:t>1000≤Y＜5000</w:t>
            </w:r>
          </w:p>
        </w:tc>
        <w:tc>
          <w:tcPr>
            <w:tcW w:w="1743" w:type="dxa"/>
            <w:tcBorders>
              <w:top w:val="nil"/>
              <w:left w:val="nil"/>
              <w:bottom w:val="single" w:color="auto" w:sz="4" w:space="0"/>
              <w:right w:val="single" w:color="auto" w:sz="4" w:space="0"/>
            </w:tcBorders>
            <w:vAlign w:val="center"/>
          </w:tcPr>
          <w:p w14:paraId="6D8E2910">
            <w:pPr>
              <w:widowControl/>
              <w:jc w:val="left"/>
              <w:rPr>
                <w:rFonts w:hint="eastAsia" w:ascii="宋体" w:hAnsi="宋体" w:cs="宋体"/>
                <w:color w:val="auto"/>
                <w:kern w:val="0"/>
                <w:highlight w:val="none"/>
              </w:rPr>
            </w:pPr>
            <w:r>
              <w:rPr>
                <w:rFonts w:hint="eastAsia" w:ascii="宋体" w:hAnsi="宋体" w:cs="宋体"/>
                <w:color w:val="auto"/>
                <w:kern w:val="0"/>
                <w:highlight w:val="none"/>
              </w:rPr>
              <w:t>500≤Y＜1000</w:t>
            </w:r>
          </w:p>
        </w:tc>
        <w:tc>
          <w:tcPr>
            <w:tcW w:w="1142" w:type="dxa"/>
            <w:tcBorders>
              <w:top w:val="nil"/>
              <w:left w:val="nil"/>
              <w:bottom w:val="single" w:color="auto" w:sz="4" w:space="0"/>
              <w:right w:val="single" w:color="auto" w:sz="4" w:space="0"/>
            </w:tcBorders>
            <w:vAlign w:val="center"/>
          </w:tcPr>
          <w:p w14:paraId="3CEBD963">
            <w:pPr>
              <w:widowControl/>
              <w:jc w:val="left"/>
              <w:rPr>
                <w:rFonts w:hint="eastAsia" w:ascii="宋体" w:hAnsi="宋体" w:cs="宋体"/>
                <w:color w:val="auto"/>
                <w:kern w:val="0"/>
                <w:highlight w:val="none"/>
              </w:rPr>
            </w:pPr>
            <w:r>
              <w:rPr>
                <w:rFonts w:hint="eastAsia" w:ascii="宋体" w:hAnsi="宋体" w:cs="宋体"/>
                <w:color w:val="auto"/>
                <w:kern w:val="0"/>
                <w:highlight w:val="none"/>
              </w:rPr>
              <w:t>Y＜500</w:t>
            </w:r>
          </w:p>
        </w:tc>
      </w:tr>
      <w:tr w14:paraId="79459DBA">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vAlign w:val="center"/>
          </w:tcPr>
          <w:p w14:paraId="698612F3">
            <w:pPr>
              <w:widowControl/>
              <w:jc w:val="center"/>
              <w:rPr>
                <w:rFonts w:hint="eastAsia" w:ascii="宋体" w:hAnsi="宋体" w:cs="宋体"/>
                <w:b/>
                <w:bCs/>
                <w:color w:val="auto"/>
                <w:kern w:val="0"/>
                <w:highlight w:val="none"/>
              </w:rPr>
            </w:pPr>
            <w:r>
              <w:rPr>
                <w:rFonts w:hint="eastAsia" w:ascii="宋体" w:hAnsi="宋体" w:cs="宋体"/>
                <w:b/>
                <w:bCs/>
                <w:color w:val="auto"/>
                <w:kern w:val="0"/>
                <w:highlight w:val="none"/>
              </w:rPr>
              <w:t>租赁和商务服务业</w:t>
            </w:r>
          </w:p>
        </w:tc>
        <w:tc>
          <w:tcPr>
            <w:tcW w:w="1384" w:type="dxa"/>
            <w:tcBorders>
              <w:top w:val="nil"/>
              <w:left w:val="nil"/>
              <w:bottom w:val="single" w:color="auto" w:sz="4" w:space="0"/>
              <w:right w:val="single" w:color="auto" w:sz="4" w:space="0"/>
            </w:tcBorders>
            <w:vAlign w:val="center"/>
          </w:tcPr>
          <w:p w14:paraId="71C1947A">
            <w:pPr>
              <w:widowControl/>
              <w:jc w:val="left"/>
              <w:rPr>
                <w:rFonts w:hint="eastAsia" w:ascii="宋体" w:hAnsi="宋体" w:cs="宋体"/>
                <w:color w:val="auto"/>
                <w:kern w:val="0"/>
                <w:highlight w:val="none"/>
              </w:rPr>
            </w:pPr>
            <w:r>
              <w:rPr>
                <w:rFonts w:hint="eastAsia" w:ascii="宋体" w:hAnsi="宋体" w:cs="宋体"/>
                <w:color w:val="auto"/>
                <w:kern w:val="0"/>
                <w:highlight w:val="none"/>
              </w:rPr>
              <w:t>从业人员（X）</w:t>
            </w:r>
          </w:p>
        </w:tc>
        <w:tc>
          <w:tcPr>
            <w:tcW w:w="913" w:type="dxa"/>
            <w:tcBorders>
              <w:top w:val="nil"/>
              <w:left w:val="nil"/>
              <w:bottom w:val="single" w:color="auto" w:sz="4" w:space="0"/>
              <w:right w:val="single" w:color="auto" w:sz="4" w:space="0"/>
            </w:tcBorders>
            <w:vAlign w:val="center"/>
          </w:tcPr>
          <w:p w14:paraId="6E5A50BE">
            <w:pPr>
              <w:widowControl/>
              <w:jc w:val="center"/>
              <w:rPr>
                <w:rFonts w:hint="eastAsia" w:ascii="宋体" w:hAnsi="宋体" w:cs="宋体"/>
                <w:color w:val="auto"/>
                <w:kern w:val="0"/>
                <w:highlight w:val="none"/>
              </w:rPr>
            </w:pPr>
            <w:r>
              <w:rPr>
                <w:rFonts w:hint="eastAsia" w:ascii="宋体" w:hAnsi="宋体" w:cs="宋体"/>
                <w:color w:val="auto"/>
                <w:kern w:val="0"/>
                <w:highlight w:val="none"/>
              </w:rPr>
              <w:t>人</w:t>
            </w:r>
          </w:p>
        </w:tc>
        <w:tc>
          <w:tcPr>
            <w:tcW w:w="1966" w:type="dxa"/>
            <w:tcBorders>
              <w:top w:val="nil"/>
              <w:left w:val="nil"/>
              <w:bottom w:val="single" w:color="auto" w:sz="4" w:space="0"/>
              <w:right w:val="single" w:color="auto" w:sz="4" w:space="0"/>
            </w:tcBorders>
            <w:vAlign w:val="center"/>
          </w:tcPr>
          <w:p w14:paraId="6AB53327">
            <w:pPr>
              <w:widowControl/>
              <w:jc w:val="left"/>
              <w:rPr>
                <w:rFonts w:hint="eastAsia" w:ascii="宋体" w:hAnsi="宋体" w:cs="宋体"/>
                <w:color w:val="auto"/>
                <w:kern w:val="0"/>
                <w:highlight w:val="none"/>
              </w:rPr>
            </w:pPr>
            <w:r>
              <w:rPr>
                <w:rFonts w:hint="eastAsia" w:ascii="宋体" w:hAnsi="宋体" w:cs="宋体"/>
                <w:color w:val="auto"/>
                <w:kern w:val="0"/>
                <w:highlight w:val="none"/>
              </w:rPr>
              <w:t>100≤X＜300</w:t>
            </w:r>
          </w:p>
        </w:tc>
        <w:tc>
          <w:tcPr>
            <w:tcW w:w="1743" w:type="dxa"/>
            <w:tcBorders>
              <w:top w:val="nil"/>
              <w:left w:val="nil"/>
              <w:bottom w:val="single" w:color="auto" w:sz="4" w:space="0"/>
              <w:right w:val="single" w:color="auto" w:sz="4" w:space="0"/>
            </w:tcBorders>
            <w:vAlign w:val="center"/>
          </w:tcPr>
          <w:p w14:paraId="5BF5C482">
            <w:pPr>
              <w:widowControl/>
              <w:jc w:val="left"/>
              <w:rPr>
                <w:rFonts w:hint="eastAsia" w:ascii="宋体" w:hAnsi="宋体" w:cs="宋体"/>
                <w:color w:val="auto"/>
                <w:kern w:val="0"/>
                <w:highlight w:val="none"/>
              </w:rPr>
            </w:pPr>
            <w:r>
              <w:rPr>
                <w:rFonts w:hint="eastAsia" w:ascii="宋体" w:hAnsi="宋体" w:cs="宋体"/>
                <w:color w:val="auto"/>
                <w:kern w:val="0"/>
                <w:highlight w:val="none"/>
              </w:rPr>
              <w:t>10≤X＜100</w:t>
            </w:r>
          </w:p>
        </w:tc>
        <w:tc>
          <w:tcPr>
            <w:tcW w:w="1142" w:type="dxa"/>
            <w:tcBorders>
              <w:top w:val="nil"/>
              <w:left w:val="nil"/>
              <w:bottom w:val="single" w:color="auto" w:sz="4" w:space="0"/>
              <w:right w:val="single" w:color="auto" w:sz="4" w:space="0"/>
            </w:tcBorders>
            <w:vAlign w:val="center"/>
          </w:tcPr>
          <w:p w14:paraId="4E2E0B31">
            <w:pPr>
              <w:widowControl/>
              <w:jc w:val="left"/>
              <w:rPr>
                <w:rFonts w:hint="eastAsia" w:ascii="宋体" w:hAnsi="宋体" w:cs="宋体"/>
                <w:color w:val="auto"/>
                <w:kern w:val="0"/>
                <w:highlight w:val="none"/>
              </w:rPr>
            </w:pPr>
            <w:r>
              <w:rPr>
                <w:rFonts w:hint="eastAsia" w:ascii="宋体" w:hAnsi="宋体" w:cs="宋体"/>
                <w:color w:val="auto"/>
                <w:kern w:val="0"/>
                <w:highlight w:val="none"/>
              </w:rPr>
              <w:t>X＜10</w:t>
            </w:r>
          </w:p>
        </w:tc>
      </w:tr>
      <w:tr w14:paraId="26166643">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vAlign w:val="center"/>
          </w:tcPr>
          <w:p w14:paraId="0C417EA9">
            <w:pPr>
              <w:widowControl/>
              <w:jc w:val="left"/>
              <w:rPr>
                <w:rFonts w:hint="eastAsia" w:ascii="宋体" w:hAnsi="宋体" w:cs="宋体"/>
                <w:b/>
                <w:bCs/>
                <w:color w:val="auto"/>
                <w:kern w:val="0"/>
                <w:highlight w:val="none"/>
              </w:rPr>
            </w:pPr>
          </w:p>
        </w:tc>
        <w:tc>
          <w:tcPr>
            <w:tcW w:w="1384" w:type="dxa"/>
            <w:tcBorders>
              <w:top w:val="nil"/>
              <w:left w:val="nil"/>
              <w:bottom w:val="single" w:color="auto" w:sz="4" w:space="0"/>
              <w:right w:val="single" w:color="auto" w:sz="4" w:space="0"/>
            </w:tcBorders>
            <w:vAlign w:val="center"/>
          </w:tcPr>
          <w:p w14:paraId="084A4814">
            <w:pPr>
              <w:widowControl/>
              <w:jc w:val="left"/>
              <w:rPr>
                <w:rFonts w:hint="eastAsia" w:ascii="宋体" w:hAnsi="宋体" w:cs="宋体"/>
                <w:color w:val="auto"/>
                <w:kern w:val="0"/>
                <w:highlight w:val="none"/>
              </w:rPr>
            </w:pPr>
            <w:r>
              <w:rPr>
                <w:rFonts w:hint="eastAsia" w:ascii="宋体" w:hAnsi="宋体" w:cs="宋体"/>
                <w:color w:val="auto"/>
                <w:kern w:val="0"/>
                <w:highlight w:val="none"/>
              </w:rPr>
              <w:t>资产总额（Z）</w:t>
            </w:r>
          </w:p>
        </w:tc>
        <w:tc>
          <w:tcPr>
            <w:tcW w:w="913" w:type="dxa"/>
            <w:tcBorders>
              <w:top w:val="nil"/>
              <w:left w:val="nil"/>
              <w:bottom w:val="single" w:color="auto" w:sz="4" w:space="0"/>
              <w:right w:val="single" w:color="auto" w:sz="4" w:space="0"/>
            </w:tcBorders>
            <w:vAlign w:val="center"/>
          </w:tcPr>
          <w:p w14:paraId="0FCBEA68">
            <w:pPr>
              <w:widowControl/>
              <w:jc w:val="center"/>
              <w:rPr>
                <w:rFonts w:hint="eastAsia" w:ascii="宋体" w:hAnsi="宋体" w:cs="宋体"/>
                <w:color w:val="auto"/>
                <w:kern w:val="0"/>
                <w:highlight w:val="none"/>
              </w:rPr>
            </w:pPr>
            <w:r>
              <w:rPr>
                <w:rFonts w:hint="eastAsia" w:ascii="宋体" w:hAnsi="宋体" w:cs="宋体"/>
                <w:color w:val="auto"/>
                <w:kern w:val="0"/>
                <w:highlight w:val="none"/>
              </w:rPr>
              <w:t>万元</w:t>
            </w:r>
          </w:p>
        </w:tc>
        <w:tc>
          <w:tcPr>
            <w:tcW w:w="1966" w:type="dxa"/>
            <w:tcBorders>
              <w:top w:val="nil"/>
              <w:left w:val="nil"/>
              <w:bottom w:val="single" w:color="auto" w:sz="4" w:space="0"/>
              <w:right w:val="single" w:color="auto" w:sz="4" w:space="0"/>
            </w:tcBorders>
            <w:vAlign w:val="center"/>
          </w:tcPr>
          <w:p w14:paraId="2478C7C0">
            <w:pPr>
              <w:widowControl/>
              <w:jc w:val="left"/>
              <w:rPr>
                <w:rFonts w:hint="eastAsia" w:ascii="宋体" w:hAnsi="宋体" w:cs="宋体"/>
                <w:color w:val="auto"/>
                <w:kern w:val="0"/>
                <w:highlight w:val="none"/>
              </w:rPr>
            </w:pPr>
            <w:r>
              <w:rPr>
                <w:rFonts w:hint="eastAsia" w:ascii="宋体" w:hAnsi="宋体" w:cs="宋体"/>
                <w:color w:val="auto"/>
                <w:kern w:val="0"/>
                <w:highlight w:val="none"/>
              </w:rPr>
              <w:t>8000≤Z＜120000</w:t>
            </w:r>
          </w:p>
        </w:tc>
        <w:tc>
          <w:tcPr>
            <w:tcW w:w="1743" w:type="dxa"/>
            <w:tcBorders>
              <w:top w:val="nil"/>
              <w:left w:val="nil"/>
              <w:bottom w:val="single" w:color="auto" w:sz="4" w:space="0"/>
              <w:right w:val="single" w:color="auto" w:sz="4" w:space="0"/>
            </w:tcBorders>
            <w:vAlign w:val="center"/>
          </w:tcPr>
          <w:p w14:paraId="33A0EB13">
            <w:pPr>
              <w:widowControl/>
              <w:jc w:val="left"/>
              <w:rPr>
                <w:rFonts w:hint="eastAsia" w:ascii="宋体" w:hAnsi="宋体" w:cs="宋体"/>
                <w:color w:val="auto"/>
                <w:kern w:val="0"/>
                <w:highlight w:val="none"/>
              </w:rPr>
            </w:pPr>
            <w:r>
              <w:rPr>
                <w:rFonts w:hint="eastAsia" w:ascii="宋体" w:hAnsi="宋体" w:cs="宋体"/>
                <w:color w:val="auto"/>
                <w:kern w:val="0"/>
                <w:highlight w:val="none"/>
              </w:rPr>
              <w:t>100≤Z＜8000</w:t>
            </w:r>
          </w:p>
        </w:tc>
        <w:tc>
          <w:tcPr>
            <w:tcW w:w="1142" w:type="dxa"/>
            <w:tcBorders>
              <w:top w:val="nil"/>
              <w:left w:val="nil"/>
              <w:bottom w:val="single" w:color="auto" w:sz="4" w:space="0"/>
              <w:right w:val="single" w:color="auto" w:sz="4" w:space="0"/>
            </w:tcBorders>
            <w:vAlign w:val="center"/>
          </w:tcPr>
          <w:p w14:paraId="665C25BE">
            <w:pPr>
              <w:widowControl/>
              <w:jc w:val="left"/>
              <w:rPr>
                <w:rFonts w:hint="eastAsia" w:ascii="宋体" w:hAnsi="宋体" w:cs="宋体"/>
                <w:color w:val="auto"/>
                <w:kern w:val="0"/>
                <w:highlight w:val="none"/>
              </w:rPr>
            </w:pPr>
            <w:r>
              <w:rPr>
                <w:rFonts w:hint="eastAsia" w:ascii="宋体" w:hAnsi="宋体" w:cs="宋体"/>
                <w:color w:val="auto"/>
                <w:kern w:val="0"/>
                <w:highlight w:val="none"/>
              </w:rPr>
              <w:t>Y＜100</w:t>
            </w:r>
          </w:p>
        </w:tc>
      </w:tr>
      <w:tr w14:paraId="22C89AFA">
        <w:tblPrEx>
          <w:tblCellMar>
            <w:top w:w="0" w:type="dxa"/>
            <w:left w:w="108" w:type="dxa"/>
            <w:bottom w:w="0" w:type="dxa"/>
            <w:right w:w="108" w:type="dxa"/>
          </w:tblCellMar>
        </w:tblPrEx>
        <w:trPr>
          <w:trHeight w:val="225" w:hRule="atLeast"/>
          <w:jc w:val="center"/>
        </w:trPr>
        <w:tc>
          <w:tcPr>
            <w:tcW w:w="1904" w:type="dxa"/>
            <w:tcBorders>
              <w:top w:val="nil"/>
              <w:left w:val="single" w:color="auto" w:sz="4" w:space="0"/>
              <w:bottom w:val="single" w:color="auto" w:sz="4" w:space="0"/>
              <w:right w:val="single" w:color="auto" w:sz="4" w:space="0"/>
            </w:tcBorders>
            <w:vAlign w:val="center"/>
          </w:tcPr>
          <w:p w14:paraId="21538734">
            <w:pPr>
              <w:widowControl/>
              <w:jc w:val="center"/>
              <w:rPr>
                <w:rFonts w:hint="eastAsia" w:ascii="宋体" w:hAnsi="宋体" w:cs="宋体"/>
                <w:b/>
                <w:bCs/>
                <w:color w:val="auto"/>
                <w:kern w:val="0"/>
                <w:highlight w:val="none"/>
              </w:rPr>
            </w:pPr>
            <w:r>
              <w:rPr>
                <w:rFonts w:hint="eastAsia" w:ascii="宋体" w:hAnsi="宋体" w:cs="宋体"/>
                <w:b/>
                <w:bCs/>
                <w:color w:val="auto"/>
                <w:kern w:val="0"/>
                <w:highlight w:val="none"/>
              </w:rPr>
              <w:t>其他未列明行业</w:t>
            </w:r>
          </w:p>
        </w:tc>
        <w:tc>
          <w:tcPr>
            <w:tcW w:w="1384" w:type="dxa"/>
            <w:tcBorders>
              <w:top w:val="nil"/>
              <w:left w:val="nil"/>
              <w:bottom w:val="single" w:color="auto" w:sz="4" w:space="0"/>
              <w:right w:val="single" w:color="auto" w:sz="4" w:space="0"/>
            </w:tcBorders>
            <w:vAlign w:val="center"/>
          </w:tcPr>
          <w:p w14:paraId="1C7E1E2C">
            <w:pPr>
              <w:widowControl/>
              <w:jc w:val="left"/>
              <w:rPr>
                <w:rFonts w:hint="eastAsia" w:ascii="宋体" w:hAnsi="宋体" w:cs="宋体"/>
                <w:color w:val="auto"/>
                <w:kern w:val="0"/>
                <w:highlight w:val="none"/>
              </w:rPr>
            </w:pPr>
            <w:r>
              <w:rPr>
                <w:rFonts w:hint="eastAsia" w:ascii="宋体" w:hAnsi="宋体" w:cs="宋体"/>
                <w:color w:val="auto"/>
                <w:kern w:val="0"/>
                <w:highlight w:val="none"/>
              </w:rPr>
              <w:t>从业人员（X）</w:t>
            </w:r>
          </w:p>
        </w:tc>
        <w:tc>
          <w:tcPr>
            <w:tcW w:w="913" w:type="dxa"/>
            <w:tcBorders>
              <w:top w:val="nil"/>
              <w:left w:val="nil"/>
              <w:bottom w:val="single" w:color="auto" w:sz="4" w:space="0"/>
              <w:right w:val="single" w:color="auto" w:sz="4" w:space="0"/>
            </w:tcBorders>
            <w:vAlign w:val="center"/>
          </w:tcPr>
          <w:p w14:paraId="6EE4DC0A">
            <w:pPr>
              <w:widowControl/>
              <w:jc w:val="center"/>
              <w:rPr>
                <w:rFonts w:hint="eastAsia" w:ascii="宋体" w:hAnsi="宋体" w:cs="宋体"/>
                <w:color w:val="auto"/>
                <w:kern w:val="0"/>
                <w:highlight w:val="none"/>
              </w:rPr>
            </w:pPr>
            <w:r>
              <w:rPr>
                <w:rFonts w:hint="eastAsia" w:ascii="宋体" w:hAnsi="宋体" w:cs="宋体"/>
                <w:color w:val="auto"/>
                <w:kern w:val="0"/>
                <w:highlight w:val="none"/>
              </w:rPr>
              <w:t>人</w:t>
            </w:r>
          </w:p>
        </w:tc>
        <w:tc>
          <w:tcPr>
            <w:tcW w:w="1966" w:type="dxa"/>
            <w:tcBorders>
              <w:top w:val="nil"/>
              <w:left w:val="nil"/>
              <w:bottom w:val="single" w:color="auto" w:sz="4" w:space="0"/>
              <w:right w:val="single" w:color="auto" w:sz="4" w:space="0"/>
            </w:tcBorders>
            <w:vAlign w:val="center"/>
          </w:tcPr>
          <w:p w14:paraId="648CD26C">
            <w:pPr>
              <w:widowControl/>
              <w:jc w:val="left"/>
              <w:rPr>
                <w:rFonts w:hint="eastAsia" w:ascii="宋体" w:hAnsi="宋体" w:cs="宋体"/>
                <w:color w:val="auto"/>
                <w:kern w:val="0"/>
                <w:highlight w:val="none"/>
              </w:rPr>
            </w:pPr>
            <w:r>
              <w:rPr>
                <w:rFonts w:hint="eastAsia" w:ascii="宋体" w:hAnsi="宋体" w:cs="宋体"/>
                <w:color w:val="auto"/>
                <w:kern w:val="0"/>
                <w:highlight w:val="none"/>
              </w:rPr>
              <w:t>100≤X＜300</w:t>
            </w:r>
          </w:p>
        </w:tc>
        <w:tc>
          <w:tcPr>
            <w:tcW w:w="1743" w:type="dxa"/>
            <w:tcBorders>
              <w:top w:val="nil"/>
              <w:left w:val="nil"/>
              <w:bottom w:val="single" w:color="auto" w:sz="4" w:space="0"/>
              <w:right w:val="single" w:color="auto" w:sz="4" w:space="0"/>
            </w:tcBorders>
            <w:vAlign w:val="center"/>
          </w:tcPr>
          <w:p w14:paraId="36FB95AC">
            <w:pPr>
              <w:widowControl/>
              <w:jc w:val="left"/>
              <w:rPr>
                <w:rFonts w:hint="eastAsia" w:ascii="宋体" w:hAnsi="宋体" w:cs="宋体"/>
                <w:color w:val="auto"/>
                <w:kern w:val="0"/>
                <w:highlight w:val="none"/>
              </w:rPr>
            </w:pPr>
            <w:r>
              <w:rPr>
                <w:rFonts w:hint="eastAsia" w:ascii="宋体" w:hAnsi="宋体" w:cs="宋体"/>
                <w:color w:val="auto"/>
                <w:kern w:val="0"/>
                <w:highlight w:val="none"/>
              </w:rPr>
              <w:t>10≤X＜100</w:t>
            </w:r>
          </w:p>
        </w:tc>
        <w:tc>
          <w:tcPr>
            <w:tcW w:w="1142" w:type="dxa"/>
            <w:tcBorders>
              <w:top w:val="nil"/>
              <w:left w:val="nil"/>
              <w:bottom w:val="single" w:color="auto" w:sz="4" w:space="0"/>
              <w:right w:val="single" w:color="auto" w:sz="4" w:space="0"/>
            </w:tcBorders>
            <w:vAlign w:val="center"/>
          </w:tcPr>
          <w:p w14:paraId="34626D2D">
            <w:pPr>
              <w:widowControl/>
              <w:jc w:val="left"/>
              <w:rPr>
                <w:rFonts w:hint="eastAsia" w:ascii="宋体" w:hAnsi="宋体" w:cs="宋体"/>
                <w:color w:val="auto"/>
                <w:kern w:val="0"/>
                <w:highlight w:val="none"/>
              </w:rPr>
            </w:pPr>
            <w:r>
              <w:rPr>
                <w:rFonts w:hint="eastAsia" w:ascii="宋体" w:hAnsi="宋体" w:cs="宋体"/>
                <w:color w:val="auto"/>
                <w:kern w:val="0"/>
                <w:highlight w:val="none"/>
              </w:rPr>
              <w:t>X＜10</w:t>
            </w:r>
          </w:p>
        </w:tc>
      </w:tr>
    </w:tbl>
    <w:p w14:paraId="7D486C1F">
      <w:pPr>
        <w:spacing w:line="360" w:lineRule="auto"/>
        <w:ind w:firstLine="525" w:firstLineChars="250"/>
        <w:rPr>
          <w:rFonts w:hint="eastAsia" w:ascii="宋体" w:hAnsi="宋体" w:cs="宋体"/>
          <w:color w:val="auto"/>
          <w:highlight w:val="none"/>
        </w:rPr>
      </w:pPr>
      <w:r>
        <w:rPr>
          <w:rFonts w:hint="eastAsia" w:ascii="宋体" w:hAnsi="宋体" w:cs="宋体"/>
          <w:color w:val="auto"/>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09082D48">
      <w:pPr>
        <w:spacing w:line="560" w:lineRule="exact"/>
        <w:ind w:firstLine="500" w:firstLineChars="250"/>
        <w:rPr>
          <w:rFonts w:hint="eastAsia" w:ascii="宋体" w:hAnsi="宋体" w:cs="宋体"/>
          <w:color w:val="auto"/>
          <w:kern w:val="0"/>
          <w:sz w:val="20"/>
          <w:highlight w:val="none"/>
        </w:rPr>
        <w:sectPr>
          <w:pgSz w:w="11906" w:h="16838"/>
          <w:pgMar w:top="1134" w:right="1134" w:bottom="1134" w:left="1134" w:header="720" w:footer="720" w:gutter="0"/>
          <w:cols w:space="720" w:num="1"/>
          <w:docGrid w:type="lines" w:linePitch="331" w:charSpace="0"/>
        </w:sectPr>
      </w:pPr>
    </w:p>
    <w:p w14:paraId="12D07D8B">
      <w:pPr>
        <w:pStyle w:val="24"/>
        <w:ind w:firstLine="482"/>
        <w:jc w:val="center"/>
        <w:rPr>
          <w:rFonts w:hint="eastAsia" w:asciiTheme="minorEastAsia" w:hAnsiTheme="minorEastAsia" w:eastAsiaTheme="minorEastAsia" w:cstheme="minorEastAsia"/>
          <w:b/>
          <w:bCs/>
          <w:color w:val="auto"/>
          <w:sz w:val="30"/>
          <w:szCs w:val="30"/>
          <w:highlight w:val="none"/>
        </w:rPr>
      </w:pPr>
      <w:r>
        <w:rPr>
          <w:rFonts w:hint="eastAsia" w:asciiTheme="minorEastAsia" w:hAnsiTheme="minorEastAsia" w:eastAsiaTheme="minorEastAsia" w:cstheme="minorEastAsia"/>
          <w:b/>
          <w:bCs/>
          <w:color w:val="auto"/>
          <w:sz w:val="30"/>
          <w:szCs w:val="30"/>
          <w:highlight w:val="none"/>
        </w:rPr>
        <w:t>2、监狱企业证明文件</w:t>
      </w:r>
    </w:p>
    <w:p w14:paraId="44ED1745">
      <w:pPr>
        <w:pStyle w:val="26"/>
        <w:ind w:left="5250" w:firstLine="480"/>
        <w:rPr>
          <w:rFonts w:ascii="Times New Roman" w:hAnsi="Times New Roman"/>
          <w:color w:val="auto"/>
          <w:kern w:val="0"/>
          <w:highlight w:val="none"/>
        </w:rPr>
      </w:pPr>
    </w:p>
    <w:p w14:paraId="6D36C360">
      <w:pPr>
        <w:pStyle w:val="24"/>
        <w:spacing w:line="460" w:lineRule="exact"/>
        <w:ind w:firstLine="882" w:firstLineChars="350"/>
        <w:jc w:val="left"/>
        <w:rPr>
          <w:rFonts w:hint="eastAsia" w:hAnsi="宋体" w:cs="Times New Roman"/>
          <w:color w:val="auto"/>
          <w:spacing w:val="6"/>
          <w:kern w:val="2"/>
          <w:sz w:val="24"/>
          <w:szCs w:val="24"/>
          <w:highlight w:val="none"/>
        </w:rPr>
      </w:pPr>
      <w:r>
        <w:rPr>
          <w:rFonts w:hint="eastAsia" w:hAnsi="宋体" w:cs="Times New Roman"/>
          <w:color w:val="auto"/>
          <w:spacing w:val="6"/>
          <w:kern w:val="2"/>
          <w:sz w:val="24"/>
          <w:szCs w:val="24"/>
          <w:highlight w:val="none"/>
        </w:rPr>
        <w:t>按《关于政府采购支持监狱企业发展有关问题的通知》(财库[2014]68 号)认定为监狱企业的，在政府采购活动中，监狱企业视同小型、微型企业。监狱企业参加政府采购活动时，应当提供由省级以上监狱管理局、戒毒管理局(含新疆生产建设兵团)出具的属于监狱企业的证明文件。</w:t>
      </w:r>
    </w:p>
    <w:p w14:paraId="2FFBB35C">
      <w:pPr>
        <w:spacing w:line="360" w:lineRule="auto"/>
        <w:ind w:firstLine="2400" w:firstLineChars="1000"/>
        <w:contextualSpacing/>
        <w:rPr>
          <w:rFonts w:hint="eastAsia" w:ascii="宋体" w:hAnsi="宋体" w:cs="宋体"/>
          <w:color w:val="auto"/>
          <w:sz w:val="24"/>
          <w:highlight w:val="none"/>
        </w:rPr>
      </w:pPr>
    </w:p>
    <w:p w14:paraId="20F83816">
      <w:pPr>
        <w:autoSpaceDE w:val="0"/>
        <w:autoSpaceDN w:val="0"/>
        <w:spacing w:line="360" w:lineRule="auto"/>
        <w:ind w:left="4335" w:leftChars="1950" w:hanging="240" w:hangingChars="1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供应商名称（电子签章）：</w:t>
      </w:r>
    </w:p>
    <w:p w14:paraId="32603D35">
      <w:pPr>
        <w:autoSpaceDE w:val="0"/>
        <w:autoSpaceDN w:val="0"/>
        <w:spacing w:line="360" w:lineRule="auto"/>
        <w:ind w:firstLine="6480" w:firstLineChars="2700"/>
        <w:rPr>
          <w:rFonts w:hint="eastAsia" w:ascii="宋体" w:hAnsi="宋体" w:cs="宋体"/>
          <w:color w:val="auto"/>
          <w:kern w:val="0"/>
          <w:sz w:val="24"/>
          <w:szCs w:val="24"/>
          <w:highlight w:val="none"/>
          <w:lang w:val="zh-CN"/>
        </w:rPr>
      </w:pPr>
      <w:r>
        <w:rPr>
          <w:rFonts w:hint="eastAsia" w:ascii="宋体" w:hAnsi="宋体" w:cs="宋体"/>
          <w:color w:val="auto"/>
          <w:kern w:val="0"/>
          <w:sz w:val="24"/>
          <w:szCs w:val="24"/>
          <w:highlight w:val="none"/>
          <w:lang w:val="zh-CN"/>
        </w:rPr>
        <w:t>日期：  年  月   日</w:t>
      </w:r>
    </w:p>
    <w:p w14:paraId="3C715B69">
      <w:pPr>
        <w:pStyle w:val="24"/>
        <w:spacing w:line="460" w:lineRule="exact"/>
        <w:ind w:firstLine="420"/>
        <w:jc w:val="left"/>
        <w:rPr>
          <w:rFonts w:hint="eastAsia" w:hAnsi="宋体" w:cs="Times New Roman"/>
          <w:color w:val="auto"/>
          <w:spacing w:val="6"/>
          <w:kern w:val="2"/>
          <w:sz w:val="24"/>
          <w:szCs w:val="24"/>
          <w:highlight w:val="none"/>
        </w:rPr>
      </w:pPr>
    </w:p>
    <w:p w14:paraId="2429D379">
      <w:pPr>
        <w:pStyle w:val="24"/>
        <w:spacing w:line="460" w:lineRule="exact"/>
        <w:jc w:val="left"/>
        <w:rPr>
          <w:rFonts w:hint="eastAsia" w:hAnsi="宋体" w:cs="Times New Roman"/>
          <w:color w:val="auto"/>
          <w:spacing w:val="6"/>
          <w:kern w:val="2"/>
          <w:sz w:val="24"/>
          <w:szCs w:val="24"/>
          <w:highlight w:val="none"/>
        </w:rPr>
      </w:pPr>
      <w:r>
        <w:rPr>
          <w:rFonts w:hint="eastAsia" w:hAnsi="宋体" w:cs="Times New Roman"/>
          <w:color w:val="auto"/>
          <w:spacing w:val="6"/>
          <w:kern w:val="2"/>
          <w:sz w:val="24"/>
          <w:szCs w:val="24"/>
          <w:highlight w:val="none"/>
        </w:rPr>
        <w:t>说明：</w:t>
      </w:r>
      <w:r>
        <w:rPr>
          <w:rFonts w:hint="eastAsia" w:hAnsi="宋体" w:cs="Times New Roman"/>
          <w:color w:val="auto"/>
          <w:spacing w:val="-4"/>
          <w:kern w:val="2"/>
          <w:sz w:val="24"/>
          <w:szCs w:val="24"/>
          <w:highlight w:val="none"/>
        </w:rPr>
        <w:t>采购人或者采购代理机构在公告成交结果时，</w:t>
      </w:r>
      <w:r>
        <w:rPr>
          <w:rFonts w:hint="eastAsia" w:hAnsi="宋体" w:cs="Times New Roman"/>
          <w:color w:val="auto"/>
          <w:spacing w:val="6"/>
          <w:kern w:val="2"/>
          <w:sz w:val="24"/>
          <w:szCs w:val="24"/>
          <w:highlight w:val="none"/>
        </w:rPr>
        <w:t xml:space="preserve">同时公告其监狱企业证明文件。 </w:t>
      </w:r>
    </w:p>
    <w:p w14:paraId="14D2C4EE">
      <w:pPr>
        <w:spacing w:line="520" w:lineRule="exact"/>
        <w:jc w:val="center"/>
        <w:rPr>
          <w:rFonts w:hint="eastAsia" w:ascii="宋体" w:hAnsi="宋体" w:cs="宋体"/>
          <w:color w:val="auto"/>
          <w:sz w:val="44"/>
          <w:szCs w:val="44"/>
          <w:highlight w:val="none"/>
        </w:rPr>
      </w:pPr>
    </w:p>
    <w:p w14:paraId="340A72EF">
      <w:pPr>
        <w:pStyle w:val="62"/>
        <w:rPr>
          <w:rFonts w:hint="eastAsia" w:hAnsi="宋体"/>
          <w:color w:val="auto"/>
          <w:sz w:val="44"/>
          <w:szCs w:val="44"/>
          <w:highlight w:val="none"/>
        </w:rPr>
      </w:pPr>
    </w:p>
    <w:p w14:paraId="77F44669">
      <w:pPr>
        <w:pStyle w:val="24"/>
        <w:ind w:firstLine="482"/>
        <w:jc w:val="center"/>
        <w:rPr>
          <w:rFonts w:hint="eastAsia" w:asciiTheme="minorEastAsia" w:hAnsiTheme="minorEastAsia" w:eastAsiaTheme="minorEastAsia" w:cstheme="minorEastAsia"/>
          <w:b/>
          <w:bCs/>
          <w:color w:val="auto"/>
          <w:sz w:val="30"/>
          <w:szCs w:val="30"/>
          <w:highlight w:val="none"/>
        </w:rPr>
      </w:pPr>
      <w:r>
        <w:rPr>
          <w:rFonts w:hint="eastAsia" w:asciiTheme="minorEastAsia" w:hAnsiTheme="minorEastAsia" w:eastAsiaTheme="minorEastAsia" w:cstheme="minorEastAsia"/>
          <w:b/>
          <w:bCs/>
          <w:color w:val="auto"/>
          <w:sz w:val="30"/>
          <w:szCs w:val="30"/>
          <w:highlight w:val="none"/>
        </w:rPr>
        <w:t>3、残疾人福利性单位声明函</w:t>
      </w:r>
    </w:p>
    <w:p w14:paraId="4F527EAD">
      <w:pPr>
        <w:spacing w:line="520" w:lineRule="exact"/>
        <w:rPr>
          <w:rFonts w:hint="eastAsia" w:ascii="宋体" w:hAnsi="宋体" w:cs="宋体"/>
          <w:color w:val="auto"/>
          <w:sz w:val="32"/>
          <w:szCs w:val="32"/>
          <w:highlight w:val="none"/>
        </w:rPr>
      </w:pPr>
    </w:p>
    <w:p w14:paraId="4E630C25">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单位的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0A60CB1D">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14:paraId="69E1DC3F">
      <w:pPr>
        <w:spacing w:line="360" w:lineRule="auto"/>
        <w:contextualSpacing/>
        <w:rPr>
          <w:rFonts w:hint="eastAsia" w:ascii="宋体" w:hAnsi="宋体" w:cs="宋体"/>
          <w:color w:val="auto"/>
          <w:sz w:val="24"/>
          <w:highlight w:val="none"/>
        </w:rPr>
      </w:pPr>
    </w:p>
    <w:p w14:paraId="46576F64">
      <w:pPr>
        <w:autoSpaceDE w:val="0"/>
        <w:autoSpaceDN w:val="0"/>
        <w:spacing w:line="360" w:lineRule="auto"/>
        <w:ind w:left="4335" w:leftChars="1950" w:hanging="240" w:hangingChars="100"/>
        <w:rPr>
          <w:rFonts w:hint="eastAsia" w:ascii="宋体" w:hAnsi="宋体" w:cs="宋体"/>
          <w:color w:val="auto"/>
          <w:kern w:val="0"/>
          <w:sz w:val="24"/>
          <w:szCs w:val="24"/>
          <w:highlight w:val="none"/>
        </w:rPr>
      </w:pPr>
    </w:p>
    <w:p w14:paraId="2824ED95">
      <w:pPr>
        <w:autoSpaceDE w:val="0"/>
        <w:autoSpaceDN w:val="0"/>
        <w:spacing w:line="360" w:lineRule="auto"/>
        <w:ind w:left="4335" w:leftChars="1950" w:hanging="240" w:hangingChars="1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供应商名称（电子签章）：</w:t>
      </w:r>
    </w:p>
    <w:p w14:paraId="1C2BCCBC">
      <w:pPr>
        <w:autoSpaceDE w:val="0"/>
        <w:autoSpaceDN w:val="0"/>
        <w:spacing w:line="360" w:lineRule="auto"/>
        <w:ind w:firstLine="6480" w:firstLineChars="2700"/>
        <w:rPr>
          <w:rFonts w:hint="eastAsia" w:ascii="宋体" w:hAnsi="宋体" w:cs="宋体"/>
          <w:color w:val="auto"/>
          <w:kern w:val="0"/>
          <w:sz w:val="24"/>
          <w:szCs w:val="24"/>
          <w:highlight w:val="none"/>
          <w:lang w:val="zh-CN"/>
        </w:rPr>
      </w:pPr>
      <w:r>
        <w:rPr>
          <w:rFonts w:hint="eastAsia" w:ascii="宋体" w:hAnsi="宋体" w:cs="宋体"/>
          <w:color w:val="auto"/>
          <w:kern w:val="0"/>
          <w:sz w:val="24"/>
          <w:szCs w:val="24"/>
          <w:highlight w:val="none"/>
          <w:lang w:val="zh-CN"/>
        </w:rPr>
        <w:t>日期：  年  月   日</w:t>
      </w:r>
    </w:p>
    <w:p w14:paraId="2AF64688">
      <w:pPr>
        <w:spacing w:line="360" w:lineRule="auto"/>
        <w:contextualSpacing/>
        <w:rPr>
          <w:rFonts w:hint="eastAsia" w:ascii="宋体" w:hAnsi="宋体" w:cs="宋体"/>
          <w:color w:val="auto"/>
          <w:sz w:val="24"/>
          <w:highlight w:val="none"/>
        </w:rPr>
      </w:pPr>
    </w:p>
    <w:p w14:paraId="57579488">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注：请根据自己的真实情况出具《残疾人福利性单位声明函》。依法享受中小企业优惠政策的，采购人或者采购代理机构在公告</w:t>
      </w:r>
      <w:r>
        <w:rPr>
          <w:rFonts w:hint="eastAsia" w:ascii="宋体" w:hAnsi="宋体"/>
          <w:color w:val="auto"/>
          <w:spacing w:val="-4"/>
          <w:sz w:val="24"/>
          <w:szCs w:val="24"/>
          <w:highlight w:val="none"/>
        </w:rPr>
        <w:t>成交</w:t>
      </w:r>
      <w:r>
        <w:rPr>
          <w:rFonts w:hint="eastAsia" w:ascii="宋体" w:hAnsi="宋体" w:cs="宋体"/>
          <w:color w:val="auto"/>
          <w:sz w:val="24"/>
          <w:highlight w:val="none"/>
        </w:rPr>
        <w:t>结果时，同时公告其《残疾人福利性单位声明函》，接受社会监督。</w:t>
      </w:r>
    </w:p>
    <w:p w14:paraId="1B0B5C3A">
      <w:pPr>
        <w:pStyle w:val="24"/>
        <w:spacing w:line="360" w:lineRule="auto"/>
        <w:jc w:val="center"/>
        <w:outlineLvl w:val="0"/>
        <w:rPr>
          <w:rFonts w:hint="eastAsia" w:asciiTheme="minorEastAsia" w:hAnsiTheme="minorEastAsia" w:eastAsiaTheme="minorEastAsia" w:cstheme="minorEastAsia"/>
          <w:b/>
          <w:bCs/>
          <w:color w:val="auto"/>
          <w:sz w:val="44"/>
          <w:szCs w:val="44"/>
          <w:highlight w:val="none"/>
        </w:rPr>
        <w:sectPr>
          <w:pgSz w:w="11906" w:h="16838"/>
          <w:pgMar w:top="840" w:right="1006" w:bottom="1440" w:left="1020" w:header="851" w:footer="992" w:gutter="0"/>
          <w:cols w:space="720" w:num="1"/>
          <w:titlePg/>
          <w:docGrid w:type="lines" w:linePitch="312" w:charSpace="0"/>
        </w:sectPr>
      </w:pPr>
    </w:p>
    <w:p w14:paraId="124D191C">
      <w:pPr>
        <w:jc w:val="center"/>
        <w:outlineLvl w:val="0"/>
        <w:rPr>
          <w:rFonts w:hint="eastAsia" w:asciiTheme="minorEastAsia" w:hAnsiTheme="minorEastAsia" w:eastAsiaTheme="minorEastAsia" w:cstheme="minorEastAsia"/>
          <w:b/>
          <w:bCs/>
          <w:color w:val="auto"/>
          <w:kern w:val="0"/>
          <w:sz w:val="44"/>
          <w:szCs w:val="44"/>
          <w:highlight w:val="none"/>
        </w:rPr>
      </w:pPr>
      <w:bookmarkStart w:id="43" w:name="_Toc26854"/>
      <w:r>
        <w:rPr>
          <w:rFonts w:hint="eastAsia" w:asciiTheme="minorEastAsia" w:hAnsiTheme="minorEastAsia" w:eastAsiaTheme="minorEastAsia" w:cstheme="minorEastAsia"/>
          <w:b/>
          <w:bCs/>
          <w:color w:val="auto"/>
          <w:kern w:val="0"/>
          <w:sz w:val="44"/>
          <w:szCs w:val="44"/>
          <w:highlight w:val="none"/>
        </w:rPr>
        <w:t>第七章  二次报价格式</w:t>
      </w:r>
      <w:bookmarkEnd w:id="43"/>
    </w:p>
    <w:p w14:paraId="25BD45E1">
      <w:pPr>
        <w:jc w:val="center"/>
        <w:rPr>
          <w:rFonts w:ascii="宋体" w:hAnsi="Courier New"/>
          <w:b/>
          <w:color w:val="auto"/>
          <w:sz w:val="32"/>
          <w:szCs w:val="20"/>
          <w:highlight w:val="none"/>
        </w:rPr>
      </w:pPr>
      <w:r>
        <w:rPr>
          <w:rFonts w:hint="eastAsia" w:ascii="宋体" w:hAnsi="Courier New"/>
          <w:b/>
          <w:color w:val="auto"/>
          <w:sz w:val="32"/>
          <w:szCs w:val="20"/>
          <w:highlight w:val="none"/>
        </w:rPr>
        <w:t>（1）二次磋商报价表</w:t>
      </w:r>
    </w:p>
    <w:p w14:paraId="67348F66">
      <w:pPr>
        <w:ind w:left="-178" w:leftChars="-85" w:right="-512" w:rightChars="-244" w:firstLine="630" w:firstLineChars="3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项目名称：  </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 xml:space="preserve">                  币种：人民币</w:t>
      </w:r>
    </w:p>
    <w:tbl>
      <w:tblPr>
        <w:tblStyle w:val="44"/>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3116"/>
        <w:gridCol w:w="1987"/>
        <w:gridCol w:w="1702"/>
      </w:tblGrid>
      <w:tr w14:paraId="33DA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5100" w:type="dxa"/>
            <w:gridSpan w:val="2"/>
            <w:vAlign w:val="center"/>
          </w:tcPr>
          <w:p w14:paraId="29D8095A">
            <w:pPr>
              <w:widowControl/>
              <w:jc w:val="center"/>
              <w:rPr>
                <w:rFonts w:hint="eastAsia" w:ascii="宋体" w:hAnsi="宋体" w:cs="宋体"/>
                <w:color w:val="auto"/>
                <w:highlight w:val="none"/>
              </w:rPr>
            </w:pPr>
            <w:r>
              <w:rPr>
                <w:rFonts w:hint="eastAsia" w:ascii="宋体" w:hAnsi="宋体" w:cs="宋体"/>
                <w:color w:val="auto"/>
                <w:highlight w:val="none"/>
              </w:rPr>
              <w:t>投标总价</w:t>
            </w:r>
          </w:p>
        </w:tc>
        <w:tc>
          <w:tcPr>
            <w:tcW w:w="1987" w:type="dxa"/>
            <w:vAlign w:val="center"/>
          </w:tcPr>
          <w:p w14:paraId="7BE0B26E">
            <w:pPr>
              <w:widowControl/>
              <w:jc w:val="right"/>
              <w:rPr>
                <w:rFonts w:hint="eastAsia" w:ascii="宋体" w:hAnsi="宋体" w:cs="宋体"/>
                <w:color w:val="auto"/>
                <w:highlight w:val="none"/>
              </w:rPr>
            </w:pPr>
            <w:r>
              <w:rPr>
                <w:rFonts w:hint="eastAsia" w:ascii="宋体" w:hAnsi="宋体" w:cs="宋体"/>
                <w:color w:val="auto"/>
                <w:highlight w:val="none"/>
              </w:rPr>
              <w:t>万元</w:t>
            </w:r>
          </w:p>
        </w:tc>
        <w:tc>
          <w:tcPr>
            <w:tcW w:w="1702" w:type="dxa"/>
            <w:vAlign w:val="center"/>
          </w:tcPr>
          <w:p w14:paraId="6EED9C15">
            <w:pPr>
              <w:widowControl/>
              <w:jc w:val="center"/>
              <w:rPr>
                <w:rFonts w:hint="eastAsia" w:ascii="宋体" w:hAnsi="宋体" w:cs="宋体"/>
                <w:color w:val="auto"/>
                <w:highlight w:val="none"/>
              </w:rPr>
            </w:pPr>
            <w:r>
              <w:rPr>
                <w:rFonts w:hint="eastAsia" w:ascii="宋体" w:hAnsi="宋体" w:cs="宋体"/>
                <w:color w:val="auto"/>
                <w:highlight w:val="none"/>
              </w:rPr>
              <w:t>备注</w:t>
            </w:r>
          </w:p>
        </w:tc>
      </w:tr>
      <w:tr w14:paraId="17761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984" w:type="dxa"/>
            <w:vMerge w:val="restart"/>
            <w:vAlign w:val="center"/>
          </w:tcPr>
          <w:p w14:paraId="56BAF601">
            <w:pPr>
              <w:jc w:val="center"/>
              <w:rPr>
                <w:rFonts w:hint="eastAsia" w:ascii="宋体" w:hAnsi="宋体" w:cs="宋体"/>
                <w:color w:val="auto"/>
                <w:highlight w:val="none"/>
              </w:rPr>
            </w:pPr>
            <w:r>
              <w:rPr>
                <w:rFonts w:hint="eastAsia" w:ascii="宋体" w:hAnsi="宋体" w:cs="宋体"/>
                <w:color w:val="auto"/>
                <w:highlight w:val="none"/>
              </w:rPr>
              <w:t>其中</w:t>
            </w:r>
          </w:p>
        </w:tc>
        <w:tc>
          <w:tcPr>
            <w:tcW w:w="3116" w:type="dxa"/>
            <w:vAlign w:val="center"/>
          </w:tcPr>
          <w:p w14:paraId="3CB8BED9">
            <w:pPr>
              <w:jc w:val="center"/>
              <w:rPr>
                <w:rFonts w:hint="eastAsia" w:ascii="宋体" w:hAnsi="宋体" w:cs="宋体"/>
                <w:color w:val="auto"/>
                <w:highlight w:val="none"/>
              </w:rPr>
            </w:pPr>
            <w:r>
              <w:rPr>
                <w:rFonts w:hint="eastAsia" w:ascii="宋体" w:hAnsi="宋体" w:cs="宋体"/>
                <w:color w:val="auto"/>
                <w:highlight w:val="none"/>
              </w:rPr>
              <w:t>安全文明施工费</w:t>
            </w:r>
          </w:p>
        </w:tc>
        <w:tc>
          <w:tcPr>
            <w:tcW w:w="1987" w:type="dxa"/>
            <w:vAlign w:val="center"/>
          </w:tcPr>
          <w:p w14:paraId="2F1F5BFA">
            <w:pPr>
              <w:jc w:val="right"/>
              <w:rPr>
                <w:rFonts w:hint="eastAsia" w:ascii="宋体" w:hAnsi="宋体" w:cs="宋体"/>
                <w:color w:val="auto"/>
                <w:highlight w:val="none"/>
              </w:rPr>
            </w:pPr>
            <w:r>
              <w:rPr>
                <w:rFonts w:hint="eastAsia" w:ascii="宋体" w:hAnsi="宋体" w:cs="宋体"/>
                <w:color w:val="auto"/>
                <w:highlight w:val="none"/>
              </w:rPr>
              <w:t>万元</w:t>
            </w:r>
          </w:p>
        </w:tc>
        <w:tc>
          <w:tcPr>
            <w:tcW w:w="1702" w:type="dxa"/>
            <w:vAlign w:val="center"/>
          </w:tcPr>
          <w:p w14:paraId="124ABB05">
            <w:pPr>
              <w:jc w:val="center"/>
              <w:rPr>
                <w:rFonts w:hint="eastAsia" w:ascii="宋体" w:hAnsi="宋体" w:cs="宋体"/>
                <w:color w:val="auto"/>
                <w:highlight w:val="none"/>
              </w:rPr>
            </w:pPr>
          </w:p>
        </w:tc>
      </w:tr>
      <w:tr w14:paraId="2FECC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984" w:type="dxa"/>
            <w:vMerge w:val="continue"/>
            <w:vAlign w:val="center"/>
          </w:tcPr>
          <w:p w14:paraId="03663177">
            <w:pPr>
              <w:widowControl/>
              <w:jc w:val="center"/>
              <w:rPr>
                <w:rFonts w:hint="eastAsia" w:ascii="宋体" w:hAnsi="宋体" w:cs="宋体"/>
                <w:color w:val="auto"/>
                <w:highlight w:val="none"/>
              </w:rPr>
            </w:pPr>
          </w:p>
        </w:tc>
        <w:tc>
          <w:tcPr>
            <w:tcW w:w="3116" w:type="dxa"/>
            <w:vAlign w:val="center"/>
          </w:tcPr>
          <w:p w14:paraId="5EBA4D1D">
            <w:pPr>
              <w:jc w:val="center"/>
              <w:rPr>
                <w:rFonts w:hint="eastAsia" w:ascii="宋体" w:hAnsi="宋体" w:cs="宋体"/>
                <w:color w:val="auto"/>
                <w:highlight w:val="none"/>
              </w:rPr>
            </w:pPr>
            <w:r>
              <w:rPr>
                <w:rFonts w:hint="eastAsia" w:ascii="宋体" w:hAnsi="宋体" w:cs="宋体"/>
                <w:color w:val="auto"/>
                <w:highlight w:val="none"/>
              </w:rPr>
              <w:t>发包人提供材料（设备）暂估价（如有）</w:t>
            </w:r>
          </w:p>
        </w:tc>
        <w:tc>
          <w:tcPr>
            <w:tcW w:w="1987" w:type="dxa"/>
            <w:vAlign w:val="center"/>
          </w:tcPr>
          <w:p w14:paraId="3C63B253">
            <w:pPr>
              <w:widowControl/>
              <w:jc w:val="right"/>
              <w:rPr>
                <w:rFonts w:hint="eastAsia" w:ascii="宋体" w:hAnsi="宋体" w:cs="宋体"/>
                <w:color w:val="auto"/>
                <w:highlight w:val="none"/>
              </w:rPr>
            </w:pPr>
            <w:r>
              <w:rPr>
                <w:rFonts w:hint="eastAsia" w:ascii="宋体" w:hAnsi="宋体" w:cs="宋体"/>
                <w:color w:val="auto"/>
                <w:highlight w:val="none"/>
              </w:rPr>
              <w:t>万元</w:t>
            </w:r>
          </w:p>
        </w:tc>
        <w:tc>
          <w:tcPr>
            <w:tcW w:w="1702" w:type="dxa"/>
          </w:tcPr>
          <w:p w14:paraId="6402E59E">
            <w:pPr>
              <w:widowControl/>
              <w:ind w:right="480"/>
              <w:rPr>
                <w:rFonts w:hint="eastAsia" w:ascii="宋体" w:hAnsi="宋体" w:cs="宋体"/>
                <w:color w:val="auto"/>
                <w:highlight w:val="none"/>
              </w:rPr>
            </w:pPr>
          </w:p>
        </w:tc>
      </w:tr>
      <w:tr w14:paraId="16DF0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984" w:type="dxa"/>
            <w:vMerge w:val="continue"/>
            <w:vAlign w:val="center"/>
          </w:tcPr>
          <w:p w14:paraId="2CF83E48">
            <w:pPr>
              <w:widowControl/>
              <w:jc w:val="center"/>
              <w:rPr>
                <w:rFonts w:hint="eastAsia" w:ascii="宋体" w:hAnsi="宋体" w:cs="宋体"/>
                <w:color w:val="auto"/>
                <w:highlight w:val="none"/>
              </w:rPr>
            </w:pPr>
          </w:p>
        </w:tc>
        <w:tc>
          <w:tcPr>
            <w:tcW w:w="3116" w:type="dxa"/>
            <w:vAlign w:val="center"/>
          </w:tcPr>
          <w:p w14:paraId="494CCA41">
            <w:pPr>
              <w:widowControl/>
              <w:rPr>
                <w:rFonts w:hint="eastAsia" w:ascii="宋体" w:hAnsi="宋体" w:cs="宋体"/>
                <w:color w:val="auto"/>
                <w:highlight w:val="none"/>
              </w:rPr>
            </w:pPr>
            <w:r>
              <w:rPr>
                <w:rFonts w:hint="eastAsia" w:ascii="宋体" w:hAnsi="宋体" w:cs="宋体"/>
                <w:color w:val="auto"/>
                <w:highlight w:val="none"/>
              </w:rPr>
              <w:t>专业工程暂估价（如有）</w:t>
            </w:r>
          </w:p>
        </w:tc>
        <w:tc>
          <w:tcPr>
            <w:tcW w:w="1987" w:type="dxa"/>
            <w:vAlign w:val="center"/>
          </w:tcPr>
          <w:p w14:paraId="3660E427">
            <w:pPr>
              <w:widowControl/>
              <w:jc w:val="right"/>
              <w:rPr>
                <w:rFonts w:hint="eastAsia" w:ascii="宋体" w:hAnsi="宋体" w:cs="宋体"/>
                <w:color w:val="auto"/>
                <w:highlight w:val="none"/>
              </w:rPr>
            </w:pPr>
            <w:r>
              <w:rPr>
                <w:rFonts w:hint="eastAsia" w:ascii="宋体" w:hAnsi="宋体" w:cs="宋体"/>
                <w:color w:val="auto"/>
                <w:highlight w:val="none"/>
              </w:rPr>
              <w:t>万元</w:t>
            </w:r>
          </w:p>
        </w:tc>
        <w:tc>
          <w:tcPr>
            <w:tcW w:w="1702" w:type="dxa"/>
          </w:tcPr>
          <w:p w14:paraId="2913727C">
            <w:pPr>
              <w:widowControl/>
              <w:ind w:right="480"/>
              <w:rPr>
                <w:rFonts w:hint="eastAsia" w:ascii="宋体" w:hAnsi="宋体" w:cs="宋体"/>
                <w:color w:val="auto"/>
                <w:highlight w:val="none"/>
              </w:rPr>
            </w:pPr>
          </w:p>
        </w:tc>
      </w:tr>
      <w:tr w14:paraId="70143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984" w:type="dxa"/>
            <w:vMerge w:val="continue"/>
            <w:vAlign w:val="center"/>
          </w:tcPr>
          <w:p w14:paraId="7B875FFE">
            <w:pPr>
              <w:widowControl/>
              <w:jc w:val="center"/>
              <w:rPr>
                <w:rFonts w:hint="eastAsia" w:ascii="宋体" w:hAnsi="宋体" w:cs="宋体"/>
                <w:color w:val="auto"/>
                <w:highlight w:val="none"/>
              </w:rPr>
            </w:pPr>
          </w:p>
        </w:tc>
        <w:tc>
          <w:tcPr>
            <w:tcW w:w="3116" w:type="dxa"/>
            <w:vAlign w:val="center"/>
          </w:tcPr>
          <w:p w14:paraId="374CD643">
            <w:pPr>
              <w:widowControl/>
              <w:ind w:firstLine="945" w:firstLineChars="450"/>
              <w:rPr>
                <w:rFonts w:hint="eastAsia" w:ascii="宋体" w:hAnsi="宋体" w:cs="宋体"/>
                <w:color w:val="auto"/>
                <w:highlight w:val="none"/>
              </w:rPr>
            </w:pPr>
            <w:r>
              <w:rPr>
                <w:rFonts w:hint="eastAsia" w:ascii="宋体" w:hAnsi="宋体" w:cs="宋体"/>
                <w:color w:val="auto"/>
                <w:highlight w:val="none"/>
              </w:rPr>
              <w:t>暂列金额（如有）</w:t>
            </w:r>
          </w:p>
        </w:tc>
        <w:tc>
          <w:tcPr>
            <w:tcW w:w="1987" w:type="dxa"/>
            <w:vAlign w:val="center"/>
          </w:tcPr>
          <w:p w14:paraId="1376D50B">
            <w:pPr>
              <w:widowControl/>
              <w:jc w:val="right"/>
              <w:rPr>
                <w:rFonts w:hint="eastAsia" w:ascii="宋体" w:hAnsi="宋体" w:cs="宋体"/>
                <w:color w:val="auto"/>
                <w:highlight w:val="none"/>
              </w:rPr>
            </w:pPr>
            <w:r>
              <w:rPr>
                <w:rFonts w:hint="eastAsia" w:ascii="宋体" w:hAnsi="宋体" w:cs="宋体"/>
                <w:color w:val="auto"/>
                <w:highlight w:val="none"/>
              </w:rPr>
              <w:t>万元</w:t>
            </w:r>
          </w:p>
        </w:tc>
        <w:tc>
          <w:tcPr>
            <w:tcW w:w="1702" w:type="dxa"/>
          </w:tcPr>
          <w:p w14:paraId="09AD55F5">
            <w:pPr>
              <w:widowControl/>
              <w:ind w:right="480"/>
              <w:rPr>
                <w:rFonts w:hint="eastAsia" w:ascii="宋体" w:hAnsi="宋体" w:cs="宋体"/>
                <w:color w:val="auto"/>
                <w:highlight w:val="none"/>
              </w:rPr>
            </w:pPr>
          </w:p>
        </w:tc>
      </w:tr>
      <w:tr w14:paraId="5850A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984" w:type="dxa"/>
            <w:vMerge w:val="restart"/>
            <w:vAlign w:val="center"/>
          </w:tcPr>
          <w:p w14:paraId="15C29A1F">
            <w:pPr>
              <w:widowControl/>
              <w:jc w:val="center"/>
              <w:rPr>
                <w:rFonts w:hint="eastAsia" w:ascii="宋体" w:hAnsi="宋体" w:cs="宋体"/>
                <w:color w:val="auto"/>
                <w:highlight w:val="none"/>
              </w:rPr>
            </w:pPr>
            <w:r>
              <w:rPr>
                <w:rFonts w:hint="eastAsia" w:ascii="宋体" w:hAnsi="宋体" w:cs="宋体"/>
                <w:color w:val="auto"/>
                <w:highlight w:val="none"/>
              </w:rPr>
              <w:t>主要材料</w:t>
            </w:r>
          </w:p>
        </w:tc>
        <w:tc>
          <w:tcPr>
            <w:tcW w:w="3116" w:type="dxa"/>
            <w:vAlign w:val="center"/>
          </w:tcPr>
          <w:p w14:paraId="11180381">
            <w:pPr>
              <w:widowControl/>
              <w:jc w:val="center"/>
              <w:rPr>
                <w:rFonts w:hint="eastAsia" w:ascii="宋体" w:hAnsi="宋体" w:cs="宋体"/>
                <w:color w:val="auto"/>
                <w:highlight w:val="none"/>
              </w:rPr>
            </w:pPr>
            <w:r>
              <w:rPr>
                <w:rFonts w:hint="eastAsia" w:ascii="宋体" w:hAnsi="宋体" w:cs="宋体"/>
                <w:color w:val="auto"/>
                <w:highlight w:val="none"/>
              </w:rPr>
              <w:t>钢筋</w:t>
            </w:r>
          </w:p>
        </w:tc>
        <w:tc>
          <w:tcPr>
            <w:tcW w:w="1987" w:type="dxa"/>
            <w:vAlign w:val="center"/>
          </w:tcPr>
          <w:p w14:paraId="739C0E65">
            <w:pPr>
              <w:widowControl/>
              <w:jc w:val="right"/>
              <w:rPr>
                <w:rFonts w:hint="eastAsia" w:ascii="宋体" w:hAnsi="宋体" w:cs="宋体"/>
                <w:color w:val="auto"/>
                <w:highlight w:val="none"/>
              </w:rPr>
            </w:pPr>
            <w:r>
              <w:rPr>
                <w:rFonts w:hint="eastAsia" w:ascii="宋体" w:hAnsi="宋体" w:cs="宋体"/>
                <w:color w:val="auto"/>
                <w:highlight w:val="none"/>
              </w:rPr>
              <w:t>吨</w:t>
            </w:r>
          </w:p>
        </w:tc>
        <w:tc>
          <w:tcPr>
            <w:tcW w:w="1702" w:type="dxa"/>
          </w:tcPr>
          <w:p w14:paraId="43531E1E">
            <w:pPr>
              <w:widowControl/>
              <w:jc w:val="right"/>
              <w:rPr>
                <w:rFonts w:hint="eastAsia" w:ascii="宋体" w:hAnsi="宋体" w:cs="宋体"/>
                <w:color w:val="auto"/>
                <w:highlight w:val="none"/>
              </w:rPr>
            </w:pPr>
          </w:p>
        </w:tc>
      </w:tr>
      <w:tr w14:paraId="240CA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984" w:type="dxa"/>
            <w:vMerge w:val="continue"/>
            <w:vAlign w:val="center"/>
          </w:tcPr>
          <w:p w14:paraId="3C9D0836">
            <w:pPr>
              <w:widowControl/>
              <w:jc w:val="center"/>
              <w:rPr>
                <w:rFonts w:hint="eastAsia" w:ascii="宋体" w:hAnsi="宋体" w:cs="宋体"/>
                <w:color w:val="auto"/>
                <w:highlight w:val="none"/>
              </w:rPr>
            </w:pPr>
          </w:p>
        </w:tc>
        <w:tc>
          <w:tcPr>
            <w:tcW w:w="3116" w:type="dxa"/>
            <w:vAlign w:val="center"/>
          </w:tcPr>
          <w:p w14:paraId="34C2D78E">
            <w:pPr>
              <w:widowControl/>
              <w:jc w:val="center"/>
              <w:rPr>
                <w:rFonts w:hint="eastAsia" w:ascii="宋体" w:hAnsi="宋体" w:cs="宋体"/>
                <w:color w:val="auto"/>
                <w:highlight w:val="none"/>
              </w:rPr>
            </w:pPr>
            <w:r>
              <w:rPr>
                <w:rFonts w:hint="eastAsia" w:ascii="宋体" w:hAnsi="宋体" w:cs="宋体"/>
                <w:color w:val="auto"/>
                <w:highlight w:val="none"/>
              </w:rPr>
              <w:t>水泥（不含商品混凝土用量）</w:t>
            </w:r>
          </w:p>
        </w:tc>
        <w:tc>
          <w:tcPr>
            <w:tcW w:w="1987" w:type="dxa"/>
            <w:vAlign w:val="center"/>
          </w:tcPr>
          <w:p w14:paraId="2F708A11">
            <w:pPr>
              <w:widowControl/>
              <w:tabs>
                <w:tab w:val="left" w:pos="2398"/>
              </w:tabs>
              <w:ind w:right="18"/>
              <w:jc w:val="right"/>
              <w:rPr>
                <w:rFonts w:hint="eastAsia" w:ascii="宋体" w:hAnsi="宋体" w:cs="宋体"/>
                <w:color w:val="auto"/>
                <w:highlight w:val="none"/>
              </w:rPr>
            </w:pPr>
            <w:r>
              <w:rPr>
                <w:rFonts w:hint="eastAsia" w:ascii="宋体" w:hAnsi="宋体" w:cs="宋体"/>
                <w:color w:val="auto"/>
                <w:highlight w:val="none"/>
              </w:rPr>
              <w:t>吨</w:t>
            </w:r>
          </w:p>
        </w:tc>
        <w:tc>
          <w:tcPr>
            <w:tcW w:w="1702" w:type="dxa"/>
          </w:tcPr>
          <w:p w14:paraId="48D2D249">
            <w:pPr>
              <w:widowControl/>
              <w:jc w:val="right"/>
              <w:rPr>
                <w:rFonts w:hint="eastAsia" w:ascii="宋体" w:hAnsi="宋体" w:cs="宋体"/>
                <w:color w:val="auto"/>
                <w:highlight w:val="none"/>
              </w:rPr>
            </w:pPr>
          </w:p>
        </w:tc>
      </w:tr>
      <w:tr w14:paraId="566B3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1984" w:type="dxa"/>
            <w:vMerge w:val="continue"/>
            <w:vAlign w:val="center"/>
          </w:tcPr>
          <w:p w14:paraId="1FC2A658">
            <w:pPr>
              <w:widowControl/>
              <w:jc w:val="center"/>
              <w:rPr>
                <w:rFonts w:hint="eastAsia" w:ascii="宋体" w:hAnsi="宋体" w:cs="宋体"/>
                <w:color w:val="auto"/>
                <w:highlight w:val="none"/>
              </w:rPr>
            </w:pPr>
          </w:p>
        </w:tc>
        <w:tc>
          <w:tcPr>
            <w:tcW w:w="3116" w:type="dxa"/>
            <w:vAlign w:val="center"/>
          </w:tcPr>
          <w:p w14:paraId="0AD632EF">
            <w:pPr>
              <w:widowControl/>
              <w:jc w:val="center"/>
              <w:rPr>
                <w:rFonts w:hint="eastAsia" w:ascii="宋体" w:hAnsi="宋体" w:cs="宋体"/>
                <w:color w:val="auto"/>
                <w:highlight w:val="none"/>
              </w:rPr>
            </w:pPr>
            <w:r>
              <w:rPr>
                <w:rFonts w:hint="eastAsia" w:ascii="宋体" w:hAnsi="宋体" w:cs="宋体"/>
                <w:color w:val="auto"/>
                <w:highlight w:val="none"/>
              </w:rPr>
              <w:t>商品混凝土</w:t>
            </w:r>
          </w:p>
        </w:tc>
        <w:tc>
          <w:tcPr>
            <w:tcW w:w="1987" w:type="dxa"/>
            <w:vAlign w:val="center"/>
          </w:tcPr>
          <w:p w14:paraId="0FE7AE86">
            <w:pPr>
              <w:widowControl/>
              <w:jc w:val="right"/>
              <w:rPr>
                <w:rFonts w:hint="eastAsia" w:ascii="宋体" w:hAnsi="宋体" w:cs="宋体"/>
                <w:color w:val="auto"/>
                <w:highlight w:val="none"/>
              </w:rPr>
            </w:pPr>
            <w:r>
              <w:rPr>
                <w:rFonts w:hint="eastAsia" w:ascii="宋体" w:hAnsi="宋体" w:cs="宋体"/>
                <w:color w:val="auto"/>
                <w:highlight w:val="none"/>
              </w:rPr>
              <w:t>m</w:t>
            </w:r>
            <w:r>
              <w:rPr>
                <w:rFonts w:hint="eastAsia" w:ascii="宋体" w:hAnsi="宋体" w:cs="宋体"/>
                <w:color w:val="auto"/>
                <w:highlight w:val="none"/>
                <w:vertAlign w:val="superscript"/>
              </w:rPr>
              <w:t>3</w:t>
            </w:r>
          </w:p>
        </w:tc>
        <w:tc>
          <w:tcPr>
            <w:tcW w:w="1702" w:type="dxa"/>
          </w:tcPr>
          <w:p w14:paraId="39A3DCD6">
            <w:pPr>
              <w:widowControl/>
              <w:jc w:val="right"/>
              <w:rPr>
                <w:rFonts w:hint="eastAsia" w:ascii="宋体" w:hAnsi="宋体" w:cs="宋体"/>
                <w:color w:val="auto"/>
                <w:highlight w:val="none"/>
              </w:rPr>
            </w:pPr>
          </w:p>
        </w:tc>
      </w:tr>
      <w:tr w14:paraId="7B113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8789" w:type="dxa"/>
            <w:gridSpan w:val="4"/>
            <w:vAlign w:val="center"/>
          </w:tcPr>
          <w:p w14:paraId="6CA0EA08">
            <w:pPr>
              <w:pStyle w:val="175"/>
              <w:spacing w:line="360" w:lineRule="auto"/>
              <w:jc w:val="left"/>
              <w:rPr>
                <w:rStyle w:val="170"/>
                <w:rFonts w:hint="eastAsia" w:ascii="宋体" w:hAnsi="宋体"/>
                <w:color w:val="auto"/>
                <w:highlight w:val="none"/>
                <w:u w:val="single"/>
              </w:rPr>
            </w:pPr>
            <w:r>
              <w:rPr>
                <w:rStyle w:val="170"/>
                <w:rFonts w:ascii="宋体" w:hAnsi="宋体"/>
                <w:color w:val="auto"/>
                <w:highlight w:val="none"/>
              </w:rPr>
              <w:t>统一社会信用代码：</w:t>
            </w:r>
            <w:r>
              <w:rPr>
                <w:rStyle w:val="170"/>
                <w:rFonts w:hint="eastAsia" w:ascii="宋体" w:hAnsi="宋体"/>
                <w:color w:val="auto"/>
                <w:highlight w:val="none"/>
                <w:u w:val="single"/>
              </w:rPr>
              <w:t xml:space="preserve">                                   </w:t>
            </w:r>
          </w:p>
          <w:p w14:paraId="1B1F3793">
            <w:pPr>
              <w:pStyle w:val="175"/>
              <w:spacing w:line="360" w:lineRule="auto"/>
              <w:jc w:val="left"/>
              <w:rPr>
                <w:rStyle w:val="170"/>
                <w:rFonts w:hint="eastAsia" w:ascii="宋体" w:hAnsi="宋体"/>
                <w:color w:val="auto"/>
                <w:highlight w:val="none"/>
              </w:rPr>
            </w:pPr>
            <w:r>
              <w:rPr>
                <w:rStyle w:val="170"/>
                <w:rFonts w:ascii="宋体" w:hAnsi="宋体"/>
                <w:color w:val="auto"/>
                <w:highlight w:val="none"/>
              </w:rPr>
              <w:t>法定代表人身份证号：</w:t>
            </w:r>
            <w:r>
              <w:rPr>
                <w:rStyle w:val="170"/>
                <w:rFonts w:hint="eastAsia" w:ascii="宋体" w:hAnsi="宋体"/>
                <w:color w:val="auto"/>
                <w:highlight w:val="none"/>
                <w:u w:val="single"/>
              </w:rPr>
              <w:t xml:space="preserve">                                 </w:t>
            </w:r>
          </w:p>
          <w:p w14:paraId="7C137A71">
            <w:pPr>
              <w:pStyle w:val="175"/>
              <w:spacing w:line="360" w:lineRule="auto"/>
              <w:jc w:val="left"/>
              <w:rPr>
                <w:rStyle w:val="170"/>
                <w:rFonts w:hint="eastAsia" w:ascii="宋体" w:hAnsi="宋体"/>
                <w:color w:val="auto"/>
                <w:highlight w:val="none"/>
              </w:rPr>
            </w:pPr>
            <w:r>
              <w:rPr>
                <w:rStyle w:val="170"/>
                <w:rFonts w:ascii="宋体" w:hAnsi="宋体"/>
                <w:color w:val="auto"/>
                <w:highlight w:val="none"/>
              </w:rPr>
              <w:t>主要人员信息：</w:t>
            </w:r>
          </w:p>
          <w:p w14:paraId="4B025D77">
            <w:pPr>
              <w:pStyle w:val="175"/>
              <w:spacing w:line="360" w:lineRule="auto"/>
              <w:rPr>
                <w:rStyle w:val="170"/>
                <w:rFonts w:hint="eastAsia" w:ascii="宋体" w:hAnsi="宋体"/>
                <w:color w:val="auto"/>
                <w:highlight w:val="none"/>
              </w:rPr>
            </w:pPr>
            <w:r>
              <w:rPr>
                <w:rStyle w:val="170"/>
                <w:rFonts w:ascii="宋体" w:hAnsi="宋体"/>
                <w:color w:val="auto"/>
                <w:highlight w:val="none"/>
              </w:rPr>
              <w:t>项目经理：</w:t>
            </w:r>
            <w:r>
              <w:rPr>
                <w:rStyle w:val="170"/>
                <w:rFonts w:ascii="宋体" w:hAnsi="宋体"/>
                <w:color w:val="auto"/>
                <w:highlight w:val="none"/>
                <w:u w:val="single"/>
              </w:rPr>
              <w:t>姓名</w:t>
            </w:r>
            <w:r>
              <w:rPr>
                <w:rStyle w:val="170"/>
                <w:rFonts w:ascii="宋体" w:hAnsi="宋体"/>
                <w:color w:val="auto"/>
                <w:highlight w:val="none"/>
              </w:rPr>
              <w:t>（注册编号：</w:t>
            </w:r>
            <w:r>
              <w:rPr>
                <w:rStyle w:val="170"/>
                <w:rFonts w:hint="eastAsia" w:ascii="宋体" w:hAnsi="宋体"/>
                <w:color w:val="auto"/>
                <w:highlight w:val="none"/>
                <w:u w:val="single"/>
              </w:rPr>
              <w:t xml:space="preserve">               </w:t>
            </w:r>
            <w:r>
              <w:rPr>
                <w:rStyle w:val="170"/>
                <w:rFonts w:ascii="宋体" w:hAnsi="宋体"/>
                <w:color w:val="auto"/>
                <w:highlight w:val="none"/>
              </w:rPr>
              <w:t>身份证号：</w:t>
            </w:r>
            <w:r>
              <w:rPr>
                <w:rStyle w:val="170"/>
                <w:rFonts w:hint="eastAsia" w:ascii="宋体" w:hAnsi="宋体"/>
                <w:color w:val="auto"/>
                <w:highlight w:val="none"/>
                <w:u w:val="single"/>
              </w:rPr>
              <w:t xml:space="preserve">                        </w:t>
            </w:r>
            <w:r>
              <w:rPr>
                <w:rStyle w:val="170"/>
                <w:rFonts w:ascii="宋体" w:hAnsi="宋体"/>
                <w:color w:val="auto"/>
                <w:highlight w:val="none"/>
              </w:rPr>
              <w:t>）</w:t>
            </w:r>
          </w:p>
          <w:p w14:paraId="577C5D66">
            <w:pPr>
              <w:pStyle w:val="175"/>
              <w:spacing w:line="360" w:lineRule="auto"/>
              <w:rPr>
                <w:rStyle w:val="170"/>
                <w:rFonts w:hint="eastAsia" w:ascii="宋体" w:hAnsi="宋体"/>
                <w:color w:val="auto"/>
                <w:highlight w:val="none"/>
              </w:rPr>
            </w:pPr>
            <w:r>
              <w:rPr>
                <w:rStyle w:val="170"/>
                <w:rFonts w:ascii="宋体" w:hAnsi="宋体"/>
                <w:color w:val="auto"/>
                <w:highlight w:val="none"/>
              </w:rPr>
              <w:t>技术负责人：</w:t>
            </w:r>
            <w:r>
              <w:rPr>
                <w:rStyle w:val="170"/>
                <w:rFonts w:ascii="宋体" w:hAnsi="宋体"/>
                <w:color w:val="auto"/>
                <w:highlight w:val="none"/>
                <w:u w:val="single"/>
              </w:rPr>
              <w:t>姓名</w:t>
            </w:r>
            <w:r>
              <w:rPr>
                <w:rStyle w:val="170"/>
                <w:rFonts w:ascii="宋体" w:hAnsi="宋体"/>
                <w:color w:val="auto"/>
                <w:highlight w:val="none"/>
              </w:rPr>
              <w:t>（证书号：</w:t>
            </w:r>
            <w:r>
              <w:rPr>
                <w:rStyle w:val="170"/>
                <w:rFonts w:hint="eastAsia" w:ascii="宋体" w:hAnsi="宋体"/>
                <w:color w:val="auto"/>
                <w:highlight w:val="none"/>
                <w:u w:val="single"/>
              </w:rPr>
              <w:t xml:space="preserve">                </w:t>
            </w:r>
            <w:r>
              <w:rPr>
                <w:rStyle w:val="170"/>
                <w:rFonts w:ascii="宋体" w:hAnsi="宋体"/>
                <w:color w:val="auto"/>
                <w:highlight w:val="none"/>
              </w:rPr>
              <w:t>）</w:t>
            </w:r>
          </w:p>
          <w:p w14:paraId="03C08AA3">
            <w:pPr>
              <w:pStyle w:val="175"/>
              <w:spacing w:line="360" w:lineRule="auto"/>
              <w:rPr>
                <w:rStyle w:val="170"/>
                <w:rFonts w:hint="eastAsia" w:ascii="宋体" w:hAnsi="宋体"/>
                <w:color w:val="auto"/>
                <w:highlight w:val="none"/>
              </w:rPr>
            </w:pPr>
            <w:r>
              <w:rPr>
                <w:rStyle w:val="170"/>
                <w:rFonts w:ascii="宋体" w:hAnsi="宋体"/>
                <w:color w:val="auto"/>
                <w:highlight w:val="none"/>
              </w:rPr>
              <w:t>安全员：</w:t>
            </w:r>
            <w:r>
              <w:rPr>
                <w:rStyle w:val="170"/>
                <w:rFonts w:ascii="宋体" w:hAnsi="宋体"/>
                <w:color w:val="auto"/>
                <w:highlight w:val="none"/>
                <w:u w:val="single"/>
              </w:rPr>
              <w:t>姓名</w:t>
            </w:r>
            <w:r>
              <w:rPr>
                <w:rStyle w:val="170"/>
                <w:rFonts w:ascii="宋体" w:hAnsi="宋体"/>
                <w:color w:val="auto"/>
                <w:highlight w:val="none"/>
              </w:rPr>
              <w:t>（</w:t>
            </w:r>
            <w:r>
              <w:rPr>
                <w:rFonts w:hint="eastAsia" w:ascii="宋体" w:hAnsi="宋体" w:cs="宋体"/>
                <w:color w:val="auto"/>
                <w:szCs w:val="21"/>
                <w:highlight w:val="none"/>
                <w:lang w:val="zh-CN"/>
              </w:rPr>
              <w:t>安全生产考核合格证书编号</w:t>
            </w:r>
            <w:r>
              <w:rPr>
                <w:rStyle w:val="170"/>
                <w:rFonts w:ascii="宋体" w:hAnsi="宋体"/>
                <w:color w:val="auto"/>
                <w:highlight w:val="none"/>
              </w:rPr>
              <w:t>：</w:t>
            </w:r>
            <w:r>
              <w:rPr>
                <w:rStyle w:val="170"/>
                <w:rFonts w:hint="eastAsia" w:ascii="宋体" w:hAnsi="宋体"/>
                <w:color w:val="auto"/>
                <w:highlight w:val="none"/>
                <w:u w:val="single"/>
              </w:rPr>
              <w:t xml:space="preserve">          </w:t>
            </w:r>
            <w:r>
              <w:rPr>
                <w:rStyle w:val="170"/>
                <w:rFonts w:ascii="宋体" w:hAnsi="宋体"/>
                <w:color w:val="auto"/>
                <w:highlight w:val="none"/>
              </w:rPr>
              <w:t xml:space="preserve"> 身份证号：</w:t>
            </w:r>
            <w:r>
              <w:rPr>
                <w:rStyle w:val="170"/>
                <w:rFonts w:hint="eastAsia" w:ascii="宋体" w:hAnsi="宋体"/>
                <w:color w:val="auto"/>
                <w:highlight w:val="none"/>
                <w:u w:val="single"/>
              </w:rPr>
              <w:t xml:space="preserve">              </w:t>
            </w:r>
            <w:r>
              <w:rPr>
                <w:rStyle w:val="170"/>
                <w:rFonts w:ascii="宋体" w:hAnsi="宋体"/>
                <w:color w:val="auto"/>
                <w:highlight w:val="none"/>
              </w:rPr>
              <w:t>）</w:t>
            </w:r>
          </w:p>
          <w:p w14:paraId="7292F36D">
            <w:pPr>
              <w:pStyle w:val="175"/>
              <w:spacing w:line="360" w:lineRule="auto"/>
              <w:rPr>
                <w:rStyle w:val="170"/>
                <w:rFonts w:hint="eastAsia" w:ascii="宋体" w:hAnsi="宋体"/>
                <w:color w:val="auto"/>
                <w:highlight w:val="none"/>
              </w:rPr>
            </w:pPr>
            <w:r>
              <w:rPr>
                <w:rStyle w:val="170"/>
                <w:rFonts w:hint="eastAsia" w:ascii="宋体" w:hAnsi="宋体"/>
                <w:color w:val="auto"/>
                <w:highlight w:val="none"/>
              </w:rPr>
              <w:t>材料</w:t>
            </w:r>
            <w:r>
              <w:rPr>
                <w:rStyle w:val="170"/>
                <w:rFonts w:ascii="宋体" w:hAnsi="宋体"/>
                <w:color w:val="auto"/>
                <w:highlight w:val="none"/>
              </w:rPr>
              <w:t>员：</w:t>
            </w:r>
            <w:r>
              <w:rPr>
                <w:rStyle w:val="170"/>
                <w:rFonts w:ascii="宋体" w:hAnsi="宋体"/>
                <w:color w:val="auto"/>
                <w:highlight w:val="none"/>
                <w:u w:val="single"/>
              </w:rPr>
              <w:t>姓名</w:t>
            </w:r>
            <w:r>
              <w:rPr>
                <w:rStyle w:val="170"/>
                <w:rFonts w:ascii="宋体" w:hAnsi="宋体"/>
                <w:color w:val="auto"/>
                <w:highlight w:val="none"/>
              </w:rPr>
              <w:t>（证书号：</w:t>
            </w:r>
            <w:r>
              <w:rPr>
                <w:rStyle w:val="170"/>
                <w:rFonts w:hint="eastAsia" w:ascii="宋体" w:hAnsi="宋体"/>
                <w:color w:val="auto"/>
                <w:highlight w:val="none"/>
                <w:u w:val="single"/>
              </w:rPr>
              <w:t xml:space="preserve">                    </w:t>
            </w:r>
            <w:r>
              <w:rPr>
                <w:rStyle w:val="170"/>
                <w:rFonts w:ascii="宋体" w:hAnsi="宋体"/>
                <w:color w:val="auto"/>
                <w:highlight w:val="none"/>
              </w:rPr>
              <w:t>）</w:t>
            </w:r>
          </w:p>
          <w:p w14:paraId="45146FC6">
            <w:pPr>
              <w:pStyle w:val="175"/>
              <w:spacing w:line="360" w:lineRule="auto"/>
              <w:rPr>
                <w:rStyle w:val="170"/>
                <w:rFonts w:hint="eastAsia" w:ascii="宋体" w:hAnsi="宋体"/>
                <w:color w:val="auto"/>
                <w:highlight w:val="none"/>
              </w:rPr>
            </w:pPr>
            <w:r>
              <w:rPr>
                <w:rStyle w:val="170"/>
                <w:rFonts w:hint="eastAsia" w:ascii="宋体" w:hAnsi="宋体"/>
                <w:color w:val="auto"/>
                <w:highlight w:val="none"/>
              </w:rPr>
              <w:t>质量员</w:t>
            </w:r>
            <w:r>
              <w:rPr>
                <w:rStyle w:val="170"/>
                <w:rFonts w:ascii="宋体" w:hAnsi="宋体"/>
                <w:color w:val="auto"/>
                <w:highlight w:val="none"/>
              </w:rPr>
              <w:t>：</w:t>
            </w:r>
            <w:r>
              <w:rPr>
                <w:rStyle w:val="170"/>
                <w:rFonts w:ascii="宋体" w:hAnsi="宋体"/>
                <w:color w:val="auto"/>
                <w:highlight w:val="none"/>
                <w:u w:val="single"/>
              </w:rPr>
              <w:t>姓名</w:t>
            </w:r>
            <w:r>
              <w:rPr>
                <w:rStyle w:val="170"/>
                <w:rFonts w:ascii="宋体" w:hAnsi="宋体"/>
                <w:color w:val="auto"/>
                <w:highlight w:val="none"/>
              </w:rPr>
              <w:t>（证书号：</w:t>
            </w:r>
            <w:r>
              <w:rPr>
                <w:rStyle w:val="170"/>
                <w:rFonts w:hint="eastAsia" w:ascii="宋体" w:hAnsi="宋体"/>
                <w:color w:val="auto"/>
                <w:highlight w:val="none"/>
                <w:u w:val="single"/>
              </w:rPr>
              <w:t xml:space="preserve">                    </w:t>
            </w:r>
            <w:r>
              <w:rPr>
                <w:rStyle w:val="170"/>
                <w:rFonts w:ascii="宋体" w:hAnsi="宋体"/>
                <w:color w:val="auto"/>
                <w:highlight w:val="none"/>
              </w:rPr>
              <w:t>）</w:t>
            </w:r>
          </w:p>
          <w:p w14:paraId="12A87AE4">
            <w:pPr>
              <w:pStyle w:val="175"/>
              <w:spacing w:line="360" w:lineRule="auto"/>
              <w:rPr>
                <w:rStyle w:val="170"/>
                <w:rFonts w:hint="eastAsia" w:ascii="宋体" w:hAnsi="宋体"/>
                <w:color w:val="auto"/>
                <w:highlight w:val="none"/>
              </w:rPr>
            </w:pPr>
            <w:r>
              <w:rPr>
                <w:rStyle w:val="170"/>
                <w:rFonts w:ascii="宋体" w:hAnsi="宋体"/>
                <w:color w:val="auto"/>
                <w:highlight w:val="none"/>
              </w:rPr>
              <w:t>施工员：</w:t>
            </w:r>
            <w:r>
              <w:rPr>
                <w:rStyle w:val="170"/>
                <w:rFonts w:ascii="宋体" w:hAnsi="宋体"/>
                <w:color w:val="auto"/>
                <w:highlight w:val="none"/>
                <w:u w:val="single"/>
              </w:rPr>
              <w:t>姓名</w:t>
            </w:r>
            <w:r>
              <w:rPr>
                <w:rStyle w:val="170"/>
                <w:rFonts w:ascii="宋体" w:hAnsi="宋体"/>
                <w:color w:val="auto"/>
                <w:highlight w:val="none"/>
              </w:rPr>
              <w:t>（证书号：</w:t>
            </w:r>
            <w:r>
              <w:rPr>
                <w:rStyle w:val="170"/>
                <w:rFonts w:hint="eastAsia" w:ascii="宋体" w:hAnsi="宋体"/>
                <w:color w:val="auto"/>
                <w:highlight w:val="none"/>
                <w:u w:val="single"/>
              </w:rPr>
              <w:t xml:space="preserve">                    </w:t>
            </w:r>
            <w:r>
              <w:rPr>
                <w:rStyle w:val="170"/>
                <w:rFonts w:ascii="宋体" w:hAnsi="宋体"/>
                <w:color w:val="auto"/>
                <w:highlight w:val="none"/>
              </w:rPr>
              <w:t>）</w:t>
            </w:r>
          </w:p>
          <w:p w14:paraId="529C4FB5">
            <w:pPr>
              <w:pStyle w:val="175"/>
              <w:spacing w:line="360" w:lineRule="auto"/>
              <w:rPr>
                <w:rStyle w:val="170"/>
                <w:rFonts w:hint="eastAsia" w:ascii="宋体" w:hAnsi="宋体"/>
                <w:color w:val="auto"/>
                <w:highlight w:val="none"/>
              </w:rPr>
            </w:pPr>
            <w:r>
              <w:rPr>
                <w:rStyle w:val="170"/>
                <w:rFonts w:hint="eastAsia" w:ascii="宋体" w:hAnsi="宋体"/>
                <w:color w:val="auto"/>
                <w:highlight w:val="none"/>
              </w:rPr>
              <w:t>质检员</w:t>
            </w:r>
            <w:r>
              <w:rPr>
                <w:rStyle w:val="170"/>
                <w:rFonts w:ascii="宋体" w:hAnsi="宋体"/>
                <w:color w:val="auto"/>
                <w:highlight w:val="none"/>
              </w:rPr>
              <w:t>（如有）：</w:t>
            </w:r>
            <w:r>
              <w:rPr>
                <w:rStyle w:val="170"/>
                <w:rFonts w:ascii="宋体" w:hAnsi="宋体"/>
                <w:color w:val="auto"/>
                <w:highlight w:val="none"/>
                <w:u w:val="single"/>
              </w:rPr>
              <w:t>姓名</w:t>
            </w:r>
            <w:r>
              <w:rPr>
                <w:rStyle w:val="170"/>
                <w:rFonts w:ascii="宋体" w:hAnsi="宋体"/>
                <w:color w:val="auto"/>
                <w:highlight w:val="none"/>
              </w:rPr>
              <w:t>（证书号：</w:t>
            </w:r>
            <w:r>
              <w:rPr>
                <w:rStyle w:val="170"/>
                <w:rFonts w:hint="eastAsia" w:ascii="宋体" w:hAnsi="宋体"/>
                <w:color w:val="auto"/>
                <w:highlight w:val="none"/>
                <w:u w:val="single"/>
              </w:rPr>
              <w:t xml:space="preserve">            </w:t>
            </w:r>
            <w:r>
              <w:rPr>
                <w:rStyle w:val="170"/>
                <w:rFonts w:ascii="宋体" w:hAnsi="宋体"/>
                <w:color w:val="auto"/>
                <w:highlight w:val="none"/>
              </w:rPr>
              <w:t>）</w:t>
            </w:r>
          </w:p>
          <w:p w14:paraId="5570F8E9">
            <w:pPr>
              <w:pStyle w:val="175"/>
              <w:spacing w:line="360" w:lineRule="auto"/>
              <w:rPr>
                <w:rStyle w:val="170"/>
                <w:rFonts w:hint="eastAsia" w:ascii="宋体" w:hAnsi="宋体"/>
                <w:color w:val="auto"/>
                <w:highlight w:val="none"/>
              </w:rPr>
            </w:pPr>
            <w:r>
              <w:rPr>
                <w:rStyle w:val="170"/>
                <w:rFonts w:ascii="宋体" w:hAnsi="宋体"/>
                <w:color w:val="auto"/>
                <w:szCs w:val="21"/>
                <w:highlight w:val="none"/>
              </w:rPr>
              <w:t>投标所用企业业绩</w:t>
            </w:r>
            <w:r>
              <w:rPr>
                <w:rStyle w:val="170"/>
                <w:rFonts w:ascii="宋体" w:hAnsi="宋体"/>
                <w:color w:val="auto"/>
                <w:highlight w:val="none"/>
              </w:rPr>
              <w:t>（如有）</w:t>
            </w:r>
            <w:r>
              <w:rPr>
                <w:rStyle w:val="170"/>
                <w:rFonts w:ascii="宋体" w:hAnsi="宋体"/>
                <w:color w:val="auto"/>
                <w:szCs w:val="21"/>
                <w:highlight w:val="none"/>
              </w:rPr>
              <w:t>:</w:t>
            </w:r>
          </w:p>
          <w:p w14:paraId="7B82A134">
            <w:pPr>
              <w:pStyle w:val="175"/>
              <w:spacing w:line="360" w:lineRule="auto"/>
              <w:rPr>
                <w:rStyle w:val="170"/>
                <w:rFonts w:hint="eastAsia" w:ascii="宋体" w:hAnsi="宋体"/>
                <w:color w:val="auto"/>
                <w:highlight w:val="none"/>
                <w:u w:val="single"/>
              </w:rPr>
            </w:pPr>
            <w:r>
              <w:rPr>
                <w:rStyle w:val="170"/>
                <w:rFonts w:ascii="宋体" w:hAnsi="宋体"/>
                <w:color w:val="auto"/>
                <w:highlight w:val="none"/>
              </w:rPr>
              <w:t>承诺工期：</w:t>
            </w:r>
            <w:r>
              <w:rPr>
                <w:rStyle w:val="170"/>
                <w:rFonts w:ascii="宋体" w:hAnsi="宋体"/>
                <w:color w:val="auto"/>
                <w:highlight w:val="none"/>
                <w:u w:val="single"/>
              </w:rPr>
              <w:t xml:space="preserve">    </w:t>
            </w:r>
            <w:r>
              <w:rPr>
                <w:rStyle w:val="170"/>
                <w:rFonts w:ascii="宋体" w:hAnsi="宋体"/>
                <w:color w:val="auto"/>
                <w:highlight w:val="none"/>
              </w:rPr>
              <w:t>日历天               承诺质量标准：</w:t>
            </w:r>
            <w:r>
              <w:rPr>
                <w:rStyle w:val="170"/>
                <w:rFonts w:ascii="宋体" w:hAnsi="宋体"/>
                <w:color w:val="auto"/>
                <w:highlight w:val="none"/>
                <w:u w:val="single"/>
              </w:rPr>
              <w:t xml:space="preserve"> </w:t>
            </w:r>
            <w:r>
              <w:rPr>
                <w:rStyle w:val="170"/>
                <w:rFonts w:hint="eastAsia" w:ascii="宋体" w:hAnsi="宋体"/>
                <w:color w:val="auto"/>
                <w:highlight w:val="none"/>
                <w:u w:val="single"/>
              </w:rPr>
              <w:t xml:space="preserve">                     </w:t>
            </w:r>
          </w:p>
          <w:p w14:paraId="27B7866E">
            <w:pPr>
              <w:widowControl/>
              <w:rPr>
                <w:rFonts w:hint="eastAsia" w:ascii="宋体" w:hAnsi="宋体" w:cs="宋体"/>
                <w:color w:val="auto"/>
                <w:highlight w:val="none"/>
              </w:rPr>
            </w:pPr>
            <w:r>
              <w:rPr>
                <w:rStyle w:val="170"/>
                <w:rFonts w:hint="eastAsia" w:ascii="宋体" w:hAnsi="宋体"/>
                <w:color w:val="auto"/>
                <w:szCs w:val="24"/>
                <w:highlight w:val="none"/>
                <w:lang w:eastAsia="zh-CN"/>
              </w:rPr>
              <w:t>供应商</w:t>
            </w:r>
            <w:r>
              <w:rPr>
                <w:rStyle w:val="170"/>
                <w:rFonts w:ascii="宋体" w:hAnsi="宋体"/>
                <w:color w:val="auto"/>
                <w:szCs w:val="24"/>
                <w:highlight w:val="none"/>
              </w:rPr>
              <w:t>地址：</w:t>
            </w:r>
            <w:r>
              <w:rPr>
                <w:rStyle w:val="170"/>
                <w:rFonts w:ascii="宋体" w:hAnsi="宋体"/>
                <w:color w:val="auto"/>
                <w:szCs w:val="24"/>
                <w:highlight w:val="none"/>
                <w:u w:val="single"/>
              </w:rPr>
              <w:t xml:space="preserve"> </w:t>
            </w:r>
            <w:r>
              <w:rPr>
                <w:rStyle w:val="170"/>
                <w:rFonts w:hint="eastAsia" w:ascii="宋体" w:hAnsi="宋体"/>
                <w:color w:val="auto"/>
                <w:szCs w:val="24"/>
                <w:highlight w:val="none"/>
                <w:u w:val="single"/>
              </w:rPr>
              <w:t xml:space="preserve">                   </w:t>
            </w:r>
          </w:p>
        </w:tc>
      </w:tr>
    </w:tbl>
    <w:p w14:paraId="00180EAD">
      <w:pPr>
        <w:spacing w:line="480" w:lineRule="auto"/>
        <w:ind w:firstLine="210" w:firstLineChars="100"/>
        <w:rPr>
          <w:rFonts w:hint="eastAsia" w:asciiTheme="minorEastAsia" w:hAnsiTheme="minorEastAsia" w:eastAsiaTheme="minorEastAsia" w:cstheme="minorEastAsia"/>
          <w:color w:val="auto"/>
          <w:highlight w:val="none"/>
        </w:rPr>
      </w:pPr>
    </w:p>
    <w:p w14:paraId="5789FFFD">
      <w:pPr>
        <w:spacing w:line="480" w:lineRule="auto"/>
        <w:ind w:firstLine="210" w:firstLineChars="1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eastAsia="zh-CN"/>
        </w:rPr>
        <w:t>供应商</w:t>
      </w:r>
      <w:r>
        <w:rPr>
          <w:rFonts w:hint="eastAsia" w:asciiTheme="minorEastAsia" w:hAnsiTheme="minorEastAsia" w:eastAsiaTheme="minorEastAsia" w:cstheme="minorEastAsia"/>
          <w:color w:val="auto"/>
          <w:highlight w:val="none"/>
        </w:rPr>
        <w:t>（盖单位章）：</w:t>
      </w:r>
      <w:r>
        <w:rPr>
          <w:rFonts w:hint="eastAsia" w:asciiTheme="minorEastAsia" w:hAnsiTheme="minorEastAsia" w:eastAsiaTheme="minorEastAsia" w:cstheme="minorEastAsia"/>
          <w:color w:val="auto"/>
          <w:highlight w:val="none"/>
          <w:u w:val="single"/>
        </w:rPr>
        <w:t xml:space="preserve">                                 </w:t>
      </w:r>
    </w:p>
    <w:p w14:paraId="7AB0CEF1">
      <w:pPr>
        <w:spacing w:line="480" w:lineRule="auto"/>
        <w:ind w:firstLine="210" w:firstLineChars="1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法定代表人或其委托代理人（签字或盖章）：</w:t>
      </w:r>
      <w:r>
        <w:rPr>
          <w:rFonts w:hint="eastAsia" w:asciiTheme="minorEastAsia" w:hAnsiTheme="minorEastAsia" w:eastAsiaTheme="minorEastAsia" w:cstheme="minorEastAsia"/>
          <w:color w:val="auto"/>
          <w:highlight w:val="none"/>
          <w:u w:val="single"/>
        </w:rPr>
        <w:t xml:space="preserve">              </w:t>
      </w:r>
    </w:p>
    <w:p w14:paraId="63B6E1BA">
      <w:pPr>
        <w:spacing w:line="480" w:lineRule="auto"/>
        <w:ind w:firstLine="210" w:firstLineChars="1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日期：</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年</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月</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日</w:t>
      </w:r>
    </w:p>
    <w:p w14:paraId="7B42A4F2">
      <w:pPr>
        <w:rPr>
          <w:rFonts w:ascii="宋体" w:cs="宋体"/>
          <w:color w:val="auto"/>
          <w:kern w:val="0"/>
          <w:sz w:val="31"/>
          <w:szCs w:val="31"/>
          <w:highlight w:val="none"/>
        </w:rPr>
      </w:pPr>
      <w:r>
        <w:rPr>
          <w:rFonts w:hint="eastAsia" w:ascii="宋体" w:cs="宋体"/>
          <w:color w:val="auto"/>
          <w:kern w:val="0"/>
          <w:sz w:val="31"/>
          <w:szCs w:val="31"/>
          <w:highlight w:val="none"/>
        </w:rPr>
        <w:br w:type="page"/>
      </w:r>
    </w:p>
    <w:p w14:paraId="1CD16D76">
      <w:pPr>
        <w:autoSpaceDE w:val="0"/>
        <w:autoSpaceDN w:val="0"/>
        <w:adjustRightInd w:val="0"/>
        <w:ind w:firstLine="2325" w:firstLineChars="750"/>
        <w:jc w:val="left"/>
        <w:rPr>
          <w:rFonts w:ascii="宋体" w:cs="宋体"/>
          <w:color w:val="auto"/>
          <w:kern w:val="0"/>
          <w:sz w:val="31"/>
          <w:szCs w:val="31"/>
          <w:highlight w:val="none"/>
        </w:rPr>
      </w:pPr>
      <w:r>
        <w:rPr>
          <w:rFonts w:hint="eastAsia" w:ascii="宋体" w:cs="宋体"/>
          <w:color w:val="auto"/>
          <w:kern w:val="0"/>
          <w:sz w:val="31"/>
          <w:szCs w:val="31"/>
          <w:highlight w:val="none"/>
        </w:rPr>
        <w:t>（2）二次报价已标价工程量清单</w:t>
      </w:r>
    </w:p>
    <w:p w14:paraId="2D11982B">
      <w:pPr>
        <w:pStyle w:val="42"/>
        <w:ind w:firstLine="482"/>
        <w:rPr>
          <w:color w:val="auto"/>
          <w:highlight w:val="none"/>
        </w:rPr>
      </w:pPr>
    </w:p>
    <w:p w14:paraId="09092EC2">
      <w:pPr>
        <w:spacing w:line="360" w:lineRule="auto"/>
        <w:ind w:firstLine="420" w:firstLineChars="200"/>
        <w:rPr>
          <w:color w:val="auto"/>
          <w:highlight w:val="none"/>
        </w:rPr>
      </w:pPr>
      <w:r>
        <w:rPr>
          <w:rFonts w:hint="eastAsia"/>
          <w:color w:val="auto"/>
          <w:highlight w:val="none"/>
        </w:rPr>
        <w:t>1.</w:t>
      </w:r>
      <w:r>
        <w:rPr>
          <w:color w:val="auto"/>
          <w:highlight w:val="none"/>
        </w:rPr>
        <w:t xml:space="preserve"> </w:t>
      </w:r>
      <w:r>
        <w:rPr>
          <w:rFonts w:hint="eastAsia" w:cs="宋体"/>
          <w:color w:val="auto"/>
          <w:highlight w:val="none"/>
        </w:rPr>
        <w:t>供应商应依据竞争性磋商文件、招标工程量清单、</w:t>
      </w:r>
      <w:r>
        <w:rPr>
          <w:rFonts w:hint="eastAsia" w:asciiTheme="minorEastAsia" w:hAnsiTheme="minorEastAsia" w:eastAsiaTheme="minorEastAsia" w:cstheme="minorEastAsia"/>
          <w:color w:val="auto"/>
          <w:highlight w:val="none"/>
        </w:rPr>
        <w:t>《(GB50500-2013)建设工程工程量清单计价规范》广西壮族自治区实施细则”</w:t>
      </w:r>
      <w:r>
        <w:rPr>
          <w:rFonts w:hint="eastAsia" w:cs="宋体"/>
          <w:color w:val="auto"/>
          <w:highlight w:val="none"/>
        </w:rPr>
        <w:t>、《计算规范》自主报价，自主报价</w:t>
      </w:r>
      <w:r>
        <w:rPr>
          <w:rFonts w:hint="eastAsia" w:hAnsi="宋体" w:cs="宋体"/>
          <w:color w:val="auto"/>
          <w:highlight w:val="none"/>
        </w:rPr>
        <w:t>不得违反计价规范强制性条文规定。</w:t>
      </w:r>
      <w:r>
        <w:rPr>
          <w:rFonts w:hint="eastAsia" w:cs="宋体"/>
          <w:color w:val="auto"/>
          <w:highlight w:val="none"/>
        </w:rPr>
        <w:t>供应商不得采用总价让利或以百分比让利等形式进行报价，任何优惠（或降价、让利）均应反映在相应清单项目的综合单价中。同时，不得出现任意一项单价重大让利，</w:t>
      </w:r>
      <w:r>
        <w:rPr>
          <w:rFonts w:hint="eastAsia" w:hAnsi="宋体" w:cs="宋体"/>
          <w:color w:val="auto"/>
          <w:highlight w:val="none"/>
        </w:rPr>
        <w:t>不得以自有机械闲置、自有材料等不计成本为由</w:t>
      </w:r>
      <w:r>
        <w:rPr>
          <w:rFonts w:hint="eastAsia" w:cs="宋体"/>
          <w:color w:val="auto"/>
          <w:highlight w:val="none"/>
        </w:rPr>
        <w:t>低于工程成本报价。</w:t>
      </w:r>
    </w:p>
    <w:p w14:paraId="2C41CBF7">
      <w:pPr>
        <w:spacing w:line="360" w:lineRule="auto"/>
        <w:ind w:firstLine="420" w:firstLineChars="200"/>
        <w:rPr>
          <w:rFonts w:hint="eastAsia" w:hAnsi="宋体"/>
          <w:color w:val="auto"/>
          <w:highlight w:val="none"/>
        </w:rPr>
      </w:pPr>
      <w:r>
        <w:rPr>
          <w:rFonts w:hint="eastAsia"/>
          <w:color w:val="auto"/>
          <w:highlight w:val="none"/>
        </w:rPr>
        <w:t>2.</w:t>
      </w:r>
      <w:r>
        <w:rPr>
          <w:rFonts w:hint="eastAsia" w:cs="宋体"/>
          <w:color w:val="auto"/>
          <w:highlight w:val="none"/>
        </w:rPr>
        <w:t>供应商应按招标工程量清单填报价格。项目编码、项目名称、项目特征、计量单位、工程量必须与招标工程量清单一致，供应商</w:t>
      </w:r>
      <w:r>
        <w:rPr>
          <w:rFonts w:hint="eastAsia" w:hAnsi="宋体" w:cs="宋体"/>
          <w:color w:val="auto"/>
          <w:highlight w:val="none"/>
        </w:rPr>
        <w:t>不得对招标工程量清单项目进行增减调整。</w:t>
      </w:r>
    </w:p>
    <w:p w14:paraId="33520951">
      <w:pPr>
        <w:spacing w:line="360" w:lineRule="auto"/>
        <w:ind w:firstLine="420" w:firstLineChars="200"/>
        <w:rPr>
          <w:color w:val="auto"/>
          <w:highlight w:val="none"/>
        </w:rPr>
      </w:pPr>
      <w:r>
        <w:rPr>
          <w:rFonts w:hint="eastAsia"/>
          <w:color w:val="auto"/>
          <w:highlight w:val="none"/>
        </w:rPr>
        <w:t>3.</w:t>
      </w:r>
      <w:r>
        <w:rPr>
          <w:rFonts w:hint="eastAsia" w:cs="宋体"/>
          <w:color w:val="auto"/>
          <w:highlight w:val="none"/>
        </w:rPr>
        <w:t>综合单价中应包含竞争性磋商文件中划分的应由供应商承担的风险范围及其费用。</w:t>
      </w:r>
    </w:p>
    <w:p w14:paraId="6C183ACB">
      <w:pPr>
        <w:spacing w:line="360" w:lineRule="auto"/>
        <w:ind w:firstLine="420" w:firstLineChars="200"/>
        <w:rPr>
          <w:rFonts w:hint="eastAsia" w:hAnsi="宋体"/>
          <w:color w:val="auto"/>
          <w:highlight w:val="none"/>
        </w:rPr>
      </w:pPr>
      <w:r>
        <w:rPr>
          <w:rFonts w:hint="eastAsia"/>
          <w:color w:val="auto"/>
          <w:highlight w:val="none"/>
        </w:rPr>
        <w:t>4.</w:t>
      </w:r>
      <w:r>
        <w:rPr>
          <w:rFonts w:hint="eastAsia" w:hAnsi="宋体" w:cs="宋体"/>
          <w:color w:val="auto"/>
          <w:highlight w:val="none"/>
        </w:rPr>
        <w:t>分部分项工程项目和单价措施项目，应根据</w:t>
      </w:r>
      <w:r>
        <w:rPr>
          <w:rFonts w:hint="eastAsia" w:cs="宋体"/>
          <w:color w:val="auto"/>
          <w:highlight w:val="none"/>
        </w:rPr>
        <w:t>竞争性磋商文件</w:t>
      </w:r>
      <w:r>
        <w:rPr>
          <w:rFonts w:hint="eastAsia" w:hAnsi="宋体" w:cs="宋体"/>
          <w:color w:val="auto"/>
          <w:highlight w:val="none"/>
        </w:rPr>
        <w:t>和招标工程量清单项目中的特征描述确定综合单价计算。如出现招标工程量清单特征描述与设计图纸不符时，供应商应以招标工程量清单的项目特征描述为准，确定投标报价的综合单价。</w:t>
      </w:r>
    </w:p>
    <w:p w14:paraId="2A4D57C0">
      <w:pPr>
        <w:spacing w:line="360" w:lineRule="auto"/>
        <w:ind w:firstLine="420" w:firstLineChars="200"/>
        <w:rPr>
          <w:color w:val="auto"/>
          <w:highlight w:val="none"/>
        </w:rPr>
      </w:pPr>
      <w:r>
        <w:rPr>
          <w:rFonts w:hint="eastAsia"/>
          <w:color w:val="auto"/>
          <w:highlight w:val="none"/>
        </w:rPr>
        <w:t>5.</w:t>
      </w:r>
      <w:r>
        <w:rPr>
          <w:rFonts w:hint="eastAsia" w:hAnsi="宋体" w:cs="宋体"/>
          <w:color w:val="auto"/>
          <w:highlight w:val="none"/>
        </w:rPr>
        <w:t>总价措施项目的金额应根据</w:t>
      </w:r>
      <w:r>
        <w:rPr>
          <w:rFonts w:hint="eastAsia" w:cs="宋体"/>
          <w:color w:val="auto"/>
          <w:highlight w:val="none"/>
        </w:rPr>
        <w:t>竞争性磋商文件</w:t>
      </w:r>
      <w:r>
        <w:rPr>
          <w:rFonts w:hint="eastAsia" w:hAnsi="宋体" w:cs="宋体"/>
          <w:color w:val="auto"/>
          <w:highlight w:val="none"/>
        </w:rPr>
        <w:t>及投标时拟定的施工组织设计或施工方案，按计价规范的规定自主确定。但</w:t>
      </w:r>
      <w:r>
        <w:rPr>
          <w:rFonts w:hint="eastAsia" w:cs="宋体"/>
          <w:color w:val="auto"/>
          <w:highlight w:val="none"/>
        </w:rPr>
        <w:t>安全文明施工费按国家、省级或行业建设主管部门的有关规定执行，作为不竞争费用单列。</w:t>
      </w:r>
    </w:p>
    <w:p w14:paraId="1F831D48">
      <w:pPr>
        <w:spacing w:line="360" w:lineRule="auto"/>
        <w:ind w:firstLine="420" w:firstLineChars="200"/>
        <w:rPr>
          <w:color w:val="auto"/>
          <w:highlight w:val="none"/>
        </w:rPr>
      </w:pPr>
      <w:r>
        <w:rPr>
          <w:rFonts w:hint="eastAsia"/>
          <w:color w:val="auto"/>
          <w:highlight w:val="none"/>
        </w:rPr>
        <w:t>6.</w:t>
      </w:r>
      <w:r>
        <w:rPr>
          <w:rFonts w:hint="eastAsia" w:cs="宋体"/>
          <w:color w:val="auto"/>
          <w:highlight w:val="none"/>
        </w:rPr>
        <w:t>其他项目费应按下列规定报价：</w:t>
      </w:r>
    </w:p>
    <w:p w14:paraId="15E237E5">
      <w:pPr>
        <w:spacing w:line="360" w:lineRule="auto"/>
        <w:ind w:firstLine="420" w:firstLineChars="200"/>
        <w:rPr>
          <w:color w:val="auto"/>
          <w:highlight w:val="none"/>
        </w:rPr>
      </w:pPr>
      <w:r>
        <w:rPr>
          <w:rFonts w:hint="eastAsia" w:cs="宋体"/>
          <w:color w:val="auto"/>
          <w:highlight w:val="none"/>
        </w:rPr>
        <w:t>（</w:t>
      </w:r>
      <w:r>
        <w:rPr>
          <w:color w:val="auto"/>
          <w:highlight w:val="none"/>
        </w:rPr>
        <w:t>1</w:t>
      </w:r>
      <w:r>
        <w:rPr>
          <w:rFonts w:hint="eastAsia" w:cs="宋体"/>
          <w:color w:val="auto"/>
          <w:highlight w:val="none"/>
        </w:rPr>
        <w:t>）暂列金额应按招标工程量清单中列出的金额填写；</w:t>
      </w:r>
    </w:p>
    <w:p w14:paraId="25412FD9">
      <w:pPr>
        <w:pStyle w:val="168"/>
        <w:spacing w:line="360" w:lineRule="auto"/>
        <w:ind w:firstLine="420" w:firstLineChars="200"/>
        <w:rPr>
          <w:color w:val="auto"/>
          <w:highlight w:val="none"/>
        </w:rPr>
      </w:pPr>
      <w:r>
        <w:rPr>
          <w:rFonts w:hint="eastAsia" w:cs="宋体"/>
          <w:color w:val="auto"/>
          <w:highlight w:val="none"/>
        </w:rPr>
        <w:t>（</w:t>
      </w:r>
      <w:r>
        <w:rPr>
          <w:color w:val="auto"/>
          <w:highlight w:val="none"/>
        </w:rPr>
        <w:t>2</w:t>
      </w:r>
      <w:r>
        <w:rPr>
          <w:rFonts w:hint="eastAsia" w:cs="宋体"/>
          <w:color w:val="auto"/>
          <w:highlight w:val="none"/>
        </w:rPr>
        <w:t>）材料、工程设备暂估价应按招标工程量清单中列出的单价计入综合单价；</w:t>
      </w:r>
    </w:p>
    <w:p w14:paraId="4C338B31">
      <w:pPr>
        <w:spacing w:line="360" w:lineRule="auto"/>
        <w:ind w:firstLine="420" w:firstLineChars="200"/>
        <w:rPr>
          <w:color w:val="auto"/>
          <w:highlight w:val="none"/>
        </w:rPr>
      </w:pPr>
      <w:r>
        <w:rPr>
          <w:rFonts w:hint="eastAsia" w:cs="宋体"/>
          <w:color w:val="auto"/>
          <w:highlight w:val="none"/>
        </w:rPr>
        <w:t>（</w:t>
      </w:r>
      <w:r>
        <w:rPr>
          <w:color w:val="auto"/>
          <w:highlight w:val="none"/>
        </w:rPr>
        <w:t>3</w:t>
      </w:r>
      <w:r>
        <w:rPr>
          <w:rFonts w:hint="eastAsia" w:cs="宋体"/>
          <w:color w:val="auto"/>
          <w:highlight w:val="none"/>
        </w:rPr>
        <w:t>）专业工程暂估价应按招标工程量清单中列出的金额填写；</w:t>
      </w:r>
    </w:p>
    <w:p w14:paraId="5516230F">
      <w:pPr>
        <w:spacing w:line="360" w:lineRule="auto"/>
        <w:ind w:firstLine="420" w:firstLineChars="200"/>
        <w:rPr>
          <w:color w:val="auto"/>
          <w:highlight w:val="none"/>
        </w:rPr>
      </w:pPr>
      <w:r>
        <w:rPr>
          <w:rFonts w:hint="eastAsia" w:cs="宋体"/>
          <w:color w:val="auto"/>
          <w:highlight w:val="none"/>
        </w:rPr>
        <w:t>（</w:t>
      </w:r>
      <w:r>
        <w:rPr>
          <w:color w:val="auto"/>
          <w:highlight w:val="none"/>
        </w:rPr>
        <w:t>4</w:t>
      </w:r>
      <w:r>
        <w:rPr>
          <w:rFonts w:hint="eastAsia" w:cs="宋体"/>
          <w:color w:val="auto"/>
          <w:highlight w:val="none"/>
        </w:rPr>
        <w:t>）计日工应按招标工程量清单中列出的项目和估算数量，自主确定综合单价并计算计日工总额；计日工单价均不含规费和税金；</w:t>
      </w:r>
    </w:p>
    <w:p w14:paraId="1F565196">
      <w:pPr>
        <w:spacing w:line="360" w:lineRule="auto"/>
        <w:ind w:firstLine="420" w:firstLineChars="200"/>
        <w:rPr>
          <w:color w:val="auto"/>
          <w:highlight w:val="none"/>
        </w:rPr>
      </w:pPr>
      <w:r>
        <w:rPr>
          <w:rFonts w:hint="eastAsia" w:cs="宋体"/>
          <w:color w:val="auto"/>
          <w:highlight w:val="none"/>
        </w:rPr>
        <w:t>（</w:t>
      </w:r>
      <w:r>
        <w:rPr>
          <w:color w:val="auto"/>
          <w:highlight w:val="none"/>
        </w:rPr>
        <w:t>5</w:t>
      </w:r>
      <w:r>
        <w:rPr>
          <w:rFonts w:hint="eastAsia" w:cs="宋体"/>
          <w:color w:val="auto"/>
          <w:highlight w:val="none"/>
        </w:rPr>
        <w:t>）总承包服务费应根据招标工程量清单中列出的内容</w:t>
      </w:r>
      <w:r>
        <w:rPr>
          <w:rFonts w:hint="eastAsia" w:hAnsi="宋体" w:cs="宋体"/>
          <w:color w:val="auto"/>
          <w:highlight w:val="none"/>
        </w:rPr>
        <w:t>和供应材料、设备情况，按照招标人提出的协调、配合与服务要求和施工现场管理需要</w:t>
      </w:r>
      <w:r>
        <w:rPr>
          <w:rFonts w:hint="eastAsia" w:cs="宋体"/>
          <w:color w:val="auto"/>
          <w:highlight w:val="none"/>
        </w:rPr>
        <w:t>自主确定。</w:t>
      </w:r>
    </w:p>
    <w:p w14:paraId="19097703">
      <w:pPr>
        <w:spacing w:line="360" w:lineRule="auto"/>
        <w:ind w:firstLine="420" w:firstLineChars="200"/>
        <w:rPr>
          <w:color w:val="auto"/>
          <w:highlight w:val="none"/>
        </w:rPr>
      </w:pPr>
      <w:r>
        <w:rPr>
          <w:rFonts w:hint="eastAsia"/>
          <w:color w:val="auto"/>
          <w:highlight w:val="none"/>
        </w:rPr>
        <w:t>7.</w:t>
      </w:r>
      <w:r>
        <w:rPr>
          <w:rFonts w:hint="eastAsia" w:cs="宋体"/>
          <w:color w:val="auto"/>
          <w:highlight w:val="none"/>
        </w:rPr>
        <w:t>规费和增值税应按规定确定，作为不可竞争费用。</w:t>
      </w:r>
    </w:p>
    <w:p w14:paraId="7C1F05D1">
      <w:pPr>
        <w:spacing w:line="360" w:lineRule="auto"/>
        <w:ind w:firstLine="420" w:firstLineChars="200"/>
        <w:rPr>
          <w:color w:val="auto"/>
          <w:highlight w:val="none"/>
        </w:rPr>
      </w:pPr>
      <w:r>
        <w:rPr>
          <w:rFonts w:hint="eastAsia"/>
          <w:color w:val="auto"/>
          <w:highlight w:val="none"/>
        </w:rPr>
        <w:t>8.</w:t>
      </w:r>
      <w:r>
        <w:rPr>
          <w:rFonts w:hint="eastAsia" w:cs="宋体"/>
          <w:color w:val="auto"/>
          <w:highlight w:val="none"/>
        </w:rPr>
        <w:t>招标工程量清单与计价表中列明的所有需要填写的单价和合价的项目，供应商均应填写且只允许有一个报价。未填写单价和合价的项目，视为此项费用已包含在已标价工程量清单中其他项目的单价和合价之中。竣工结算时，此项目不得重新组价予以调整。</w:t>
      </w:r>
    </w:p>
    <w:p w14:paraId="6CF9C6E3">
      <w:pPr>
        <w:spacing w:line="360" w:lineRule="auto"/>
        <w:ind w:firstLine="420" w:firstLineChars="200"/>
        <w:rPr>
          <w:color w:val="auto"/>
          <w:highlight w:val="none"/>
        </w:rPr>
      </w:pPr>
      <w:r>
        <w:rPr>
          <w:rFonts w:hint="eastAsia"/>
          <w:color w:val="auto"/>
          <w:highlight w:val="none"/>
        </w:rPr>
        <w:t>9.</w:t>
      </w:r>
      <w:r>
        <w:rPr>
          <w:rFonts w:hint="eastAsia" w:cs="宋体"/>
          <w:color w:val="auto"/>
          <w:highlight w:val="none"/>
        </w:rPr>
        <w:t>竞标总价应当与分部分项工程费、措施项目费、其他项目费和规费、增值税的合计金额一致。</w:t>
      </w:r>
    </w:p>
    <w:p w14:paraId="663D6E90">
      <w:pPr>
        <w:spacing w:line="360" w:lineRule="auto"/>
        <w:ind w:firstLine="420" w:firstLineChars="200"/>
        <w:rPr>
          <w:color w:val="auto"/>
          <w:highlight w:val="none"/>
        </w:rPr>
      </w:pPr>
      <w:r>
        <w:rPr>
          <w:rFonts w:hint="eastAsia"/>
          <w:color w:val="auto"/>
          <w:highlight w:val="none"/>
        </w:rPr>
        <w:t>10.</w:t>
      </w:r>
      <w:r>
        <w:rPr>
          <w:rFonts w:hint="eastAsia" w:cs="宋体"/>
          <w:color w:val="auto"/>
          <w:highlight w:val="none"/>
        </w:rPr>
        <w:t>供应商应按《承包人提供的主要材料和设备一览表》的内容填报，不得擅自调整材料和设备名称型号规格、单位、风险系数、基准单价。</w:t>
      </w:r>
    </w:p>
    <w:p w14:paraId="27B49F74">
      <w:pPr>
        <w:spacing w:line="360" w:lineRule="auto"/>
        <w:ind w:firstLine="420" w:firstLineChars="200"/>
        <w:rPr>
          <w:rFonts w:hint="eastAsia" w:hAnsi="宋体"/>
          <w:color w:val="auto"/>
          <w:highlight w:val="none"/>
        </w:rPr>
      </w:pPr>
      <w:r>
        <w:rPr>
          <w:rFonts w:hint="eastAsia"/>
          <w:color w:val="auto"/>
          <w:highlight w:val="none"/>
        </w:rPr>
        <w:t>11.</w:t>
      </w:r>
      <w:r>
        <w:rPr>
          <w:rFonts w:hint="eastAsia" w:hAnsi="宋体" w:cs="宋体"/>
          <w:color w:val="auto"/>
          <w:highlight w:val="none"/>
        </w:rPr>
        <w:t>竞标报价</w:t>
      </w:r>
      <w:r>
        <w:rPr>
          <w:rFonts w:hint="eastAsia" w:cs="宋体"/>
          <w:color w:val="auto"/>
          <w:highlight w:val="none"/>
        </w:rPr>
        <w:t>表格按本工程工程量清单表格要求填写，并</w:t>
      </w:r>
      <w:r>
        <w:rPr>
          <w:rFonts w:hint="eastAsia" w:hAnsi="宋体" w:cs="宋体"/>
          <w:color w:val="auto"/>
          <w:highlight w:val="none"/>
        </w:rPr>
        <w:t>应按</w:t>
      </w:r>
      <w:r>
        <w:rPr>
          <w:rFonts w:hint="eastAsia" w:cs="宋体"/>
          <w:color w:val="auto"/>
          <w:highlight w:val="none"/>
        </w:rPr>
        <w:t>竞争性磋商文件</w:t>
      </w:r>
      <w:r>
        <w:rPr>
          <w:rFonts w:hint="eastAsia" w:hAnsi="宋体" w:cs="宋体"/>
          <w:color w:val="auto"/>
          <w:highlight w:val="none"/>
        </w:rPr>
        <w:t>要求，附上《工程量清单综合单价分析表》（表</w:t>
      </w:r>
      <w:r>
        <w:rPr>
          <w:color w:val="auto"/>
          <w:highlight w:val="none"/>
        </w:rPr>
        <w:t>-09</w:t>
      </w:r>
      <w:r>
        <w:rPr>
          <w:rFonts w:hint="eastAsia" w:hAnsi="宋体" w:cs="宋体"/>
          <w:color w:val="auto"/>
          <w:highlight w:val="none"/>
        </w:rPr>
        <w:t>）和《主要清单项目工料机分析表》（表</w:t>
      </w:r>
      <w:r>
        <w:rPr>
          <w:color w:val="auto"/>
          <w:highlight w:val="none"/>
        </w:rPr>
        <w:t>-10</w:t>
      </w:r>
      <w:r>
        <w:rPr>
          <w:rFonts w:hint="eastAsia" w:hAnsi="宋体" w:cs="宋体"/>
          <w:color w:val="auto"/>
          <w:highlight w:val="none"/>
        </w:rPr>
        <w:t>）。</w:t>
      </w:r>
    </w:p>
    <w:p w14:paraId="71180428">
      <w:pPr>
        <w:pStyle w:val="24"/>
        <w:spacing w:line="360" w:lineRule="auto"/>
        <w:ind w:firstLine="400" w:firstLineChars="200"/>
        <w:jc w:val="left"/>
        <w:rPr>
          <w:rStyle w:val="63"/>
          <w:rFonts w:hint="eastAsia" w:asciiTheme="minorEastAsia" w:hAnsiTheme="minorEastAsia" w:eastAsiaTheme="minorEastAsia" w:cstheme="minorEastAsia"/>
          <w:color w:val="auto"/>
          <w:sz w:val="36"/>
          <w:szCs w:val="36"/>
          <w:highlight w:val="none"/>
        </w:rPr>
      </w:pPr>
      <w:r>
        <w:rPr>
          <w:rFonts w:hint="eastAsia"/>
          <w:color w:val="auto"/>
          <w:highlight w:val="none"/>
        </w:rPr>
        <w:t>未尽事宜详见本工程招标工程量清单、招标控制价编制说明以及现行《计价规范》等有关规定执行。</w:t>
      </w:r>
    </w:p>
    <w:p w14:paraId="60B02701">
      <w:pPr>
        <w:rPr>
          <w:rStyle w:val="63"/>
          <w:rFonts w:hint="eastAsia" w:asciiTheme="minorEastAsia" w:hAnsiTheme="minorEastAsia" w:eastAsiaTheme="minorEastAsia" w:cstheme="minorEastAsia"/>
          <w:color w:val="auto"/>
          <w:sz w:val="36"/>
          <w:szCs w:val="36"/>
          <w:highlight w:val="none"/>
        </w:rPr>
      </w:pPr>
    </w:p>
    <w:p w14:paraId="1CAFAF58">
      <w:pPr>
        <w:pStyle w:val="2"/>
        <w:rPr>
          <w:rStyle w:val="63"/>
          <w:rFonts w:hint="eastAsia" w:asciiTheme="minorEastAsia" w:hAnsiTheme="minorEastAsia" w:eastAsiaTheme="minorEastAsia" w:cstheme="minorEastAsia"/>
          <w:b/>
          <w:bCs/>
          <w:color w:val="auto"/>
          <w:sz w:val="36"/>
          <w:szCs w:val="36"/>
          <w:highlight w:val="none"/>
        </w:rPr>
      </w:pPr>
    </w:p>
    <w:p w14:paraId="5930A2E3">
      <w:pPr>
        <w:pStyle w:val="42"/>
        <w:ind w:firstLine="361"/>
        <w:rPr>
          <w:rStyle w:val="63"/>
          <w:rFonts w:hint="eastAsia" w:asciiTheme="minorEastAsia" w:hAnsiTheme="minorEastAsia" w:eastAsiaTheme="minorEastAsia" w:cstheme="minorEastAsia"/>
          <w:b/>
          <w:bCs/>
          <w:color w:val="auto"/>
          <w:sz w:val="36"/>
          <w:szCs w:val="36"/>
          <w:highlight w:val="none"/>
        </w:rPr>
      </w:pPr>
    </w:p>
    <w:p w14:paraId="562FA590">
      <w:pPr>
        <w:rPr>
          <w:rFonts w:hint="eastAsia" w:asciiTheme="minorEastAsia" w:hAnsiTheme="minorEastAsia" w:eastAsiaTheme="minorEastAsia" w:cstheme="minorEastAsia"/>
          <w:b/>
          <w:bCs/>
          <w:color w:val="auto"/>
          <w:kern w:val="0"/>
          <w:sz w:val="44"/>
          <w:szCs w:val="44"/>
          <w:highlight w:val="none"/>
        </w:rPr>
      </w:pPr>
      <w:r>
        <w:rPr>
          <w:rFonts w:hint="eastAsia" w:asciiTheme="minorEastAsia" w:hAnsiTheme="minorEastAsia" w:eastAsiaTheme="minorEastAsia" w:cstheme="minorEastAsia"/>
          <w:b/>
          <w:bCs/>
          <w:color w:val="auto"/>
          <w:kern w:val="0"/>
          <w:sz w:val="44"/>
          <w:szCs w:val="44"/>
          <w:highlight w:val="none"/>
        </w:rPr>
        <w:br w:type="page"/>
      </w:r>
    </w:p>
    <w:p w14:paraId="058AD382">
      <w:pPr>
        <w:pStyle w:val="24"/>
        <w:spacing w:line="360" w:lineRule="auto"/>
        <w:jc w:val="center"/>
        <w:outlineLvl w:val="0"/>
        <w:rPr>
          <w:rFonts w:hint="eastAsia" w:asciiTheme="minorEastAsia" w:hAnsiTheme="minorEastAsia" w:eastAsiaTheme="minorEastAsia" w:cstheme="minorEastAsia"/>
          <w:b/>
          <w:bCs/>
          <w:color w:val="auto"/>
          <w:sz w:val="44"/>
          <w:szCs w:val="44"/>
          <w:highlight w:val="none"/>
        </w:rPr>
        <w:sectPr>
          <w:pgSz w:w="11906" w:h="16838"/>
          <w:pgMar w:top="840" w:right="1006" w:bottom="1440" w:left="1020" w:header="851" w:footer="992" w:gutter="0"/>
          <w:cols w:space="720" w:num="1"/>
          <w:titlePg/>
          <w:docGrid w:type="lines" w:linePitch="312" w:charSpace="0"/>
        </w:sectPr>
      </w:pPr>
      <w:bookmarkStart w:id="44" w:name="_Toc22111"/>
    </w:p>
    <w:p w14:paraId="0467ABB9">
      <w:pPr>
        <w:pStyle w:val="24"/>
        <w:spacing w:line="360" w:lineRule="auto"/>
        <w:jc w:val="center"/>
        <w:outlineLvl w:val="0"/>
        <w:rPr>
          <w:rFonts w:hint="eastAsia" w:asciiTheme="minorEastAsia" w:hAnsiTheme="minorEastAsia" w:eastAsiaTheme="minorEastAsia" w:cstheme="minorEastAsia"/>
          <w:b/>
          <w:bCs/>
          <w:color w:val="auto"/>
          <w:sz w:val="44"/>
          <w:szCs w:val="44"/>
          <w:highlight w:val="none"/>
        </w:rPr>
      </w:pPr>
      <w:r>
        <w:rPr>
          <w:rFonts w:hint="eastAsia" w:asciiTheme="minorEastAsia" w:hAnsiTheme="minorEastAsia" w:eastAsiaTheme="minorEastAsia" w:cstheme="minorEastAsia"/>
          <w:b/>
          <w:bCs/>
          <w:color w:val="auto"/>
          <w:sz w:val="44"/>
          <w:szCs w:val="44"/>
          <w:highlight w:val="none"/>
        </w:rPr>
        <w:t>第八章   合同书格式</w:t>
      </w:r>
      <w:bookmarkEnd w:id="44"/>
    </w:p>
    <w:p w14:paraId="3FB6D038">
      <w:pPr>
        <w:autoSpaceDE w:val="0"/>
        <w:autoSpaceDN w:val="0"/>
        <w:adjustRightInd w:val="0"/>
        <w:snapToGrid w:val="0"/>
        <w:spacing w:line="300" w:lineRule="auto"/>
        <w:jc w:val="center"/>
        <w:rPr>
          <w:rFonts w:hint="eastAsia" w:ascii="仿宋_GB2312" w:hAnsi="宋体" w:eastAsia="仿宋_GB2312"/>
          <w:b/>
          <w:color w:val="auto"/>
          <w:kern w:val="0"/>
          <w:sz w:val="44"/>
          <w:szCs w:val="44"/>
          <w:highlight w:val="none"/>
        </w:rPr>
      </w:pPr>
    </w:p>
    <w:p w14:paraId="17D6BAA6">
      <w:pPr>
        <w:jc w:val="left"/>
        <w:rPr>
          <w:rFonts w:hint="eastAsia" w:ascii="宋体" w:hAnsi="宋体"/>
          <w:b/>
          <w:color w:val="auto"/>
          <w:sz w:val="52"/>
          <w:szCs w:val="52"/>
          <w:highlight w:val="none"/>
        </w:rPr>
      </w:pPr>
      <w:r>
        <w:rPr>
          <w:rFonts w:ascii="宋体" w:hAnsi="宋体"/>
          <w:bCs/>
          <w:color w:val="auto"/>
          <w:sz w:val="32"/>
          <w:szCs w:val="32"/>
          <w:highlight w:val="none"/>
        </w:rPr>
        <w:t>（GF—201</w:t>
      </w:r>
      <w:r>
        <w:rPr>
          <w:rFonts w:hint="eastAsia" w:ascii="宋体" w:hAnsi="宋体"/>
          <w:bCs/>
          <w:color w:val="auto"/>
          <w:sz w:val="32"/>
          <w:szCs w:val="32"/>
          <w:highlight w:val="none"/>
        </w:rPr>
        <w:t>7</w:t>
      </w:r>
      <w:r>
        <w:rPr>
          <w:rFonts w:ascii="宋体" w:hAnsi="宋体"/>
          <w:bCs/>
          <w:color w:val="auto"/>
          <w:sz w:val="32"/>
          <w:szCs w:val="32"/>
          <w:highlight w:val="none"/>
        </w:rPr>
        <w:t>—</w:t>
      </w:r>
      <w:r>
        <w:rPr>
          <w:rFonts w:hint="eastAsia" w:ascii="宋体" w:hAnsi="宋体"/>
          <w:bCs/>
          <w:color w:val="auto"/>
          <w:sz w:val="32"/>
          <w:szCs w:val="32"/>
          <w:highlight w:val="none"/>
        </w:rPr>
        <w:t>0201）</w:t>
      </w:r>
    </w:p>
    <w:p w14:paraId="5AA5B23D">
      <w:pPr>
        <w:jc w:val="center"/>
        <w:rPr>
          <w:rFonts w:hint="eastAsia" w:ascii="宋体" w:hAnsi="宋体"/>
          <w:b/>
          <w:color w:val="auto"/>
          <w:sz w:val="52"/>
          <w:szCs w:val="52"/>
          <w:highlight w:val="none"/>
        </w:rPr>
      </w:pPr>
    </w:p>
    <w:p w14:paraId="633E5A0B">
      <w:pPr>
        <w:jc w:val="center"/>
        <w:rPr>
          <w:rFonts w:hint="eastAsia" w:ascii="宋体" w:hAnsi="宋体"/>
          <w:b/>
          <w:color w:val="auto"/>
          <w:sz w:val="72"/>
          <w:szCs w:val="52"/>
          <w:highlight w:val="none"/>
        </w:rPr>
      </w:pPr>
      <w:r>
        <w:rPr>
          <w:rFonts w:ascii="宋体" w:hAnsi="宋体"/>
          <w:b/>
          <w:color w:val="auto"/>
          <w:sz w:val="72"/>
          <w:szCs w:val="52"/>
          <w:highlight w:val="none"/>
        </w:rPr>
        <w:t>建设工程施工合同</w:t>
      </w:r>
    </w:p>
    <w:p w14:paraId="7D190A0F">
      <w:pPr>
        <w:jc w:val="center"/>
        <w:rPr>
          <w:rFonts w:ascii="Calibri" w:hAnsi="Calibri"/>
          <w:b/>
          <w:color w:val="auto"/>
          <w:sz w:val="32"/>
          <w:szCs w:val="32"/>
          <w:highlight w:val="none"/>
        </w:rPr>
      </w:pPr>
      <w:r>
        <w:rPr>
          <w:rFonts w:hint="eastAsia" w:ascii="Calibri" w:hAnsi="Calibri"/>
          <w:b/>
          <w:color w:val="auto"/>
          <w:sz w:val="32"/>
          <w:szCs w:val="32"/>
          <w:highlight w:val="none"/>
        </w:rPr>
        <w:t xml:space="preserve">                    </w:t>
      </w:r>
    </w:p>
    <w:p w14:paraId="5E5378D5">
      <w:pPr>
        <w:spacing w:line="360" w:lineRule="auto"/>
        <w:ind w:firstLine="420" w:firstLineChars="200"/>
        <w:rPr>
          <w:rFonts w:hint="eastAsia" w:hAnsi="宋体"/>
          <w:color w:val="auto"/>
          <w:highlight w:val="none"/>
        </w:rPr>
      </w:pPr>
      <w:bookmarkStart w:id="45" w:name="_Toc389065255"/>
      <w:bookmarkStart w:id="46" w:name="_Toc296503025"/>
      <w:bookmarkStart w:id="47" w:name="_Toc373478199"/>
      <w:bookmarkStart w:id="48" w:name="_Toc296890982"/>
      <w:bookmarkStart w:id="49" w:name="_Toc351203480"/>
      <w:bookmarkStart w:id="50" w:name="_Toc55373958"/>
      <w:bookmarkStart w:id="51" w:name="_Toc373227552"/>
      <w:bookmarkStart w:id="52" w:name="_Toc407135191"/>
      <w:bookmarkStart w:id="53" w:name="_Toc69641855"/>
    </w:p>
    <w:p w14:paraId="5455C0D6">
      <w:pPr>
        <w:pStyle w:val="2"/>
        <w:ind w:left="63" w:right="63"/>
        <w:rPr>
          <w:rFonts w:hint="eastAsia" w:ascii="金山简黑体" w:hAnsi="宋体" w:eastAsia="金山简黑体"/>
          <w:b w:val="0"/>
          <w:color w:val="auto"/>
          <w:spacing w:val="-8"/>
          <w:kern w:val="2"/>
          <w:sz w:val="44"/>
          <w:szCs w:val="44"/>
          <w:highlight w:val="none"/>
          <w:u w:val="single"/>
          <w:lang w:eastAsia="zh-CN"/>
        </w:rPr>
      </w:pPr>
      <w:r>
        <w:rPr>
          <w:rFonts w:hint="eastAsia" w:ascii="金山简黑体" w:hAnsi="宋体" w:eastAsia="金山简黑体"/>
          <w:color w:val="auto"/>
          <w:spacing w:val="-8"/>
          <w:kern w:val="2"/>
          <w:sz w:val="44"/>
          <w:szCs w:val="44"/>
          <w:highlight w:val="none"/>
          <w:u w:val="single"/>
          <w:lang w:eastAsia="zh-CN"/>
        </w:rPr>
        <w:t>西乡塘区设施果蔬标准化种植园建设项目</w:t>
      </w:r>
    </w:p>
    <w:p w14:paraId="1CA6C9BC">
      <w:pPr>
        <w:pStyle w:val="2"/>
        <w:ind w:left="63" w:right="63"/>
        <w:rPr>
          <w:rFonts w:hint="eastAsia" w:ascii="金山简黑体" w:hAnsi="宋体" w:eastAsia="金山简黑体"/>
          <w:b w:val="0"/>
          <w:color w:val="auto"/>
          <w:spacing w:val="-8"/>
          <w:kern w:val="2"/>
          <w:sz w:val="44"/>
          <w:szCs w:val="44"/>
          <w:highlight w:val="none"/>
          <w:u w:val="single"/>
        </w:rPr>
      </w:pPr>
    </w:p>
    <w:p w14:paraId="5D3DA3EE">
      <w:pPr>
        <w:pStyle w:val="2"/>
        <w:ind w:left="63" w:right="63"/>
        <w:rPr>
          <w:rFonts w:hint="eastAsia" w:ascii="宋体" w:hAnsi="宋体"/>
          <w:color w:val="auto"/>
          <w:spacing w:val="60"/>
          <w:szCs w:val="44"/>
          <w:highlight w:val="none"/>
        </w:rPr>
      </w:pPr>
    </w:p>
    <w:p w14:paraId="1C4BFC7C">
      <w:pPr>
        <w:pStyle w:val="2"/>
        <w:adjustRightInd/>
        <w:spacing w:line="240" w:lineRule="auto"/>
        <w:ind w:left="63" w:right="63" w:firstLine="660"/>
        <w:textAlignment w:val="auto"/>
        <w:rPr>
          <w:rFonts w:hint="eastAsia" w:ascii="宋体" w:hAnsi="宋体"/>
          <w:b w:val="0"/>
          <w:color w:val="auto"/>
          <w:spacing w:val="60"/>
          <w:kern w:val="2"/>
          <w:sz w:val="44"/>
          <w:szCs w:val="44"/>
          <w:highlight w:val="none"/>
        </w:rPr>
      </w:pPr>
      <w:r>
        <w:rPr>
          <w:rFonts w:ascii="宋体" w:hAnsi="宋体"/>
          <w:color w:val="auto"/>
          <w:spacing w:val="60"/>
          <w:kern w:val="2"/>
          <w:sz w:val="44"/>
          <w:szCs w:val="44"/>
          <w:highlight w:val="none"/>
        </w:rPr>
        <w:t>施工合同</w:t>
      </w:r>
    </w:p>
    <w:p w14:paraId="7B375C00">
      <w:pPr>
        <w:jc w:val="center"/>
        <w:rPr>
          <w:rFonts w:hint="eastAsia" w:hAnsi="宋体"/>
          <w:b/>
          <w:color w:val="auto"/>
          <w:sz w:val="32"/>
          <w:highlight w:val="none"/>
        </w:rPr>
      </w:pPr>
    </w:p>
    <w:p w14:paraId="6BDAD01E">
      <w:pPr>
        <w:jc w:val="center"/>
        <w:rPr>
          <w:rFonts w:hint="eastAsia" w:hAnsi="宋体"/>
          <w:color w:val="auto"/>
          <w:sz w:val="28"/>
          <w:highlight w:val="none"/>
        </w:rPr>
      </w:pPr>
    </w:p>
    <w:p w14:paraId="4674AEAB">
      <w:pPr>
        <w:ind w:firstLine="1212" w:firstLineChars="379"/>
        <w:rPr>
          <w:rFonts w:hint="eastAsia" w:hAnsi="宋体"/>
          <w:color w:val="auto"/>
          <w:sz w:val="32"/>
          <w:highlight w:val="none"/>
        </w:rPr>
      </w:pPr>
      <w:r>
        <w:rPr>
          <w:rFonts w:hint="eastAsia" w:hAnsi="宋体"/>
          <w:color w:val="auto"/>
          <w:sz w:val="32"/>
          <w:highlight w:val="none"/>
        </w:rPr>
        <w:t xml:space="preserve"> </w:t>
      </w:r>
    </w:p>
    <w:p w14:paraId="0B44D023">
      <w:pPr>
        <w:ind w:firstLine="1852" w:firstLineChars="579"/>
        <w:rPr>
          <w:rFonts w:hint="eastAsia" w:hAnsi="宋体"/>
          <w:color w:val="auto"/>
          <w:sz w:val="32"/>
          <w:highlight w:val="none"/>
        </w:rPr>
      </w:pPr>
      <w:r>
        <w:rPr>
          <w:rFonts w:hint="eastAsia" w:hAnsi="宋体"/>
          <w:color w:val="auto"/>
          <w:sz w:val="32"/>
          <w:highlight w:val="none"/>
        </w:rPr>
        <w:t>合同</w:t>
      </w:r>
      <w:r>
        <w:rPr>
          <w:rFonts w:hint="eastAsia" w:hAnsi="宋体"/>
          <w:color w:val="auto"/>
          <w:spacing w:val="6"/>
          <w:sz w:val="32"/>
          <w:highlight w:val="none"/>
        </w:rPr>
        <w:t>编号</w:t>
      </w:r>
      <w:r>
        <w:rPr>
          <w:rFonts w:hint="eastAsia" w:hAnsi="宋体"/>
          <w:color w:val="auto"/>
          <w:sz w:val="32"/>
          <w:highlight w:val="none"/>
        </w:rPr>
        <w:t>：</w:t>
      </w:r>
      <w:r>
        <w:rPr>
          <w:rFonts w:hint="eastAsia" w:hAnsi="宋体"/>
          <w:color w:val="auto"/>
          <w:sz w:val="32"/>
          <w:highlight w:val="none"/>
          <w:u w:val="single"/>
        </w:rPr>
        <w:t xml:space="preserve">             </w:t>
      </w:r>
    </w:p>
    <w:p w14:paraId="3B63A668">
      <w:pPr>
        <w:ind w:firstLine="1760" w:firstLineChars="550"/>
        <w:rPr>
          <w:rFonts w:hint="eastAsia" w:hAnsi="宋体"/>
          <w:color w:val="auto"/>
          <w:sz w:val="32"/>
          <w:highlight w:val="none"/>
        </w:rPr>
      </w:pPr>
    </w:p>
    <w:p w14:paraId="1129FFB7">
      <w:pPr>
        <w:ind w:firstLine="1760" w:firstLineChars="550"/>
        <w:rPr>
          <w:rFonts w:hint="eastAsia" w:hAnsi="宋体"/>
          <w:color w:val="auto"/>
          <w:sz w:val="32"/>
          <w:highlight w:val="none"/>
        </w:rPr>
      </w:pPr>
    </w:p>
    <w:p w14:paraId="4141AB07">
      <w:pPr>
        <w:ind w:firstLine="1760" w:firstLineChars="550"/>
        <w:rPr>
          <w:rFonts w:hint="eastAsia" w:hAnsi="宋体"/>
          <w:color w:val="auto"/>
          <w:sz w:val="32"/>
          <w:highlight w:val="none"/>
        </w:rPr>
      </w:pPr>
    </w:p>
    <w:p w14:paraId="2D501BE4">
      <w:pPr>
        <w:ind w:firstLine="1760" w:firstLineChars="550"/>
        <w:rPr>
          <w:rFonts w:hint="eastAsia" w:hAnsi="宋体"/>
          <w:color w:val="auto"/>
          <w:sz w:val="32"/>
          <w:highlight w:val="none"/>
        </w:rPr>
      </w:pPr>
    </w:p>
    <w:p w14:paraId="3BCF2036">
      <w:pPr>
        <w:ind w:firstLine="1760" w:firstLineChars="550"/>
        <w:rPr>
          <w:rFonts w:hint="eastAsia" w:hAnsi="宋体"/>
          <w:color w:val="auto"/>
          <w:sz w:val="32"/>
          <w:highlight w:val="none"/>
        </w:rPr>
      </w:pPr>
      <w:r>
        <w:rPr>
          <w:rFonts w:hint="eastAsia" w:hAnsi="宋体"/>
          <w:color w:val="auto"/>
          <w:sz w:val="32"/>
          <w:highlight w:val="none"/>
        </w:rPr>
        <w:t>签订合同地点：</w:t>
      </w:r>
      <w:r>
        <w:rPr>
          <w:rFonts w:hint="eastAsia" w:hAnsi="宋体"/>
          <w:color w:val="auto"/>
          <w:sz w:val="32"/>
          <w:highlight w:val="none"/>
          <w:u w:val="single"/>
        </w:rPr>
        <w:t xml:space="preserve">     </w:t>
      </w:r>
      <w:r>
        <w:rPr>
          <w:rFonts w:hint="eastAsia" w:hAnsi="宋体"/>
          <w:color w:val="auto"/>
          <w:sz w:val="32"/>
          <w:highlight w:val="none"/>
          <w:u w:val="single"/>
          <w:lang w:val="en-US" w:eastAsia="zh-CN"/>
        </w:rPr>
        <w:t>南宁</w:t>
      </w:r>
      <w:r>
        <w:rPr>
          <w:rFonts w:hint="eastAsia" w:hAnsi="宋体"/>
          <w:color w:val="auto"/>
          <w:sz w:val="32"/>
          <w:highlight w:val="none"/>
          <w:u w:val="single"/>
        </w:rPr>
        <w:t xml:space="preserve">市       </w:t>
      </w:r>
    </w:p>
    <w:p w14:paraId="25165209">
      <w:pPr>
        <w:pStyle w:val="24"/>
        <w:ind w:firstLine="1760" w:firstLineChars="550"/>
        <w:rPr>
          <w:rFonts w:hint="eastAsia" w:hAnsi="宋体"/>
          <w:color w:val="auto"/>
          <w:sz w:val="32"/>
          <w:highlight w:val="none"/>
        </w:rPr>
        <w:sectPr>
          <w:footerReference r:id="rId9" w:type="default"/>
          <w:pgSz w:w="11906" w:h="16838"/>
          <w:pgMar w:top="840" w:right="1006" w:bottom="1440" w:left="1020" w:header="851" w:footer="992" w:gutter="0"/>
          <w:cols w:space="720" w:num="1"/>
          <w:docGrid w:type="lines" w:linePitch="312" w:charSpace="0"/>
        </w:sectPr>
      </w:pPr>
      <w:r>
        <w:rPr>
          <w:rFonts w:hint="eastAsia" w:hAnsi="宋体"/>
          <w:color w:val="auto"/>
          <w:sz w:val="32"/>
          <w:highlight w:val="none"/>
        </w:rPr>
        <w:t>签订合同时间：</w:t>
      </w:r>
      <w:r>
        <w:rPr>
          <w:rFonts w:hint="eastAsia" w:hAnsi="宋体"/>
          <w:color w:val="auto"/>
          <w:sz w:val="32"/>
          <w:highlight w:val="none"/>
          <w:u w:val="single"/>
        </w:rPr>
        <w:t xml:space="preserve"> </w:t>
      </w:r>
      <w:r>
        <w:rPr>
          <w:rFonts w:hint="eastAsia" w:hAnsi="宋体"/>
          <w:color w:val="auto"/>
          <w:sz w:val="32"/>
          <w:highlight w:val="none"/>
          <w:u w:val="single"/>
          <w:lang w:eastAsia="zh-CN"/>
        </w:rPr>
        <w:t>2026年</w:t>
      </w:r>
      <w:r>
        <w:rPr>
          <w:rFonts w:hint="eastAsia" w:hAnsi="宋体"/>
          <w:color w:val="auto"/>
          <w:sz w:val="32"/>
          <w:highlight w:val="none"/>
          <w:u w:val="single"/>
        </w:rPr>
        <w:t xml:space="preserve">  </w:t>
      </w:r>
      <w:r>
        <w:rPr>
          <w:rFonts w:hint="eastAsia" w:hAnsi="宋体"/>
          <w:color w:val="auto"/>
          <w:sz w:val="32"/>
          <w:highlight w:val="none"/>
        </w:rPr>
        <w:t>月</w:t>
      </w:r>
      <w:r>
        <w:rPr>
          <w:rFonts w:hint="eastAsia" w:hAnsi="宋体"/>
          <w:color w:val="auto"/>
          <w:sz w:val="32"/>
          <w:highlight w:val="none"/>
          <w:u w:val="single"/>
        </w:rPr>
        <w:t xml:space="preserve">  </w:t>
      </w:r>
      <w:r>
        <w:rPr>
          <w:rFonts w:hint="eastAsia" w:hAnsi="宋体"/>
          <w:color w:val="auto"/>
          <w:sz w:val="32"/>
          <w:highlight w:val="none"/>
        </w:rPr>
        <w:t xml:space="preserve">日 </w:t>
      </w:r>
    </w:p>
    <w:p w14:paraId="456DF9F4">
      <w:pPr>
        <w:pStyle w:val="4"/>
        <w:jc w:val="center"/>
        <w:rPr>
          <w:color w:val="auto"/>
          <w:highlight w:val="none"/>
        </w:rPr>
      </w:pPr>
      <w:r>
        <w:rPr>
          <w:rFonts w:hint="eastAsia"/>
          <w:color w:val="auto"/>
          <w:highlight w:val="none"/>
        </w:rPr>
        <w:t>第一部分 合同协议书</w:t>
      </w:r>
      <w:bookmarkEnd w:id="45"/>
      <w:bookmarkEnd w:id="46"/>
      <w:bookmarkEnd w:id="47"/>
      <w:bookmarkEnd w:id="48"/>
      <w:bookmarkEnd w:id="49"/>
      <w:bookmarkEnd w:id="50"/>
      <w:bookmarkEnd w:id="51"/>
      <w:bookmarkEnd w:id="52"/>
      <w:bookmarkEnd w:id="53"/>
    </w:p>
    <w:p w14:paraId="39B4E9B2">
      <w:pPr>
        <w:spacing w:line="360" w:lineRule="auto"/>
        <w:rPr>
          <w:color w:val="000000" w:themeColor="text1"/>
          <w:highlight w:val="none"/>
          <w:u w:val="single"/>
          <w14:textFill>
            <w14:solidFill>
              <w14:schemeClr w14:val="tx1"/>
            </w14:solidFill>
          </w14:textFill>
        </w:rPr>
      </w:pPr>
      <w:r>
        <w:rPr>
          <w:rFonts w:hint="eastAsia" w:hAnsi="宋体" w:cs="宋体"/>
          <w:color w:val="000000" w:themeColor="text1"/>
          <w:highlight w:val="none"/>
          <w14:textFill>
            <w14:solidFill>
              <w14:schemeClr w14:val="tx1"/>
            </w14:solidFill>
          </w14:textFill>
        </w:rPr>
        <w:t>发包人（全称）：</w:t>
      </w:r>
      <w:r>
        <w:rPr>
          <w:rFonts w:hint="eastAsia" w:hAnsi="宋体"/>
          <w:color w:val="000000" w:themeColor="text1"/>
          <w:highlight w:val="none"/>
          <w:u w:val="single"/>
          <w14:textFill>
            <w14:solidFill>
              <w14:schemeClr w14:val="tx1"/>
            </w14:solidFill>
          </w14:textFill>
        </w:rPr>
        <w:t xml:space="preserve"> </w:t>
      </w:r>
      <w:r>
        <w:rPr>
          <w:rFonts w:hAnsi="宋体"/>
          <w:color w:val="000000" w:themeColor="text1"/>
          <w:highlight w:val="none"/>
          <w:u w:val="single"/>
          <w14:textFill>
            <w14:solidFill>
              <w14:schemeClr w14:val="tx1"/>
            </w14:solidFill>
          </w14:textFill>
        </w:rPr>
        <w:t xml:space="preserve">          </w:t>
      </w:r>
    </w:p>
    <w:p w14:paraId="26DACE87">
      <w:pPr>
        <w:spacing w:line="360" w:lineRule="auto"/>
        <w:rPr>
          <w:color w:val="000000" w:themeColor="text1"/>
          <w:highlight w:val="none"/>
          <w:u w:val="single"/>
          <w14:textFill>
            <w14:solidFill>
              <w14:schemeClr w14:val="tx1"/>
            </w14:solidFill>
          </w14:textFill>
        </w:rPr>
      </w:pPr>
      <w:r>
        <w:rPr>
          <w:rFonts w:hint="eastAsia" w:hAnsi="宋体" w:cs="宋体"/>
          <w:color w:val="000000" w:themeColor="text1"/>
          <w:highlight w:val="none"/>
          <w14:textFill>
            <w14:solidFill>
              <w14:schemeClr w14:val="tx1"/>
            </w14:solidFill>
          </w14:textFill>
        </w:rPr>
        <w:t>承包人（全称）：</w:t>
      </w:r>
    </w:p>
    <w:p w14:paraId="5EEFD3BC">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根据《中华人民共和国民法典》、《中华人民共和国建筑法》及有关法律规定，遵循平等、自愿、公平和诚实信用的原则，双方就工程施工及有关事项协商一致，共同达成如下协议：</w:t>
      </w:r>
      <w:bookmarkStart w:id="54" w:name="_Toc351203481"/>
    </w:p>
    <w:p w14:paraId="4CE6B2A3">
      <w:pPr>
        <w:spacing w:line="360" w:lineRule="auto"/>
        <w:ind w:firstLine="422" w:firstLineChars="200"/>
        <w:outlineLvl w:val="0"/>
        <w:rPr>
          <w:b/>
          <w:bCs/>
          <w:color w:val="000000" w:themeColor="text1"/>
          <w:highlight w:val="none"/>
          <w14:textFill>
            <w14:solidFill>
              <w14:schemeClr w14:val="tx1"/>
            </w14:solidFill>
          </w14:textFill>
        </w:rPr>
      </w:pPr>
      <w:r>
        <w:rPr>
          <w:rFonts w:hint="eastAsia" w:hAnsi="宋体" w:cs="宋体"/>
          <w:b/>
          <w:bCs/>
          <w:color w:val="000000" w:themeColor="text1"/>
          <w:highlight w:val="none"/>
          <w14:textFill>
            <w14:solidFill>
              <w14:schemeClr w14:val="tx1"/>
            </w14:solidFill>
          </w14:textFill>
        </w:rPr>
        <w:t>一、工程概况</w:t>
      </w:r>
      <w:bookmarkEnd w:id="54"/>
    </w:p>
    <w:p w14:paraId="200D2E1A">
      <w:pPr>
        <w:spacing w:line="360" w:lineRule="auto"/>
        <w:ind w:firstLine="411" w:firstLineChars="196"/>
        <w:rPr>
          <w:color w:val="000000" w:themeColor="text1"/>
          <w:highlight w:val="none"/>
          <w:u w:val="single"/>
          <w14:textFill>
            <w14:solidFill>
              <w14:schemeClr w14:val="tx1"/>
            </w14:solidFill>
          </w14:textFill>
        </w:rPr>
      </w:pPr>
      <w:r>
        <w:rPr>
          <w:color w:val="000000" w:themeColor="text1"/>
          <w:highlight w:val="none"/>
          <w14:textFill>
            <w14:solidFill>
              <w14:schemeClr w14:val="tx1"/>
            </w14:solidFill>
          </w14:textFill>
        </w:rPr>
        <w:t xml:space="preserve">1. </w:t>
      </w:r>
      <w:r>
        <w:rPr>
          <w:rFonts w:hint="eastAsia" w:hAnsi="宋体" w:cs="宋体"/>
          <w:color w:val="000000" w:themeColor="text1"/>
          <w:highlight w:val="none"/>
          <w14:textFill>
            <w14:solidFill>
              <w14:schemeClr w14:val="tx1"/>
            </w14:solidFill>
          </w14:textFill>
        </w:rPr>
        <w:t>工程名称：。</w:t>
      </w:r>
    </w:p>
    <w:p w14:paraId="6E0F93D8">
      <w:pPr>
        <w:spacing w:line="360" w:lineRule="auto"/>
        <w:ind w:firstLine="411" w:firstLineChars="196"/>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2. </w:t>
      </w:r>
      <w:r>
        <w:rPr>
          <w:rFonts w:hint="eastAsia" w:hAnsi="宋体" w:cs="宋体"/>
          <w:color w:val="000000" w:themeColor="text1"/>
          <w:highlight w:val="none"/>
          <w14:textFill>
            <w14:solidFill>
              <w14:schemeClr w14:val="tx1"/>
            </w14:solidFill>
          </w14:textFill>
        </w:rPr>
        <w:t>工程地点：。</w:t>
      </w:r>
    </w:p>
    <w:p w14:paraId="68B127DE">
      <w:pPr>
        <w:spacing w:line="360" w:lineRule="auto"/>
        <w:ind w:firstLine="411" w:firstLineChars="196"/>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3. </w:t>
      </w:r>
      <w:r>
        <w:rPr>
          <w:rFonts w:hint="eastAsia" w:hAnsi="宋体" w:cs="宋体"/>
          <w:color w:val="000000" w:themeColor="text1"/>
          <w:highlight w:val="none"/>
          <w14:textFill>
            <w14:solidFill>
              <w14:schemeClr w14:val="tx1"/>
            </w14:solidFill>
          </w14:textFill>
        </w:rPr>
        <w:t>工程立项批准文号：。</w:t>
      </w:r>
    </w:p>
    <w:p w14:paraId="4A4A0320">
      <w:pPr>
        <w:spacing w:line="360" w:lineRule="auto"/>
        <w:ind w:firstLine="411" w:firstLineChars="196"/>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4. </w:t>
      </w:r>
      <w:r>
        <w:rPr>
          <w:rFonts w:hint="eastAsia" w:hAnsi="宋体" w:cs="宋体"/>
          <w:color w:val="000000" w:themeColor="text1"/>
          <w:highlight w:val="none"/>
          <w14:textFill>
            <w14:solidFill>
              <w14:schemeClr w14:val="tx1"/>
            </w14:solidFill>
          </w14:textFill>
        </w:rPr>
        <w:t>资金来源：</w:t>
      </w:r>
      <w:r>
        <w:rPr>
          <w:rFonts w:hint="eastAsia"/>
          <w:color w:val="000000" w:themeColor="text1"/>
          <w:highlight w:val="none"/>
          <w:u w:val="single"/>
          <w14:textFill>
            <w14:solidFill>
              <w14:schemeClr w14:val="tx1"/>
            </w14:solidFill>
          </w14:textFill>
        </w:rPr>
        <w:t xml:space="preserve">       财政性资金                   </w:t>
      </w:r>
      <w:r>
        <w:rPr>
          <w:rFonts w:hint="eastAsia" w:hAnsi="宋体" w:cs="宋体"/>
          <w:color w:val="000000" w:themeColor="text1"/>
          <w:highlight w:val="none"/>
          <w14:textFill>
            <w14:solidFill>
              <w14:schemeClr w14:val="tx1"/>
            </w14:solidFill>
          </w14:textFill>
        </w:rPr>
        <w:t>。</w:t>
      </w:r>
    </w:p>
    <w:p w14:paraId="58498C8D">
      <w:pPr>
        <w:spacing w:line="360" w:lineRule="auto"/>
        <w:ind w:firstLine="411" w:firstLineChars="196"/>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5. </w:t>
      </w:r>
      <w:r>
        <w:rPr>
          <w:rFonts w:hint="eastAsia" w:hAnsi="宋体" w:cs="宋体"/>
          <w:color w:val="000000" w:themeColor="text1"/>
          <w:highlight w:val="none"/>
          <w14:textFill>
            <w14:solidFill>
              <w14:schemeClr w14:val="tx1"/>
            </w14:solidFill>
          </w14:textFill>
        </w:rPr>
        <w:t>工程内容：。</w:t>
      </w:r>
    </w:p>
    <w:p w14:paraId="52A9E0E1">
      <w:pPr>
        <w:spacing w:line="360" w:lineRule="auto"/>
        <w:ind w:firstLine="411" w:firstLineChars="196"/>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6. </w:t>
      </w:r>
      <w:r>
        <w:rPr>
          <w:rFonts w:hint="eastAsia" w:hAnsi="宋体" w:cs="宋体"/>
          <w:color w:val="000000" w:themeColor="text1"/>
          <w:highlight w:val="none"/>
          <w14:textFill>
            <w14:solidFill>
              <w14:schemeClr w14:val="tx1"/>
            </w14:solidFill>
          </w14:textFill>
        </w:rPr>
        <w:t>工程承包范围：</w:t>
      </w:r>
    </w:p>
    <w:p w14:paraId="4CE3B8A0">
      <w:pPr>
        <w:spacing w:line="360" w:lineRule="auto"/>
        <w:ind w:firstLine="407" w:firstLineChars="193"/>
        <w:outlineLvl w:val="0"/>
        <w:rPr>
          <w:b/>
          <w:bCs/>
          <w:color w:val="000000" w:themeColor="text1"/>
          <w:highlight w:val="none"/>
          <w14:textFill>
            <w14:solidFill>
              <w14:schemeClr w14:val="tx1"/>
            </w14:solidFill>
          </w14:textFill>
        </w:rPr>
      </w:pPr>
      <w:bookmarkStart w:id="55" w:name="_Toc351203482"/>
      <w:r>
        <w:rPr>
          <w:rFonts w:hint="eastAsia" w:hAnsi="宋体" w:cs="宋体"/>
          <w:b/>
          <w:bCs/>
          <w:color w:val="000000" w:themeColor="text1"/>
          <w:highlight w:val="none"/>
          <w14:textFill>
            <w14:solidFill>
              <w14:schemeClr w14:val="tx1"/>
            </w14:solidFill>
          </w14:textFill>
        </w:rPr>
        <w:t>二、合同工期</w:t>
      </w:r>
      <w:bookmarkEnd w:id="55"/>
    </w:p>
    <w:p w14:paraId="711B8C4E">
      <w:pPr>
        <w:spacing w:line="360" w:lineRule="auto"/>
        <w:ind w:firstLine="459"/>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计划开工日期：</w:t>
      </w:r>
      <w:r>
        <w:rPr>
          <w:rFonts w:hint="eastAsia" w:hAnsi="宋体"/>
          <w:color w:val="000000" w:themeColor="text1"/>
          <w:highlight w:val="none"/>
          <w14:textFill>
            <w14:solidFill>
              <w14:schemeClr w14:val="tx1"/>
            </w14:solidFill>
          </w14:textFill>
        </w:rPr>
        <w:t>×年×月×日</w:t>
      </w:r>
      <w:r>
        <w:rPr>
          <w:rFonts w:hAnsi="宋体"/>
          <w:color w:val="000000" w:themeColor="text1"/>
          <w:highlight w:val="none"/>
          <w14:textFill>
            <w14:solidFill>
              <w14:schemeClr w14:val="tx1"/>
            </w14:solidFill>
          </w14:textFill>
        </w:rPr>
        <w:t>。</w:t>
      </w:r>
      <w:r>
        <w:rPr>
          <w:rFonts w:hint="eastAsia" w:hAnsi="宋体" w:cs="宋体"/>
          <w:color w:val="000000" w:themeColor="text1"/>
          <w:highlight w:val="none"/>
          <w14:textFill>
            <w14:solidFill>
              <w14:schemeClr w14:val="tx1"/>
            </w14:solidFill>
          </w14:textFill>
        </w:rPr>
        <w:t>（具体以发包人书面通知为准）</w:t>
      </w:r>
    </w:p>
    <w:p w14:paraId="7140CDB4">
      <w:pPr>
        <w:spacing w:line="360" w:lineRule="auto"/>
        <w:ind w:firstLine="459"/>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计划竣工日期：</w:t>
      </w:r>
      <w:r>
        <w:rPr>
          <w:rFonts w:hint="eastAsia" w:hAnsi="宋体"/>
          <w:color w:val="000000" w:themeColor="text1"/>
          <w:highlight w:val="none"/>
          <w14:textFill>
            <w14:solidFill>
              <w14:schemeClr w14:val="tx1"/>
            </w14:solidFill>
          </w14:textFill>
        </w:rPr>
        <w:t>×年×月×日</w:t>
      </w:r>
      <w:r>
        <w:rPr>
          <w:rFonts w:hint="eastAsia" w:hAnsi="宋体" w:cs="宋体"/>
          <w:color w:val="000000" w:themeColor="text1"/>
          <w:highlight w:val="none"/>
          <w14:textFill>
            <w14:solidFill>
              <w14:schemeClr w14:val="tx1"/>
            </w14:solidFill>
          </w14:textFill>
        </w:rPr>
        <w:t>。</w:t>
      </w:r>
    </w:p>
    <w:p w14:paraId="0D349672">
      <w:pPr>
        <w:spacing w:line="360" w:lineRule="auto"/>
        <w:ind w:firstLine="459"/>
        <w:rPr>
          <w:rFonts w:hAnsi="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工期总日历天数：天。工期总日历天数与根据前述计划开竣工日期计算的工期天数不一致的，以工期总日历天数为准。</w:t>
      </w:r>
    </w:p>
    <w:p w14:paraId="4E2F44C8">
      <w:pPr>
        <w:spacing w:line="360" w:lineRule="auto"/>
        <w:ind w:firstLine="459"/>
        <w:outlineLvl w:val="0"/>
        <w:rPr>
          <w:b/>
          <w:bCs/>
          <w:color w:val="000000" w:themeColor="text1"/>
          <w:highlight w:val="none"/>
          <w14:textFill>
            <w14:solidFill>
              <w14:schemeClr w14:val="tx1"/>
            </w14:solidFill>
          </w14:textFill>
        </w:rPr>
      </w:pPr>
      <w:bookmarkStart w:id="56" w:name="_Toc351203483"/>
      <w:r>
        <w:rPr>
          <w:rFonts w:hint="eastAsia" w:hAnsi="宋体" w:cs="宋体"/>
          <w:b/>
          <w:bCs/>
          <w:color w:val="000000" w:themeColor="text1"/>
          <w:highlight w:val="none"/>
          <w14:textFill>
            <w14:solidFill>
              <w14:schemeClr w14:val="tx1"/>
            </w14:solidFill>
          </w14:textFill>
        </w:rPr>
        <w:t>三、质量标准</w:t>
      </w:r>
      <w:bookmarkEnd w:id="56"/>
    </w:p>
    <w:p w14:paraId="030C1746">
      <w:pPr>
        <w:spacing w:line="360" w:lineRule="auto"/>
        <w:ind w:firstLine="459"/>
        <w:rPr>
          <w:rFonts w:hAnsi="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工程质量符合</w:t>
      </w:r>
      <w:r>
        <w:rPr>
          <w:rFonts w:hint="eastAsia" w:eastAsia="仿宋_GB2312"/>
          <w:color w:val="000000" w:themeColor="text1"/>
          <w:highlight w:val="none"/>
          <w:u w:val="single"/>
          <w14:textFill>
            <w14:solidFill>
              <w14:schemeClr w14:val="tx1"/>
            </w14:solidFill>
          </w14:textFill>
        </w:rPr>
        <w:t xml:space="preserve">合格    </w:t>
      </w:r>
      <w:r>
        <w:rPr>
          <w:rFonts w:hint="eastAsia" w:hAnsi="宋体" w:cs="宋体"/>
          <w:color w:val="000000" w:themeColor="text1"/>
          <w:highlight w:val="none"/>
          <w14:textFill>
            <w14:solidFill>
              <w14:schemeClr w14:val="tx1"/>
            </w14:solidFill>
          </w14:textFill>
        </w:rPr>
        <w:t>标准。</w:t>
      </w:r>
    </w:p>
    <w:p w14:paraId="4B5F3931">
      <w:pPr>
        <w:spacing w:line="360" w:lineRule="auto"/>
        <w:ind w:firstLine="459"/>
        <w:outlineLvl w:val="0"/>
        <w:rPr>
          <w:rFonts w:hAnsi="宋体"/>
          <w:b/>
          <w:bCs/>
          <w:color w:val="000000" w:themeColor="text1"/>
          <w:highlight w:val="none"/>
          <w14:textFill>
            <w14:solidFill>
              <w14:schemeClr w14:val="tx1"/>
            </w14:solidFill>
          </w14:textFill>
        </w:rPr>
      </w:pPr>
      <w:bookmarkStart w:id="57" w:name="_Toc351203484"/>
      <w:r>
        <w:rPr>
          <w:rFonts w:hint="eastAsia" w:hAnsi="宋体" w:cs="宋体"/>
          <w:b/>
          <w:bCs/>
          <w:color w:val="000000" w:themeColor="text1"/>
          <w:highlight w:val="none"/>
          <w14:textFill>
            <w14:solidFill>
              <w14:schemeClr w14:val="tx1"/>
            </w14:solidFill>
          </w14:textFill>
        </w:rPr>
        <w:t>四、签约合同价与合同价格形式</w:t>
      </w:r>
      <w:bookmarkEnd w:id="57"/>
    </w:p>
    <w:p w14:paraId="769A3C43">
      <w:pPr>
        <w:spacing w:line="360" w:lineRule="auto"/>
        <w:ind w:firstLine="45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 </w:t>
      </w:r>
      <w:r>
        <w:rPr>
          <w:rFonts w:hint="eastAsia" w:hAnsi="宋体" w:cs="宋体"/>
          <w:color w:val="000000" w:themeColor="text1"/>
          <w:highlight w:val="none"/>
          <w14:textFill>
            <w14:solidFill>
              <w14:schemeClr w14:val="tx1"/>
            </w14:solidFill>
          </w14:textFill>
        </w:rPr>
        <w:t>签约合同价为：</w:t>
      </w:r>
    </w:p>
    <w:p w14:paraId="0AF2333E">
      <w:pPr>
        <w:spacing w:line="360" w:lineRule="auto"/>
        <w:ind w:firstLine="525" w:firstLineChars="250"/>
        <w:rPr>
          <w:rFonts w:hAnsi="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人民币（大写）</w:t>
      </w: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w:t>
      </w:r>
      <w:r>
        <w:rPr>
          <w:rFonts w:hint="eastAsia" w:hAnsi="宋体" w:cs="宋体"/>
          <w:color w:val="000000" w:themeColor="text1"/>
          <w:highlight w:val="none"/>
          <w14:textFill>
            <w14:solidFill>
              <w14:schemeClr w14:val="tx1"/>
            </w14:solidFill>
          </w14:textFill>
        </w:rPr>
        <w:t>元</w:t>
      </w:r>
      <w:r>
        <w:rPr>
          <w:rFonts w:hint="eastAsia" w:cs="宋体"/>
          <w:color w:val="000000" w:themeColor="text1"/>
          <w:highlight w:val="none"/>
          <w14:textFill>
            <w14:solidFill>
              <w14:schemeClr w14:val="tx1"/>
            </w14:solidFill>
          </w14:textFill>
        </w:rPr>
        <w:t>）</w:t>
      </w:r>
      <w:r>
        <w:rPr>
          <w:rFonts w:hint="eastAsia" w:hAnsi="宋体" w:cs="宋体"/>
          <w:color w:val="000000" w:themeColor="text1"/>
          <w:highlight w:val="none"/>
          <w14:textFill>
            <w14:solidFill>
              <w14:schemeClr w14:val="tx1"/>
            </w14:solidFill>
          </w14:textFill>
        </w:rPr>
        <w:t>；</w:t>
      </w:r>
    </w:p>
    <w:p w14:paraId="5AB4B535">
      <w:pPr>
        <w:spacing w:line="360" w:lineRule="auto"/>
        <w:ind w:firstLine="525" w:firstLineChars="250"/>
        <w:rPr>
          <w:rFonts w:hAnsi="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其中：</w:t>
      </w:r>
    </w:p>
    <w:p w14:paraId="5001EF73">
      <w:pPr>
        <w:spacing w:line="360" w:lineRule="auto"/>
        <w:ind w:firstLine="420" w:firstLineChars="200"/>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1</w:t>
      </w:r>
      <w:r>
        <w:rPr>
          <w:rFonts w:hint="eastAsia" w:hAnsi="宋体" w:cs="宋体"/>
          <w:color w:val="000000" w:themeColor="text1"/>
          <w:highlight w:val="none"/>
          <w14:textFill>
            <w14:solidFill>
              <w14:schemeClr w14:val="tx1"/>
            </w14:solidFill>
          </w14:textFill>
        </w:rPr>
        <w:t>）安全文明施工费：</w:t>
      </w:r>
    </w:p>
    <w:p w14:paraId="4B43FC98">
      <w:pPr>
        <w:spacing w:line="360" w:lineRule="auto"/>
        <w:ind w:left="420" w:leftChars="200" w:firstLine="525" w:firstLineChars="250"/>
        <w:rPr>
          <w:rFonts w:hAnsi="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人民币（大写）</w:t>
      </w: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w:t>
      </w:r>
      <w:r>
        <w:rPr>
          <w:rFonts w:hint="eastAsia" w:hAnsi="宋体" w:cs="宋体"/>
          <w:color w:val="000000" w:themeColor="text1"/>
          <w:highlight w:val="none"/>
          <w14:textFill>
            <w14:solidFill>
              <w14:schemeClr w14:val="tx1"/>
            </w14:solidFill>
          </w14:textFill>
        </w:rPr>
        <w:t>元</w:t>
      </w:r>
      <w:r>
        <w:rPr>
          <w:rFonts w:hint="eastAsia" w:cs="宋体"/>
          <w:color w:val="000000" w:themeColor="text1"/>
          <w:highlight w:val="none"/>
          <w14:textFill>
            <w14:solidFill>
              <w14:schemeClr w14:val="tx1"/>
            </w14:solidFill>
          </w14:textFill>
        </w:rPr>
        <w:t>）</w:t>
      </w:r>
      <w:r>
        <w:rPr>
          <w:rFonts w:hint="eastAsia" w:hAnsi="宋体" w:cs="宋体"/>
          <w:color w:val="000000" w:themeColor="text1"/>
          <w:highlight w:val="none"/>
          <w14:textFill>
            <w14:solidFill>
              <w14:schemeClr w14:val="tx1"/>
            </w14:solidFill>
          </w14:textFill>
        </w:rPr>
        <w:t>；</w:t>
      </w:r>
    </w:p>
    <w:p w14:paraId="67052AAC">
      <w:pPr>
        <w:spacing w:line="360" w:lineRule="auto"/>
        <w:ind w:firstLine="420" w:firstLineChars="200"/>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2</w:t>
      </w:r>
      <w:r>
        <w:rPr>
          <w:rFonts w:hint="eastAsia" w:hAnsi="宋体" w:cs="宋体"/>
          <w:color w:val="000000" w:themeColor="text1"/>
          <w:highlight w:val="none"/>
          <w14:textFill>
            <w14:solidFill>
              <w14:schemeClr w14:val="tx1"/>
            </w14:solidFill>
          </w14:textFill>
        </w:rPr>
        <w:t>）材料和工程设备暂估价金额：</w:t>
      </w:r>
    </w:p>
    <w:p w14:paraId="37FB5943">
      <w:pPr>
        <w:spacing w:line="360" w:lineRule="auto"/>
        <w:ind w:firstLine="945" w:firstLineChars="450"/>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人民币（大写）</w:t>
      </w: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w:t>
      </w:r>
      <w:r>
        <w:rPr>
          <w:rFonts w:hint="eastAsia" w:hAnsi="宋体" w:cs="宋体"/>
          <w:color w:val="000000" w:themeColor="text1"/>
          <w:highlight w:val="none"/>
          <w14:textFill>
            <w14:solidFill>
              <w14:schemeClr w14:val="tx1"/>
            </w14:solidFill>
          </w14:textFill>
        </w:rPr>
        <w:t>元</w:t>
      </w:r>
      <w:r>
        <w:rPr>
          <w:rFonts w:hint="eastAsia" w:cs="宋体"/>
          <w:color w:val="000000" w:themeColor="text1"/>
          <w:highlight w:val="none"/>
          <w14:textFill>
            <w14:solidFill>
              <w14:schemeClr w14:val="tx1"/>
            </w14:solidFill>
          </w14:textFill>
        </w:rPr>
        <w:t>）</w:t>
      </w:r>
      <w:r>
        <w:rPr>
          <w:rFonts w:hint="eastAsia" w:hAnsi="宋体" w:cs="宋体"/>
          <w:color w:val="000000" w:themeColor="text1"/>
          <w:highlight w:val="none"/>
          <w14:textFill>
            <w14:solidFill>
              <w14:schemeClr w14:val="tx1"/>
            </w14:solidFill>
          </w14:textFill>
        </w:rPr>
        <w:t>；</w:t>
      </w:r>
    </w:p>
    <w:p w14:paraId="5B79E72C">
      <w:pPr>
        <w:spacing w:line="360" w:lineRule="auto"/>
        <w:ind w:firstLine="420" w:firstLineChars="200"/>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3</w:t>
      </w:r>
      <w:r>
        <w:rPr>
          <w:rFonts w:hint="eastAsia" w:hAnsi="宋体" w:cs="宋体"/>
          <w:color w:val="000000" w:themeColor="text1"/>
          <w:highlight w:val="none"/>
          <w14:textFill>
            <w14:solidFill>
              <w14:schemeClr w14:val="tx1"/>
            </w14:solidFill>
          </w14:textFill>
        </w:rPr>
        <w:t>）专业工程暂估价金额：</w:t>
      </w:r>
    </w:p>
    <w:p w14:paraId="570AC347">
      <w:pPr>
        <w:spacing w:line="360" w:lineRule="auto"/>
        <w:ind w:firstLine="945" w:firstLineChars="450"/>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人民币（大写）</w:t>
      </w: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w:t>
      </w:r>
      <w:r>
        <w:rPr>
          <w:rFonts w:hint="eastAsia" w:hAnsi="宋体" w:cs="宋体"/>
          <w:color w:val="000000" w:themeColor="text1"/>
          <w:highlight w:val="none"/>
          <w14:textFill>
            <w14:solidFill>
              <w14:schemeClr w14:val="tx1"/>
            </w14:solidFill>
          </w14:textFill>
        </w:rPr>
        <w:t>元</w:t>
      </w:r>
      <w:r>
        <w:rPr>
          <w:rFonts w:hint="eastAsia" w:cs="宋体"/>
          <w:color w:val="000000" w:themeColor="text1"/>
          <w:highlight w:val="none"/>
          <w14:textFill>
            <w14:solidFill>
              <w14:schemeClr w14:val="tx1"/>
            </w14:solidFill>
          </w14:textFill>
        </w:rPr>
        <w:t>）</w:t>
      </w:r>
      <w:r>
        <w:rPr>
          <w:rFonts w:hint="eastAsia" w:hAnsi="宋体" w:cs="宋体"/>
          <w:color w:val="000000" w:themeColor="text1"/>
          <w:highlight w:val="none"/>
          <w14:textFill>
            <w14:solidFill>
              <w14:schemeClr w14:val="tx1"/>
            </w14:solidFill>
          </w14:textFill>
        </w:rPr>
        <w:t>；</w:t>
      </w:r>
    </w:p>
    <w:p w14:paraId="63E14526">
      <w:pPr>
        <w:spacing w:line="360" w:lineRule="auto"/>
        <w:ind w:firstLine="420" w:firstLineChars="200"/>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4</w:t>
      </w:r>
      <w:r>
        <w:rPr>
          <w:rFonts w:hint="eastAsia" w:hAnsi="宋体" w:cs="宋体"/>
          <w:color w:val="000000" w:themeColor="text1"/>
          <w:highlight w:val="none"/>
          <w14:textFill>
            <w14:solidFill>
              <w14:schemeClr w14:val="tx1"/>
            </w14:solidFill>
          </w14:textFill>
        </w:rPr>
        <w:t>）暂列金额：</w:t>
      </w:r>
    </w:p>
    <w:p w14:paraId="4A408A63">
      <w:pPr>
        <w:spacing w:line="360" w:lineRule="auto"/>
        <w:ind w:firstLine="945" w:firstLineChars="450"/>
        <w:rPr>
          <w:rFonts w:hAnsi="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人民币（大写）</w:t>
      </w: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w:t>
      </w:r>
      <w:r>
        <w:rPr>
          <w:rFonts w:hint="eastAsia" w:hAnsi="宋体" w:cs="宋体"/>
          <w:color w:val="000000" w:themeColor="text1"/>
          <w:highlight w:val="none"/>
          <w14:textFill>
            <w14:solidFill>
              <w14:schemeClr w14:val="tx1"/>
            </w14:solidFill>
          </w14:textFill>
        </w:rPr>
        <w:t>元</w:t>
      </w:r>
      <w:r>
        <w:rPr>
          <w:rFonts w:hint="eastAsia" w:cs="宋体"/>
          <w:color w:val="000000" w:themeColor="text1"/>
          <w:highlight w:val="none"/>
          <w14:textFill>
            <w14:solidFill>
              <w14:schemeClr w14:val="tx1"/>
            </w14:solidFill>
          </w14:textFill>
        </w:rPr>
        <w:t>）</w:t>
      </w:r>
      <w:r>
        <w:rPr>
          <w:rFonts w:hint="eastAsia" w:hAnsi="宋体" w:cs="宋体"/>
          <w:color w:val="000000" w:themeColor="text1"/>
          <w:highlight w:val="none"/>
          <w14:textFill>
            <w14:solidFill>
              <w14:schemeClr w14:val="tx1"/>
            </w14:solidFill>
          </w14:textFill>
        </w:rPr>
        <w:t>。</w:t>
      </w:r>
    </w:p>
    <w:p w14:paraId="124D9F97">
      <w:pPr>
        <w:spacing w:line="360" w:lineRule="auto"/>
        <w:ind w:firstLine="420" w:firstLineChars="200"/>
        <w:rPr>
          <w:rFonts w:hAnsi="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2. </w:t>
      </w:r>
      <w:r>
        <w:rPr>
          <w:rFonts w:hint="eastAsia" w:hAnsi="宋体" w:cs="宋体"/>
          <w:color w:val="000000" w:themeColor="text1"/>
          <w:highlight w:val="none"/>
          <w14:textFill>
            <w14:solidFill>
              <w14:schemeClr w14:val="tx1"/>
            </w14:solidFill>
          </w14:textFill>
        </w:rPr>
        <w:t>合同价格形式：。</w:t>
      </w:r>
    </w:p>
    <w:p w14:paraId="72180602">
      <w:pPr>
        <w:spacing w:line="360" w:lineRule="auto"/>
        <w:ind w:firstLine="422" w:firstLineChars="200"/>
        <w:outlineLvl w:val="0"/>
        <w:rPr>
          <w:b/>
          <w:bCs/>
          <w:color w:val="000000" w:themeColor="text1"/>
          <w:highlight w:val="none"/>
          <w14:textFill>
            <w14:solidFill>
              <w14:schemeClr w14:val="tx1"/>
            </w14:solidFill>
          </w14:textFill>
        </w:rPr>
      </w:pPr>
      <w:bookmarkStart w:id="58" w:name="_Toc351203485"/>
      <w:r>
        <w:rPr>
          <w:rFonts w:hint="eastAsia" w:hAnsi="宋体" w:cs="宋体"/>
          <w:b/>
          <w:bCs/>
          <w:color w:val="000000" w:themeColor="text1"/>
          <w:highlight w:val="none"/>
          <w14:textFill>
            <w14:solidFill>
              <w14:schemeClr w14:val="tx1"/>
            </w14:solidFill>
          </w14:textFill>
        </w:rPr>
        <w:t>五、</w:t>
      </w:r>
      <w:bookmarkEnd w:id="58"/>
      <w:r>
        <w:rPr>
          <w:rFonts w:hint="eastAsia" w:hAnsi="宋体" w:cs="宋体"/>
          <w:b/>
          <w:bCs/>
          <w:color w:val="000000" w:themeColor="text1"/>
          <w:highlight w:val="none"/>
          <w14:textFill>
            <w14:solidFill>
              <w14:schemeClr w14:val="tx1"/>
            </w14:solidFill>
          </w14:textFill>
        </w:rPr>
        <w:t>项目经理</w:t>
      </w:r>
    </w:p>
    <w:p w14:paraId="008EFE90">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承包人项目经理：。</w:t>
      </w:r>
    </w:p>
    <w:p w14:paraId="037D1704">
      <w:pPr>
        <w:spacing w:line="360" w:lineRule="auto"/>
        <w:ind w:firstLine="422" w:firstLineChars="200"/>
        <w:outlineLvl w:val="0"/>
        <w:rPr>
          <w:b/>
          <w:bCs/>
          <w:color w:val="000000" w:themeColor="text1"/>
          <w:highlight w:val="none"/>
          <w14:textFill>
            <w14:solidFill>
              <w14:schemeClr w14:val="tx1"/>
            </w14:solidFill>
          </w14:textFill>
        </w:rPr>
      </w:pPr>
      <w:bookmarkStart w:id="59" w:name="_Toc351203486"/>
      <w:r>
        <w:rPr>
          <w:rFonts w:hint="eastAsia" w:hAnsi="宋体" w:cs="宋体"/>
          <w:b/>
          <w:bCs/>
          <w:color w:val="000000" w:themeColor="text1"/>
          <w:highlight w:val="none"/>
          <w14:textFill>
            <w14:solidFill>
              <w14:schemeClr w14:val="tx1"/>
            </w14:solidFill>
          </w14:textFill>
        </w:rPr>
        <w:t>六、合同文件构成</w:t>
      </w:r>
      <w:bookmarkEnd w:id="59"/>
    </w:p>
    <w:p w14:paraId="0CC11BB7">
      <w:pPr>
        <w:spacing w:line="360" w:lineRule="auto"/>
        <w:ind w:firstLine="420" w:firstLineChars="200"/>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本协议书与下列文件一起构成合同文件：</w:t>
      </w:r>
    </w:p>
    <w:p w14:paraId="4453C158">
      <w:pPr>
        <w:autoSpaceDE w:val="0"/>
        <w:autoSpaceDN w:val="0"/>
        <w:adjustRightInd w:val="0"/>
        <w:spacing w:line="360" w:lineRule="auto"/>
        <w:ind w:firstLine="420" w:firstLineChars="200"/>
        <w:jc w:val="left"/>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（1）合同协议书；</w:t>
      </w:r>
    </w:p>
    <w:p w14:paraId="4BB9DA1F">
      <w:pPr>
        <w:autoSpaceDE w:val="0"/>
        <w:autoSpaceDN w:val="0"/>
        <w:adjustRightInd w:val="0"/>
        <w:spacing w:line="360" w:lineRule="auto"/>
        <w:ind w:firstLine="420" w:firstLineChars="200"/>
        <w:jc w:val="left"/>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（2）成交通知书；</w:t>
      </w:r>
    </w:p>
    <w:p w14:paraId="63590818">
      <w:pPr>
        <w:autoSpaceDE w:val="0"/>
        <w:autoSpaceDN w:val="0"/>
        <w:adjustRightInd w:val="0"/>
        <w:spacing w:line="360" w:lineRule="auto"/>
        <w:ind w:firstLine="420" w:firstLineChars="200"/>
        <w:jc w:val="left"/>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（3）</w:t>
      </w:r>
      <w:r>
        <w:rPr>
          <w:rFonts w:hint="eastAsia" w:hAnsi="宋体" w:cs="宋体"/>
          <w:highlight w:val="none"/>
        </w:rPr>
        <w:t>响应文件</w:t>
      </w:r>
      <w:r>
        <w:rPr>
          <w:rFonts w:hint="eastAsia" w:hAnsi="宋体" w:cs="宋体"/>
          <w:color w:val="000000" w:themeColor="text1"/>
          <w:highlight w:val="none"/>
          <w14:textFill>
            <w14:solidFill>
              <w14:schemeClr w14:val="tx1"/>
            </w14:solidFill>
          </w14:textFill>
        </w:rPr>
        <w:t>、竞标函及竞标函附录；</w:t>
      </w:r>
    </w:p>
    <w:p w14:paraId="6D464D9A">
      <w:pPr>
        <w:autoSpaceDE w:val="0"/>
        <w:autoSpaceDN w:val="0"/>
        <w:adjustRightInd w:val="0"/>
        <w:spacing w:line="360" w:lineRule="auto"/>
        <w:ind w:firstLine="420" w:firstLineChars="200"/>
        <w:jc w:val="left"/>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（4）专用合同条款及其附件；</w:t>
      </w:r>
    </w:p>
    <w:p w14:paraId="718783AF">
      <w:pPr>
        <w:autoSpaceDE w:val="0"/>
        <w:autoSpaceDN w:val="0"/>
        <w:adjustRightInd w:val="0"/>
        <w:spacing w:line="360" w:lineRule="auto"/>
        <w:ind w:firstLine="420" w:firstLineChars="200"/>
        <w:jc w:val="left"/>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（5）通用合同条款；</w:t>
      </w:r>
    </w:p>
    <w:p w14:paraId="38C5C2E1">
      <w:pPr>
        <w:autoSpaceDE w:val="0"/>
        <w:autoSpaceDN w:val="0"/>
        <w:adjustRightInd w:val="0"/>
        <w:spacing w:line="360" w:lineRule="auto"/>
        <w:ind w:firstLine="420" w:firstLineChars="200"/>
        <w:jc w:val="left"/>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（6）技术标准和要求；</w:t>
      </w:r>
    </w:p>
    <w:p w14:paraId="4A212DA9">
      <w:pPr>
        <w:autoSpaceDE w:val="0"/>
        <w:autoSpaceDN w:val="0"/>
        <w:adjustRightInd w:val="0"/>
        <w:spacing w:line="360" w:lineRule="auto"/>
        <w:ind w:firstLine="420" w:firstLineChars="200"/>
        <w:jc w:val="left"/>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（7）图纸；</w:t>
      </w:r>
    </w:p>
    <w:p w14:paraId="6FE6B2F4">
      <w:pPr>
        <w:autoSpaceDE w:val="0"/>
        <w:autoSpaceDN w:val="0"/>
        <w:adjustRightInd w:val="0"/>
        <w:spacing w:line="360" w:lineRule="auto"/>
        <w:ind w:firstLine="420" w:firstLineChars="200"/>
        <w:jc w:val="left"/>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（8）已标价工程量清单或预算书；</w:t>
      </w:r>
    </w:p>
    <w:p w14:paraId="18469E9F">
      <w:pPr>
        <w:autoSpaceDE w:val="0"/>
        <w:autoSpaceDN w:val="0"/>
        <w:adjustRightInd w:val="0"/>
        <w:spacing w:line="360" w:lineRule="auto"/>
        <w:ind w:firstLine="420" w:firstLineChars="200"/>
        <w:jc w:val="left"/>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（9）磋商文件（含补充通知和答疑）；</w:t>
      </w:r>
    </w:p>
    <w:p w14:paraId="7C5FDEF9">
      <w:pPr>
        <w:autoSpaceDE w:val="0"/>
        <w:autoSpaceDN w:val="0"/>
        <w:adjustRightInd w:val="0"/>
        <w:spacing w:line="360" w:lineRule="auto"/>
        <w:ind w:firstLine="420" w:firstLineChars="200"/>
        <w:jc w:val="left"/>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（1</w:t>
      </w:r>
      <w:r>
        <w:rPr>
          <w:rFonts w:hint="eastAsia" w:hAnsi="宋体" w:cs="宋体"/>
          <w:color w:val="000000" w:themeColor="text1"/>
          <w:highlight w:val="none"/>
          <w:lang w:val="en-US" w:eastAsia="zh-CN"/>
          <w14:textFill>
            <w14:solidFill>
              <w14:schemeClr w14:val="tx1"/>
            </w14:solidFill>
          </w14:textFill>
        </w:rPr>
        <w:t>0</w:t>
      </w:r>
      <w:r>
        <w:rPr>
          <w:rFonts w:hint="eastAsia" w:hAnsi="宋体" w:cs="宋体"/>
          <w:color w:val="000000" w:themeColor="text1"/>
          <w:highlight w:val="none"/>
          <w14:textFill>
            <w14:solidFill>
              <w14:schemeClr w14:val="tx1"/>
            </w14:solidFill>
          </w14:textFill>
        </w:rPr>
        <w:t>）其他合同文件（</w:t>
      </w:r>
      <w:r>
        <w:rPr>
          <w:rFonts w:hint="eastAsia" w:ascii="宋体" w:hAnsi="宋体"/>
          <w:color w:val="000000" w:themeColor="text1"/>
          <w:highlight w:val="none"/>
          <w14:textFill>
            <w14:solidFill>
              <w14:schemeClr w14:val="tx1"/>
            </w14:solidFill>
          </w14:textFill>
        </w:rPr>
        <w:t xml:space="preserve"> 在合同订立及履行过程中形成的与合同有关的文件均构成合同文件组成部分。</w:t>
      </w:r>
      <w:r>
        <w:rPr>
          <w:rFonts w:hint="eastAsia" w:hAnsi="宋体" w:cs="宋体"/>
          <w:color w:val="000000" w:themeColor="text1"/>
          <w:highlight w:val="none"/>
          <w14:textFill>
            <w14:solidFill>
              <w14:schemeClr w14:val="tx1"/>
            </w14:solidFill>
          </w14:textFill>
        </w:rPr>
        <w:t>）。</w:t>
      </w:r>
    </w:p>
    <w:p w14:paraId="00CE858A">
      <w:pPr>
        <w:autoSpaceDE w:val="0"/>
        <w:autoSpaceDN w:val="0"/>
        <w:adjustRightInd w:val="0"/>
        <w:spacing w:line="360" w:lineRule="auto"/>
        <w:ind w:firstLine="420" w:firstLineChars="200"/>
        <w:jc w:val="left"/>
        <w:rPr>
          <w:rFonts w:hAnsi="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上述各项合同文件包括合同当事人就该项合同文件所作出的补充和修改，属于同一类内容的文件，应以最新签署的为准（违反磋商文件</w:t>
      </w:r>
      <w:r>
        <w:rPr>
          <w:rFonts w:hAnsi="宋体" w:cs="宋体"/>
          <w:color w:val="000000" w:themeColor="text1"/>
          <w:highlight w:val="none"/>
          <w14:textFill>
            <w14:solidFill>
              <w14:schemeClr w14:val="tx1"/>
            </w14:solidFill>
          </w14:textFill>
        </w:rPr>
        <w:t>实质性内容的约定除外</w:t>
      </w:r>
      <w:r>
        <w:rPr>
          <w:rFonts w:hint="eastAsia" w:hAnsi="宋体" w:cs="宋体"/>
          <w:color w:val="000000" w:themeColor="text1"/>
          <w:highlight w:val="none"/>
          <w14:textFill>
            <w14:solidFill>
              <w14:schemeClr w14:val="tx1"/>
            </w14:solidFill>
          </w14:textFill>
        </w:rPr>
        <w:t>）。专用合同条款及其附件须经合同当事人签字或盖章。</w:t>
      </w:r>
    </w:p>
    <w:p w14:paraId="57034E4A">
      <w:pPr>
        <w:autoSpaceDE w:val="0"/>
        <w:autoSpaceDN w:val="0"/>
        <w:adjustRightInd w:val="0"/>
        <w:spacing w:line="360" w:lineRule="auto"/>
        <w:ind w:firstLine="422" w:firstLineChars="200"/>
        <w:jc w:val="left"/>
        <w:outlineLvl w:val="0"/>
        <w:rPr>
          <w:b/>
          <w:bCs/>
          <w:color w:val="000000" w:themeColor="text1"/>
          <w:highlight w:val="none"/>
          <w14:textFill>
            <w14:solidFill>
              <w14:schemeClr w14:val="tx1"/>
            </w14:solidFill>
          </w14:textFill>
        </w:rPr>
      </w:pPr>
      <w:bookmarkStart w:id="60" w:name="_Toc351203487"/>
      <w:r>
        <w:rPr>
          <w:rFonts w:hint="eastAsia" w:hAnsi="宋体" w:cs="宋体"/>
          <w:b/>
          <w:bCs/>
          <w:color w:val="000000" w:themeColor="text1"/>
          <w:highlight w:val="none"/>
          <w14:textFill>
            <w14:solidFill>
              <w14:schemeClr w14:val="tx1"/>
            </w14:solidFill>
          </w14:textFill>
        </w:rPr>
        <w:t>七、承诺</w:t>
      </w:r>
      <w:bookmarkEnd w:id="60"/>
    </w:p>
    <w:p w14:paraId="36154238">
      <w:pPr>
        <w:spacing w:line="360" w:lineRule="auto"/>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 </w:t>
      </w:r>
      <w:r>
        <w:rPr>
          <w:rFonts w:hint="eastAsia" w:hAnsi="宋体" w:cs="宋体"/>
          <w:color w:val="000000" w:themeColor="text1"/>
          <w:highlight w:val="none"/>
          <w14:textFill>
            <w14:solidFill>
              <w14:schemeClr w14:val="tx1"/>
            </w14:solidFill>
          </w14:textFill>
        </w:rPr>
        <w:t>发包人承诺按照法律规定履行项目审批手续、筹集工程建设资金并按照合同约定的期限和方式支付合同价款。</w:t>
      </w:r>
    </w:p>
    <w:p w14:paraId="27F5E29E">
      <w:pPr>
        <w:spacing w:line="360" w:lineRule="auto"/>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2. </w:t>
      </w:r>
      <w:r>
        <w:rPr>
          <w:rFonts w:hint="eastAsia" w:hAnsi="宋体" w:cs="宋体"/>
          <w:color w:val="000000" w:themeColor="text1"/>
          <w:highlight w:val="none"/>
          <w14:textFill>
            <w14:solidFill>
              <w14:schemeClr w14:val="tx1"/>
            </w14:solidFill>
          </w14:textFill>
        </w:rPr>
        <w:t>承包人承诺按照法律规定及合同约定组织完成工程施工，确保工程质量和安全，不进行转包及违法分包，并在缺陷责任期及保修期内承担相应的工程维修责任。</w:t>
      </w:r>
    </w:p>
    <w:p w14:paraId="13E579EE">
      <w:pPr>
        <w:spacing w:line="360" w:lineRule="auto"/>
        <w:ind w:firstLine="420" w:firstLineChars="200"/>
        <w:rPr>
          <w:rFonts w:hAnsi="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3. </w:t>
      </w:r>
      <w:r>
        <w:rPr>
          <w:rFonts w:hint="eastAsia" w:hAnsi="宋体" w:cs="宋体"/>
          <w:color w:val="000000" w:themeColor="text1"/>
          <w:highlight w:val="none"/>
          <w14:textFill>
            <w14:solidFill>
              <w14:schemeClr w14:val="tx1"/>
            </w14:solidFill>
          </w14:textFill>
        </w:rPr>
        <w:t>发包人和承包人通过招投标形式签订合同的，双方理解并承诺不再就同一工程另行签订与合同实质性内容相背离的协议。</w:t>
      </w:r>
      <w:bookmarkStart w:id="61" w:name="_Toc351203488"/>
    </w:p>
    <w:p w14:paraId="0C68A285">
      <w:pPr>
        <w:spacing w:line="360" w:lineRule="auto"/>
        <w:ind w:firstLine="422" w:firstLineChars="200"/>
        <w:outlineLvl w:val="0"/>
        <w:rPr>
          <w:b/>
          <w:bCs/>
          <w:color w:val="000000" w:themeColor="text1"/>
          <w:highlight w:val="none"/>
          <w14:textFill>
            <w14:solidFill>
              <w14:schemeClr w14:val="tx1"/>
            </w14:solidFill>
          </w14:textFill>
        </w:rPr>
      </w:pPr>
      <w:r>
        <w:rPr>
          <w:rFonts w:hint="eastAsia" w:hAnsi="宋体" w:cs="宋体"/>
          <w:b/>
          <w:bCs/>
          <w:color w:val="000000" w:themeColor="text1"/>
          <w:highlight w:val="none"/>
          <w14:textFill>
            <w14:solidFill>
              <w14:schemeClr w14:val="tx1"/>
            </w14:solidFill>
          </w14:textFill>
        </w:rPr>
        <w:t>八、词语含义</w:t>
      </w:r>
      <w:bookmarkEnd w:id="61"/>
    </w:p>
    <w:p w14:paraId="2BC49014">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本协议书中词语含义与第二部分通用合同条款中赋予的含义相同。</w:t>
      </w:r>
    </w:p>
    <w:p w14:paraId="05C35DC2">
      <w:pPr>
        <w:spacing w:line="360" w:lineRule="auto"/>
        <w:ind w:firstLine="422" w:firstLineChars="200"/>
        <w:outlineLvl w:val="0"/>
        <w:rPr>
          <w:b/>
          <w:bCs/>
          <w:color w:val="000000" w:themeColor="text1"/>
          <w:highlight w:val="none"/>
          <w14:textFill>
            <w14:solidFill>
              <w14:schemeClr w14:val="tx1"/>
            </w14:solidFill>
          </w14:textFill>
        </w:rPr>
      </w:pPr>
      <w:bookmarkStart w:id="62" w:name="_Toc351203489"/>
      <w:r>
        <w:rPr>
          <w:rFonts w:hint="eastAsia" w:hAnsi="宋体" w:cs="宋体"/>
          <w:b/>
          <w:bCs/>
          <w:color w:val="000000" w:themeColor="text1"/>
          <w:highlight w:val="none"/>
          <w14:textFill>
            <w14:solidFill>
              <w14:schemeClr w14:val="tx1"/>
            </w14:solidFill>
          </w14:textFill>
        </w:rPr>
        <w:t>九、签订时间</w:t>
      </w:r>
      <w:bookmarkEnd w:id="62"/>
    </w:p>
    <w:p w14:paraId="029CCB41">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本合同于×年×月×日签订。</w:t>
      </w:r>
    </w:p>
    <w:p w14:paraId="3F531DA0">
      <w:pPr>
        <w:spacing w:line="360" w:lineRule="auto"/>
        <w:ind w:firstLine="422" w:firstLineChars="200"/>
        <w:outlineLvl w:val="0"/>
        <w:rPr>
          <w:b/>
          <w:bCs/>
          <w:color w:val="000000" w:themeColor="text1"/>
          <w:highlight w:val="none"/>
          <w14:textFill>
            <w14:solidFill>
              <w14:schemeClr w14:val="tx1"/>
            </w14:solidFill>
          </w14:textFill>
        </w:rPr>
      </w:pPr>
      <w:bookmarkStart w:id="63" w:name="_Toc351203490"/>
      <w:r>
        <w:rPr>
          <w:rFonts w:hint="eastAsia" w:hAnsi="宋体" w:cs="宋体"/>
          <w:b/>
          <w:bCs/>
          <w:color w:val="000000" w:themeColor="text1"/>
          <w:highlight w:val="none"/>
          <w14:textFill>
            <w14:solidFill>
              <w14:schemeClr w14:val="tx1"/>
            </w14:solidFill>
          </w14:textFill>
        </w:rPr>
        <w:t>十、签订地点</w:t>
      </w:r>
      <w:bookmarkEnd w:id="63"/>
    </w:p>
    <w:p w14:paraId="2B0DA25E">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本合同在</w:t>
      </w:r>
      <w:r>
        <w:rPr>
          <w:rFonts w:hint="eastAsia" w:hAnsi="宋体" w:cs="宋体"/>
          <w:color w:val="000000" w:themeColor="text1"/>
          <w:highlight w:val="none"/>
          <w:u w:val="single"/>
          <w:lang w:val="en-US" w:eastAsia="zh-CN"/>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签订。</w:t>
      </w:r>
    </w:p>
    <w:p w14:paraId="0A82C1D3">
      <w:pPr>
        <w:spacing w:line="360" w:lineRule="auto"/>
        <w:ind w:firstLine="422" w:firstLineChars="200"/>
        <w:outlineLvl w:val="0"/>
        <w:rPr>
          <w:b/>
          <w:bCs/>
          <w:color w:val="000000" w:themeColor="text1"/>
          <w:highlight w:val="none"/>
          <w14:textFill>
            <w14:solidFill>
              <w14:schemeClr w14:val="tx1"/>
            </w14:solidFill>
          </w14:textFill>
        </w:rPr>
      </w:pPr>
      <w:bookmarkStart w:id="64" w:name="_Toc351203491"/>
      <w:r>
        <w:rPr>
          <w:rFonts w:hint="eastAsia" w:hAnsi="宋体" w:cs="宋体"/>
          <w:b/>
          <w:bCs/>
          <w:color w:val="000000" w:themeColor="text1"/>
          <w:highlight w:val="none"/>
          <w14:textFill>
            <w14:solidFill>
              <w14:schemeClr w14:val="tx1"/>
            </w14:solidFill>
          </w14:textFill>
        </w:rPr>
        <w:t>十一、补充协议</w:t>
      </w:r>
      <w:bookmarkEnd w:id="64"/>
    </w:p>
    <w:p w14:paraId="21E99D3E">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合同未尽事宜，合同当事人另行签订补充协议，补充协议是合同的组成部分。</w:t>
      </w:r>
    </w:p>
    <w:p w14:paraId="414C9EE8">
      <w:pPr>
        <w:spacing w:line="360" w:lineRule="auto"/>
        <w:ind w:firstLine="422" w:firstLineChars="200"/>
        <w:outlineLvl w:val="0"/>
        <w:rPr>
          <w:b/>
          <w:bCs/>
          <w:color w:val="000000" w:themeColor="text1"/>
          <w:highlight w:val="none"/>
          <w14:textFill>
            <w14:solidFill>
              <w14:schemeClr w14:val="tx1"/>
            </w14:solidFill>
          </w14:textFill>
        </w:rPr>
      </w:pPr>
      <w:bookmarkStart w:id="65" w:name="_Toc351203492"/>
      <w:r>
        <w:rPr>
          <w:rFonts w:hint="eastAsia" w:hAnsi="宋体" w:cs="宋体"/>
          <w:b/>
          <w:bCs/>
          <w:color w:val="000000" w:themeColor="text1"/>
          <w:highlight w:val="none"/>
          <w14:textFill>
            <w14:solidFill>
              <w14:schemeClr w14:val="tx1"/>
            </w14:solidFill>
          </w14:textFill>
        </w:rPr>
        <w:t>十二、合同生效</w:t>
      </w:r>
      <w:bookmarkEnd w:id="65"/>
    </w:p>
    <w:p w14:paraId="51DC4EB6">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本合同自生效。</w:t>
      </w:r>
    </w:p>
    <w:p w14:paraId="6BF1392E">
      <w:pPr>
        <w:spacing w:line="360" w:lineRule="auto"/>
        <w:ind w:firstLine="422" w:firstLineChars="200"/>
        <w:outlineLvl w:val="0"/>
        <w:rPr>
          <w:b/>
          <w:bCs/>
          <w:color w:val="000000" w:themeColor="text1"/>
          <w:highlight w:val="none"/>
          <w14:textFill>
            <w14:solidFill>
              <w14:schemeClr w14:val="tx1"/>
            </w14:solidFill>
          </w14:textFill>
        </w:rPr>
      </w:pPr>
      <w:bookmarkStart w:id="66" w:name="_Toc351203493"/>
      <w:r>
        <w:rPr>
          <w:rFonts w:hint="eastAsia" w:hAnsi="宋体" w:cs="宋体"/>
          <w:b/>
          <w:bCs/>
          <w:color w:val="000000" w:themeColor="text1"/>
          <w:highlight w:val="none"/>
          <w14:textFill>
            <w14:solidFill>
              <w14:schemeClr w14:val="tx1"/>
            </w14:solidFill>
          </w14:textFill>
        </w:rPr>
        <w:t>十三、合同份数</w:t>
      </w:r>
      <w:bookmarkEnd w:id="66"/>
    </w:p>
    <w:p w14:paraId="10CE68AB">
      <w:pPr>
        <w:spacing w:line="360" w:lineRule="auto"/>
        <w:ind w:firstLine="420" w:firstLineChars="200"/>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本合同一式</w:t>
      </w:r>
      <w:r>
        <w:rPr>
          <w:rFonts w:hint="eastAsia"/>
          <w:color w:val="000000" w:themeColor="text1"/>
          <w:highlight w:val="none"/>
          <w:u w:val="single"/>
          <w14:textFill>
            <w14:solidFill>
              <w14:schemeClr w14:val="tx1"/>
            </w14:solidFill>
          </w14:textFill>
        </w:rPr>
        <w:t xml:space="preserve">玖 </w:t>
      </w:r>
      <w:r>
        <w:rPr>
          <w:rFonts w:hint="eastAsia" w:hAnsi="宋体" w:cs="宋体"/>
          <w:color w:val="000000" w:themeColor="text1"/>
          <w:highlight w:val="none"/>
          <w14:textFill>
            <w14:solidFill>
              <w14:schemeClr w14:val="tx1"/>
            </w14:solidFill>
          </w14:textFill>
        </w:rPr>
        <w:t>份，均具有同等法律效力，发包人执</w:t>
      </w:r>
      <w:r>
        <w:rPr>
          <w:rFonts w:hint="eastAsia"/>
          <w:color w:val="000000" w:themeColor="text1"/>
          <w:highlight w:val="none"/>
          <w:u w:val="single"/>
          <w14:textFill>
            <w14:solidFill>
              <w14:schemeClr w14:val="tx1"/>
            </w14:solidFill>
          </w14:textFill>
        </w:rPr>
        <w:t xml:space="preserve">陆 </w:t>
      </w:r>
      <w:r>
        <w:rPr>
          <w:rFonts w:hint="eastAsia" w:hAnsi="宋体" w:cs="宋体"/>
          <w:color w:val="000000" w:themeColor="text1"/>
          <w:highlight w:val="none"/>
          <w14:textFill>
            <w14:solidFill>
              <w14:schemeClr w14:val="tx1"/>
            </w14:solidFill>
          </w14:textFill>
        </w:rPr>
        <w:t>份，承包人执</w:t>
      </w:r>
      <w:r>
        <w:rPr>
          <w:rFonts w:hint="eastAsia" w:hAnsi="宋体" w:cs="宋体"/>
          <w:color w:val="000000" w:themeColor="text1"/>
          <w:highlight w:val="none"/>
          <w:u w:val="single"/>
          <w14:textFill>
            <w14:solidFill>
              <w14:schemeClr w14:val="tx1"/>
            </w14:solidFill>
          </w14:textFill>
        </w:rPr>
        <w:t>贰</w:t>
      </w:r>
      <w:r>
        <w:rPr>
          <w:rFonts w:hint="eastAsia"/>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份，代理机构执壹份。</w:t>
      </w:r>
    </w:p>
    <w:p w14:paraId="6F8067B6">
      <w:pPr>
        <w:spacing w:line="360" w:lineRule="auto"/>
        <w:rPr>
          <w:color w:val="000000" w:themeColor="text1"/>
          <w:highlight w:val="none"/>
          <w14:textFill>
            <w14:solidFill>
              <w14:schemeClr w14:val="tx1"/>
            </w14:solidFill>
          </w14:textFill>
        </w:rPr>
      </w:pPr>
    </w:p>
    <w:p w14:paraId="661C9FBE">
      <w:pPr>
        <w:spacing w:line="360" w:lineRule="auto"/>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发包人：</w:t>
      </w:r>
      <w:r>
        <w:rPr>
          <w:rFonts w:hint="eastAsia" w:cs="宋体"/>
          <w:color w:val="000000" w:themeColor="text1"/>
          <w:highlight w:val="none"/>
          <w14:textFill>
            <w14:solidFill>
              <w14:schemeClr w14:val="tx1"/>
            </w14:solidFill>
          </w14:textFill>
        </w:rPr>
        <w:t>（</w:t>
      </w:r>
      <w:r>
        <w:rPr>
          <w:rFonts w:hint="eastAsia" w:hAnsi="宋体" w:cs="宋体"/>
          <w:color w:val="000000" w:themeColor="text1"/>
          <w:highlight w:val="none"/>
          <w14:textFill>
            <w14:solidFill>
              <w14:schemeClr w14:val="tx1"/>
            </w14:solidFill>
          </w14:textFill>
        </w:rPr>
        <w:t>公章</w:t>
      </w:r>
      <w:r>
        <w:rPr>
          <w:rFonts w:hint="eastAsia" w:cs="宋体"/>
          <w:color w:val="000000" w:themeColor="text1"/>
          <w:highlight w:val="non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承包人：</w:t>
      </w:r>
      <w:r>
        <w:rPr>
          <w:rFonts w:hint="eastAsia" w:cs="宋体"/>
          <w:color w:val="000000" w:themeColor="text1"/>
          <w:highlight w:val="none"/>
          <w14:textFill>
            <w14:solidFill>
              <w14:schemeClr w14:val="tx1"/>
            </w14:solidFill>
          </w14:textFill>
        </w:rPr>
        <w:t>（</w:t>
      </w:r>
      <w:r>
        <w:rPr>
          <w:rFonts w:hint="eastAsia" w:hAnsi="宋体" w:cs="宋体"/>
          <w:color w:val="000000" w:themeColor="text1"/>
          <w:highlight w:val="none"/>
          <w14:textFill>
            <w14:solidFill>
              <w14:schemeClr w14:val="tx1"/>
            </w14:solidFill>
          </w14:textFill>
        </w:rPr>
        <w:t>公章</w:t>
      </w:r>
      <w:r>
        <w:rPr>
          <w:rFonts w:hint="eastAsia" w:cs="宋体"/>
          <w:color w:val="000000" w:themeColor="text1"/>
          <w:highlight w:val="none"/>
          <w14:textFill>
            <w14:solidFill>
              <w14:schemeClr w14:val="tx1"/>
            </w14:solidFill>
          </w14:textFill>
        </w:rPr>
        <w:t>）</w:t>
      </w:r>
    </w:p>
    <w:p w14:paraId="75981724">
      <w:pPr>
        <w:spacing w:line="360" w:lineRule="auto"/>
        <w:rPr>
          <w:color w:val="000000" w:themeColor="text1"/>
          <w:highlight w:val="none"/>
          <w:u w:val="single"/>
          <w14:textFill>
            <w14:solidFill>
              <w14:schemeClr w14:val="tx1"/>
            </w14:solidFill>
          </w14:textFill>
        </w:rPr>
      </w:pPr>
    </w:p>
    <w:p w14:paraId="0D81B380">
      <w:pPr>
        <w:spacing w:line="360" w:lineRule="auto"/>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法定代表人或其委托代理人：               法定代表人或其委托代理人：</w:t>
      </w:r>
    </w:p>
    <w:p w14:paraId="1B5DDEC8">
      <w:pPr>
        <w:spacing w:line="360" w:lineRule="auto"/>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（签字）                                （签字）</w:t>
      </w:r>
    </w:p>
    <w:p w14:paraId="6E95D986">
      <w:pPr>
        <w:spacing w:line="360" w:lineRule="auto"/>
        <w:rPr>
          <w:color w:val="000000" w:themeColor="text1"/>
          <w:highlight w:val="none"/>
          <w:u w:val="single"/>
          <w14:textFill>
            <w14:solidFill>
              <w14:schemeClr w14:val="tx1"/>
            </w14:solidFill>
          </w14:textFill>
        </w:rPr>
      </w:pPr>
    </w:p>
    <w:p w14:paraId="4FEEB59D">
      <w:pPr>
        <w:tabs>
          <w:tab w:val="left" w:pos="4410"/>
        </w:tabs>
        <w:spacing w:line="360" w:lineRule="auto"/>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 xml:space="preserve">统一社会信用代码： </w:t>
      </w:r>
      <w:r>
        <w:rPr>
          <w:rFonts w:hAnsi="宋体" w:cs="宋体"/>
          <w:color w:val="000000" w:themeColor="text1"/>
          <w:highlight w:val="non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统一</w:t>
      </w:r>
      <w:r>
        <w:rPr>
          <w:rFonts w:hint="eastAsia" w:hAnsi="宋体" w:cs="宋体"/>
          <w:color w:val="000000" w:themeColor="text1"/>
          <w:highlight w:val="none"/>
          <w14:textFill>
            <w14:solidFill>
              <w14:schemeClr w14:val="tx1"/>
            </w14:solidFill>
          </w14:textFill>
        </w:rPr>
        <w:t>社会信用代码：</w:t>
      </w:r>
    </w:p>
    <w:p w14:paraId="3386135F">
      <w:pPr>
        <w:spacing w:line="360" w:lineRule="auto"/>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 xml:space="preserve">地址： </w:t>
      </w:r>
      <w:r>
        <w:rPr>
          <w:rFonts w:hAnsi="宋体" w:cs="宋体"/>
          <w:color w:val="000000" w:themeColor="text1"/>
          <w:highlight w:val="non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地址：</w:t>
      </w:r>
    </w:p>
    <w:p w14:paraId="5CD499EF">
      <w:pPr>
        <w:spacing w:line="360" w:lineRule="auto"/>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 xml:space="preserve">邮政编码： </w:t>
      </w:r>
      <w:r>
        <w:rPr>
          <w:rFonts w:hAnsi="宋体" w:cs="宋体"/>
          <w:color w:val="000000" w:themeColor="text1"/>
          <w:highlight w:val="non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邮政编码：</w:t>
      </w:r>
    </w:p>
    <w:p w14:paraId="3F977FD5">
      <w:pPr>
        <w:spacing w:line="360" w:lineRule="auto"/>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法定代表人：                             法定代表人：</w:t>
      </w:r>
    </w:p>
    <w:p w14:paraId="446E798E">
      <w:pPr>
        <w:spacing w:line="360" w:lineRule="auto"/>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委托代理人：                             委托代理人：</w:t>
      </w:r>
    </w:p>
    <w:p w14:paraId="5F8D89D6">
      <w:pPr>
        <w:spacing w:line="360" w:lineRule="auto"/>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电话：电话：</w:t>
      </w:r>
    </w:p>
    <w:p w14:paraId="7D52A715">
      <w:pPr>
        <w:spacing w:line="360" w:lineRule="auto"/>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传真：传真：</w:t>
      </w:r>
    </w:p>
    <w:p w14:paraId="54D03C77">
      <w:pPr>
        <w:spacing w:line="360" w:lineRule="auto"/>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电子信箱：                                电子信箱：</w:t>
      </w:r>
    </w:p>
    <w:p w14:paraId="6E4EBA36">
      <w:pPr>
        <w:spacing w:line="360" w:lineRule="auto"/>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 xml:space="preserve">开户银行： </w:t>
      </w:r>
      <w:r>
        <w:rPr>
          <w:rFonts w:hAnsi="宋体" w:cs="宋体"/>
          <w:color w:val="000000" w:themeColor="text1"/>
          <w:highlight w:val="non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开户银行：</w:t>
      </w:r>
    </w:p>
    <w:p w14:paraId="4DA276B0">
      <w:pPr>
        <w:rPr>
          <w:color w:val="000000" w:themeColor="text1"/>
          <w:highlight w:val="none"/>
          <w:u w:val="single"/>
          <w14:textFill>
            <w14:solidFill>
              <w14:schemeClr w14:val="tx1"/>
            </w14:solidFill>
          </w14:textFill>
        </w:rPr>
      </w:pPr>
      <w:r>
        <w:rPr>
          <w:rFonts w:hint="eastAsia" w:hAnsi="宋体" w:cs="宋体"/>
          <w:color w:val="000000" w:themeColor="text1"/>
          <w:highlight w:val="none"/>
          <w14:textFill>
            <w14:solidFill>
              <w14:schemeClr w14:val="tx1"/>
            </w14:solidFill>
          </w14:textFill>
        </w:rPr>
        <w:t xml:space="preserve">账号： </w:t>
      </w:r>
      <w:r>
        <w:rPr>
          <w:rFonts w:hAnsi="宋体" w:cs="宋体"/>
          <w:color w:val="000000" w:themeColor="text1"/>
          <w:highlight w:val="non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账号：</w:t>
      </w:r>
    </w:p>
    <w:p w14:paraId="30C3302B">
      <w:pPr>
        <w:widowControl/>
        <w:jc w:val="left"/>
        <w:rPr>
          <w:rFonts w:hint="eastAsia" w:ascii="宋体" w:hAnsi="宋体" w:cs="宋体"/>
          <w:color w:val="auto"/>
          <w:highlight w:val="none"/>
          <w:u w:val="single"/>
        </w:rPr>
      </w:pPr>
      <w:r>
        <w:rPr>
          <w:rFonts w:hint="eastAsia" w:ascii="宋体" w:hAnsi="宋体" w:cs="宋体"/>
          <w:color w:val="auto"/>
          <w:sz w:val="24"/>
          <w:szCs w:val="24"/>
          <w:highlight w:val="none"/>
        </w:rPr>
        <w:t xml:space="preserve">  </w:t>
      </w:r>
      <w:r>
        <w:rPr>
          <w:rFonts w:hint="eastAsia" w:ascii="宋体" w:hAnsi="宋体" w:cs="宋体"/>
          <w:color w:val="auto"/>
          <w:highlight w:val="none"/>
        </w:rPr>
        <w:br w:type="page"/>
      </w:r>
    </w:p>
    <w:p w14:paraId="48414B8E">
      <w:pPr>
        <w:pStyle w:val="4"/>
        <w:jc w:val="center"/>
        <w:rPr>
          <w:color w:val="auto"/>
          <w:highlight w:val="none"/>
        </w:rPr>
      </w:pPr>
      <w:bookmarkStart w:id="67" w:name="_Toc69641856"/>
      <w:bookmarkStart w:id="68" w:name="_Toc389065256"/>
      <w:bookmarkStart w:id="69" w:name="_Toc407135192"/>
      <w:bookmarkStart w:id="70" w:name="_Toc55373959"/>
      <w:bookmarkStart w:id="71" w:name="_Toc373227691"/>
      <w:bookmarkStart w:id="72" w:name="_Toc351203632"/>
      <w:bookmarkStart w:id="73" w:name="_Toc373478338"/>
      <w:r>
        <w:rPr>
          <w:rFonts w:hint="eastAsia"/>
          <w:color w:val="auto"/>
          <w:highlight w:val="none"/>
        </w:rPr>
        <w:t>第二部分 通用合同条款</w:t>
      </w:r>
      <w:bookmarkEnd w:id="67"/>
      <w:bookmarkEnd w:id="68"/>
      <w:bookmarkEnd w:id="69"/>
      <w:bookmarkEnd w:id="70"/>
    </w:p>
    <w:p w14:paraId="2F9A5FAE">
      <w:pPr>
        <w:spacing w:line="360" w:lineRule="auto"/>
        <w:ind w:firstLine="420" w:firstLineChars="200"/>
        <w:rPr>
          <w:rFonts w:hint="eastAsia" w:ascii="宋体" w:hAnsi="宋体" w:cs="宋体"/>
          <w:color w:val="auto"/>
          <w:kern w:val="0"/>
          <w:highlight w:val="none"/>
        </w:rPr>
      </w:pPr>
    </w:p>
    <w:p w14:paraId="2EA470FA">
      <w:pPr>
        <w:spacing w:line="360" w:lineRule="auto"/>
        <w:ind w:firstLine="422" w:firstLineChars="200"/>
        <w:rPr>
          <w:rFonts w:hint="eastAsia" w:ascii="宋体" w:hAnsi="宋体" w:cs="宋体"/>
          <w:b/>
          <w:bCs/>
          <w:color w:val="auto"/>
          <w:kern w:val="0"/>
          <w:highlight w:val="none"/>
        </w:rPr>
      </w:pPr>
      <w:r>
        <w:rPr>
          <w:rFonts w:hint="eastAsia" w:ascii="宋体" w:hAnsi="宋体" w:cs="宋体"/>
          <w:b/>
          <w:bCs/>
          <w:color w:val="auto"/>
          <w:kern w:val="0"/>
          <w:highlight w:val="none"/>
        </w:rPr>
        <w:t>采用《建设工程施工合同（示范文本）》（GF—2017—0201）。</w:t>
      </w:r>
    </w:p>
    <w:p w14:paraId="0F8F25D1">
      <w:pPr>
        <w:pStyle w:val="168"/>
        <w:rPr>
          <w:color w:val="auto"/>
          <w:highlight w:val="none"/>
        </w:rPr>
      </w:pPr>
    </w:p>
    <w:bookmarkEnd w:id="71"/>
    <w:bookmarkEnd w:id="72"/>
    <w:bookmarkEnd w:id="73"/>
    <w:p w14:paraId="17D20AAD">
      <w:pPr>
        <w:pStyle w:val="3"/>
        <w:keepNext w:val="0"/>
        <w:keepLines w:val="0"/>
        <w:numPr>
          <w:ilvl w:val="0"/>
          <w:numId w:val="0"/>
        </w:numPr>
        <w:jc w:val="center"/>
        <w:rPr>
          <w:rFonts w:hAnsi="宋体"/>
          <w:color w:val="000000" w:themeColor="text1"/>
          <w:sz w:val="30"/>
          <w:szCs w:val="30"/>
          <w:highlight w:val="none"/>
          <w14:textFill>
            <w14:solidFill>
              <w14:schemeClr w14:val="tx1"/>
            </w14:solidFill>
          </w14:textFill>
        </w:rPr>
      </w:pPr>
      <w:bookmarkStart w:id="74" w:name="_Toc78449779"/>
      <w:bookmarkStart w:id="75" w:name="_Toc407135193"/>
      <w:bookmarkStart w:id="76" w:name="_Toc704444909"/>
      <w:bookmarkStart w:id="77" w:name="_Toc389065257"/>
      <w:bookmarkStart w:id="78" w:name="_Toc1204138598"/>
      <w:bookmarkStart w:id="79" w:name="_Toc27024"/>
      <w:r>
        <w:rPr>
          <w:rFonts w:hint="eastAsia" w:hAnsi="宋体" w:cs="黑体"/>
          <w:color w:val="000000" w:themeColor="text1"/>
          <w:sz w:val="30"/>
          <w:szCs w:val="30"/>
          <w:highlight w:val="none"/>
          <w14:textFill>
            <w14:solidFill>
              <w14:schemeClr w14:val="tx1"/>
            </w14:solidFill>
          </w14:textFill>
        </w:rPr>
        <w:t>第三部分专用合同条款</w:t>
      </w:r>
      <w:bookmarkEnd w:id="74"/>
      <w:bookmarkEnd w:id="75"/>
      <w:bookmarkEnd w:id="76"/>
      <w:bookmarkEnd w:id="77"/>
      <w:bookmarkEnd w:id="78"/>
    </w:p>
    <w:p w14:paraId="6DFD4E48">
      <w:pPr>
        <w:keepNext/>
        <w:keepLines/>
        <w:spacing w:before="60" w:after="60" w:line="413" w:lineRule="auto"/>
        <w:outlineLvl w:val="1"/>
        <w:rPr>
          <w:rFonts w:ascii="Arial" w:hAnsi="Arial" w:eastAsia="黑体"/>
          <w:b/>
          <w:bCs/>
          <w:color w:val="000000" w:themeColor="text1"/>
          <w:sz w:val="32"/>
          <w:szCs w:val="32"/>
          <w:highlight w:val="none"/>
          <w:lang w:val="zh-CN"/>
          <w14:textFill>
            <w14:solidFill>
              <w14:schemeClr w14:val="tx1"/>
            </w14:solidFill>
          </w14:textFill>
        </w:rPr>
      </w:pPr>
      <w:bookmarkStart w:id="80" w:name="_Toc407135194"/>
      <w:bookmarkStart w:id="81" w:name="_Toc373478339"/>
      <w:bookmarkStart w:id="82" w:name="_Toc78449780"/>
      <w:bookmarkStart w:id="83" w:name="_Toc114058831"/>
      <w:bookmarkStart w:id="84" w:name="_Toc389065258"/>
      <w:bookmarkStart w:id="85" w:name="_Toc351203633"/>
      <w:bookmarkStart w:id="86" w:name="_Toc373227692"/>
      <w:r>
        <w:rPr>
          <w:rFonts w:ascii="Arial" w:hAnsi="Arial" w:eastAsia="黑体"/>
          <w:b/>
          <w:bCs/>
          <w:color w:val="000000" w:themeColor="text1"/>
          <w:sz w:val="32"/>
          <w:szCs w:val="32"/>
          <w:highlight w:val="none"/>
          <w:lang w:val="zh-CN"/>
          <w14:textFill>
            <w14:solidFill>
              <w14:schemeClr w14:val="tx1"/>
            </w14:solidFill>
          </w14:textFill>
        </w:rPr>
        <w:t>1</w:t>
      </w:r>
      <w:bookmarkStart w:id="87" w:name="_Toc296891196"/>
      <w:bookmarkStart w:id="88" w:name="_Toc292559361"/>
      <w:bookmarkStart w:id="89" w:name="_Toc297120456"/>
      <w:bookmarkStart w:id="90" w:name="_Toc297048342"/>
      <w:bookmarkStart w:id="91" w:name="_Toc292559866"/>
      <w:bookmarkStart w:id="92" w:name="_Toc296503156"/>
      <w:bookmarkStart w:id="93" w:name="_Toc296944495"/>
      <w:bookmarkStart w:id="94" w:name="_Toc296890984"/>
      <w:bookmarkStart w:id="95" w:name="_Toc296347155"/>
      <w:bookmarkStart w:id="96" w:name="_Toc296346657"/>
      <w:r>
        <w:rPr>
          <w:rFonts w:ascii="Arial" w:hAnsi="Arial" w:eastAsia="黑体"/>
          <w:b/>
          <w:bCs/>
          <w:color w:val="000000" w:themeColor="text1"/>
          <w:sz w:val="32"/>
          <w:szCs w:val="32"/>
          <w:highlight w:val="none"/>
          <w:lang w:val="zh-CN"/>
          <w14:textFill>
            <w14:solidFill>
              <w14:schemeClr w14:val="tx1"/>
            </w14:solidFill>
          </w14:textFill>
        </w:rPr>
        <w:t xml:space="preserve">. </w:t>
      </w:r>
      <w:r>
        <w:rPr>
          <w:rFonts w:hint="eastAsia" w:ascii="Arial" w:hAnsi="宋体" w:eastAsia="黑体" w:cs="黑体"/>
          <w:b/>
          <w:bCs/>
          <w:color w:val="000000" w:themeColor="text1"/>
          <w:sz w:val="32"/>
          <w:szCs w:val="32"/>
          <w:highlight w:val="none"/>
          <w:lang w:val="zh-CN"/>
          <w14:textFill>
            <w14:solidFill>
              <w14:schemeClr w14:val="tx1"/>
            </w14:solidFill>
          </w14:textFill>
        </w:rPr>
        <w:t>一般约定</w:t>
      </w:r>
      <w:bookmarkEnd w:id="80"/>
      <w:bookmarkEnd w:id="81"/>
      <w:bookmarkEnd w:id="82"/>
      <w:bookmarkEnd w:id="83"/>
      <w:bookmarkEnd w:id="84"/>
      <w:bookmarkEnd w:id="85"/>
      <w:bookmarkEnd w:id="86"/>
    </w:p>
    <w:bookmarkEnd w:id="87"/>
    <w:bookmarkEnd w:id="88"/>
    <w:bookmarkEnd w:id="89"/>
    <w:bookmarkEnd w:id="90"/>
    <w:bookmarkEnd w:id="91"/>
    <w:bookmarkEnd w:id="92"/>
    <w:bookmarkEnd w:id="93"/>
    <w:bookmarkEnd w:id="94"/>
    <w:bookmarkEnd w:id="95"/>
    <w:bookmarkEnd w:id="96"/>
    <w:p w14:paraId="05850C8E">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97" w:name="_Toc407135195"/>
      <w:bookmarkStart w:id="98" w:name="_Toc373478340"/>
      <w:bookmarkStart w:id="99" w:name="_Toc373227693"/>
      <w:bookmarkStart w:id="100" w:name="_Toc114058832"/>
      <w:bookmarkStart w:id="101" w:name="_Toc389065259"/>
      <w:bookmarkStart w:id="102" w:name="_Toc78449781"/>
      <w:r>
        <w:rPr>
          <w:rFonts w:eastAsia="黑体"/>
          <w:b/>
          <w:bCs/>
          <w:color w:val="000000" w:themeColor="text1"/>
          <w:sz w:val="32"/>
          <w:szCs w:val="32"/>
          <w:highlight w:val="none"/>
          <w:lang w:val="zh-CN"/>
          <w14:textFill>
            <w14:solidFill>
              <w14:schemeClr w14:val="tx1"/>
            </w14:solidFill>
          </w14:textFill>
        </w:rPr>
        <w:t xml:space="preserve">1.1 </w:t>
      </w:r>
      <w:r>
        <w:rPr>
          <w:rFonts w:hint="eastAsia" w:hAnsi="宋体" w:eastAsia="黑体" w:cs="黑体"/>
          <w:b/>
          <w:bCs/>
          <w:color w:val="000000" w:themeColor="text1"/>
          <w:sz w:val="32"/>
          <w:szCs w:val="32"/>
          <w:highlight w:val="none"/>
          <w:lang w:val="zh-CN"/>
          <w14:textFill>
            <w14:solidFill>
              <w14:schemeClr w14:val="tx1"/>
            </w14:solidFill>
          </w14:textFill>
        </w:rPr>
        <w:t>词语定义</w:t>
      </w:r>
      <w:bookmarkEnd w:id="97"/>
      <w:bookmarkEnd w:id="98"/>
      <w:bookmarkEnd w:id="99"/>
      <w:bookmarkEnd w:id="100"/>
      <w:bookmarkEnd w:id="101"/>
      <w:bookmarkEnd w:id="102"/>
    </w:p>
    <w:p w14:paraId="14E22D91">
      <w:pPr>
        <w:spacing w:line="360" w:lineRule="auto"/>
        <w:ind w:firstLine="420" w:firstLineChars="200"/>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 xml:space="preserve">1.1.1 </w:t>
      </w:r>
      <w:r>
        <w:rPr>
          <w:rFonts w:hint="eastAsia" w:hAnsi="宋体" w:cs="宋体"/>
          <w:color w:val="000000" w:themeColor="text1"/>
          <w:kern w:val="0"/>
          <w:szCs w:val="21"/>
          <w:highlight w:val="none"/>
          <w14:textFill>
            <w14:solidFill>
              <w14:schemeClr w14:val="tx1"/>
            </w14:solidFill>
          </w14:textFill>
        </w:rPr>
        <w:t>合同</w:t>
      </w:r>
    </w:p>
    <w:p w14:paraId="1E73A956">
      <w:pPr>
        <w:spacing w:line="360" w:lineRule="auto"/>
        <w:rPr>
          <w:rFonts w:hAnsi="宋体"/>
          <w:color w:val="000000" w:themeColor="text1"/>
          <w:szCs w:val="21"/>
          <w:highlight w:val="none"/>
          <w:u w:val="single"/>
          <w14:textFill>
            <w14:solidFill>
              <w14:schemeClr w14:val="tx1"/>
            </w14:solidFill>
          </w14:textFill>
        </w:rPr>
      </w:pPr>
      <w:r>
        <w:rPr>
          <w:color w:val="000000" w:themeColor="text1"/>
          <w:kern w:val="0"/>
          <w:szCs w:val="21"/>
          <w:highlight w:val="none"/>
          <w14:textFill>
            <w14:solidFill>
              <w14:schemeClr w14:val="tx1"/>
            </w14:solidFill>
          </w14:textFill>
        </w:rPr>
        <w:t xml:space="preserve">1.1.1.10 </w:t>
      </w:r>
      <w:r>
        <w:rPr>
          <w:rFonts w:hint="eastAsia" w:hAnsi="宋体" w:cs="宋体"/>
          <w:color w:val="000000" w:themeColor="text1"/>
          <w:kern w:val="0"/>
          <w:szCs w:val="21"/>
          <w:highlight w:val="none"/>
          <w14:textFill>
            <w14:solidFill>
              <w14:schemeClr w14:val="tx1"/>
            </w14:solidFill>
          </w14:textFill>
        </w:rPr>
        <w:t>其他合同文件包括：</w:t>
      </w:r>
      <w:r>
        <w:rPr>
          <w:rFonts w:hint="eastAsia" w:hAnsi="宋体"/>
          <w:color w:val="000000" w:themeColor="text1"/>
          <w:szCs w:val="21"/>
          <w:highlight w:val="none"/>
          <w:u w:val="single"/>
          <w14:textFill>
            <w14:solidFill>
              <w14:schemeClr w14:val="tx1"/>
            </w14:solidFill>
          </w14:textFill>
        </w:rPr>
        <w:t>①发包人、承包人双方确认工程报价单或预算书；②发包人、承包人、监理单位会签的工程签证单；③发包人、承包人双方就本工程及有关合同文件进行协商、洽谈、变更、解除等所形成的补充协议等书面资料</w:t>
      </w:r>
      <w:r>
        <w:rPr>
          <w:rFonts w:hAnsi="宋体"/>
          <w:color w:val="000000" w:themeColor="text1"/>
          <w:szCs w:val="21"/>
          <w:highlight w:val="none"/>
          <w:u w:val="single"/>
          <w14:textFill>
            <w14:solidFill>
              <w14:schemeClr w14:val="tx1"/>
            </w14:solidFill>
          </w14:textFill>
        </w:rPr>
        <w:t>。</w:t>
      </w:r>
      <w:r>
        <w:rPr>
          <w:rFonts w:hint="eastAsia" w:hAnsi="宋体"/>
          <w:color w:val="000000" w:themeColor="text1"/>
          <w:szCs w:val="21"/>
          <w:highlight w:val="none"/>
          <w:u w:val="single"/>
          <w14:textFill>
            <w14:solidFill>
              <w14:schemeClr w14:val="tx1"/>
            </w14:solidFill>
          </w14:textFill>
        </w:rPr>
        <w:t>采购文件及附件（含所有补充通知）；招标控制价。</w:t>
      </w:r>
    </w:p>
    <w:p w14:paraId="605594D6">
      <w:pPr>
        <w:spacing w:line="360" w:lineRule="auto"/>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1.1.2 </w:t>
      </w:r>
      <w:r>
        <w:rPr>
          <w:rFonts w:hint="eastAsia" w:hAnsi="宋体" w:cs="宋体"/>
          <w:color w:val="000000" w:themeColor="text1"/>
          <w:szCs w:val="21"/>
          <w:highlight w:val="none"/>
          <w14:textFill>
            <w14:solidFill>
              <w14:schemeClr w14:val="tx1"/>
            </w14:solidFill>
          </w14:textFill>
        </w:rPr>
        <w:t>合同当事人及其他相关方</w:t>
      </w:r>
    </w:p>
    <w:p w14:paraId="2FAFA067">
      <w:pPr>
        <w:spacing w:line="360" w:lineRule="auto"/>
        <w:ind w:firstLine="420" w:firstLineChars="200"/>
        <w:outlineLvl w:val="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1.1.2.4 </w:t>
      </w:r>
      <w:r>
        <w:rPr>
          <w:rFonts w:hint="eastAsia" w:hAnsi="宋体" w:cs="宋体"/>
          <w:color w:val="000000" w:themeColor="text1"/>
          <w:szCs w:val="21"/>
          <w:highlight w:val="none"/>
          <w14:textFill>
            <w14:solidFill>
              <w14:schemeClr w14:val="tx1"/>
            </w14:solidFill>
          </w14:textFill>
        </w:rPr>
        <w:t>监理人：</w:t>
      </w:r>
    </w:p>
    <w:p w14:paraId="1A8D3E87">
      <w:pPr>
        <w:spacing w:line="360" w:lineRule="auto"/>
        <w:ind w:firstLine="420" w:firstLineChars="200"/>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名称：；</w:t>
      </w:r>
    </w:p>
    <w:p w14:paraId="61EDB197">
      <w:pPr>
        <w:spacing w:line="360" w:lineRule="auto"/>
        <w:ind w:firstLine="420" w:firstLineChars="200"/>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资质类别和等级：；</w:t>
      </w:r>
    </w:p>
    <w:p w14:paraId="6BBBD2E1">
      <w:pPr>
        <w:spacing w:line="360" w:lineRule="auto"/>
        <w:ind w:firstLine="420" w:firstLineChars="200"/>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联系电话：；</w:t>
      </w:r>
    </w:p>
    <w:p w14:paraId="02CE039E">
      <w:pPr>
        <w:spacing w:line="360" w:lineRule="auto"/>
        <w:ind w:firstLine="420" w:firstLineChars="200"/>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电子信箱：；</w:t>
      </w:r>
    </w:p>
    <w:p w14:paraId="3C8C3C48">
      <w:pPr>
        <w:spacing w:line="360" w:lineRule="auto"/>
        <w:ind w:firstLine="420" w:firstLineChars="200"/>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通信地址：。</w:t>
      </w:r>
    </w:p>
    <w:p w14:paraId="02675D98">
      <w:pPr>
        <w:spacing w:line="360" w:lineRule="auto"/>
        <w:ind w:firstLine="420" w:firstLineChars="200"/>
        <w:outlineLvl w:val="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1.1.2.5 </w:t>
      </w:r>
      <w:r>
        <w:rPr>
          <w:rFonts w:hint="eastAsia" w:hAnsi="宋体" w:cs="宋体"/>
          <w:color w:val="000000" w:themeColor="text1"/>
          <w:szCs w:val="21"/>
          <w:highlight w:val="none"/>
          <w14:textFill>
            <w14:solidFill>
              <w14:schemeClr w14:val="tx1"/>
            </w14:solidFill>
          </w14:textFill>
        </w:rPr>
        <w:t>设计人：</w:t>
      </w:r>
    </w:p>
    <w:p w14:paraId="2059E698">
      <w:pPr>
        <w:spacing w:line="360" w:lineRule="auto"/>
        <w:ind w:firstLine="420" w:firstLineChars="200"/>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名称：；</w:t>
      </w:r>
    </w:p>
    <w:p w14:paraId="41AA07AC">
      <w:pPr>
        <w:spacing w:line="360" w:lineRule="auto"/>
        <w:ind w:firstLine="420" w:firstLineChars="200"/>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资质类别和等级：；</w:t>
      </w:r>
    </w:p>
    <w:p w14:paraId="59F18AB5">
      <w:pPr>
        <w:spacing w:line="360" w:lineRule="auto"/>
        <w:ind w:firstLine="420" w:firstLineChars="200"/>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联系电话：；</w:t>
      </w:r>
    </w:p>
    <w:p w14:paraId="7E17E6B8">
      <w:pPr>
        <w:spacing w:line="360" w:lineRule="auto"/>
        <w:ind w:firstLine="420" w:firstLineChars="200"/>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电子信箱：；</w:t>
      </w:r>
    </w:p>
    <w:p w14:paraId="3F5BB176">
      <w:pPr>
        <w:spacing w:line="360" w:lineRule="auto"/>
        <w:ind w:firstLine="420" w:firstLineChars="200"/>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通信地址：。</w:t>
      </w:r>
    </w:p>
    <w:p w14:paraId="3584E7FD">
      <w:pPr>
        <w:spacing w:line="360" w:lineRule="auto"/>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1.1.3 </w:t>
      </w:r>
      <w:r>
        <w:rPr>
          <w:rFonts w:hint="eastAsia" w:hAnsi="宋体" w:cs="宋体"/>
          <w:color w:val="000000" w:themeColor="text1"/>
          <w:szCs w:val="21"/>
          <w:highlight w:val="none"/>
          <w14:textFill>
            <w14:solidFill>
              <w14:schemeClr w14:val="tx1"/>
            </w14:solidFill>
          </w14:textFill>
        </w:rPr>
        <w:t>工程和设备</w:t>
      </w:r>
    </w:p>
    <w:p w14:paraId="23822169">
      <w:pPr>
        <w:spacing w:line="360" w:lineRule="auto"/>
        <w:ind w:firstLine="420" w:firstLineChars="200"/>
        <w:outlineLvl w:val="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1.1.3.7 </w:t>
      </w:r>
      <w:r>
        <w:rPr>
          <w:rFonts w:hAnsi="宋体"/>
          <w:color w:val="000000" w:themeColor="text1"/>
          <w:szCs w:val="21"/>
          <w:highlight w:val="none"/>
          <w14:textFill>
            <w14:solidFill>
              <w14:schemeClr w14:val="tx1"/>
            </w14:solidFill>
          </w14:textFill>
        </w:rPr>
        <w:t>作为施工现场组成部分的其他场所包括：</w:t>
      </w:r>
      <w:r>
        <w:rPr>
          <w:rFonts w:hint="eastAsia"/>
          <w:color w:val="000000" w:themeColor="text1"/>
          <w:szCs w:val="21"/>
          <w:highlight w:val="none"/>
          <w:u w:val="single"/>
          <w14:textFill>
            <w14:solidFill>
              <w14:schemeClr w14:val="tx1"/>
            </w14:solidFill>
          </w14:textFill>
        </w:rPr>
        <w:t>按通用条款</w:t>
      </w:r>
      <w:r>
        <w:rPr>
          <w:rFonts w:hAnsi="宋体"/>
          <w:color w:val="000000" w:themeColor="text1"/>
          <w:szCs w:val="21"/>
          <w:highlight w:val="none"/>
          <w14:textFill>
            <w14:solidFill>
              <w14:schemeClr w14:val="tx1"/>
            </w14:solidFill>
          </w14:textFill>
        </w:rPr>
        <w:t>。</w:t>
      </w:r>
    </w:p>
    <w:p w14:paraId="58D60861">
      <w:pPr>
        <w:spacing w:line="360" w:lineRule="auto"/>
        <w:ind w:firstLine="420" w:firstLineChars="200"/>
        <w:jc w:val="left"/>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 xml:space="preserve">1.1.3.9 </w:t>
      </w:r>
      <w:r>
        <w:rPr>
          <w:rFonts w:hAnsi="宋体"/>
          <w:color w:val="000000" w:themeColor="text1"/>
          <w:kern w:val="0"/>
          <w:szCs w:val="21"/>
          <w:highlight w:val="none"/>
          <w14:textFill>
            <w14:solidFill>
              <w14:schemeClr w14:val="tx1"/>
            </w14:solidFill>
          </w14:textFill>
        </w:rPr>
        <w:t>永久占地包括：</w:t>
      </w:r>
      <w:r>
        <w:rPr>
          <w:rFonts w:hint="eastAsia"/>
          <w:color w:val="000000" w:themeColor="text1"/>
          <w:szCs w:val="21"/>
          <w:highlight w:val="none"/>
          <w:u w:val="single"/>
          <w14:textFill>
            <w14:solidFill>
              <w14:schemeClr w14:val="tx1"/>
            </w14:solidFill>
          </w14:textFill>
        </w:rPr>
        <w:t>依据设计图纸确定</w:t>
      </w:r>
      <w:r>
        <w:rPr>
          <w:rFonts w:hAnsi="宋体"/>
          <w:color w:val="000000" w:themeColor="text1"/>
          <w:kern w:val="0"/>
          <w:szCs w:val="21"/>
          <w:highlight w:val="none"/>
          <w14:textFill>
            <w14:solidFill>
              <w14:schemeClr w14:val="tx1"/>
            </w14:solidFill>
          </w14:textFill>
        </w:rPr>
        <w:t>。</w:t>
      </w:r>
    </w:p>
    <w:p w14:paraId="31315407">
      <w:pPr>
        <w:spacing w:line="360" w:lineRule="auto"/>
        <w:ind w:firstLine="420" w:firstLineChars="200"/>
        <w:jc w:val="left"/>
        <w:rPr>
          <w:color w:val="000000" w:themeColor="text1"/>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 xml:space="preserve">1.1.3.10 </w:t>
      </w:r>
      <w:r>
        <w:rPr>
          <w:rFonts w:hAnsi="宋体"/>
          <w:color w:val="000000" w:themeColor="text1"/>
          <w:kern w:val="0"/>
          <w:szCs w:val="21"/>
          <w:highlight w:val="none"/>
          <w14:textFill>
            <w14:solidFill>
              <w14:schemeClr w14:val="tx1"/>
            </w14:solidFill>
          </w14:textFill>
        </w:rPr>
        <w:t>临时占地包括：</w:t>
      </w:r>
      <w:r>
        <w:rPr>
          <w:rFonts w:hint="eastAsia"/>
          <w:color w:val="000000" w:themeColor="text1"/>
          <w:szCs w:val="21"/>
          <w:highlight w:val="none"/>
          <w:u w:val="single"/>
          <w14:textFill>
            <w14:solidFill>
              <w14:schemeClr w14:val="tx1"/>
            </w14:solidFill>
          </w14:textFill>
        </w:rPr>
        <w:t>双方在合同履行过程中确定</w:t>
      </w:r>
      <w:r>
        <w:rPr>
          <w:rFonts w:hint="eastAsia" w:hAnsi="宋体" w:cs="宋体"/>
          <w:color w:val="000000" w:themeColor="text1"/>
          <w:kern w:val="0"/>
          <w:szCs w:val="21"/>
          <w:highlight w:val="none"/>
          <w14:textFill>
            <w14:solidFill>
              <w14:schemeClr w14:val="tx1"/>
            </w14:solidFill>
          </w14:textFill>
        </w:rPr>
        <w:t>。</w:t>
      </w:r>
    </w:p>
    <w:p w14:paraId="1D32366D">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103" w:name="_Toc373478341"/>
      <w:bookmarkStart w:id="104" w:name="_Toc78449782"/>
      <w:bookmarkStart w:id="105" w:name="_Toc407135196"/>
      <w:bookmarkStart w:id="106" w:name="_Toc114058833"/>
      <w:bookmarkStart w:id="107" w:name="_Toc389065260"/>
      <w:bookmarkStart w:id="108" w:name="_Toc373227694"/>
      <w:r>
        <w:rPr>
          <w:rFonts w:eastAsia="黑体"/>
          <w:b/>
          <w:bCs/>
          <w:color w:val="000000" w:themeColor="text1"/>
          <w:sz w:val="32"/>
          <w:szCs w:val="32"/>
          <w:highlight w:val="none"/>
          <w:lang w:val="zh-CN"/>
          <w14:textFill>
            <w14:solidFill>
              <w14:schemeClr w14:val="tx1"/>
            </w14:solidFill>
          </w14:textFill>
        </w:rPr>
        <w:t xml:space="preserve">1.3 </w:t>
      </w:r>
      <w:r>
        <w:rPr>
          <w:rFonts w:hint="eastAsia" w:hAnsi="宋体" w:eastAsia="黑体" w:cs="黑体"/>
          <w:b/>
          <w:bCs/>
          <w:color w:val="000000" w:themeColor="text1"/>
          <w:sz w:val="32"/>
          <w:szCs w:val="32"/>
          <w:highlight w:val="none"/>
          <w:lang w:val="zh-CN"/>
          <w14:textFill>
            <w14:solidFill>
              <w14:schemeClr w14:val="tx1"/>
            </w14:solidFill>
          </w14:textFill>
        </w:rPr>
        <w:t>法律</w:t>
      </w:r>
      <w:bookmarkEnd w:id="103"/>
      <w:bookmarkEnd w:id="104"/>
      <w:bookmarkEnd w:id="105"/>
      <w:bookmarkEnd w:id="106"/>
      <w:bookmarkEnd w:id="107"/>
      <w:bookmarkEnd w:id="108"/>
    </w:p>
    <w:p w14:paraId="6444D659">
      <w:pPr>
        <w:autoSpaceDE w:val="0"/>
        <w:autoSpaceDN w:val="0"/>
        <w:adjustRightInd w:val="0"/>
        <w:spacing w:line="360" w:lineRule="auto"/>
        <w:jc w:val="left"/>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适用于合同的其他规范性文件：</w:t>
      </w:r>
      <w:r>
        <w:rPr>
          <w:rFonts w:hint="eastAsia" w:hAnsi="宋体"/>
          <w:color w:val="000000" w:themeColor="text1"/>
          <w:szCs w:val="21"/>
          <w:highlight w:val="none"/>
          <w:u w:val="single"/>
          <w14:textFill>
            <w14:solidFill>
              <w14:schemeClr w14:val="tx1"/>
            </w14:solidFill>
          </w14:textFill>
        </w:rPr>
        <w:t>国家、地方、行政主管部门对建设工程项目的有关规范性文件</w:t>
      </w:r>
      <w:r>
        <w:rPr>
          <w:rFonts w:hint="eastAsia" w:hAnsi="宋体" w:cs="宋体"/>
          <w:color w:val="000000" w:themeColor="text1"/>
          <w:szCs w:val="21"/>
          <w:highlight w:val="none"/>
          <w14:textFill>
            <w14:solidFill>
              <w14:schemeClr w14:val="tx1"/>
            </w14:solidFill>
          </w14:textFill>
        </w:rPr>
        <w:t>。</w:t>
      </w:r>
    </w:p>
    <w:p w14:paraId="2C287608">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109" w:name="_Toc373227695"/>
      <w:bookmarkStart w:id="110" w:name="_Toc407135197"/>
      <w:bookmarkStart w:id="111" w:name="_Toc373478342"/>
      <w:bookmarkStart w:id="112" w:name="_Toc389065261"/>
      <w:bookmarkStart w:id="113" w:name="_Toc78449783"/>
      <w:bookmarkStart w:id="114" w:name="_Toc114058834"/>
      <w:r>
        <w:rPr>
          <w:rFonts w:eastAsia="黑体"/>
          <w:b/>
          <w:bCs/>
          <w:color w:val="000000" w:themeColor="text1"/>
          <w:sz w:val="32"/>
          <w:szCs w:val="32"/>
          <w:highlight w:val="none"/>
          <w:lang w:val="zh-CN"/>
          <w14:textFill>
            <w14:solidFill>
              <w14:schemeClr w14:val="tx1"/>
            </w14:solidFill>
          </w14:textFill>
        </w:rPr>
        <w:t xml:space="preserve">1.4 </w:t>
      </w:r>
      <w:r>
        <w:rPr>
          <w:rFonts w:hint="eastAsia" w:hAnsi="宋体" w:eastAsia="黑体" w:cs="黑体"/>
          <w:b/>
          <w:bCs/>
          <w:color w:val="000000" w:themeColor="text1"/>
          <w:sz w:val="32"/>
          <w:szCs w:val="32"/>
          <w:highlight w:val="none"/>
          <w:lang w:val="zh-CN"/>
          <w14:textFill>
            <w14:solidFill>
              <w14:schemeClr w14:val="tx1"/>
            </w14:solidFill>
          </w14:textFill>
        </w:rPr>
        <w:t>标准和规范</w:t>
      </w:r>
      <w:bookmarkEnd w:id="109"/>
      <w:bookmarkEnd w:id="110"/>
      <w:bookmarkEnd w:id="111"/>
      <w:bookmarkEnd w:id="112"/>
      <w:bookmarkEnd w:id="113"/>
      <w:bookmarkEnd w:id="114"/>
    </w:p>
    <w:p w14:paraId="02A03F60">
      <w:pPr>
        <w:spacing w:line="360" w:lineRule="auto"/>
        <w:ind w:firstLine="420" w:firstLineChars="200"/>
        <w:rPr>
          <w:rFonts w:hAnsi="宋体"/>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1.4.1</w:t>
      </w:r>
      <w:r>
        <w:rPr>
          <w:rFonts w:hAnsi="宋体"/>
          <w:color w:val="000000" w:themeColor="text1"/>
          <w:szCs w:val="21"/>
          <w:highlight w:val="none"/>
          <w14:textFill>
            <w14:solidFill>
              <w14:schemeClr w14:val="tx1"/>
            </w14:solidFill>
          </w14:textFill>
        </w:rPr>
        <w:t>适用于工程的标准规范包括：</w:t>
      </w:r>
      <w:r>
        <w:rPr>
          <w:rFonts w:hint="eastAsia" w:hAnsi="宋体"/>
          <w:color w:val="000000" w:themeColor="text1"/>
          <w:szCs w:val="21"/>
          <w:highlight w:val="none"/>
          <w:u w:val="single"/>
          <w14:textFill>
            <w14:solidFill>
              <w14:schemeClr w14:val="tx1"/>
            </w14:solidFill>
          </w14:textFill>
        </w:rPr>
        <w:t>经审查的设计施工图规定的各类</w:t>
      </w:r>
      <w:r>
        <w:rPr>
          <w:rFonts w:hint="eastAsia" w:hAnsi="宋体"/>
          <w:color w:val="000000" w:themeColor="text1"/>
          <w:szCs w:val="21"/>
          <w:highlight w:val="none"/>
          <w:u w:val="single"/>
          <w:lang w:eastAsia="zh-CN"/>
          <w14:textFill>
            <w14:solidFill>
              <w14:schemeClr w14:val="tx1"/>
            </w14:solidFill>
          </w14:textFill>
        </w:rPr>
        <w:t>国家</w:t>
      </w:r>
      <w:r>
        <w:rPr>
          <w:rFonts w:hint="eastAsia" w:hAnsi="宋体"/>
          <w:color w:val="000000" w:themeColor="text1"/>
          <w:szCs w:val="21"/>
          <w:highlight w:val="none"/>
          <w:u w:val="single"/>
          <w14:textFill>
            <w14:solidFill>
              <w14:schemeClr w14:val="tx1"/>
            </w14:solidFill>
          </w14:textFill>
        </w:rPr>
        <w:t>标准和规范，且不仅限于此</w:t>
      </w:r>
      <w:r>
        <w:rPr>
          <w:rFonts w:hAnsi="宋体"/>
          <w:color w:val="000000" w:themeColor="text1"/>
          <w:szCs w:val="21"/>
          <w:highlight w:val="none"/>
          <w14:textFill>
            <w14:solidFill>
              <w14:schemeClr w14:val="tx1"/>
            </w14:solidFill>
          </w14:textFill>
        </w:rPr>
        <w:t>。</w:t>
      </w:r>
    </w:p>
    <w:p w14:paraId="2787CDB8">
      <w:pPr>
        <w:spacing w:line="360" w:lineRule="auto"/>
        <w:ind w:firstLine="420" w:firstLineChars="200"/>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 xml:space="preserve">1.4.2 </w:t>
      </w:r>
      <w:r>
        <w:rPr>
          <w:rFonts w:hAnsi="宋体"/>
          <w:color w:val="000000" w:themeColor="text1"/>
          <w:kern w:val="0"/>
          <w:szCs w:val="21"/>
          <w:highlight w:val="none"/>
          <w14:textFill>
            <w14:solidFill>
              <w14:schemeClr w14:val="tx1"/>
            </w14:solidFill>
          </w14:textFill>
        </w:rPr>
        <w:t>发包人提供国外标准、规范的名称：</w:t>
      </w:r>
      <w:r>
        <w:rPr>
          <w:rFonts w:hint="eastAsia" w:hAnsi="宋体"/>
          <w:color w:val="000000" w:themeColor="text1"/>
          <w:szCs w:val="21"/>
          <w:highlight w:val="none"/>
          <w:u w:val="single"/>
          <w14:textFill>
            <w14:solidFill>
              <w14:schemeClr w14:val="tx1"/>
            </w14:solidFill>
          </w14:textFill>
        </w:rPr>
        <w:t>无</w:t>
      </w:r>
      <w:r>
        <w:rPr>
          <w:rFonts w:hint="eastAsia" w:hAnsi="宋体"/>
          <w:color w:val="000000" w:themeColor="text1"/>
          <w:szCs w:val="21"/>
          <w:highlight w:val="none"/>
          <w14:textFill>
            <w14:solidFill>
              <w14:schemeClr w14:val="tx1"/>
            </w14:solidFill>
          </w14:textFill>
        </w:rPr>
        <w:t>；</w:t>
      </w:r>
    </w:p>
    <w:p w14:paraId="43FB3B7F">
      <w:pPr>
        <w:spacing w:line="360" w:lineRule="auto"/>
        <w:ind w:firstLine="420" w:firstLineChars="200"/>
        <w:rPr>
          <w:color w:val="000000" w:themeColor="text1"/>
          <w:kern w:val="0"/>
          <w:szCs w:val="21"/>
          <w:highlight w:val="none"/>
          <w14:textFill>
            <w14:solidFill>
              <w14:schemeClr w14:val="tx1"/>
            </w14:solidFill>
          </w14:textFill>
        </w:rPr>
      </w:pPr>
      <w:r>
        <w:rPr>
          <w:rFonts w:hAnsi="宋体"/>
          <w:color w:val="000000" w:themeColor="text1"/>
          <w:kern w:val="0"/>
          <w:szCs w:val="21"/>
          <w:highlight w:val="none"/>
          <w14:textFill>
            <w14:solidFill>
              <w14:schemeClr w14:val="tx1"/>
            </w14:solidFill>
          </w14:textFill>
        </w:rPr>
        <w:t>发包人提供国外标准、规范的份数：</w:t>
      </w:r>
      <w:r>
        <w:rPr>
          <w:rFonts w:hint="eastAsia"/>
          <w:color w:val="000000" w:themeColor="text1"/>
          <w:kern w:val="0"/>
          <w:szCs w:val="21"/>
          <w:highlight w:val="none"/>
          <w:u w:val="single"/>
          <w14:textFill>
            <w14:solidFill>
              <w14:schemeClr w14:val="tx1"/>
            </w14:solidFill>
          </w14:textFill>
        </w:rPr>
        <w:t>无</w:t>
      </w:r>
      <w:r>
        <w:rPr>
          <w:rFonts w:hAnsi="宋体"/>
          <w:color w:val="000000" w:themeColor="text1"/>
          <w:kern w:val="0"/>
          <w:szCs w:val="21"/>
          <w:highlight w:val="none"/>
          <w14:textFill>
            <w14:solidFill>
              <w14:schemeClr w14:val="tx1"/>
            </w14:solidFill>
          </w14:textFill>
        </w:rPr>
        <w:t>；</w:t>
      </w:r>
    </w:p>
    <w:p w14:paraId="09087760">
      <w:pPr>
        <w:spacing w:line="360" w:lineRule="auto"/>
        <w:ind w:firstLine="420" w:firstLineChars="200"/>
        <w:rPr>
          <w:color w:val="000000" w:themeColor="text1"/>
          <w:szCs w:val="21"/>
          <w:highlight w:val="none"/>
          <w14:textFill>
            <w14:solidFill>
              <w14:schemeClr w14:val="tx1"/>
            </w14:solidFill>
          </w14:textFill>
        </w:rPr>
      </w:pPr>
      <w:r>
        <w:rPr>
          <w:rFonts w:hAnsi="宋体"/>
          <w:color w:val="000000" w:themeColor="text1"/>
          <w:kern w:val="0"/>
          <w:szCs w:val="21"/>
          <w:highlight w:val="none"/>
          <w14:textFill>
            <w14:solidFill>
              <w14:schemeClr w14:val="tx1"/>
            </w14:solidFill>
          </w14:textFill>
        </w:rPr>
        <w:t>发包人提供国外标准、规范的名称：</w:t>
      </w:r>
      <w:r>
        <w:rPr>
          <w:rFonts w:hint="eastAsia"/>
          <w:color w:val="000000" w:themeColor="text1"/>
          <w:kern w:val="0"/>
          <w:szCs w:val="21"/>
          <w:highlight w:val="none"/>
          <w:u w:val="single"/>
          <w14:textFill>
            <w14:solidFill>
              <w14:schemeClr w14:val="tx1"/>
            </w14:solidFill>
          </w14:textFill>
        </w:rPr>
        <w:t>无</w:t>
      </w:r>
      <w:r>
        <w:rPr>
          <w:rFonts w:hAnsi="宋体"/>
          <w:color w:val="000000" w:themeColor="text1"/>
          <w:kern w:val="0"/>
          <w:szCs w:val="21"/>
          <w:highlight w:val="none"/>
          <w14:textFill>
            <w14:solidFill>
              <w14:schemeClr w14:val="tx1"/>
            </w14:solidFill>
          </w14:textFill>
        </w:rPr>
        <w:t>。</w:t>
      </w:r>
    </w:p>
    <w:p w14:paraId="369AFB8C">
      <w:pPr>
        <w:spacing w:line="360" w:lineRule="auto"/>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1.4.3</w:t>
      </w:r>
      <w:r>
        <w:rPr>
          <w:rFonts w:hAnsi="宋体"/>
          <w:color w:val="000000" w:themeColor="text1"/>
          <w:szCs w:val="21"/>
          <w:highlight w:val="none"/>
          <w14:textFill>
            <w14:solidFill>
              <w14:schemeClr w14:val="tx1"/>
            </w14:solidFill>
          </w14:textFill>
        </w:rPr>
        <w:t>发包人对工程的技术标准和功能要求的特殊要求：</w:t>
      </w:r>
      <w:r>
        <w:rPr>
          <w:rFonts w:hint="eastAsia" w:hAnsi="宋体"/>
          <w:color w:val="000000" w:themeColor="text1"/>
          <w:szCs w:val="21"/>
          <w:highlight w:val="none"/>
          <w:u w:val="single"/>
          <w14:textFill>
            <w14:solidFill>
              <w14:schemeClr w14:val="tx1"/>
            </w14:solidFill>
          </w14:textFill>
        </w:rPr>
        <w:t xml:space="preserve">  无</w:t>
      </w:r>
      <w:r>
        <w:rPr>
          <w:rFonts w:hint="eastAsia" w:hAnsi="宋体" w:cs="宋体"/>
          <w:color w:val="000000" w:themeColor="text1"/>
          <w:szCs w:val="21"/>
          <w:highlight w:val="none"/>
          <w14:textFill>
            <w14:solidFill>
              <w14:schemeClr w14:val="tx1"/>
            </w14:solidFill>
          </w14:textFill>
        </w:rPr>
        <w:t>。</w:t>
      </w:r>
    </w:p>
    <w:p w14:paraId="35F96B88">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115" w:name="_Toc389065262"/>
      <w:bookmarkStart w:id="116" w:name="_Toc373478343"/>
      <w:bookmarkStart w:id="117" w:name="_Toc373227696"/>
      <w:bookmarkStart w:id="118" w:name="_Toc114058835"/>
      <w:bookmarkStart w:id="119" w:name="_Toc407135198"/>
      <w:bookmarkStart w:id="120" w:name="_Toc78449784"/>
      <w:r>
        <w:rPr>
          <w:rFonts w:eastAsia="黑体"/>
          <w:b/>
          <w:bCs/>
          <w:color w:val="000000" w:themeColor="text1"/>
          <w:sz w:val="32"/>
          <w:szCs w:val="32"/>
          <w:highlight w:val="none"/>
          <w:lang w:val="zh-CN"/>
          <w14:textFill>
            <w14:solidFill>
              <w14:schemeClr w14:val="tx1"/>
            </w14:solidFill>
          </w14:textFill>
        </w:rPr>
        <w:t xml:space="preserve">1.5 </w:t>
      </w:r>
      <w:r>
        <w:rPr>
          <w:rFonts w:hint="eastAsia" w:eastAsia="黑体" w:cs="黑体"/>
          <w:b/>
          <w:bCs/>
          <w:color w:val="000000" w:themeColor="text1"/>
          <w:sz w:val="32"/>
          <w:szCs w:val="32"/>
          <w:highlight w:val="none"/>
          <w:lang w:val="zh-CN"/>
          <w14:textFill>
            <w14:solidFill>
              <w14:schemeClr w14:val="tx1"/>
            </w14:solidFill>
          </w14:textFill>
        </w:rPr>
        <w:t>合同文件的优先顺序</w:t>
      </w:r>
      <w:bookmarkEnd w:id="115"/>
      <w:bookmarkEnd w:id="116"/>
      <w:bookmarkEnd w:id="117"/>
      <w:bookmarkEnd w:id="118"/>
      <w:bookmarkEnd w:id="119"/>
      <w:bookmarkEnd w:id="120"/>
    </w:p>
    <w:p w14:paraId="71753CB5">
      <w:pPr>
        <w:spacing w:line="360" w:lineRule="auto"/>
        <w:ind w:firstLine="420" w:firstLineChars="200"/>
        <w:rPr>
          <w:rFonts w:hAnsi="宋体" w:cs="宋体"/>
          <w:color w:val="000000" w:themeColor="text1"/>
          <w:kern w:val="0"/>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合同文件组成及优先顺序为：</w:t>
      </w:r>
    </w:p>
    <w:p w14:paraId="1B2CD03F">
      <w:pPr>
        <w:autoSpaceDE w:val="0"/>
        <w:autoSpaceDN w:val="0"/>
        <w:adjustRightInd w:val="0"/>
        <w:spacing w:line="360" w:lineRule="auto"/>
        <w:ind w:firstLine="420" w:firstLineChars="200"/>
        <w:jc w:val="left"/>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（1）合同协议书；</w:t>
      </w:r>
    </w:p>
    <w:p w14:paraId="5678D963">
      <w:pPr>
        <w:autoSpaceDE w:val="0"/>
        <w:autoSpaceDN w:val="0"/>
        <w:adjustRightInd w:val="0"/>
        <w:spacing w:line="360" w:lineRule="auto"/>
        <w:ind w:firstLine="420" w:firstLineChars="200"/>
        <w:jc w:val="left"/>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（2）成交通知书；</w:t>
      </w:r>
    </w:p>
    <w:p w14:paraId="0B549009">
      <w:pPr>
        <w:autoSpaceDE w:val="0"/>
        <w:autoSpaceDN w:val="0"/>
        <w:adjustRightInd w:val="0"/>
        <w:spacing w:line="360" w:lineRule="auto"/>
        <w:ind w:firstLine="420" w:firstLineChars="200"/>
        <w:jc w:val="left"/>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（3）</w:t>
      </w:r>
      <w:r>
        <w:rPr>
          <w:rFonts w:hint="eastAsia" w:hAnsi="宋体" w:cs="宋体"/>
          <w:highlight w:val="none"/>
        </w:rPr>
        <w:t>响应文件、</w:t>
      </w:r>
      <w:r>
        <w:rPr>
          <w:rFonts w:hint="eastAsia" w:hAnsi="宋体" w:cs="宋体"/>
          <w:color w:val="000000" w:themeColor="text1"/>
          <w:highlight w:val="none"/>
          <w14:textFill>
            <w14:solidFill>
              <w14:schemeClr w14:val="tx1"/>
            </w14:solidFill>
          </w14:textFill>
        </w:rPr>
        <w:t>竞标函及竞标函附录；</w:t>
      </w:r>
    </w:p>
    <w:p w14:paraId="7386C933">
      <w:pPr>
        <w:autoSpaceDE w:val="0"/>
        <w:autoSpaceDN w:val="0"/>
        <w:adjustRightInd w:val="0"/>
        <w:spacing w:line="360" w:lineRule="auto"/>
        <w:ind w:firstLine="420" w:firstLineChars="200"/>
        <w:jc w:val="left"/>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（4）专用合同条款及其附件；</w:t>
      </w:r>
    </w:p>
    <w:p w14:paraId="09110D93">
      <w:pPr>
        <w:autoSpaceDE w:val="0"/>
        <w:autoSpaceDN w:val="0"/>
        <w:adjustRightInd w:val="0"/>
        <w:spacing w:line="360" w:lineRule="auto"/>
        <w:ind w:firstLine="420" w:firstLineChars="200"/>
        <w:jc w:val="left"/>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（5）通用合同条款；</w:t>
      </w:r>
    </w:p>
    <w:p w14:paraId="0DC634A5">
      <w:pPr>
        <w:autoSpaceDE w:val="0"/>
        <w:autoSpaceDN w:val="0"/>
        <w:adjustRightInd w:val="0"/>
        <w:spacing w:line="360" w:lineRule="auto"/>
        <w:ind w:firstLine="420" w:firstLineChars="200"/>
        <w:jc w:val="left"/>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（6）技术标准和要求；</w:t>
      </w:r>
    </w:p>
    <w:p w14:paraId="12940760">
      <w:pPr>
        <w:autoSpaceDE w:val="0"/>
        <w:autoSpaceDN w:val="0"/>
        <w:adjustRightInd w:val="0"/>
        <w:spacing w:line="360" w:lineRule="auto"/>
        <w:ind w:firstLine="420" w:firstLineChars="200"/>
        <w:jc w:val="left"/>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（7）图纸；</w:t>
      </w:r>
    </w:p>
    <w:p w14:paraId="2F5B916E">
      <w:pPr>
        <w:autoSpaceDE w:val="0"/>
        <w:autoSpaceDN w:val="0"/>
        <w:adjustRightInd w:val="0"/>
        <w:spacing w:line="360" w:lineRule="auto"/>
        <w:ind w:firstLine="420" w:firstLineChars="200"/>
        <w:jc w:val="left"/>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（8）已标价工程量清单或预算书；</w:t>
      </w:r>
    </w:p>
    <w:p w14:paraId="36A78DAC">
      <w:pPr>
        <w:autoSpaceDE w:val="0"/>
        <w:autoSpaceDN w:val="0"/>
        <w:adjustRightInd w:val="0"/>
        <w:spacing w:line="360" w:lineRule="auto"/>
        <w:ind w:firstLine="420" w:firstLineChars="200"/>
        <w:jc w:val="left"/>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（9）磋商文件（含补充通知和答疑）；</w:t>
      </w:r>
    </w:p>
    <w:p w14:paraId="0D6560E9">
      <w:pPr>
        <w:spacing w:line="360" w:lineRule="auto"/>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（1</w:t>
      </w:r>
      <w:r>
        <w:rPr>
          <w:rFonts w:hint="eastAsia" w:hAnsi="宋体" w:cs="宋体"/>
          <w:color w:val="000000" w:themeColor="text1"/>
          <w:highlight w:val="none"/>
          <w:lang w:val="en-US" w:eastAsia="zh-CN"/>
          <w14:textFill>
            <w14:solidFill>
              <w14:schemeClr w14:val="tx1"/>
            </w14:solidFill>
          </w14:textFill>
        </w:rPr>
        <w:t>0</w:t>
      </w:r>
      <w:r>
        <w:rPr>
          <w:rFonts w:hint="eastAsia" w:hAnsi="宋体" w:cs="宋体"/>
          <w:color w:val="000000" w:themeColor="text1"/>
          <w:highlight w:val="none"/>
          <w14:textFill>
            <w14:solidFill>
              <w14:schemeClr w14:val="tx1"/>
            </w14:solidFill>
          </w14:textFill>
        </w:rPr>
        <w:t>）其他合同文件（</w:t>
      </w:r>
      <w:r>
        <w:rPr>
          <w:rFonts w:hint="eastAsia" w:ascii="宋体" w:hAnsi="宋体"/>
          <w:color w:val="000000" w:themeColor="text1"/>
          <w:highlight w:val="none"/>
          <w14:textFill>
            <w14:solidFill>
              <w14:schemeClr w14:val="tx1"/>
            </w14:solidFill>
          </w14:textFill>
        </w:rPr>
        <w:t xml:space="preserve"> 在合同订立及履行过程中形成的与合同有关的文件均构成合同文件组成部分。</w:t>
      </w:r>
      <w:r>
        <w:rPr>
          <w:rFonts w:hint="eastAsia" w:hAnsi="宋体" w:cs="宋体"/>
          <w:color w:val="000000" w:themeColor="text1"/>
          <w:highlight w:val="none"/>
          <w14:textFill>
            <w14:solidFill>
              <w14:schemeClr w14:val="tx1"/>
            </w14:solidFill>
          </w14:textFill>
        </w:rPr>
        <w:t>）</w:t>
      </w:r>
    </w:p>
    <w:p w14:paraId="429B6CB8">
      <w:pPr>
        <w:spacing w:line="360" w:lineRule="auto"/>
        <w:ind w:left="539" w:leftChars="200" w:hanging="119" w:hangingChars="57"/>
        <w:rPr>
          <w:rFonts w:ascii="宋体" w:hAnsi="宋体"/>
          <w:color w:val="000000" w:themeColor="text1"/>
          <w:highlight w:val="none"/>
          <w:u w:val="single"/>
          <w14:textFill>
            <w14:solidFill>
              <w14:schemeClr w14:val="tx1"/>
            </w14:solidFill>
          </w14:textFill>
        </w:rPr>
      </w:pPr>
      <w:r>
        <w:rPr>
          <w:rFonts w:ascii="宋体" w:hAnsi="宋体"/>
          <w:color w:val="000000" w:themeColor="text1"/>
          <w:highlight w:val="none"/>
          <w14:textFill>
            <w14:solidFill>
              <w14:schemeClr w14:val="tx1"/>
            </w14:solidFill>
          </w14:textFill>
        </w:rPr>
        <w:t>设计变更文件一律采取书面形式。包括：</w:t>
      </w:r>
      <w:r>
        <w:rPr>
          <w:rFonts w:ascii="宋体" w:hAnsi="宋体"/>
          <w:color w:val="000000" w:themeColor="text1"/>
          <w:highlight w:val="none"/>
          <w14:textFill>
            <w14:solidFill>
              <w14:schemeClr w14:val="tx1"/>
            </w14:solidFill>
          </w14:textFill>
        </w:rPr>
        <w:br w:type="textWrapping"/>
      </w:r>
      <w:r>
        <w:rPr>
          <w:rFonts w:hint="eastAsia"/>
          <w:color w:val="000000" w:themeColor="text1"/>
          <w:highlight w:val="none"/>
          <w14:textFill>
            <w14:solidFill>
              <w14:schemeClr w14:val="tx1"/>
            </w14:solidFill>
          </w14:textFill>
        </w:rPr>
        <w:t>①</w:t>
      </w:r>
      <w:r>
        <w:rPr>
          <w:rFonts w:ascii="宋体" w:hAnsi="宋体"/>
          <w:color w:val="000000" w:themeColor="text1"/>
          <w:highlight w:val="none"/>
          <w14:textFill>
            <w14:solidFill>
              <w14:schemeClr w14:val="tx1"/>
            </w14:solidFill>
          </w14:textFill>
        </w:rPr>
        <w:t>设计单位作出的设计变更通知单；</w:t>
      </w:r>
      <w:r>
        <w:rPr>
          <w:rFonts w:ascii="宋体" w:hAnsi="宋体"/>
          <w:color w:val="000000" w:themeColor="text1"/>
          <w:highlight w:val="none"/>
          <w14:textFill>
            <w14:solidFill>
              <w14:schemeClr w14:val="tx1"/>
            </w14:solidFill>
          </w14:textFill>
        </w:rPr>
        <w:br w:type="textWrapping"/>
      </w:r>
      <w:r>
        <w:rPr>
          <w:rFonts w:hint="eastAsia"/>
          <w:color w:val="000000" w:themeColor="text1"/>
          <w:highlight w:val="none"/>
          <w14:textFill>
            <w14:solidFill>
              <w14:schemeClr w14:val="tx1"/>
            </w14:solidFill>
          </w14:textFill>
        </w:rPr>
        <w:t>②</w:t>
      </w:r>
      <w:r>
        <w:rPr>
          <w:rFonts w:ascii="宋体" w:hAnsi="宋体"/>
          <w:color w:val="000000" w:themeColor="text1"/>
          <w:highlight w:val="none"/>
          <w14:textFill>
            <w14:solidFill>
              <w14:schemeClr w14:val="tx1"/>
            </w14:solidFill>
          </w14:textFill>
        </w:rPr>
        <w:t>根据洽商结果写成的洽商记录；</w:t>
      </w:r>
      <w:r>
        <w:rPr>
          <w:rFonts w:ascii="宋体" w:hAnsi="宋体"/>
          <w:color w:val="000000" w:themeColor="text1"/>
          <w:highlight w:val="none"/>
          <w14:textFill>
            <w14:solidFill>
              <w14:schemeClr w14:val="tx1"/>
            </w14:solidFill>
          </w14:textFill>
        </w:rPr>
        <w:br w:type="textWrapping"/>
      </w:r>
      <w:r>
        <w:rPr>
          <w:rFonts w:hint="eastAsia"/>
          <w:color w:val="000000" w:themeColor="text1"/>
          <w:highlight w:val="none"/>
          <w14:textFill>
            <w14:solidFill>
              <w14:schemeClr w14:val="tx1"/>
            </w14:solidFill>
          </w14:textFill>
        </w:rPr>
        <w:t>③</w:t>
      </w:r>
      <w:r>
        <w:rPr>
          <w:rFonts w:ascii="宋体" w:hAnsi="宋体"/>
          <w:color w:val="000000" w:themeColor="text1"/>
          <w:highlight w:val="none"/>
          <w14:textFill>
            <w14:solidFill>
              <w14:schemeClr w14:val="tx1"/>
            </w14:solidFill>
          </w14:textFill>
        </w:rPr>
        <w:t>比较重要的设计变更和洽商记录所附的变更后的施工图。</w:t>
      </w:r>
      <w:r>
        <w:rPr>
          <w:rFonts w:ascii="宋体" w:hAnsi="宋体"/>
          <w:color w:val="000000" w:themeColor="text1"/>
          <w:highlight w:val="none"/>
          <w14:textFill>
            <w14:solidFill>
              <w14:schemeClr w14:val="tx1"/>
            </w14:solidFill>
          </w14:textFill>
        </w:rPr>
        <w:br w:type="textWrapping"/>
      </w:r>
      <w:r>
        <w:rPr>
          <w:rFonts w:ascii="宋体" w:hAnsi="宋体"/>
          <w:color w:val="000000" w:themeColor="text1"/>
          <w:highlight w:val="none"/>
          <w14:textFill>
            <w14:solidFill>
              <w14:schemeClr w14:val="tx1"/>
            </w14:solidFill>
          </w14:textFill>
        </w:rPr>
        <w:t>设计变更文件经过三方或双方签证认可后生效，并作为施工和编审增减工程预算的依据。</w:t>
      </w:r>
    </w:p>
    <w:p w14:paraId="0A7D11B3">
      <w:pPr>
        <w:spacing w:line="360" w:lineRule="auto"/>
        <w:ind w:firstLine="420" w:firstLineChars="200"/>
        <w:rPr>
          <w:rFonts w:hAnsi="宋体" w:cs="宋体"/>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上述各项合同文件包括合同当事人就该项合同文件所作出的补充和修改，属于同一类内容的文件，应以最新签署的为准（违反采购文件</w:t>
      </w:r>
      <w:r>
        <w:rPr>
          <w:rFonts w:hAnsi="宋体" w:cs="宋体"/>
          <w:color w:val="000000" w:themeColor="text1"/>
          <w:kern w:val="0"/>
          <w:szCs w:val="21"/>
          <w:highlight w:val="none"/>
          <w14:textFill>
            <w14:solidFill>
              <w14:schemeClr w14:val="tx1"/>
            </w14:solidFill>
          </w14:textFill>
        </w:rPr>
        <w:t>实质性内容的约定除外</w:t>
      </w:r>
      <w:r>
        <w:rPr>
          <w:rFonts w:hint="eastAsia" w:hAnsi="宋体" w:cs="宋体"/>
          <w:color w:val="000000" w:themeColor="text1"/>
          <w:kern w:val="0"/>
          <w:szCs w:val="21"/>
          <w:highlight w:val="none"/>
          <w14:textFill>
            <w14:solidFill>
              <w14:schemeClr w14:val="tx1"/>
            </w14:solidFill>
          </w14:textFill>
        </w:rPr>
        <w:t>）。专用合同条款及其附件须经合同当事人签字或盖章。</w:t>
      </w:r>
    </w:p>
    <w:p w14:paraId="5488AC37">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121" w:name="_Toc114058836"/>
      <w:bookmarkStart w:id="122" w:name="_Toc407135199"/>
      <w:bookmarkStart w:id="123" w:name="_Toc389065263"/>
      <w:bookmarkStart w:id="124" w:name="_Toc78449785"/>
      <w:bookmarkStart w:id="125" w:name="_Toc373227697"/>
      <w:bookmarkStart w:id="126" w:name="_Toc373478344"/>
      <w:r>
        <w:rPr>
          <w:rFonts w:eastAsia="黑体"/>
          <w:b/>
          <w:bCs/>
          <w:color w:val="000000" w:themeColor="text1"/>
          <w:sz w:val="32"/>
          <w:szCs w:val="32"/>
          <w:highlight w:val="none"/>
          <w:lang w:val="zh-CN"/>
          <w14:textFill>
            <w14:solidFill>
              <w14:schemeClr w14:val="tx1"/>
            </w14:solidFill>
          </w14:textFill>
        </w:rPr>
        <w:t xml:space="preserve">1.6 </w:t>
      </w:r>
      <w:r>
        <w:rPr>
          <w:rFonts w:hint="eastAsia" w:eastAsia="黑体" w:cs="黑体"/>
          <w:b/>
          <w:bCs/>
          <w:color w:val="000000" w:themeColor="text1"/>
          <w:sz w:val="32"/>
          <w:szCs w:val="32"/>
          <w:highlight w:val="none"/>
          <w:lang w:val="zh-CN"/>
          <w14:textFill>
            <w14:solidFill>
              <w14:schemeClr w14:val="tx1"/>
            </w14:solidFill>
          </w14:textFill>
        </w:rPr>
        <w:t>图纸和承包人文件</w:t>
      </w:r>
      <w:bookmarkEnd w:id="121"/>
      <w:bookmarkEnd w:id="122"/>
      <w:bookmarkEnd w:id="123"/>
      <w:bookmarkEnd w:id="124"/>
      <w:bookmarkEnd w:id="125"/>
      <w:bookmarkEnd w:id="126"/>
      <w:r>
        <w:rPr>
          <w:rFonts w:eastAsia="黑体"/>
          <w:b/>
          <w:bCs/>
          <w:color w:val="000000" w:themeColor="text1"/>
          <w:sz w:val="32"/>
          <w:szCs w:val="32"/>
          <w:highlight w:val="none"/>
          <w:lang w:val="zh-CN"/>
          <w14:textFill>
            <w14:solidFill>
              <w14:schemeClr w14:val="tx1"/>
            </w14:solidFill>
          </w14:textFill>
        </w:rPr>
        <w:tab/>
      </w:r>
    </w:p>
    <w:p w14:paraId="2C9D9C1A">
      <w:pPr>
        <w:spacing w:line="360" w:lineRule="auto"/>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1.6.1 </w:t>
      </w:r>
      <w:r>
        <w:rPr>
          <w:rFonts w:hint="eastAsia" w:hAnsi="宋体" w:cs="宋体"/>
          <w:color w:val="000000" w:themeColor="text1"/>
          <w:szCs w:val="21"/>
          <w:highlight w:val="none"/>
          <w14:textFill>
            <w14:solidFill>
              <w14:schemeClr w14:val="tx1"/>
            </w14:solidFill>
          </w14:textFill>
        </w:rPr>
        <w:t>图纸的提供</w:t>
      </w:r>
    </w:p>
    <w:p w14:paraId="0024C848">
      <w:pPr>
        <w:spacing w:line="360" w:lineRule="auto"/>
        <w:ind w:firstLine="420" w:firstLineChars="200"/>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发包人向承包人提供图纸的期限：</w:t>
      </w:r>
      <w:r>
        <w:rPr>
          <w:rFonts w:hint="eastAsia" w:hAnsi="宋体"/>
          <w:color w:val="000000" w:themeColor="text1"/>
          <w:szCs w:val="21"/>
          <w:highlight w:val="none"/>
          <w:u w:val="single"/>
          <w14:textFill>
            <w14:solidFill>
              <w14:schemeClr w14:val="tx1"/>
            </w14:solidFill>
          </w14:textFill>
        </w:rPr>
        <w:t>合同签订之日起7个工作日内</w:t>
      </w:r>
      <w:r>
        <w:rPr>
          <w:rFonts w:hint="eastAsia" w:hAnsi="宋体" w:cs="宋体"/>
          <w:color w:val="000000" w:themeColor="text1"/>
          <w:szCs w:val="21"/>
          <w:highlight w:val="none"/>
          <w14:textFill>
            <w14:solidFill>
              <w14:schemeClr w14:val="tx1"/>
            </w14:solidFill>
          </w14:textFill>
        </w:rPr>
        <w:t>；</w:t>
      </w:r>
    </w:p>
    <w:p w14:paraId="0C04A405">
      <w:pPr>
        <w:spacing w:line="360" w:lineRule="auto"/>
        <w:ind w:firstLine="420" w:firstLineChars="200"/>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发包人向承包人提供图纸的数量：</w:t>
      </w:r>
      <w:r>
        <w:rPr>
          <w:rFonts w:hint="eastAsia" w:hAnsi="宋体"/>
          <w:color w:val="000000" w:themeColor="text1"/>
          <w:szCs w:val="21"/>
          <w:highlight w:val="none"/>
          <w:u w:val="single"/>
          <w14:textFill>
            <w14:solidFill>
              <w14:schemeClr w14:val="tx1"/>
            </w14:solidFill>
          </w14:textFill>
        </w:rPr>
        <w:t>贰</w:t>
      </w:r>
      <w:r>
        <w:rPr>
          <w:rFonts w:hint="eastAsia" w:hAnsi="宋体" w:cs="宋体"/>
          <w:color w:val="000000" w:themeColor="text1"/>
          <w:szCs w:val="21"/>
          <w:highlight w:val="none"/>
          <w14:textFill>
            <w14:solidFill>
              <w14:schemeClr w14:val="tx1"/>
            </w14:solidFill>
          </w14:textFill>
        </w:rPr>
        <w:t>套（承包人需要增加图纸套数的，发包人应代为复制，复制费用由承包人承担）；</w:t>
      </w:r>
    </w:p>
    <w:p w14:paraId="296084D7">
      <w:pPr>
        <w:spacing w:line="360" w:lineRule="auto"/>
        <w:ind w:firstLine="420" w:firstLineChars="200"/>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发包人向承包人提供图纸的内容：</w:t>
      </w:r>
      <w:r>
        <w:rPr>
          <w:rFonts w:hint="eastAsia" w:hAnsi="宋体"/>
          <w:color w:val="000000" w:themeColor="text1"/>
          <w:szCs w:val="21"/>
          <w:highlight w:val="none"/>
          <w:u w:val="single"/>
          <w14:textFill>
            <w14:solidFill>
              <w14:schemeClr w14:val="tx1"/>
            </w14:solidFill>
          </w14:textFill>
        </w:rPr>
        <w:t>本合同发包内容中的全部图纸（含设计变更）</w:t>
      </w:r>
      <w:r>
        <w:rPr>
          <w:rFonts w:hint="eastAsia" w:hAnsi="宋体" w:cs="宋体"/>
          <w:color w:val="000000" w:themeColor="text1"/>
          <w:szCs w:val="21"/>
          <w:highlight w:val="none"/>
          <w14:textFill>
            <w14:solidFill>
              <w14:schemeClr w14:val="tx1"/>
            </w14:solidFill>
          </w14:textFill>
        </w:rPr>
        <w:t>。</w:t>
      </w:r>
    </w:p>
    <w:p w14:paraId="3DED6D35">
      <w:pPr>
        <w:spacing w:line="360" w:lineRule="auto"/>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1.6.2 </w:t>
      </w:r>
      <w:r>
        <w:rPr>
          <w:rFonts w:hint="eastAsia" w:hAnsi="宋体" w:cs="宋体"/>
          <w:color w:val="000000" w:themeColor="text1"/>
          <w:szCs w:val="21"/>
          <w:highlight w:val="none"/>
          <w14:textFill>
            <w14:solidFill>
              <w14:schemeClr w14:val="tx1"/>
            </w14:solidFill>
          </w14:textFill>
        </w:rPr>
        <w:t>承包人文件</w:t>
      </w:r>
    </w:p>
    <w:p w14:paraId="6C85830D">
      <w:pPr>
        <w:spacing w:line="360" w:lineRule="auto"/>
        <w:ind w:firstLine="420" w:firstLineChars="200"/>
        <w:jc w:val="left"/>
        <w:rPr>
          <w:color w:val="000000" w:themeColor="text1"/>
          <w:szCs w:val="21"/>
          <w:highlight w:val="none"/>
          <w:u w:val="single"/>
          <w14:textFill>
            <w14:solidFill>
              <w14:schemeClr w14:val="tx1"/>
            </w14:solidFill>
          </w14:textFill>
        </w:rPr>
      </w:pPr>
      <w:r>
        <w:rPr>
          <w:rFonts w:hAnsi="宋体"/>
          <w:color w:val="000000" w:themeColor="text1"/>
          <w:szCs w:val="21"/>
          <w:highlight w:val="none"/>
          <w14:textFill>
            <w14:solidFill>
              <w14:schemeClr w14:val="tx1"/>
            </w14:solidFill>
          </w14:textFill>
        </w:rPr>
        <w:t>需要由承包人提供的文件，包括：</w:t>
      </w:r>
      <w:r>
        <w:rPr>
          <w:rFonts w:hint="eastAsia" w:ascii="宋体" w:hAnsi="宋体" w:cs="宋体"/>
          <w:bCs/>
          <w:color w:val="000000" w:themeColor="text1"/>
          <w:szCs w:val="21"/>
          <w:highlight w:val="none"/>
          <w:u w:val="single"/>
          <w14:textFill>
            <w14:solidFill>
              <w14:schemeClr w14:val="tx1"/>
            </w14:solidFill>
          </w14:textFill>
        </w:rPr>
        <w:t>实施性施工组织设计及方案 ；建设项目竣工验收前，承包人应根据合同工作内容要求，分别整理竣工验收资料（含竣工图），汇总为完整的建设项目竣工资料报发包人（费用由承包人负责）</w:t>
      </w:r>
      <w:r>
        <w:rPr>
          <w:rFonts w:hAnsi="宋体"/>
          <w:color w:val="000000" w:themeColor="text1"/>
          <w:szCs w:val="21"/>
          <w:highlight w:val="none"/>
          <w14:textFill>
            <w14:solidFill>
              <w14:schemeClr w14:val="tx1"/>
            </w14:solidFill>
          </w14:textFill>
        </w:rPr>
        <w:t>；</w:t>
      </w:r>
    </w:p>
    <w:p w14:paraId="68AA233B">
      <w:pPr>
        <w:spacing w:line="360" w:lineRule="auto"/>
        <w:ind w:firstLine="420" w:firstLineChars="200"/>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承包人提供的文件的期限为：</w:t>
      </w:r>
      <w:r>
        <w:rPr>
          <w:rFonts w:hint="eastAsia" w:ascii="宋体" w:hAnsi="宋体"/>
          <w:color w:val="000000" w:themeColor="text1"/>
          <w:szCs w:val="21"/>
          <w:highlight w:val="none"/>
          <w:u w:val="single"/>
          <w14:textFill>
            <w14:solidFill>
              <w14:schemeClr w14:val="tx1"/>
            </w14:solidFill>
          </w14:textFill>
        </w:rPr>
        <w:t>开工前及</w:t>
      </w:r>
      <w:r>
        <w:rPr>
          <w:rFonts w:ascii="宋体" w:hAnsi="宋体" w:cs="宋体"/>
          <w:bCs/>
          <w:color w:val="000000" w:themeColor="text1"/>
          <w:szCs w:val="21"/>
          <w:highlight w:val="none"/>
          <w:u w:val="single"/>
          <w14:textFill>
            <w14:solidFill>
              <w14:schemeClr w14:val="tx1"/>
            </w14:solidFill>
          </w14:textFill>
        </w:rPr>
        <w:t>竣工验收正式通过后15</w:t>
      </w:r>
      <w:r>
        <w:rPr>
          <w:rFonts w:hint="eastAsia" w:ascii="宋体" w:hAnsi="宋体" w:cs="宋体"/>
          <w:bCs/>
          <w:color w:val="000000" w:themeColor="text1"/>
          <w:szCs w:val="21"/>
          <w:highlight w:val="none"/>
          <w:u w:val="single"/>
          <w14:textFill>
            <w14:solidFill>
              <w14:schemeClr w14:val="tx1"/>
            </w14:solidFill>
          </w14:textFill>
        </w:rPr>
        <w:t>天</w:t>
      </w:r>
      <w:r>
        <w:rPr>
          <w:rFonts w:hAnsi="宋体"/>
          <w:color w:val="000000" w:themeColor="text1"/>
          <w:szCs w:val="21"/>
          <w:highlight w:val="none"/>
          <w14:textFill>
            <w14:solidFill>
              <w14:schemeClr w14:val="tx1"/>
            </w14:solidFill>
          </w14:textFill>
        </w:rPr>
        <w:t>；</w:t>
      </w:r>
    </w:p>
    <w:p w14:paraId="6289E6ED">
      <w:pPr>
        <w:spacing w:line="360" w:lineRule="auto"/>
        <w:ind w:firstLine="420" w:firstLineChars="200"/>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承包人提供的文件的数量为：</w:t>
      </w:r>
      <w:r>
        <w:rPr>
          <w:rFonts w:hint="eastAsia" w:hAnsi="宋体"/>
          <w:color w:val="000000" w:themeColor="text1"/>
          <w:szCs w:val="21"/>
          <w:highlight w:val="none"/>
          <w:u w:val="single"/>
          <w14:textFill>
            <w14:solidFill>
              <w14:schemeClr w14:val="tx1"/>
            </w14:solidFill>
          </w14:textFill>
        </w:rPr>
        <w:t>提供6套</w:t>
      </w:r>
      <w:r>
        <w:rPr>
          <w:rFonts w:hAnsi="宋体"/>
          <w:color w:val="000000" w:themeColor="text1"/>
          <w:szCs w:val="21"/>
          <w:highlight w:val="none"/>
          <w14:textFill>
            <w14:solidFill>
              <w14:schemeClr w14:val="tx1"/>
            </w14:solidFill>
          </w14:textFill>
        </w:rPr>
        <w:t>；</w:t>
      </w:r>
    </w:p>
    <w:p w14:paraId="2DF78EE9">
      <w:pPr>
        <w:spacing w:line="360" w:lineRule="auto"/>
        <w:ind w:firstLine="420" w:firstLineChars="200"/>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承包人提供的文件的形式为：</w:t>
      </w:r>
      <w:r>
        <w:rPr>
          <w:rFonts w:hint="eastAsia" w:hAnsi="宋体"/>
          <w:color w:val="000000" w:themeColor="text1"/>
          <w:szCs w:val="21"/>
          <w:highlight w:val="none"/>
          <w:u w:val="single"/>
          <w14:textFill>
            <w14:solidFill>
              <w14:schemeClr w14:val="tx1"/>
            </w14:solidFill>
          </w14:textFill>
        </w:rPr>
        <w:t>书面形式和电子版</w:t>
      </w:r>
      <w:r>
        <w:rPr>
          <w:rFonts w:hAnsi="宋体"/>
          <w:color w:val="000000" w:themeColor="text1"/>
          <w:szCs w:val="21"/>
          <w:highlight w:val="none"/>
          <w14:textFill>
            <w14:solidFill>
              <w14:schemeClr w14:val="tx1"/>
            </w14:solidFill>
          </w14:textFill>
        </w:rPr>
        <w:t>；</w:t>
      </w:r>
    </w:p>
    <w:p w14:paraId="08E4C975">
      <w:pPr>
        <w:spacing w:line="360" w:lineRule="auto"/>
        <w:ind w:firstLine="420" w:firstLineChars="200"/>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发包人审批承包人文件的期限：</w:t>
      </w:r>
      <w:r>
        <w:rPr>
          <w:rFonts w:hint="eastAsia" w:hAnsi="宋体"/>
          <w:color w:val="000000" w:themeColor="text1"/>
          <w:szCs w:val="21"/>
          <w:highlight w:val="none"/>
          <w:u w:val="single"/>
          <w14:textFill>
            <w14:solidFill>
              <w14:schemeClr w14:val="tx1"/>
            </w14:solidFill>
          </w14:textFill>
        </w:rPr>
        <w:t>提交文件后14个工作日内</w:t>
      </w:r>
      <w:r>
        <w:rPr>
          <w:rFonts w:hint="eastAsia" w:hAnsi="宋体" w:cs="宋体"/>
          <w:color w:val="000000" w:themeColor="text1"/>
          <w:szCs w:val="21"/>
          <w:highlight w:val="none"/>
          <w14:textFill>
            <w14:solidFill>
              <w14:schemeClr w14:val="tx1"/>
            </w14:solidFill>
          </w14:textFill>
        </w:rPr>
        <w:t>。</w:t>
      </w:r>
    </w:p>
    <w:p w14:paraId="3465282E">
      <w:pPr>
        <w:spacing w:line="360" w:lineRule="auto"/>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1.6.3 </w:t>
      </w:r>
      <w:r>
        <w:rPr>
          <w:rFonts w:hint="eastAsia" w:hAnsi="宋体" w:cs="宋体"/>
          <w:color w:val="000000" w:themeColor="text1"/>
          <w:szCs w:val="21"/>
          <w:highlight w:val="none"/>
          <w14:textFill>
            <w14:solidFill>
              <w14:schemeClr w14:val="tx1"/>
            </w14:solidFill>
          </w14:textFill>
        </w:rPr>
        <w:t>现场图纸准备</w:t>
      </w:r>
    </w:p>
    <w:p w14:paraId="3E0CB42E">
      <w:pPr>
        <w:spacing w:line="360" w:lineRule="auto"/>
        <w:ind w:firstLine="420" w:firstLineChars="200"/>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关于现场图纸准备的约定：</w:t>
      </w:r>
      <w:r>
        <w:rPr>
          <w:rFonts w:hint="eastAsia" w:hAnsi="宋体"/>
          <w:color w:val="000000" w:themeColor="text1"/>
          <w:szCs w:val="21"/>
          <w:highlight w:val="none"/>
          <w:u w:val="single"/>
          <w14:textFill>
            <w14:solidFill>
              <w14:schemeClr w14:val="tx1"/>
            </w14:solidFill>
          </w14:textFill>
        </w:rPr>
        <w:t>承包人在施工现场保留一套完整图纸和承包人文件，供发包人、监理人及有关人员进行工程检查时使用</w:t>
      </w:r>
      <w:r>
        <w:rPr>
          <w:rFonts w:hint="eastAsia" w:hAnsi="宋体" w:cs="宋体"/>
          <w:color w:val="000000" w:themeColor="text1"/>
          <w:szCs w:val="21"/>
          <w:highlight w:val="none"/>
          <w14:textFill>
            <w14:solidFill>
              <w14:schemeClr w14:val="tx1"/>
            </w14:solidFill>
          </w14:textFill>
        </w:rPr>
        <w:t>。</w:t>
      </w:r>
    </w:p>
    <w:p w14:paraId="6F5602CE">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127" w:name="_Toc373227698"/>
      <w:bookmarkStart w:id="128" w:name="_Toc114058837"/>
      <w:bookmarkStart w:id="129" w:name="_Toc389065264"/>
      <w:bookmarkStart w:id="130" w:name="_Toc373478345"/>
      <w:bookmarkStart w:id="131" w:name="_Toc407135200"/>
      <w:bookmarkStart w:id="132" w:name="_Toc78449786"/>
      <w:r>
        <w:rPr>
          <w:rFonts w:eastAsia="黑体"/>
          <w:b/>
          <w:bCs/>
          <w:color w:val="000000" w:themeColor="text1"/>
          <w:sz w:val="32"/>
          <w:szCs w:val="32"/>
          <w:highlight w:val="none"/>
          <w:lang w:val="zh-CN"/>
          <w14:textFill>
            <w14:solidFill>
              <w14:schemeClr w14:val="tx1"/>
            </w14:solidFill>
          </w14:textFill>
        </w:rPr>
        <w:t xml:space="preserve">1.7 </w:t>
      </w:r>
      <w:r>
        <w:rPr>
          <w:rFonts w:hint="eastAsia" w:hAnsi="宋体" w:eastAsia="黑体" w:cs="黑体"/>
          <w:b/>
          <w:bCs/>
          <w:color w:val="000000" w:themeColor="text1"/>
          <w:sz w:val="32"/>
          <w:szCs w:val="32"/>
          <w:highlight w:val="none"/>
          <w:lang w:val="zh-CN"/>
          <w14:textFill>
            <w14:solidFill>
              <w14:schemeClr w14:val="tx1"/>
            </w14:solidFill>
          </w14:textFill>
        </w:rPr>
        <w:t>联络</w:t>
      </w:r>
      <w:bookmarkEnd w:id="127"/>
      <w:bookmarkEnd w:id="128"/>
      <w:bookmarkEnd w:id="129"/>
      <w:bookmarkEnd w:id="130"/>
      <w:bookmarkEnd w:id="131"/>
      <w:bookmarkEnd w:id="132"/>
    </w:p>
    <w:p w14:paraId="0CC7E691">
      <w:pPr>
        <w:spacing w:line="360" w:lineRule="auto"/>
        <w:ind w:firstLine="420" w:firstLineChars="200"/>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1.7.1</w:t>
      </w:r>
      <w:r>
        <w:rPr>
          <w:rFonts w:hint="eastAsia" w:hAnsi="宋体" w:cs="宋体"/>
          <w:color w:val="000000" w:themeColor="text1"/>
          <w:kern w:val="0"/>
          <w:szCs w:val="21"/>
          <w:highlight w:val="none"/>
          <w14:textFill>
            <w14:solidFill>
              <w14:schemeClr w14:val="tx1"/>
            </w14:solidFill>
          </w14:textFill>
        </w:rPr>
        <w:t>发包人和承包人应当在</w:t>
      </w:r>
      <w:r>
        <w:rPr>
          <w:rFonts w:hint="eastAsia"/>
          <w:color w:val="000000" w:themeColor="text1"/>
          <w:szCs w:val="21"/>
          <w:highlight w:val="none"/>
          <w:u w:val="single"/>
          <w14:textFill>
            <w14:solidFill>
              <w14:schemeClr w14:val="tx1"/>
            </w14:solidFill>
          </w14:textFill>
        </w:rPr>
        <w:t>7日历</w:t>
      </w:r>
      <w:r>
        <w:rPr>
          <w:rFonts w:hint="eastAsia" w:hAnsi="宋体" w:cs="宋体"/>
          <w:color w:val="000000" w:themeColor="text1"/>
          <w:kern w:val="0"/>
          <w:szCs w:val="21"/>
          <w:highlight w:val="none"/>
          <w14:textFill>
            <w14:solidFill>
              <w14:schemeClr w14:val="tx1"/>
            </w14:solidFill>
          </w14:textFill>
        </w:rPr>
        <w:t>天内将与合同有关的通知、批准、证明、证书、指示、指令、要求、请求、同意、意见、确定和决定等书面函件送达对方当事人。</w:t>
      </w:r>
    </w:p>
    <w:p w14:paraId="3F3E56D9">
      <w:pPr>
        <w:spacing w:line="360" w:lineRule="auto"/>
        <w:ind w:firstLine="420" w:firstLineChars="200"/>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 xml:space="preserve">1.7.2 </w:t>
      </w:r>
      <w:r>
        <w:rPr>
          <w:rFonts w:hAnsi="宋体"/>
          <w:color w:val="000000" w:themeColor="text1"/>
          <w:kern w:val="0"/>
          <w:szCs w:val="21"/>
          <w:highlight w:val="none"/>
          <w14:textFill>
            <w14:solidFill>
              <w14:schemeClr w14:val="tx1"/>
            </w14:solidFill>
          </w14:textFill>
        </w:rPr>
        <w:t>发包人接收文件的地点：</w:t>
      </w:r>
      <w:r>
        <w:rPr>
          <w:rFonts w:hint="eastAsia" w:hAnsi="宋体"/>
          <w:color w:val="000000" w:themeColor="text1"/>
          <w:szCs w:val="21"/>
          <w:highlight w:val="none"/>
          <w:u w:val="single"/>
          <w14:textFill>
            <w14:solidFill>
              <w14:schemeClr w14:val="tx1"/>
            </w14:solidFill>
          </w14:textFill>
        </w:rPr>
        <w:t>施工现场发包人办公室</w:t>
      </w:r>
      <w:r>
        <w:rPr>
          <w:rFonts w:hAnsi="宋体"/>
          <w:color w:val="000000" w:themeColor="text1"/>
          <w:kern w:val="0"/>
          <w:szCs w:val="21"/>
          <w:highlight w:val="none"/>
          <w14:textFill>
            <w14:solidFill>
              <w14:schemeClr w14:val="tx1"/>
            </w14:solidFill>
          </w14:textFill>
        </w:rPr>
        <w:t>；</w:t>
      </w:r>
    </w:p>
    <w:p w14:paraId="1F2D9CF5">
      <w:pPr>
        <w:spacing w:line="360" w:lineRule="auto"/>
        <w:ind w:firstLine="420" w:firstLineChars="200"/>
        <w:rPr>
          <w:color w:val="000000" w:themeColor="text1"/>
          <w:kern w:val="0"/>
          <w:szCs w:val="21"/>
          <w:highlight w:val="none"/>
          <w14:textFill>
            <w14:solidFill>
              <w14:schemeClr w14:val="tx1"/>
            </w14:solidFill>
          </w14:textFill>
        </w:rPr>
      </w:pPr>
      <w:r>
        <w:rPr>
          <w:rFonts w:hAnsi="宋体"/>
          <w:color w:val="000000" w:themeColor="text1"/>
          <w:kern w:val="0"/>
          <w:szCs w:val="21"/>
          <w:highlight w:val="none"/>
          <w14:textFill>
            <w14:solidFill>
              <w14:schemeClr w14:val="tx1"/>
            </w14:solidFill>
          </w14:textFill>
        </w:rPr>
        <w:t>发包人指定的接收人为：</w:t>
      </w:r>
      <w:r>
        <w:rPr>
          <w:rFonts w:hint="eastAsia" w:hAnsi="宋体"/>
          <w:color w:val="000000" w:themeColor="text1"/>
          <w:szCs w:val="21"/>
          <w:highlight w:val="none"/>
          <w:u w:val="single"/>
          <w14:textFill>
            <w14:solidFill>
              <w14:schemeClr w14:val="tx1"/>
            </w14:solidFill>
          </w14:textFill>
        </w:rPr>
        <w:t>业主代表（现场）</w:t>
      </w:r>
      <w:r>
        <w:rPr>
          <w:rFonts w:hAnsi="宋体"/>
          <w:color w:val="000000" w:themeColor="text1"/>
          <w:kern w:val="0"/>
          <w:szCs w:val="21"/>
          <w:highlight w:val="none"/>
          <w14:textFill>
            <w14:solidFill>
              <w14:schemeClr w14:val="tx1"/>
            </w14:solidFill>
          </w14:textFill>
        </w:rPr>
        <w:t>。</w:t>
      </w:r>
    </w:p>
    <w:p w14:paraId="3E7901FE">
      <w:pPr>
        <w:spacing w:line="360" w:lineRule="auto"/>
        <w:ind w:firstLine="420" w:firstLineChars="200"/>
        <w:rPr>
          <w:color w:val="000000" w:themeColor="text1"/>
          <w:kern w:val="0"/>
          <w:szCs w:val="21"/>
          <w:highlight w:val="none"/>
          <w14:textFill>
            <w14:solidFill>
              <w14:schemeClr w14:val="tx1"/>
            </w14:solidFill>
          </w14:textFill>
        </w:rPr>
      </w:pPr>
      <w:r>
        <w:rPr>
          <w:rFonts w:hAnsi="宋体"/>
          <w:color w:val="000000" w:themeColor="text1"/>
          <w:kern w:val="0"/>
          <w:szCs w:val="21"/>
          <w:highlight w:val="none"/>
          <w14:textFill>
            <w14:solidFill>
              <w14:schemeClr w14:val="tx1"/>
            </w14:solidFill>
          </w14:textFill>
        </w:rPr>
        <w:t>承包人接收文件的地点：</w:t>
      </w:r>
      <w:r>
        <w:rPr>
          <w:rFonts w:hint="eastAsia" w:hAnsi="宋体"/>
          <w:color w:val="000000" w:themeColor="text1"/>
          <w:szCs w:val="21"/>
          <w:highlight w:val="none"/>
          <w:u w:val="single"/>
          <w14:textFill>
            <w14:solidFill>
              <w14:schemeClr w14:val="tx1"/>
            </w14:solidFill>
          </w14:textFill>
        </w:rPr>
        <w:t>施工现场承包人办公室</w:t>
      </w:r>
      <w:r>
        <w:rPr>
          <w:rFonts w:hAnsi="宋体"/>
          <w:color w:val="000000" w:themeColor="text1"/>
          <w:kern w:val="0"/>
          <w:szCs w:val="21"/>
          <w:highlight w:val="none"/>
          <w14:textFill>
            <w14:solidFill>
              <w14:schemeClr w14:val="tx1"/>
            </w14:solidFill>
          </w14:textFill>
        </w:rPr>
        <w:t>；</w:t>
      </w:r>
    </w:p>
    <w:p w14:paraId="60143089">
      <w:pPr>
        <w:spacing w:line="360" w:lineRule="auto"/>
        <w:ind w:firstLine="420" w:firstLineChars="200"/>
        <w:rPr>
          <w:color w:val="000000" w:themeColor="text1"/>
          <w:kern w:val="0"/>
          <w:szCs w:val="21"/>
          <w:highlight w:val="none"/>
          <w14:textFill>
            <w14:solidFill>
              <w14:schemeClr w14:val="tx1"/>
            </w14:solidFill>
          </w14:textFill>
        </w:rPr>
      </w:pPr>
      <w:r>
        <w:rPr>
          <w:rFonts w:hAnsi="宋体"/>
          <w:color w:val="000000" w:themeColor="text1"/>
          <w:kern w:val="0"/>
          <w:szCs w:val="21"/>
          <w:highlight w:val="none"/>
          <w14:textFill>
            <w14:solidFill>
              <w14:schemeClr w14:val="tx1"/>
            </w14:solidFill>
          </w14:textFill>
        </w:rPr>
        <w:t>承包人指定的接收人为：</w:t>
      </w:r>
      <w:r>
        <w:rPr>
          <w:rFonts w:hint="eastAsia" w:hAnsi="宋体"/>
          <w:color w:val="000000" w:themeColor="text1"/>
          <w:szCs w:val="21"/>
          <w:highlight w:val="none"/>
          <w:u w:val="single"/>
          <w14:textFill>
            <w14:solidFill>
              <w14:schemeClr w14:val="tx1"/>
            </w14:solidFill>
          </w14:textFill>
        </w:rPr>
        <w:t>承包人项目经理</w:t>
      </w:r>
      <w:r>
        <w:rPr>
          <w:rFonts w:hAnsi="宋体"/>
          <w:color w:val="000000" w:themeColor="text1"/>
          <w:kern w:val="0"/>
          <w:szCs w:val="21"/>
          <w:highlight w:val="none"/>
          <w14:textFill>
            <w14:solidFill>
              <w14:schemeClr w14:val="tx1"/>
            </w14:solidFill>
          </w14:textFill>
        </w:rPr>
        <w:t>。</w:t>
      </w:r>
    </w:p>
    <w:p w14:paraId="3B0F6A38">
      <w:pPr>
        <w:spacing w:line="360" w:lineRule="auto"/>
        <w:ind w:firstLine="420" w:firstLineChars="200"/>
        <w:rPr>
          <w:color w:val="000000" w:themeColor="text1"/>
          <w:kern w:val="0"/>
          <w:szCs w:val="21"/>
          <w:highlight w:val="none"/>
          <w14:textFill>
            <w14:solidFill>
              <w14:schemeClr w14:val="tx1"/>
            </w14:solidFill>
          </w14:textFill>
        </w:rPr>
      </w:pPr>
      <w:r>
        <w:rPr>
          <w:rFonts w:hAnsi="宋体"/>
          <w:color w:val="000000" w:themeColor="text1"/>
          <w:kern w:val="0"/>
          <w:szCs w:val="21"/>
          <w:highlight w:val="none"/>
          <w14:textFill>
            <w14:solidFill>
              <w14:schemeClr w14:val="tx1"/>
            </w14:solidFill>
          </w14:textFill>
        </w:rPr>
        <w:t>监理人接收文件的地点：</w:t>
      </w:r>
      <w:r>
        <w:rPr>
          <w:rFonts w:hint="eastAsia" w:hAnsi="宋体"/>
          <w:color w:val="000000" w:themeColor="text1"/>
          <w:szCs w:val="21"/>
          <w:highlight w:val="none"/>
          <w:u w:val="single"/>
          <w14:textFill>
            <w14:solidFill>
              <w14:schemeClr w14:val="tx1"/>
            </w14:solidFill>
          </w14:textFill>
        </w:rPr>
        <w:t>施工现场监理人办公室</w:t>
      </w:r>
      <w:r>
        <w:rPr>
          <w:rFonts w:hAnsi="宋体"/>
          <w:color w:val="000000" w:themeColor="text1"/>
          <w:kern w:val="0"/>
          <w:szCs w:val="21"/>
          <w:highlight w:val="none"/>
          <w14:textFill>
            <w14:solidFill>
              <w14:schemeClr w14:val="tx1"/>
            </w14:solidFill>
          </w14:textFill>
        </w:rPr>
        <w:t>；</w:t>
      </w:r>
    </w:p>
    <w:p w14:paraId="022A14E3">
      <w:pPr>
        <w:spacing w:line="360" w:lineRule="auto"/>
        <w:ind w:firstLine="420" w:firstLineChars="200"/>
        <w:rPr>
          <w:color w:val="000000" w:themeColor="text1"/>
          <w:kern w:val="0"/>
          <w:szCs w:val="21"/>
          <w:highlight w:val="none"/>
          <w14:textFill>
            <w14:solidFill>
              <w14:schemeClr w14:val="tx1"/>
            </w14:solidFill>
          </w14:textFill>
        </w:rPr>
      </w:pPr>
      <w:r>
        <w:rPr>
          <w:rFonts w:hAnsi="宋体"/>
          <w:color w:val="000000" w:themeColor="text1"/>
          <w:kern w:val="0"/>
          <w:szCs w:val="21"/>
          <w:highlight w:val="none"/>
          <w14:textFill>
            <w14:solidFill>
              <w14:schemeClr w14:val="tx1"/>
            </w14:solidFill>
          </w14:textFill>
        </w:rPr>
        <w:t>监理人指定的接收人为：</w:t>
      </w:r>
      <w:r>
        <w:rPr>
          <w:rFonts w:hint="eastAsia" w:hAnsi="宋体"/>
          <w:color w:val="000000" w:themeColor="text1"/>
          <w:szCs w:val="21"/>
          <w:highlight w:val="none"/>
          <w:u w:val="single"/>
          <w14:textFill>
            <w14:solidFill>
              <w14:schemeClr w14:val="tx1"/>
            </w14:solidFill>
          </w14:textFill>
        </w:rPr>
        <w:t>总监理工程师或总监代表</w:t>
      </w:r>
      <w:r>
        <w:rPr>
          <w:rFonts w:hint="eastAsia" w:hAnsi="宋体" w:cs="宋体"/>
          <w:color w:val="000000" w:themeColor="text1"/>
          <w:kern w:val="0"/>
          <w:szCs w:val="21"/>
          <w:highlight w:val="none"/>
          <w14:textFill>
            <w14:solidFill>
              <w14:schemeClr w14:val="tx1"/>
            </w14:solidFill>
          </w14:textFill>
        </w:rPr>
        <w:t>。</w:t>
      </w:r>
    </w:p>
    <w:p w14:paraId="141AEC52">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133" w:name="_Toc114058838"/>
      <w:bookmarkStart w:id="134" w:name="_Toc373227699"/>
      <w:bookmarkStart w:id="135" w:name="_Toc78449787"/>
      <w:bookmarkStart w:id="136" w:name="_Toc407135201"/>
      <w:bookmarkStart w:id="137" w:name="_Toc389065265"/>
      <w:bookmarkStart w:id="138" w:name="_Toc373478346"/>
      <w:r>
        <w:rPr>
          <w:rFonts w:eastAsia="黑体"/>
          <w:b/>
          <w:bCs/>
          <w:color w:val="000000" w:themeColor="text1"/>
          <w:sz w:val="32"/>
          <w:szCs w:val="32"/>
          <w:highlight w:val="none"/>
          <w:lang w:val="zh-CN"/>
          <w14:textFill>
            <w14:solidFill>
              <w14:schemeClr w14:val="tx1"/>
            </w14:solidFill>
          </w14:textFill>
        </w:rPr>
        <w:t xml:space="preserve">1.10 </w:t>
      </w:r>
      <w:r>
        <w:rPr>
          <w:rFonts w:hint="eastAsia" w:hAnsi="宋体" w:eastAsia="黑体" w:cs="黑体"/>
          <w:b/>
          <w:bCs/>
          <w:color w:val="000000" w:themeColor="text1"/>
          <w:sz w:val="32"/>
          <w:szCs w:val="32"/>
          <w:highlight w:val="none"/>
          <w:lang w:val="zh-CN"/>
          <w14:textFill>
            <w14:solidFill>
              <w14:schemeClr w14:val="tx1"/>
            </w14:solidFill>
          </w14:textFill>
        </w:rPr>
        <w:t>交通运输</w:t>
      </w:r>
      <w:bookmarkEnd w:id="133"/>
      <w:bookmarkEnd w:id="134"/>
      <w:bookmarkEnd w:id="135"/>
      <w:bookmarkEnd w:id="136"/>
      <w:bookmarkEnd w:id="137"/>
      <w:bookmarkEnd w:id="138"/>
    </w:p>
    <w:p w14:paraId="4B217ADD">
      <w:pPr>
        <w:spacing w:line="360" w:lineRule="auto"/>
        <w:ind w:firstLine="420" w:firstLineChars="200"/>
        <w:rPr>
          <w:color w:val="000000" w:themeColor="text1"/>
          <w:szCs w:val="21"/>
          <w:highlight w:val="none"/>
          <w14:textFill>
            <w14:solidFill>
              <w14:schemeClr w14:val="tx1"/>
            </w14:solidFill>
          </w14:textFill>
        </w:rPr>
      </w:pPr>
      <w:bookmarkStart w:id="139" w:name="_Toc318581157"/>
      <w:r>
        <w:rPr>
          <w:color w:val="000000" w:themeColor="text1"/>
          <w:szCs w:val="21"/>
          <w:highlight w:val="none"/>
          <w14:textFill>
            <w14:solidFill>
              <w14:schemeClr w14:val="tx1"/>
            </w14:solidFill>
          </w14:textFill>
        </w:rPr>
        <w:t>1</w:t>
      </w:r>
      <w:bookmarkStart w:id="140" w:name="_Toc318581155"/>
      <w:bookmarkStart w:id="141" w:name="_Toc303539100"/>
      <w:bookmarkStart w:id="142" w:name="_Toc300934943"/>
      <w:bookmarkStart w:id="143" w:name="_Toc312677986"/>
      <w:bookmarkStart w:id="144" w:name="_Toc304295521"/>
      <w:r>
        <w:rPr>
          <w:color w:val="000000" w:themeColor="text1"/>
          <w:szCs w:val="21"/>
          <w:highlight w:val="none"/>
          <w14:textFill>
            <w14:solidFill>
              <w14:schemeClr w14:val="tx1"/>
            </w14:solidFill>
          </w14:textFill>
        </w:rPr>
        <w:t xml:space="preserve">.10.1 </w:t>
      </w:r>
      <w:r>
        <w:rPr>
          <w:rFonts w:hAnsi="宋体"/>
          <w:color w:val="000000" w:themeColor="text1"/>
          <w:szCs w:val="21"/>
          <w:highlight w:val="none"/>
          <w14:textFill>
            <w14:solidFill>
              <w14:schemeClr w14:val="tx1"/>
            </w14:solidFill>
          </w14:textFill>
        </w:rPr>
        <w:t>出入现场的权利</w:t>
      </w:r>
    </w:p>
    <w:p w14:paraId="5A4E04C3">
      <w:pPr>
        <w:spacing w:line="360" w:lineRule="auto"/>
        <w:ind w:firstLine="420" w:firstLineChars="200"/>
        <w:rPr>
          <w:color w:val="000000" w:themeColor="text1"/>
          <w:szCs w:val="21"/>
          <w:highlight w:val="none"/>
          <w:u w:val="single"/>
          <w14:textFill>
            <w14:solidFill>
              <w14:schemeClr w14:val="tx1"/>
            </w14:solidFill>
          </w14:textFill>
        </w:rPr>
      </w:pPr>
      <w:r>
        <w:rPr>
          <w:rFonts w:hAnsi="宋体"/>
          <w:color w:val="000000" w:themeColor="text1"/>
          <w:szCs w:val="21"/>
          <w:highlight w:val="none"/>
          <w14:textFill>
            <w14:solidFill>
              <w14:schemeClr w14:val="tx1"/>
            </w14:solidFill>
          </w14:textFill>
        </w:rPr>
        <w:t>关于出入现场的权利的约定：</w:t>
      </w:r>
      <w:r>
        <w:rPr>
          <w:rFonts w:hint="eastAsia" w:hAnsi="宋体"/>
          <w:color w:val="000000" w:themeColor="text1"/>
          <w:szCs w:val="21"/>
          <w:highlight w:val="none"/>
          <w:u w:val="single"/>
          <w14:textFill>
            <w14:solidFill>
              <w14:schemeClr w14:val="tx1"/>
            </w14:solidFill>
          </w14:textFill>
        </w:rPr>
        <w:t>承包人根据工程建设需要，负责施工场地范围内的照明、砖砌围墙设施、临时给排水敷设、施工道路硬化、施工场地硬化施工，并承担因此而发生的费用，同时负责安全保卫工作。发包人和监理人有权无偿使用承包人修建的临时道路和交通设施，不需要缴纳任何费用</w:t>
      </w:r>
      <w:r>
        <w:rPr>
          <w:rFonts w:hAnsi="宋体"/>
          <w:color w:val="000000" w:themeColor="text1"/>
          <w:szCs w:val="21"/>
          <w:highlight w:val="none"/>
          <w14:textFill>
            <w14:solidFill>
              <w14:schemeClr w14:val="tx1"/>
            </w14:solidFill>
          </w14:textFill>
        </w:rPr>
        <w:t>。</w:t>
      </w:r>
    </w:p>
    <w:bookmarkEnd w:id="140"/>
    <w:bookmarkEnd w:id="141"/>
    <w:bookmarkEnd w:id="142"/>
    <w:bookmarkEnd w:id="143"/>
    <w:bookmarkEnd w:id="144"/>
    <w:p w14:paraId="09540985">
      <w:pPr>
        <w:spacing w:line="360" w:lineRule="auto"/>
        <w:ind w:firstLine="420" w:firstLineChars="20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w:t>
      </w:r>
      <w:bookmarkStart w:id="145" w:name="_Toc300934944"/>
      <w:bookmarkStart w:id="146" w:name="_Toc318581156"/>
      <w:bookmarkStart w:id="147" w:name="_Toc303539101"/>
      <w:bookmarkStart w:id="148" w:name="_Toc304295522"/>
      <w:bookmarkStart w:id="149" w:name="_Toc312677987"/>
      <w:r>
        <w:rPr>
          <w:color w:val="000000" w:themeColor="text1"/>
          <w:szCs w:val="21"/>
          <w:highlight w:val="none"/>
          <w14:textFill>
            <w14:solidFill>
              <w14:schemeClr w14:val="tx1"/>
            </w14:solidFill>
          </w14:textFill>
        </w:rPr>
        <w:t xml:space="preserve">.10.3 </w:t>
      </w:r>
      <w:r>
        <w:rPr>
          <w:rFonts w:hAnsi="宋体"/>
          <w:color w:val="000000" w:themeColor="text1"/>
          <w:szCs w:val="21"/>
          <w:highlight w:val="none"/>
          <w14:textFill>
            <w14:solidFill>
              <w14:schemeClr w14:val="tx1"/>
            </w14:solidFill>
          </w14:textFill>
        </w:rPr>
        <w:t>场内交通</w:t>
      </w:r>
    </w:p>
    <w:p w14:paraId="57559CB7">
      <w:pPr>
        <w:spacing w:line="360" w:lineRule="auto"/>
        <w:ind w:firstLine="420" w:firstLineChars="200"/>
        <w:jc w:val="left"/>
        <w:rPr>
          <w:color w:val="000000" w:themeColor="text1"/>
          <w:kern w:val="0"/>
          <w:szCs w:val="21"/>
          <w:highlight w:val="none"/>
          <w14:textFill>
            <w14:solidFill>
              <w14:schemeClr w14:val="tx1"/>
            </w14:solidFill>
          </w14:textFill>
        </w:rPr>
      </w:pPr>
      <w:r>
        <w:rPr>
          <w:rFonts w:hAnsi="宋体"/>
          <w:color w:val="000000" w:themeColor="text1"/>
          <w:kern w:val="0"/>
          <w:szCs w:val="21"/>
          <w:highlight w:val="none"/>
          <w14:textFill>
            <w14:solidFill>
              <w14:schemeClr w14:val="tx1"/>
            </w14:solidFill>
          </w14:textFill>
        </w:rPr>
        <w:t>关于场外交通和场内交通的边界的约定：</w:t>
      </w:r>
      <w:r>
        <w:rPr>
          <w:rFonts w:hint="eastAsia" w:ascii="宋体" w:hAnsi="宋体" w:cs="宋体"/>
          <w:bCs/>
          <w:color w:val="000000" w:themeColor="text1"/>
          <w:szCs w:val="21"/>
          <w:highlight w:val="none"/>
          <w:u w:val="single"/>
          <w14:textFill>
            <w14:solidFill>
              <w14:schemeClr w14:val="tx1"/>
            </w14:solidFill>
          </w14:textFill>
        </w:rPr>
        <w:t>以工程用地红线界定</w:t>
      </w:r>
      <w:r>
        <w:rPr>
          <w:rFonts w:hAnsi="宋体"/>
          <w:color w:val="000000" w:themeColor="text1"/>
          <w:szCs w:val="21"/>
          <w:highlight w:val="none"/>
          <w14:textFill>
            <w14:solidFill>
              <w14:schemeClr w14:val="tx1"/>
            </w14:solidFill>
          </w14:textFill>
        </w:rPr>
        <w:t>。</w:t>
      </w:r>
    </w:p>
    <w:p w14:paraId="165315A4">
      <w:pPr>
        <w:spacing w:line="360" w:lineRule="auto"/>
        <w:ind w:firstLine="420" w:firstLineChars="200"/>
        <w:jc w:val="left"/>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关于发包人向承包人免费提供满足工程施工需要的场内道路和交通设施的约定：</w:t>
      </w:r>
      <w:r>
        <w:rPr>
          <w:rFonts w:hint="eastAsia"/>
          <w:color w:val="000000" w:themeColor="text1"/>
          <w:highlight w:val="none"/>
          <w:u w:val="single"/>
          <w14:textFill>
            <w14:solidFill>
              <w14:schemeClr w14:val="tx1"/>
            </w14:solidFill>
          </w14:textFill>
        </w:rPr>
        <w:t>施工现场内临时道路由承包人负责建设及拆除并承担相关费用</w:t>
      </w:r>
      <w:r>
        <w:rPr>
          <w:rFonts w:hAnsi="宋体"/>
          <w:color w:val="000000" w:themeColor="text1"/>
          <w:szCs w:val="21"/>
          <w:highlight w:val="none"/>
          <w14:textFill>
            <w14:solidFill>
              <w14:schemeClr w14:val="tx1"/>
            </w14:solidFill>
          </w14:textFill>
        </w:rPr>
        <w:t>。</w:t>
      </w:r>
      <w:bookmarkEnd w:id="145"/>
      <w:bookmarkEnd w:id="146"/>
      <w:bookmarkEnd w:id="147"/>
      <w:bookmarkEnd w:id="148"/>
      <w:bookmarkEnd w:id="149"/>
    </w:p>
    <w:p w14:paraId="5772ECD3">
      <w:pPr>
        <w:spacing w:line="360" w:lineRule="auto"/>
        <w:ind w:firstLine="420" w:firstLineChars="20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1.10.4</w:t>
      </w:r>
      <w:r>
        <w:rPr>
          <w:rFonts w:hAnsi="宋体"/>
          <w:color w:val="000000" w:themeColor="text1"/>
          <w:szCs w:val="21"/>
          <w:highlight w:val="none"/>
          <w14:textFill>
            <w14:solidFill>
              <w14:schemeClr w14:val="tx1"/>
            </w14:solidFill>
          </w14:textFill>
        </w:rPr>
        <w:t>超大件和超重件的运输</w:t>
      </w:r>
    </w:p>
    <w:p w14:paraId="7D28F27A">
      <w:pPr>
        <w:spacing w:line="360" w:lineRule="auto"/>
        <w:ind w:firstLine="420" w:firstLineChars="200"/>
        <w:jc w:val="left"/>
        <w:rPr>
          <w:color w:val="000000" w:themeColor="text1"/>
          <w:szCs w:val="21"/>
          <w:highlight w:val="none"/>
          <w:u w:val="single"/>
          <w14:textFill>
            <w14:solidFill>
              <w14:schemeClr w14:val="tx1"/>
            </w14:solidFill>
          </w14:textFill>
        </w:rPr>
      </w:pPr>
      <w:r>
        <w:rPr>
          <w:rFonts w:hAnsi="宋体"/>
          <w:color w:val="000000" w:themeColor="text1"/>
          <w:szCs w:val="21"/>
          <w:highlight w:val="none"/>
          <w14:textFill>
            <w14:solidFill>
              <w14:schemeClr w14:val="tx1"/>
            </w14:solidFill>
          </w14:textFill>
        </w:rPr>
        <w:t>运输超大件或超重件所需的道路和桥梁临时加固改造费用和其他有关费用由</w:t>
      </w:r>
      <w:r>
        <w:rPr>
          <w:rFonts w:hint="eastAsia"/>
          <w:color w:val="000000" w:themeColor="text1"/>
          <w:szCs w:val="21"/>
          <w:highlight w:val="none"/>
          <w:u w:val="single"/>
          <w14:textFill>
            <w14:solidFill>
              <w14:schemeClr w14:val="tx1"/>
            </w14:solidFill>
          </w14:textFill>
        </w:rPr>
        <w:t>承包人</w:t>
      </w:r>
      <w:r>
        <w:rPr>
          <w:rFonts w:hAnsi="宋体"/>
          <w:color w:val="000000" w:themeColor="text1"/>
          <w:szCs w:val="21"/>
          <w:highlight w:val="none"/>
          <w14:textFill>
            <w14:solidFill>
              <w14:schemeClr w14:val="tx1"/>
            </w14:solidFill>
          </w14:textFill>
        </w:rPr>
        <w:t>承担</w:t>
      </w:r>
      <w:r>
        <w:rPr>
          <w:rFonts w:hint="eastAsia" w:hAnsi="宋体" w:cs="宋体"/>
          <w:color w:val="000000" w:themeColor="text1"/>
          <w:szCs w:val="21"/>
          <w:highlight w:val="none"/>
          <w14:textFill>
            <w14:solidFill>
              <w14:schemeClr w14:val="tx1"/>
            </w14:solidFill>
          </w14:textFill>
        </w:rPr>
        <w:t>。</w:t>
      </w:r>
    </w:p>
    <w:bookmarkEnd w:id="139"/>
    <w:p w14:paraId="353DE420">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150" w:name="_Toc373478347"/>
      <w:bookmarkStart w:id="151" w:name="_Toc78449788"/>
      <w:bookmarkStart w:id="152" w:name="_Toc373227700"/>
      <w:bookmarkStart w:id="153" w:name="_Toc114058839"/>
      <w:bookmarkStart w:id="154" w:name="_Toc389065266"/>
      <w:bookmarkStart w:id="155" w:name="_Toc407135202"/>
      <w:r>
        <w:rPr>
          <w:rFonts w:eastAsia="黑体"/>
          <w:b/>
          <w:bCs/>
          <w:color w:val="000000" w:themeColor="text1"/>
          <w:sz w:val="32"/>
          <w:szCs w:val="32"/>
          <w:highlight w:val="none"/>
          <w:lang w:val="zh-CN"/>
          <w14:textFill>
            <w14:solidFill>
              <w14:schemeClr w14:val="tx1"/>
            </w14:solidFill>
          </w14:textFill>
        </w:rPr>
        <w:t xml:space="preserve">1.11 </w:t>
      </w:r>
      <w:r>
        <w:rPr>
          <w:rFonts w:hint="eastAsia" w:hAnsi="宋体" w:eastAsia="黑体" w:cs="黑体"/>
          <w:b/>
          <w:bCs/>
          <w:color w:val="000000" w:themeColor="text1"/>
          <w:sz w:val="32"/>
          <w:szCs w:val="32"/>
          <w:highlight w:val="none"/>
          <w:lang w:val="zh-CN"/>
          <w14:textFill>
            <w14:solidFill>
              <w14:schemeClr w14:val="tx1"/>
            </w14:solidFill>
          </w14:textFill>
        </w:rPr>
        <w:t>知识产权</w:t>
      </w:r>
      <w:bookmarkEnd w:id="150"/>
      <w:bookmarkEnd w:id="151"/>
      <w:bookmarkEnd w:id="152"/>
      <w:bookmarkEnd w:id="153"/>
      <w:bookmarkEnd w:id="154"/>
      <w:bookmarkEnd w:id="155"/>
    </w:p>
    <w:p w14:paraId="3C85EAAB">
      <w:pPr>
        <w:spacing w:line="360" w:lineRule="auto"/>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1.11.1 </w:t>
      </w:r>
      <w:r>
        <w:rPr>
          <w:rFonts w:hint="eastAsia" w:hAnsi="宋体" w:cs="宋体"/>
          <w:color w:val="000000" w:themeColor="text1"/>
          <w:szCs w:val="21"/>
          <w:highlight w:val="none"/>
          <w14:textFill>
            <w14:solidFill>
              <w14:schemeClr w14:val="tx1"/>
            </w14:solidFill>
          </w14:textFill>
        </w:rPr>
        <w:t>关于发包人提供给承包人的图纸、发包人为实施工程自行编制或委托编制的技术规范以及反映发包人关于合同要求或其他类似性质的文件的著作权的归属：</w:t>
      </w:r>
      <w:r>
        <w:rPr>
          <w:rFonts w:hint="eastAsia" w:hAnsi="宋体"/>
          <w:color w:val="000000" w:themeColor="text1"/>
          <w:szCs w:val="21"/>
          <w:highlight w:val="none"/>
          <w:u w:val="single"/>
          <w14:textFill>
            <w14:solidFill>
              <w14:schemeClr w14:val="tx1"/>
            </w14:solidFill>
          </w14:textFill>
        </w:rPr>
        <w:t>按通用条款</w:t>
      </w:r>
      <w:r>
        <w:rPr>
          <w:rFonts w:hint="eastAsia" w:hAnsi="宋体" w:cs="宋体"/>
          <w:color w:val="000000" w:themeColor="text1"/>
          <w:szCs w:val="21"/>
          <w:highlight w:val="none"/>
          <w14:textFill>
            <w14:solidFill>
              <w14:schemeClr w14:val="tx1"/>
            </w14:solidFill>
          </w14:textFill>
        </w:rPr>
        <w:t>。</w:t>
      </w:r>
    </w:p>
    <w:p w14:paraId="3C782A7D">
      <w:pPr>
        <w:spacing w:line="360" w:lineRule="auto"/>
        <w:ind w:firstLine="420" w:firstLineChars="200"/>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关于发包人提供的上述文件的使用限制的要求：</w:t>
      </w:r>
      <w:r>
        <w:rPr>
          <w:rFonts w:hint="eastAsia"/>
          <w:color w:val="000000" w:themeColor="text1"/>
          <w:szCs w:val="21"/>
          <w:highlight w:val="none"/>
          <w:u w:val="single"/>
          <w14:textFill>
            <w14:solidFill>
              <w14:schemeClr w14:val="tx1"/>
            </w14:solidFill>
          </w14:textFill>
        </w:rPr>
        <w:t>仅限该项工程</w:t>
      </w:r>
      <w:r>
        <w:rPr>
          <w:rFonts w:hint="eastAsia" w:hAnsi="宋体" w:cs="宋体"/>
          <w:color w:val="000000" w:themeColor="text1"/>
          <w:szCs w:val="21"/>
          <w:highlight w:val="none"/>
          <w14:textFill>
            <w14:solidFill>
              <w14:schemeClr w14:val="tx1"/>
            </w14:solidFill>
          </w14:textFill>
        </w:rPr>
        <w:t>。</w:t>
      </w:r>
    </w:p>
    <w:p w14:paraId="4E569135">
      <w:pPr>
        <w:spacing w:line="360" w:lineRule="auto"/>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1.11.2 </w:t>
      </w:r>
      <w:r>
        <w:rPr>
          <w:rFonts w:hint="eastAsia" w:hAnsi="宋体" w:cs="宋体"/>
          <w:color w:val="000000" w:themeColor="text1"/>
          <w:szCs w:val="21"/>
          <w:highlight w:val="none"/>
          <w14:textFill>
            <w14:solidFill>
              <w14:schemeClr w14:val="tx1"/>
            </w14:solidFill>
          </w14:textFill>
        </w:rPr>
        <w:t>关于承包人为实施工程所编制文件的著作权的归属：</w:t>
      </w:r>
      <w:r>
        <w:rPr>
          <w:rFonts w:hint="eastAsia" w:hAnsi="宋体"/>
          <w:color w:val="000000" w:themeColor="text1"/>
          <w:szCs w:val="21"/>
          <w:highlight w:val="none"/>
          <w:u w:val="single"/>
          <w14:textFill>
            <w14:solidFill>
              <w14:schemeClr w14:val="tx1"/>
            </w14:solidFill>
          </w14:textFill>
        </w:rPr>
        <w:t>按通用条款</w:t>
      </w:r>
      <w:r>
        <w:rPr>
          <w:rFonts w:hint="eastAsia" w:hAnsi="宋体" w:cs="宋体"/>
          <w:color w:val="000000" w:themeColor="text1"/>
          <w:szCs w:val="21"/>
          <w:highlight w:val="none"/>
          <w14:textFill>
            <w14:solidFill>
              <w14:schemeClr w14:val="tx1"/>
            </w14:solidFill>
          </w14:textFill>
        </w:rPr>
        <w:t>。</w:t>
      </w:r>
    </w:p>
    <w:p w14:paraId="76D4160F">
      <w:pPr>
        <w:spacing w:line="360" w:lineRule="auto"/>
        <w:ind w:firstLine="420" w:firstLineChars="200"/>
        <w:rPr>
          <w:color w:val="000000" w:themeColor="text1"/>
          <w:szCs w:val="21"/>
          <w:highlight w:val="none"/>
          <w:u w:val="singl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关于承包人提供的上述文件的使用限制的要求：</w:t>
      </w:r>
      <w:r>
        <w:rPr>
          <w:rFonts w:hint="eastAsia" w:hAnsi="宋体"/>
          <w:color w:val="000000" w:themeColor="text1"/>
          <w:szCs w:val="21"/>
          <w:highlight w:val="none"/>
          <w:u w:val="single"/>
          <w14:textFill>
            <w14:solidFill>
              <w14:schemeClr w14:val="tx1"/>
            </w14:solidFill>
          </w14:textFill>
        </w:rPr>
        <w:t>按通用条款</w:t>
      </w:r>
      <w:r>
        <w:rPr>
          <w:rFonts w:hint="eastAsia" w:hAnsi="宋体" w:cs="宋体"/>
          <w:color w:val="000000" w:themeColor="text1"/>
          <w:szCs w:val="21"/>
          <w:highlight w:val="none"/>
          <w14:textFill>
            <w14:solidFill>
              <w14:schemeClr w14:val="tx1"/>
            </w14:solidFill>
          </w14:textFill>
        </w:rPr>
        <w:t>。</w:t>
      </w:r>
    </w:p>
    <w:p w14:paraId="78849B63">
      <w:pPr>
        <w:spacing w:line="360" w:lineRule="auto"/>
        <w:ind w:firstLine="420" w:firstLineChars="200"/>
        <w:rPr>
          <w:rFonts w:hAnsi="宋体"/>
          <w:color w:val="000000" w:themeColor="text1"/>
          <w:szCs w:val="21"/>
          <w:highlight w:val="none"/>
          <w:u w:val="single"/>
          <w14:textFill>
            <w14:solidFill>
              <w14:schemeClr w14:val="tx1"/>
            </w14:solidFill>
          </w14:textFill>
        </w:rPr>
      </w:pPr>
      <w:r>
        <w:rPr>
          <w:color w:val="000000" w:themeColor="text1"/>
          <w:szCs w:val="21"/>
          <w:highlight w:val="none"/>
          <w14:textFill>
            <w14:solidFill>
              <w14:schemeClr w14:val="tx1"/>
            </w14:solidFill>
          </w14:textFill>
        </w:rPr>
        <w:t xml:space="preserve">1.11.4 </w:t>
      </w:r>
      <w:r>
        <w:rPr>
          <w:rFonts w:hint="eastAsia" w:hAnsi="宋体" w:cs="宋体"/>
          <w:color w:val="000000" w:themeColor="text1"/>
          <w:szCs w:val="21"/>
          <w:highlight w:val="none"/>
          <w14:textFill>
            <w14:solidFill>
              <w14:schemeClr w14:val="tx1"/>
            </w14:solidFill>
          </w14:textFill>
        </w:rPr>
        <w:t>承包人在施工过程中所采用的专利、专有技术、技术秘密的使用费的承担方式：</w:t>
      </w:r>
    </w:p>
    <w:p w14:paraId="037413EC">
      <w:pPr>
        <w:spacing w:line="360" w:lineRule="auto"/>
        <w:rPr>
          <w:color w:val="000000" w:themeColor="text1"/>
          <w:kern w:val="0"/>
          <w:szCs w:val="21"/>
          <w:highlight w:val="none"/>
          <w14:textFill>
            <w14:solidFill>
              <w14:schemeClr w14:val="tx1"/>
            </w14:solidFill>
          </w14:textFill>
        </w:rPr>
      </w:pPr>
      <w:r>
        <w:rPr>
          <w:rFonts w:hint="eastAsia" w:hAnsi="宋体"/>
          <w:color w:val="000000" w:themeColor="text1"/>
          <w:szCs w:val="21"/>
          <w:highlight w:val="none"/>
          <w:u w:val="single"/>
          <w14:textFill>
            <w14:solidFill>
              <w14:schemeClr w14:val="tx1"/>
            </w14:solidFill>
          </w14:textFill>
        </w:rPr>
        <w:t>由承包人负责</w:t>
      </w:r>
      <w:r>
        <w:rPr>
          <w:rFonts w:hint="eastAsia" w:hAnsi="宋体" w:cs="宋体"/>
          <w:color w:val="000000" w:themeColor="text1"/>
          <w:kern w:val="0"/>
          <w:szCs w:val="21"/>
          <w:highlight w:val="none"/>
          <w14:textFill>
            <w14:solidFill>
              <w14:schemeClr w14:val="tx1"/>
            </w14:solidFill>
          </w14:textFill>
        </w:rPr>
        <w:t>。</w:t>
      </w:r>
    </w:p>
    <w:p w14:paraId="11B30D05">
      <w:pPr>
        <w:keepNext/>
        <w:keepLines/>
        <w:spacing w:line="360" w:lineRule="auto"/>
        <w:outlineLvl w:val="2"/>
        <w:rPr>
          <w:rFonts w:eastAsia="黑体" w:cs="黑体"/>
          <w:b/>
          <w:bCs/>
          <w:color w:val="000000" w:themeColor="text1"/>
          <w:sz w:val="32"/>
          <w:szCs w:val="32"/>
          <w:highlight w:val="none"/>
          <w:lang w:val="zh-CN"/>
          <w14:textFill>
            <w14:solidFill>
              <w14:schemeClr w14:val="tx1"/>
            </w14:solidFill>
          </w14:textFill>
        </w:rPr>
      </w:pPr>
      <w:bookmarkStart w:id="156" w:name="_Toc114058840"/>
      <w:bookmarkStart w:id="157" w:name="_Toc407135203"/>
      <w:bookmarkStart w:id="158" w:name="_Toc373227701"/>
      <w:bookmarkStart w:id="159" w:name="_Toc389065267"/>
      <w:bookmarkStart w:id="160" w:name="_Toc373478348"/>
      <w:bookmarkStart w:id="161" w:name="_Toc78449789"/>
      <w:r>
        <w:rPr>
          <w:rFonts w:eastAsia="黑体"/>
          <w:b/>
          <w:bCs/>
          <w:color w:val="000000" w:themeColor="text1"/>
          <w:sz w:val="32"/>
          <w:szCs w:val="32"/>
          <w:highlight w:val="none"/>
          <w:lang w:val="zh-CN"/>
          <w14:textFill>
            <w14:solidFill>
              <w14:schemeClr w14:val="tx1"/>
            </w14:solidFill>
          </w14:textFill>
        </w:rPr>
        <w:t>1.13</w:t>
      </w:r>
      <w:r>
        <w:rPr>
          <w:rFonts w:hint="eastAsia" w:eastAsia="黑体" w:cs="黑体"/>
          <w:b/>
          <w:bCs/>
          <w:color w:val="000000" w:themeColor="text1"/>
          <w:sz w:val="32"/>
          <w:szCs w:val="32"/>
          <w:highlight w:val="none"/>
          <w:lang w:val="zh-CN"/>
          <w14:textFill>
            <w14:solidFill>
              <w14:schemeClr w14:val="tx1"/>
            </w14:solidFill>
          </w14:textFill>
        </w:rPr>
        <w:t>工程量清单错误的修正</w:t>
      </w:r>
      <w:bookmarkEnd w:id="156"/>
      <w:bookmarkEnd w:id="157"/>
      <w:bookmarkEnd w:id="158"/>
      <w:bookmarkEnd w:id="159"/>
      <w:bookmarkEnd w:id="160"/>
      <w:bookmarkEnd w:id="161"/>
    </w:p>
    <w:p w14:paraId="3BC6F4F9">
      <w:pPr>
        <w:spacing w:line="360" w:lineRule="auto"/>
        <w:ind w:firstLine="420" w:firstLineChars="200"/>
        <w:rPr>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出现工程量清单错误时，是否调整</w:t>
      </w:r>
      <w:r>
        <w:rPr>
          <w:rFonts w:hint="eastAsia"/>
          <w:color w:val="000000" w:themeColor="text1"/>
          <w:szCs w:val="21"/>
          <w:highlight w:val="none"/>
          <w14:textFill>
            <w14:solidFill>
              <w14:schemeClr w14:val="tx1"/>
            </w14:solidFill>
          </w14:textFill>
        </w:rPr>
        <w:t>清单综合单价</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合同履行期间，由于招标工程量清单缺项、漏项，新增分部分项工程清单项目的，按照以下规定确定单价，并调整</w:t>
      </w:r>
      <w:r>
        <w:rPr>
          <w:rFonts w:hint="eastAsia"/>
          <w:color w:val="000000" w:themeColor="text1"/>
          <w:szCs w:val="21"/>
          <w:highlight w:val="none"/>
          <w:u w:val="single"/>
          <w14:textFill>
            <w14:solidFill>
              <w14:schemeClr w14:val="tx1"/>
            </w14:solidFill>
          </w14:textFill>
        </w:rPr>
        <w:t>清单综合单价</w:t>
      </w:r>
      <w:r>
        <w:rPr>
          <w:rFonts w:hint="eastAsia" w:ascii="宋体" w:hAnsi="宋体"/>
          <w:color w:val="000000" w:themeColor="text1"/>
          <w:szCs w:val="21"/>
          <w:highlight w:val="none"/>
          <w:u w:val="single"/>
          <w14:textFill>
            <w14:solidFill>
              <w14:schemeClr w14:val="tx1"/>
            </w14:solidFill>
          </w14:textFill>
        </w:rPr>
        <w:t>：（</w:t>
      </w:r>
      <w:r>
        <w:rPr>
          <w:rFonts w:hAnsi="宋体"/>
          <w:color w:val="000000" w:themeColor="text1"/>
          <w:szCs w:val="21"/>
          <w:highlight w:val="none"/>
          <w:u w:val="single"/>
          <w14:textFill>
            <w14:solidFill>
              <w14:schemeClr w14:val="tx1"/>
            </w14:solidFill>
          </w14:textFill>
        </w:rPr>
        <w:t>1</w:t>
      </w:r>
      <w:r>
        <w:rPr>
          <w:rFonts w:hint="eastAsia" w:ascii="宋体" w:hAnsi="宋体"/>
          <w:color w:val="000000" w:themeColor="text1"/>
          <w:szCs w:val="21"/>
          <w:highlight w:val="none"/>
          <w:u w:val="single"/>
          <w14:textFill>
            <w14:solidFill>
              <w14:schemeClr w14:val="tx1"/>
            </w14:solidFill>
          </w14:textFill>
        </w:rPr>
        <w:t>）合同中已有相同子目的，按合同该子目价格进行计算；（</w:t>
      </w:r>
      <w:r>
        <w:rPr>
          <w:rFonts w:hAnsi="宋体"/>
          <w:color w:val="000000" w:themeColor="text1"/>
          <w:szCs w:val="21"/>
          <w:highlight w:val="none"/>
          <w:u w:val="single"/>
          <w14:textFill>
            <w14:solidFill>
              <w14:schemeClr w14:val="tx1"/>
            </w14:solidFill>
          </w14:textFill>
        </w:rPr>
        <w:t>2</w:t>
      </w:r>
      <w:r>
        <w:rPr>
          <w:rFonts w:hint="eastAsia" w:ascii="宋体" w:hAnsi="宋体"/>
          <w:color w:val="000000" w:themeColor="text1"/>
          <w:szCs w:val="21"/>
          <w:highlight w:val="none"/>
          <w:u w:val="single"/>
          <w14:textFill>
            <w14:solidFill>
              <w14:schemeClr w14:val="tx1"/>
            </w14:solidFill>
          </w14:textFill>
        </w:rPr>
        <w:t>）合同中只有类似子目的，参照该类似子目价格进行计算；（</w:t>
      </w:r>
      <w:r>
        <w:rPr>
          <w:rFonts w:hAnsi="宋体"/>
          <w:color w:val="000000" w:themeColor="text1"/>
          <w:szCs w:val="21"/>
          <w:highlight w:val="none"/>
          <w:u w:val="single"/>
          <w14:textFill>
            <w14:solidFill>
              <w14:schemeClr w14:val="tx1"/>
            </w14:solidFill>
          </w14:textFill>
        </w:rPr>
        <w:t>3</w:t>
      </w:r>
      <w:r>
        <w:rPr>
          <w:rFonts w:hint="eastAsia" w:ascii="宋体" w:hAnsi="宋体"/>
          <w:color w:val="000000" w:themeColor="text1"/>
          <w:szCs w:val="21"/>
          <w:highlight w:val="none"/>
          <w:u w:val="single"/>
          <w14:textFill>
            <w14:solidFill>
              <w14:schemeClr w14:val="tx1"/>
            </w14:solidFill>
          </w14:textFill>
        </w:rPr>
        <w:t>）合同中没有适用或类似子目的价格计算方法：有定额的套定额（含石方工程），并乘以下浮系数（</w:t>
      </w:r>
      <w:r>
        <w:rPr>
          <w:rFonts w:hint="eastAsia" w:ascii="宋体" w:hAnsi="宋体"/>
          <w:szCs w:val="21"/>
          <w:highlight w:val="none"/>
          <w:u w:val="single"/>
        </w:rPr>
        <w:t>成交</w:t>
      </w:r>
      <w:r>
        <w:rPr>
          <w:rFonts w:hint="eastAsia" w:ascii="宋体" w:hAnsi="宋体"/>
          <w:color w:val="000000" w:themeColor="text1"/>
          <w:szCs w:val="21"/>
          <w:highlight w:val="none"/>
          <w:u w:val="single"/>
          <w14:textFill>
            <w14:solidFill>
              <w14:schemeClr w14:val="tx1"/>
            </w14:solidFill>
          </w14:textFill>
        </w:rPr>
        <w:t>价</w:t>
      </w:r>
      <w:r>
        <w:rPr>
          <w:rFonts w:ascii="宋体" w:hAnsi="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经招标人审定的工程招标控制价）计算，其中材料价格按施工期间的《南宁建设工程造价信息》相应价格信息计算；《南宁建设工程造价信息》没有相应价格信息的按市场价计算；无定额可套的，根据市场价格协商确定综合价格；新增项目的单价必须事前经招标人审定。除以上情况之外出现工程量清单错误的，不调整</w:t>
      </w:r>
      <w:r>
        <w:rPr>
          <w:rFonts w:hint="eastAsia"/>
          <w:color w:val="000000" w:themeColor="text1"/>
          <w:szCs w:val="21"/>
          <w:highlight w:val="none"/>
          <w:u w:val="single"/>
          <w14:textFill>
            <w14:solidFill>
              <w14:schemeClr w14:val="tx1"/>
            </w14:solidFill>
          </w14:textFill>
        </w:rPr>
        <w:t>清单综合单价</w:t>
      </w:r>
    </w:p>
    <w:p w14:paraId="66084F1A">
      <w:pPr>
        <w:spacing w:line="360" w:lineRule="auto"/>
        <w:ind w:firstLine="420" w:firstLineChars="200"/>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出现工程量清单工程量偏差时，是否调整合同价格：</w:t>
      </w:r>
      <w:bookmarkStart w:id="162" w:name="EB1f93129355be46c6996b1c2295eb9b9b"/>
      <w:r>
        <w:rPr>
          <w:rFonts w:hint="eastAsia" w:ascii="MS Mincho" w:hAnsi="MS Mincho" w:eastAsia="MS Mincho" w:cs="MS Mincho"/>
          <w:color w:val="000000" w:themeColor="text1"/>
          <w:szCs w:val="21"/>
          <w:highlight w:val="none"/>
          <w14:textFill>
            <w14:solidFill>
              <w14:schemeClr w14:val="tx1"/>
            </w14:solidFill>
          </w14:textFill>
        </w:rPr>
        <w:t>☑</w:t>
      </w:r>
      <w:bookmarkEnd w:id="162"/>
      <w:r>
        <w:rPr>
          <w:rFonts w:hint="eastAsia" w:hAnsi="宋体" w:cs="宋体"/>
          <w:color w:val="000000" w:themeColor="text1"/>
          <w:szCs w:val="21"/>
          <w:highlight w:val="none"/>
          <w:u w:val="single"/>
          <w14:textFill>
            <w14:solidFill>
              <w14:schemeClr w14:val="tx1"/>
            </w14:solidFill>
          </w14:textFill>
        </w:rPr>
        <w:t xml:space="preserve">是  </w:t>
      </w:r>
      <w:r>
        <w:rPr>
          <w:rFonts w:hint="eastAsia" w:ascii="宋体" w:hAnsi="宋体" w:cs="宋体"/>
          <w:color w:val="000000" w:themeColor="text1"/>
          <w:szCs w:val="21"/>
          <w:highlight w:val="none"/>
          <w:u w:val="single"/>
          <w14:textFill>
            <w14:solidFill>
              <w14:schemeClr w14:val="tx1"/>
            </w14:solidFill>
          </w14:textFill>
        </w:rPr>
        <w:t>□</w:t>
      </w:r>
      <w:r>
        <w:rPr>
          <w:rFonts w:hint="eastAsia" w:hAnsi="宋体" w:cs="宋体"/>
          <w:color w:val="000000" w:themeColor="text1"/>
          <w:szCs w:val="21"/>
          <w:highlight w:val="none"/>
          <w:u w:val="single"/>
          <w14:textFill>
            <w14:solidFill>
              <w14:schemeClr w14:val="tx1"/>
            </w14:solidFill>
          </w14:textFill>
        </w:rPr>
        <w:t>否</w:t>
      </w:r>
      <w:r>
        <w:rPr>
          <w:rFonts w:hint="eastAsia" w:hAnsi="宋体" w:cs="宋体"/>
          <w:color w:val="000000" w:themeColor="text1"/>
          <w:kern w:val="0"/>
          <w:szCs w:val="21"/>
          <w:highlight w:val="none"/>
          <w14:textFill>
            <w14:solidFill>
              <w14:schemeClr w14:val="tx1"/>
            </w14:solidFill>
          </w14:textFill>
        </w:rPr>
        <w:t>。</w:t>
      </w:r>
    </w:p>
    <w:p w14:paraId="5DA901FF">
      <w:pPr>
        <w:spacing w:line="360" w:lineRule="auto"/>
        <w:ind w:firstLine="420" w:firstLineChars="200"/>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允许调整合同价格的工程量偏差范围及其调整办法：</w:t>
      </w:r>
    </w:p>
    <w:p w14:paraId="6DE20E1D">
      <w:pPr>
        <w:spacing w:line="360" w:lineRule="auto"/>
        <w:ind w:firstLine="420" w:firstLineChars="200"/>
        <w:rPr>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color w:val="000000" w:themeColor="text1"/>
          <w:szCs w:val="21"/>
          <w:highlight w:val="none"/>
          <w:u w:val="single"/>
          <w14:textFill>
            <w14:solidFill>
              <w14:schemeClr w14:val="tx1"/>
            </w14:solidFill>
          </w14:textFill>
        </w:rPr>
        <w:t>除严重不平衡报价外，无论分部分项工程量清单项目中的工程量变化多少均不调整</w:t>
      </w:r>
      <w:r>
        <w:rPr>
          <w:rFonts w:hint="eastAsia" w:hAnsi="宋体" w:cs="宋体"/>
          <w:color w:val="000000" w:themeColor="text1"/>
          <w:kern w:val="0"/>
          <w:szCs w:val="21"/>
          <w:highlight w:val="none"/>
          <w14:textFill>
            <w14:solidFill>
              <w14:schemeClr w14:val="tx1"/>
            </w14:solidFill>
          </w14:textFill>
        </w:rPr>
        <w:t>。</w:t>
      </w:r>
    </w:p>
    <w:p w14:paraId="1E323B91">
      <w:pPr>
        <w:spacing w:line="360" w:lineRule="auto"/>
        <w:ind w:firstLine="420" w:firstLineChars="200"/>
        <w:rPr>
          <w:rFonts w:hAnsi="宋体" w:cs="宋体"/>
          <w:color w:val="000000" w:themeColor="text1"/>
          <w:szCs w:val="21"/>
          <w:highlight w:val="none"/>
          <w:u w:val="single"/>
          <w14:textFill>
            <w14:solidFill>
              <w14:schemeClr w14:val="tx1"/>
            </w14:solidFill>
          </w14:textFill>
        </w:rPr>
      </w:pPr>
      <w:r>
        <w:rPr>
          <w:rFonts w:hint="eastAsia" w:ascii="MS Mincho" w:hAnsi="MS Mincho" w:eastAsia="MS Mincho" w:cs="MS Mincho"/>
          <w:color w:val="000000" w:themeColor="text1"/>
          <w:szCs w:val="21"/>
          <w:highlight w:val="none"/>
          <w14:textFill>
            <w14:solidFill>
              <w14:schemeClr w14:val="tx1"/>
            </w14:solidFill>
          </w14:textFill>
        </w:rPr>
        <w:t>☑</w:t>
      </w:r>
      <w:r>
        <w:rPr>
          <w:rFonts w:hint="eastAsia" w:hAnsi="宋体" w:cs="宋体"/>
          <w:b/>
          <w:bCs/>
          <w:color w:val="000000" w:themeColor="text1"/>
          <w:szCs w:val="21"/>
          <w:highlight w:val="none"/>
          <w:u w:val="single"/>
          <w14:textFill>
            <w14:solidFill>
              <w14:schemeClr w14:val="tx1"/>
            </w14:solidFill>
          </w14:textFill>
        </w:rPr>
        <w:t>承包人实际完成的某单项清单项目工程量与招标工程量清单工程量偏差超过 15 %且该单项清单造价超过合同总价 1 %以上的，超过后增加部分工程量或减少后剩余部分工程量的综合单价按以下方法调整：</w:t>
      </w:r>
      <w:r>
        <w:rPr>
          <w:rFonts w:hint="eastAsia" w:ascii="宋体" w:hAnsi="宋体"/>
          <w:b/>
          <w:bCs/>
          <w:color w:val="000000" w:themeColor="text1"/>
          <w:szCs w:val="21"/>
          <w:highlight w:val="none"/>
          <w14:textFill>
            <w14:solidFill>
              <w14:schemeClr w14:val="tx1"/>
            </w14:solidFill>
          </w14:textFill>
        </w:rPr>
        <w:t>有定额的套定额计算，执行本采购文件工程计价参考依据，</w:t>
      </w:r>
      <w:r>
        <w:rPr>
          <w:rFonts w:hint="eastAsia" w:hAnsi="宋体" w:cs="宋体"/>
          <w:b/>
          <w:bCs/>
          <w:color w:val="000000" w:themeColor="text1"/>
          <w:szCs w:val="21"/>
          <w:highlight w:val="none"/>
          <w:u w:val="single"/>
          <w14:textFill>
            <w14:solidFill>
              <w14:schemeClr w14:val="tx1"/>
            </w14:solidFill>
          </w14:textFill>
        </w:rPr>
        <w:t>并乘以下浮系数（成交价/经审定的工程招标控制价）结算，</w:t>
      </w:r>
      <w:r>
        <w:rPr>
          <w:rFonts w:hint="eastAsia" w:ascii="宋体" w:hAnsi="宋体"/>
          <w:b/>
          <w:bCs/>
          <w:color w:val="000000" w:themeColor="text1"/>
          <w:szCs w:val="21"/>
          <w:highlight w:val="none"/>
          <w14:textFill>
            <w14:solidFill>
              <w14:schemeClr w14:val="tx1"/>
            </w14:solidFill>
          </w14:textFill>
        </w:rPr>
        <w:t>其中材料价格有信息价的按施工期间信息价的算术平均价计取，无信息价的由发包人、监理单位及承包人根据市场价格协商议定</w:t>
      </w:r>
      <w:r>
        <w:rPr>
          <w:rFonts w:hint="eastAsia" w:ascii="Calibri" w:hAnsi="宋体" w:cs="宋体"/>
          <w:color w:val="000000" w:themeColor="text1"/>
          <w:szCs w:val="21"/>
          <w:highlight w:val="none"/>
          <w14:textFill>
            <w14:solidFill>
              <w14:schemeClr w14:val="tx1"/>
            </w14:solidFill>
          </w14:textFill>
        </w:rPr>
        <w:t>。</w:t>
      </w:r>
    </w:p>
    <w:p w14:paraId="2E641D24">
      <w:pPr>
        <w:keepNext/>
        <w:keepLines/>
        <w:spacing w:before="60" w:after="60" w:line="413" w:lineRule="auto"/>
        <w:outlineLvl w:val="1"/>
        <w:rPr>
          <w:rFonts w:ascii="Arial" w:hAnsi="Arial" w:eastAsia="黑体"/>
          <w:b/>
          <w:bCs/>
          <w:color w:val="000000" w:themeColor="text1"/>
          <w:sz w:val="32"/>
          <w:szCs w:val="32"/>
          <w:highlight w:val="none"/>
          <w:lang w:val="zh-CN"/>
          <w14:textFill>
            <w14:solidFill>
              <w14:schemeClr w14:val="tx1"/>
            </w14:solidFill>
          </w14:textFill>
        </w:rPr>
      </w:pPr>
      <w:bookmarkStart w:id="163" w:name="_Toc389065268"/>
      <w:bookmarkStart w:id="164" w:name="_Toc78449790"/>
      <w:bookmarkStart w:id="165" w:name="_Toc373227702"/>
      <w:bookmarkStart w:id="166" w:name="_Toc373478349"/>
      <w:bookmarkStart w:id="167" w:name="_Toc351203634"/>
      <w:bookmarkStart w:id="168" w:name="_Toc114058841"/>
      <w:bookmarkStart w:id="169" w:name="_Toc407135204"/>
      <w:r>
        <w:rPr>
          <w:rFonts w:ascii="Arial" w:hAnsi="Arial" w:eastAsia="黑体"/>
          <w:b/>
          <w:bCs/>
          <w:color w:val="000000" w:themeColor="text1"/>
          <w:sz w:val="32"/>
          <w:szCs w:val="32"/>
          <w:highlight w:val="none"/>
          <w:lang w:val="zh-CN"/>
          <w14:textFill>
            <w14:solidFill>
              <w14:schemeClr w14:val="tx1"/>
            </w14:solidFill>
          </w14:textFill>
        </w:rPr>
        <w:t>2</w:t>
      </w:r>
      <w:bookmarkStart w:id="170" w:name="_Toc296346658"/>
      <w:bookmarkStart w:id="171" w:name="_Toc292559867"/>
      <w:bookmarkStart w:id="172" w:name="_Toc297048343"/>
      <w:bookmarkStart w:id="173" w:name="_Toc296503157"/>
      <w:bookmarkStart w:id="174" w:name="_Toc296347156"/>
      <w:bookmarkStart w:id="175" w:name="_Toc296944496"/>
      <w:bookmarkStart w:id="176" w:name="_Toc297120457"/>
      <w:bookmarkStart w:id="177" w:name="_Toc296891197"/>
      <w:bookmarkStart w:id="178" w:name="_Toc296890985"/>
      <w:bookmarkStart w:id="179" w:name="_Toc292559362"/>
      <w:r>
        <w:rPr>
          <w:rFonts w:ascii="Arial" w:hAnsi="Arial" w:eastAsia="黑体"/>
          <w:b/>
          <w:bCs/>
          <w:color w:val="000000" w:themeColor="text1"/>
          <w:sz w:val="32"/>
          <w:szCs w:val="32"/>
          <w:highlight w:val="none"/>
          <w:lang w:val="zh-CN"/>
          <w14:textFill>
            <w14:solidFill>
              <w14:schemeClr w14:val="tx1"/>
            </w14:solidFill>
          </w14:textFill>
        </w:rPr>
        <w:t xml:space="preserve">. </w:t>
      </w:r>
      <w:r>
        <w:rPr>
          <w:rFonts w:hint="eastAsia" w:ascii="Arial" w:hAnsi="宋体" w:eastAsia="黑体" w:cs="黑体"/>
          <w:b/>
          <w:bCs/>
          <w:color w:val="000000" w:themeColor="text1"/>
          <w:sz w:val="32"/>
          <w:szCs w:val="32"/>
          <w:highlight w:val="none"/>
          <w:lang w:val="zh-CN"/>
          <w14:textFill>
            <w14:solidFill>
              <w14:schemeClr w14:val="tx1"/>
            </w14:solidFill>
          </w14:textFill>
        </w:rPr>
        <w:t>发包人</w:t>
      </w:r>
      <w:bookmarkEnd w:id="163"/>
      <w:bookmarkEnd w:id="164"/>
      <w:bookmarkEnd w:id="165"/>
      <w:bookmarkEnd w:id="166"/>
      <w:bookmarkEnd w:id="167"/>
      <w:bookmarkEnd w:id="168"/>
      <w:bookmarkEnd w:id="169"/>
    </w:p>
    <w:bookmarkEnd w:id="170"/>
    <w:bookmarkEnd w:id="171"/>
    <w:bookmarkEnd w:id="172"/>
    <w:bookmarkEnd w:id="173"/>
    <w:bookmarkEnd w:id="174"/>
    <w:bookmarkEnd w:id="175"/>
    <w:bookmarkEnd w:id="176"/>
    <w:bookmarkEnd w:id="177"/>
    <w:bookmarkEnd w:id="178"/>
    <w:bookmarkEnd w:id="179"/>
    <w:p w14:paraId="457AAC81">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180" w:name="_Toc389065269"/>
      <w:bookmarkStart w:id="181" w:name="_Toc373478350"/>
      <w:bookmarkStart w:id="182" w:name="_Toc373227703"/>
      <w:bookmarkStart w:id="183" w:name="_Toc407135205"/>
      <w:bookmarkStart w:id="184" w:name="_Toc114058842"/>
      <w:bookmarkStart w:id="185" w:name="_Toc78449791"/>
      <w:r>
        <w:rPr>
          <w:rFonts w:eastAsia="黑体"/>
          <w:b/>
          <w:bCs/>
          <w:color w:val="000000" w:themeColor="text1"/>
          <w:sz w:val="32"/>
          <w:szCs w:val="32"/>
          <w:highlight w:val="none"/>
          <w:lang w:val="zh-CN"/>
          <w14:textFill>
            <w14:solidFill>
              <w14:schemeClr w14:val="tx1"/>
            </w14:solidFill>
          </w14:textFill>
        </w:rPr>
        <w:t xml:space="preserve">2.2 </w:t>
      </w:r>
      <w:r>
        <w:rPr>
          <w:rFonts w:hint="eastAsia" w:hAnsi="宋体" w:eastAsia="黑体" w:cs="黑体"/>
          <w:b/>
          <w:bCs/>
          <w:color w:val="000000" w:themeColor="text1"/>
          <w:sz w:val="32"/>
          <w:szCs w:val="32"/>
          <w:highlight w:val="none"/>
          <w:lang w:val="zh-CN"/>
          <w14:textFill>
            <w14:solidFill>
              <w14:schemeClr w14:val="tx1"/>
            </w14:solidFill>
          </w14:textFill>
        </w:rPr>
        <w:t>发包人代表</w:t>
      </w:r>
      <w:bookmarkEnd w:id="180"/>
      <w:bookmarkEnd w:id="181"/>
      <w:bookmarkEnd w:id="182"/>
      <w:bookmarkEnd w:id="183"/>
      <w:bookmarkEnd w:id="184"/>
      <w:bookmarkEnd w:id="185"/>
    </w:p>
    <w:p w14:paraId="02FE2F7F">
      <w:pPr>
        <w:spacing w:line="360" w:lineRule="auto"/>
        <w:ind w:firstLine="420" w:firstLineChars="200"/>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发包人代表：</w:t>
      </w:r>
    </w:p>
    <w:p w14:paraId="49A52407">
      <w:pPr>
        <w:spacing w:line="360" w:lineRule="auto"/>
        <w:ind w:firstLine="420" w:firstLineChars="200"/>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姓名：；</w:t>
      </w:r>
    </w:p>
    <w:p w14:paraId="7410BE79">
      <w:pPr>
        <w:spacing w:line="360" w:lineRule="auto"/>
        <w:ind w:firstLine="420" w:firstLineChars="200"/>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身份证号：；</w:t>
      </w:r>
    </w:p>
    <w:p w14:paraId="1F8DB196">
      <w:pPr>
        <w:spacing w:line="360" w:lineRule="auto"/>
        <w:ind w:firstLine="420" w:firstLineChars="200"/>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职务：；</w:t>
      </w:r>
    </w:p>
    <w:p w14:paraId="442657BA">
      <w:pPr>
        <w:spacing w:line="360" w:lineRule="auto"/>
        <w:ind w:firstLine="420" w:firstLineChars="200"/>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联系电话：；</w:t>
      </w:r>
    </w:p>
    <w:p w14:paraId="07BC11D2">
      <w:pPr>
        <w:spacing w:line="360" w:lineRule="auto"/>
        <w:ind w:firstLine="420" w:firstLineChars="200"/>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电子信箱：；</w:t>
      </w:r>
    </w:p>
    <w:p w14:paraId="6AF9210D">
      <w:pPr>
        <w:spacing w:line="360" w:lineRule="auto"/>
        <w:ind w:firstLine="420" w:firstLineChars="200"/>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通信地址：。</w:t>
      </w:r>
    </w:p>
    <w:p w14:paraId="37F03830">
      <w:pPr>
        <w:spacing w:line="360" w:lineRule="auto"/>
        <w:ind w:firstLine="420" w:firstLineChars="200"/>
        <w:rPr>
          <w:color w:val="000000" w:themeColor="text1"/>
          <w:szCs w:val="21"/>
          <w:highlight w:val="none"/>
          <w:u w:val="singl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发包人对发包人代表的授权范围如下：</w:t>
      </w:r>
      <w:r>
        <w:rPr>
          <w:rFonts w:hint="eastAsia" w:hAnsi="宋体"/>
          <w:color w:val="000000" w:themeColor="text1"/>
          <w:szCs w:val="21"/>
          <w:highlight w:val="none"/>
          <w:u w:val="single"/>
          <w14:textFill>
            <w14:solidFill>
              <w14:schemeClr w14:val="tx1"/>
            </w14:solidFill>
          </w14:textFill>
        </w:rPr>
        <w:t>代表发包人与监理工程师协调与本工程有关的事宜，并行使合同约定的发包人权利，履行合同约定发包人的职责</w:t>
      </w:r>
      <w:r>
        <w:rPr>
          <w:rFonts w:hAnsi="宋体"/>
          <w:color w:val="000000" w:themeColor="text1"/>
          <w:szCs w:val="21"/>
          <w:highlight w:val="none"/>
          <w:u w:val="single"/>
          <w14:textFill>
            <w14:solidFill>
              <w14:schemeClr w14:val="tx1"/>
            </w14:solidFill>
          </w14:textFill>
        </w:rPr>
        <w:t>。</w:t>
      </w:r>
      <w:r>
        <w:rPr>
          <w:rFonts w:hint="eastAsia" w:hAnsi="宋体"/>
          <w:color w:val="000000" w:themeColor="text1"/>
          <w:szCs w:val="21"/>
          <w:highlight w:val="none"/>
          <w:u w:val="single"/>
          <w14:textFill>
            <w14:solidFill>
              <w14:schemeClr w14:val="tx1"/>
            </w14:solidFill>
          </w14:textFill>
        </w:rPr>
        <w:t>督促指导监理工程师行使职权，协调施工现场各方面的关系，协调工程质量，进度和安全文明施工中存在的问题，解决有关设计和技术签证，办理、签认现场经济技术签证，审核工程进度报表</w:t>
      </w:r>
      <w:r>
        <w:rPr>
          <w:rFonts w:hint="eastAsia" w:hAnsi="宋体" w:cs="宋体"/>
          <w:color w:val="000000" w:themeColor="text1"/>
          <w:szCs w:val="21"/>
          <w:highlight w:val="none"/>
          <w14:textFill>
            <w14:solidFill>
              <w14:schemeClr w14:val="tx1"/>
            </w14:solidFill>
          </w14:textFill>
        </w:rPr>
        <w:t>。</w:t>
      </w:r>
    </w:p>
    <w:p w14:paraId="7BB77982">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186" w:name="_Toc373227704"/>
      <w:bookmarkStart w:id="187" w:name="_Toc114058843"/>
      <w:bookmarkStart w:id="188" w:name="_Toc373478351"/>
      <w:bookmarkStart w:id="189" w:name="_Toc407135206"/>
      <w:bookmarkStart w:id="190" w:name="_Toc389065270"/>
      <w:bookmarkStart w:id="191" w:name="_Toc78449792"/>
      <w:r>
        <w:rPr>
          <w:rFonts w:eastAsia="黑体"/>
          <w:b/>
          <w:bCs/>
          <w:color w:val="000000" w:themeColor="text1"/>
          <w:sz w:val="32"/>
          <w:szCs w:val="32"/>
          <w:highlight w:val="none"/>
          <w:lang w:val="zh-CN"/>
          <w14:textFill>
            <w14:solidFill>
              <w14:schemeClr w14:val="tx1"/>
            </w14:solidFill>
          </w14:textFill>
        </w:rPr>
        <w:t xml:space="preserve">2.4 </w:t>
      </w:r>
      <w:r>
        <w:rPr>
          <w:rFonts w:hint="eastAsia" w:eastAsia="黑体" w:cs="黑体"/>
          <w:b/>
          <w:bCs/>
          <w:color w:val="000000" w:themeColor="text1"/>
          <w:sz w:val="32"/>
          <w:szCs w:val="32"/>
          <w:highlight w:val="none"/>
          <w:lang w:val="zh-CN"/>
          <w14:textFill>
            <w14:solidFill>
              <w14:schemeClr w14:val="tx1"/>
            </w14:solidFill>
          </w14:textFill>
        </w:rPr>
        <w:t>施工现场、施工条件和基础资料的提供</w:t>
      </w:r>
      <w:bookmarkEnd w:id="186"/>
      <w:bookmarkEnd w:id="187"/>
      <w:bookmarkEnd w:id="188"/>
      <w:bookmarkEnd w:id="189"/>
      <w:bookmarkEnd w:id="190"/>
      <w:bookmarkEnd w:id="191"/>
    </w:p>
    <w:p w14:paraId="7E0D2456">
      <w:pPr>
        <w:spacing w:line="360" w:lineRule="auto"/>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2.4.1 </w:t>
      </w:r>
      <w:r>
        <w:rPr>
          <w:rFonts w:hAnsi="宋体"/>
          <w:color w:val="000000" w:themeColor="text1"/>
          <w:szCs w:val="21"/>
          <w:highlight w:val="none"/>
          <w14:textFill>
            <w14:solidFill>
              <w14:schemeClr w14:val="tx1"/>
            </w14:solidFill>
          </w14:textFill>
        </w:rPr>
        <w:t>提供施工现场</w:t>
      </w:r>
    </w:p>
    <w:p w14:paraId="3490A212">
      <w:pPr>
        <w:spacing w:line="360" w:lineRule="auto"/>
        <w:ind w:firstLine="420" w:firstLineChars="200"/>
        <w:jc w:val="left"/>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关于发包人移交施工现场的期限要求：</w:t>
      </w:r>
      <w:r>
        <w:rPr>
          <w:rFonts w:hint="eastAsia" w:hAnsi="宋体"/>
          <w:color w:val="000000" w:themeColor="text1"/>
          <w:szCs w:val="21"/>
          <w:highlight w:val="none"/>
          <w:u w:val="single"/>
          <w14:textFill>
            <w14:solidFill>
              <w14:schemeClr w14:val="tx1"/>
            </w14:solidFill>
          </w14:textFill>
        </w:rPr>
        <w:t>开工前7天，满足工程进展要求。施工场地内的道路由承包人自行完成，施工场地内的道路及与市政道路接口路段的日常清洁与维护由承包人承担，费用由承包人承担</w:t>
      </w:r>
      <w:r>
        <w:rPr>
          <w:rFonts w:hAnsi="宋体"/>
          <w:color w:val="000000" w:themeColor="text1"/>
          <w:szCs w:val="21"/>
          <w:highlight w:val="none"/>
          <w14:textFill>
            <w14:solidFill>
              <w14:schemeClr w14:val="tx1"/>
            </w14:solidFill>
          </w14:textFill>
        </w:rPr>
        <w:t>。</w:t>
      </w:r>
    </w:p>
    <w:p w14:paraId="548998A7">
      <w:pPr>
        <w:spacing w:line="360" w:lineRule="auto"/>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2.4.2 </w:t>
      </w:r>
      <w:r>
        <w:rPr>
          <w:rFonts w:hAnsi="宋体"/>
          <w:color w:val="000000" w:themeColor="text1"/>
          <w:szCs w:val="21"/>
          <w:highlight w:val="none"/>
          <w14:textFill>
            <w14:solidFill>
              <w14:schemeClr w14:val="tx1"/>
            </w14:solidFill>
          </w14:textFill>
        </w:rPr>
        <w:t>提供施工条件</w:t>
      </w:r>
    </w:p>
    <w:p w14:paraId="0D1C15C4">
      <w:pPr>
        <w:spacing w:line="360" w:lineRule="auto"/>
        <w:ind w:firstLine="420" w:firstLineChars="200"/>
        <w:rPr>
          <w:rFonts w:hAnsi="宋体"/>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关于发包人应负责提供施工所需要的条件，包括：</w:t>
      </w:r>
      <w:r>
        <w:rPr>
          <w:rFonts w:hint="eastAsia" w:ascii="宋体" w:hAnsi="宋体"/>
          <w:color w:val="000000" w:themeColor="text1"/>
          <w:szCs w:val="21"/>
          <w:highlight w:val="none"/>
          <w:u w:val="single"/>
          <w14:textFill>
            <w14:solidFill>
              <w14:schemeClr w14:val="tx1"/>
            </w14:solidFill>
          </w14:textFill>
        </w:rPr>
        <w:t>施工所需电接入点和水接入点由发包人确定，由承包人负责接至施工现场并安装计量表，根据水电收费部门核定的费用、支付时间向发包人支付。红线范围内的管道/管线、计量设备由承包人自行解决，电讯线路的开通由承包人自行解决并承担费用；承包人使用的水、电、通讯费用由承包人负责。若供电部门的原因造成停电，承包人必须自行解决施工用电，费用由承包人负责。发包人在开工前负责办理好法律规定由其办理的许可、批准或备案，包括但不限于建设用地规划许可证、建设工程规划许可证、建设工程施工许可证、施工所需临时用水、临时用电、中断道路交通、临时占用土地等许可和批准。发包人应协助承包人办理法律规定的有关施工证件和批件。发包人未能在约定期</w:t>
      </w:r>
      <w:r>
        <w:rPr>
          <w:rFonts w:hint="eastAsia" w:ascii="宋体" w:hAnsi="宋体"/>
          <w:color w:val="000000" w:themeColor="text1"/>
          <w:szCs w:val="21"/>
          <w:highlight w:val="none"/>
          <w:u w:val="single"/>
          <w:lang w:eastAsia="zh-CN"/>
          <w14:textFill>
            <w14:solidFill>
              <w14:schemeClr w14:val="tx1"/>
            </w14:solidFill>
          </w14:textFill>
        </w:rPr>
        <w:t>限内</w:t>
      </w:r>
      <w:r>
        <w:rPr>
          <w:rFonts w:hint="eastAsia" w:ascii="宋体" w:hAnsi="宋体"/>
          <w:color w:val="000000" w:themeColor="text1"/>
          <w:szCs w:val="21"/>
          <w:highlight w:val="none"/>
          <w:u w:val="single"/>
          <w14:textFill>
            <w14:solidFill>
              <w14:schemeClr w14:val="tx1"/>
            </w14:solidFill>
          </w14:textFill>
        </w:rPr>
        <w:t>办理施工所需证件要求承包人先行进场施工的，由此导致承包人遭受行政处罚及其他经济损失等不良后果，由发包人承担。开工前7天内由发包人组织承包人、设计、勘察和监理单位进行图纸会审和设计交底</w:t>
      </w:r>
      <w:r>
        <w:rPr>
          <w:rFonts w:hAnsi="宋体"/>
          <w:color w:val="000000" w:themeColor="text1"/>
          <w:szCs w:val="21"/>
          <w:highlight w:val="none"/>
          <w14:textFill>
            <w14:solidFill>
              <w14:schemeClr w14:val="tx1"/>
            </w14:solidFill>
          </w14:textFill>
        </w:rPr>
        <w:t>。</w:t>
      </w:r>
    </w:p>
    <w:p w14:paraId="0F9D3EBC">
      <w:pPr>
        <w:spacing w:line="360" w:lineRule="auto"/>
        <w:ind w:firstLine="420" w:firstLineChars="200"/>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工程地质和地下管线资料的提供时间：</w:t>
      </w:r>
      <w:r>
        <w:rPr>
          <w:rFonts w:hint="eastAsia"/>
          <w:color w:val="000000" w:themeColor="text1"/>
          <w:szCs w:val="21"/>
          <w:highlight w:val="none"/>
          <w:u w:val="single"/>
          <w14:textFill>
            <w14:solidFill>
              <w14:schemeClr w14:val="tx1"/>
            </w14:solidFill>
          </w14:textFill>
        </w:rPr>
        <w:t>由发包人在开工前7天提供。</w:t>
      </w:r>
    </w:p>
    <w:p w14:paraId="1F9DCB1D">
      <w:pPr>
        <w:spacing w:line="360" w:lineRule="auto"/>
        <w:ind w:firstLine="420" w:firstLineChars="200"/>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水准点与座标控制点交验要求： </w:t>
      </w:r>
      <w:r>
        <w:rPr>
          <w:rFonts w:hint="eastAsia"/>
          <w:color w:val="000000" w:themeColor="text1"/>
          <w:szCs w:val="21"/>
          <w:highlight w:val="none"/>
          <w:u w:val="single"/>
          <w14:textFill>
            <w14:solidFill>
              <w14:schemeClr w14:val="tx1"/>
            </w14:solidFill>
          </w14:textFill>
        </w:rPr>
        <w:t>于开工前3日内现场交验，双方做好签认工作。</w:t>
      </w:r>
    </w:p>
    <w:p w14:paraId="1E9730F3">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192" w:name="_Toc78449793"/>
      <w:bookmarkStart w:id="193" w:name="_Toc373478352"/>
      <w:bookmarkStart w:id="194" w:name="_Toc389065271"/>
      <w:bookmarkStart w:id="195" w:name="_Toc114058844"/>
      <w:bookmarkStart w:id="196" w:name="_Toc407135207"/>
      <w:bookmarkStart w:id="197" w:name="_Toc373227705"/>
      <w:r>
        <w:rPr>
          <w:rFonts w:eastAsia="黑体"/>
          <w:b/>
          <w:bCs/>
          <w:color w:val="000000" w:themeColor="text1"/>
          <w:sz w:val="32"/>
          <w:szCs w:val="32"/>
          <w:highlight w:val="none"/>
          <w:lang w:val="zh-CN"/>
          <w14:textFill>
            <w14:solidFill>
              <w14:schemeClr w14:val="tx1"/>
            </w14:solidFill>
          </w14:textFill>
        </w:rPr>
        <w:t xml:space="preserve">2.5 </w:t>
      </w:r>
      <w:r>
        <w:rPr>
          <w:rFonts w:hint="eastAsia" w:eastAsia="黑体" w:cs="黑体"/>
          <w:b/>
          <w:bCs/>
          <w:color w:val="000000" w:themeColor="text1"/>
          <w:sz w:val="32"/>
          <w:szCs w:val="32"/>
          <w:highlight w:val="none"/>
          <w:lang w:val="zh-CN"/>
          <w14:textFill>
            <w14:solidFill>
              <w14:schemeClr w14:val="tx1"/>
            </w14:solidFill>
          </w14:textFill>
        </w:rPr>
        <w:t>资金来源证明及支付担保</w:t>
      </w:r>
      <w:bookmarkEnd w:id="192"/>
      <w:bookmarkEnd w:id="193"/>
      <w:bookmarkEnd w:id="194"/>
      <w:bookmarkEnd w:id="195"/>
      <w:bookmarkEnd w:id="196"/>
      <w:bookmarkEnd w:id="197"/>
    </w:p>
    <w:p w14:paraId="0BC5636C">
      <w:pPr>
        <w:spacing w:line="360" w:lineRule="auto"/>
        <w:ind w:firstLine="420" w:firstLineChars="200"/>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发包人提供资金来源证明的期限要求：</w:t>
      </w:r>
      <w:r>
        <w:rPr>
          <w:rFonts w:hint="eastAsia"/>
          <w:color w:val="000000" w:themeColor="text1"/>
          <w:szCs w:val="21"/>
          <w:highlight w:val="none"/>
          <w:u w:val="single"/>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w:t>
      </w:r>
    </w:p>
    <w:p w14:paraId="6DB42BFD">
      <w:pPr>
        <w:spacing w:line="360" w:lineRule="auto"/>
        <w:ind w:firstLine="420" w:firstLineChars="200"/>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发包人是否提供支付担保：无 。【发包人要求承包人提供履约担保的，应当同时向承包人提供工程款支付担保。工程款支付担保可以全额担保，也可以分阶段担保。分阶段担保的，除保修金以外的全部款项，完成一个阶段清算后再进入下一阶段，有效期截至工程竣工结算款支付完毕。发包人未按合同约定及时支付工程款的，工程担保保证人需承担担保责任。对政府投资项目，由建设单位提供落实财政资金来源的证明文件。】</w:t>
      </w:r>
    </w:p>
    <w:p w14:paraId="65D850F9">
      <w:pPr>
        <w:spacing w:line="360" w:lineRule="auto"/>
        <w:ind w:firstLine="420" w:firstLineChars="200"/>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发包人提供支付担保的形式：</w:t>
      </w:r>
      <w:r>
        <w:rPr>
          <w:rFonts w:hint="eastAsia"/>
          <w:color w:val="000000" w:themeColor="text1"/>
          <w:szCs w:val="21"/>
          <w:highlight w:val="none"/>
          <w14:textFill>
            <w14:solidFill>
              <w14:schemeClr w14:val="tx1"/>
            </w14:solidFill>
          </w14:textFill>
        </w:rPr>
        <w:t>可以是</w:t>
      </w:r>
      <w:r>
        <w:rPr>
          <w:rFonts w:hint="eastAsia" w:hAnsi="宋体" w:cs="宋体"/>
          <w:color w:val="000000" w:themeColor="text1"/>
          <w:szCs w:val="21"/>
          <w:highlight w:val="none"/>
          <w14:textFill>
            <w14:solidFill>
              <w14:schemeClr w14:val="tx1"/>
            </w14:solidFill>
          </w14:textFill>
        </w:rPr>
        <w:t>银行转账、电汇或网上支付、保函（银行保函、电子</w:t>
      </w:r>
      <w:r>
        <w:rPr>
          <w:rFonts w:hAnsi="宋体" w:cs="宋体"/>
          <w:color w:val="000000" w:themeColor="text1"/>
          <w:szCs w:val="21"/>
          <w:highlight w:val="none"/>
          <w14:textFill>
            <w14:solidFill>
              <w14:schemeClr w14:val="tx1"/>
            </w14:solidFill>
          </w14:textFill>
        </w:rPr>
        <w:t>保函</w:t>
      </w:r>
      <w:r>
        <w:rPr>
          <w:rFonts w:hint="eastAsia" w:hAnsi="宋体" w:cs="宋体"/>
          <w:color w:val="000000" w:themeColor="text1"/>
          <w:szCs w:val="21"/>
          <w:highlight w:val="none"/>
          <w14:textFill>
            <w14:solidFill>
              <w14:schemeClr w14:val="tx1"/>
            </w14:solidFill>
          </w14:textFill>
        </w:rPr>
        <w:t>、保证保险保函、工程担保保函）</w:t>
      </w:r>
      <w:r>
        <w:rPr>
          <w:rFonts w:hint="eastAsia" w:hAnsi="宋体"/>
          <w:color w:val="000000" w:themeColor="text1"/>
          <w:szCs w:val="21"/>
          <w:highlight w:val="none"/>
          <w14:textFill>
            <w14:solidFill>
              <w14:schemeClr w14:val="tx1"/>
            </w14:solidFill>
          </w14:textFill>
        </w:rPr>
        <w:t>等</w:t>
      </w:r>
      <w:r>
        <w:rPr>
          <w:rFonts w:hint="eastAsia" w:hAnsi="宋体" w:cs="宋体"/>
          <w:color w:val="000000" w:themeColor="text1"/>
          <w:szCs w:val="21"/>
          <w:highlight w:val="none"/>
          <w14:textFill>
            <w14:solidFill>
              <w14:schemeClr w14:val="tx1"/>
            </w14:solidFill>
          </w14:textFill>
        </w:rPr>
        <w:t>形</w:t>
      </w:r>
      <w:r>
        <w:rPr>
          <w:rFonts w:hint="eastAsia" w:hAnsi="宋体"/>
          <w:color w:val="000000" w:themeColor="text1"/>
          <w:szCs w:val="21"/>
          <w:highlight w:val="none"/>
          <w14:textFill>
            <w14:solidFill>
              <w14:schemeClr w14:val="tx1"/>
            </w14:solidFill>
          </w14:textFill>
        </w:rPr>
        <w:t>式</w:t>
      </w:r>
      <w:r>
        <w:rPr>
          <w:rFonts w:hint="eastAsia" w:hAnsi="宋体" w:cs="宋体"/>
          <w:color w:val="000000" w:themeColor="text1"/>
          <w:szCs w:val="21"/>
          <w:highlight w:val="none"/>
          <w14:textFill>
            <w14:solidFill>
              <w14:schemeClr w14:val="tx1"/>
            </w14:solidFill>
          </w14:textFill>
        </w:rPr>
        <w:t>。工程担保保证人应将出具的保函相关信息录入“广西建筑市场监管云”平台（http://gxjzsc.caihcloud.com），以实现保函查询及验真功能。</w:t>
      </w:r>
    </w:p>
    <w:p w14:paraId="019073E6">
      <w:pPr>
        <w:spacing w:line="360" w:lineRule="auto"/>
        <w:ind w:firstLine="420" w:firstLineChars="200"/>
        <w:rPr>
          <w:color w:val="000000" w:themeColor="text1"/>
          <w:szCs w:val="21"/>
          <w:highlight w:val="none"/>
          <w:u w:val="singl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发包人提供的支付担保格式见合同附件</w:t>
      </w:r>
      <w:r>
        <w:rPr>
          <w:rFonts w:hint="eastAsia" w:hAnsi="宋体"/>
          <w:color w:val="000000" w:themeColor="text1"/>
          <w:szCs w:val="21"/>
          <w:highlight w:val="none"/>
          <w14:textFill>
            <w14:solidFill>
              <w14:schemeClr w14:val="tx1"/>
            </w14:solidFill>
          </w14:textFill>
        </w:rPr>
        <w:t>9</w:t>
      </w:r>
      <w:r>
        <w:rPr>
          <w:rFonts w:hint="eastAsia" w:hAnsi="宋体" w:cs="宋体"/>
          <w:color w:val="000000" w:themeColor="text1"/>
          <w:szCs w:val="21"/>
          <w:highlight w:val="none"/>
          <w14:textFill>
            <w14:solidFill>
              <w14:schemeClr w14:val="tx1"/>
            </w14:solidFill>
          </w14:textFill>
        </w:rPr>
        <w:t>。</w:t>
      </w:r>
    </w:p>
    <w:p w14:paraId="46F38E5F">
      <w:pPr>
        <w:keepNext/>
        <w:keepLines/>
        <w:spacing w:before="60" w:after="60" w:line="413" w:lineRule="auto"/>
        <w:outlineLvl w:val="1"/>
        <w:rPr>
          <w:rFonts w:ascii="Arial" w:hAnsi="Arial" w:eastAsia="黑体"/>
          <w:b/>
          <w:bCs/>
          <w:color w:val="000000" w:themeColor="text1"/>
          <w:sz w:val="32"/>
          <w:szCs w:val="32"/>
          <w:highlight w:val="none"/>
          <w:lang w:val="zh-CN"/>
          <w14:textFill>
            <w14:solidFill>
              <w14:schemeClr w14:val="tx1"/>
            </w14:solidFill>
          </w14:textFill>
        </w:rPr>
      </w:pPr>
      <w:bookmarkStart w:id="198" w:name="_Toc407135208"/>
      <w:bookmarkStart w:id="199" w:name="_Toc373227706"/>
      <w:bookmarkStart w:id="200" w:name="_Toc78449794"/>
      <w:bookmarkStart w:id="201" w:name="_Toc389065272"/>
      <w:bookmarkStart w:id="202" w:name="_Toc351203635"/>
      <w:bookmarkStart w:id="203" w:name="_Toc373478353"/>
      <w:bookmarkStart w:id="204" w:name="_Toc114058845"/>
      <w:r>
        <w:rPr>
          <w:rFonts w:ascii="Arial" w:hAnsi="Arial" w:eastAsia="黑体"/>
          <w:b/>
          <w:bCs/>
          <w:color w:val="000000" w:themeColor="text1"/>
          <w:sz w:val="32"/>
          <w:szCs w:val="32"/>
          <w:highlight w:val="none"/>
          <w:lang w:val="zh-CN"/>
          <w14:textFill>
            <w14:solidFill>
              <w14:schemeClr w14:val="tx1"/>
            </w14:solidFill>
          </w14:textFill>
        </w:rPr>
        <w:t>3</w:t>
      </w:r>
      <w:bookmarkStart w:id="205" w:name="_Toc297120458"/>
      <w:bookmarkStart w:id="206" w:name="_Toc292559363"/>
      <w:bookmarkStart w:id="207" w:name="_Toc296944497"/>
      <w:bookmarkStart w:id="208" w:name="_Toc296346659"/>
      <w:bookmarkStart w:id="209" w:name="_Toc292559868"/>
      <w:bookmarkStart w:id="210" w:name="_Toc296503158"/>
      <w:bookmarkStart w:id="211" w:name="_Toc296890986"/>
      <w:bookmarkStart w:id="212" w:name="_Toc296891198"/>
      <w:bookmarkStart w:id="213" w:name="_Toc296347157"/>
      <w:bookmarkStart w:id="214" w:name="_Toc297048344"/>
      <w:r>
        <w:rPr>
          <w:rFonts w:ascii="Arial" w:hAnsi="Arial" w:eastAsia="黑体"/>
          <w:b/>
          <w:bCs/>
          <w:color w:val="000000" w:themeColor="text1"/>
          <w:sz w:val="32"/>
          <w:szCs w:val="32"/>
          <w:highlight w:val="none"/>
          <w:lang w:val="zh-CN"/>
          <w14:textFill>
            <w14:solidFill>
              <w14:schemeClr w14:val="tx1"/>
            </w14:solidFill>
          </w14:textFill>
        </w:rPr>
        <w:t xml:space="preserve">. </w:t>
      </w:r>
      <w:r>
        <w:rPr>
          <w:rFonts w:hint="eastAsia" w:ascii="Arial" w:hAnsi="宋体" w:eastAsia="黑体" w:cs="黑体"/>
          <w:b/>
          <w:bCs/>
          <w:color w:val="000000" w:themeColor="text1"/>
          <w:sz w:val="32"/>
          <w:szCs w:val="32"/>
          <w:highlight w:val="none"/>
          <w:lang w:val="zh-CN"/>
          <w14:textFill>
            <w14:solidFill>
              <w14:schemeClr w14:val="tx1"/>
            </w14:solidFill>
          </w14:textFill>
        </w:rPr>
        <w:t>承包人</w:t>
      </w:r>
      <w:bookmarkEnd w:id="198"/>
      <w:bookmarkEnd w:id="199"/>
      <w:bookmarkEnd w:id="200"/>
      <w:bookmarkEnd w:id="201"/>
      <w:bookmarkEnd w:id="202"/>
      <w:bookmarkEnd w:id="203"/>
      <w:bookmarkEnd w:id="204"/>
    </w:p>
    <w:bookmarkEnd w:id="205"/>
    <w:bookmarkEnd w:id="206"/>
    <w:bookmarkEnd w:id="207"/>
    <w:bookmarkEnd w:id="208"/>
    <w:bookmarkEnd w:id="209"/>
    <w:bookmarkEnd w:id="210"/>
    <w:bookmarkEnd w:id="211"/>
    <w:bookmarkEnd w:id="212"/>
    <w:bookmarkEnd w:id="213"/>
    <w:bookmarkEnd w:id="214"/>
    <w:p w14:paraId="6C00C568">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215" w:name="_Toc114058846"/>
      <w:bookmarkStart w:id="216" w:name="_Toc373478354"/>
      <w:bookmarkStart w:id="217" w:name="_Toc407135209"/>
      <w:bookmarkStart w:id="218" w:name="_Toc78449795"/>
      <w:bookmarkStart w:id="219" w:name="_Toc389065273"/>
      <w:bookmarkStart w:id="220" w:name="_Toc373227707"/>
      <w:r>
        <w:rPr>
          <w:rFonts w:eastAsia="黑体"/>
          <w:b/>
          <w:bCs/>
          <w:color w:val="000000" w:themeColor="text1"/>
          <w:sz w:val="32"/>
          <w:szCs w:val="32"/>
          <w:highlight w:val="none"/>
          <w:lang w:val="zh-CN"/>
          <w14:textFill>
            <w14:solidFill>
              <w14:schemeClr w14:val="tx1"/>
            </w14:solidFill>
          </w14:textFill>
        </w:rPr>
        <w:t xml:space="preserve">3.1 </w:t>
      </w:r>
      <w:r>
        <w:rPr>
          <w:rFonts w:hint="eastAsia" w:eastAsia="黑体" w:cs="黑体"/>
          <w:b/>
          <w:bCs/>
          <w:color w:val="000000" w:themeColor="text1"/>
          <w:sz w:val="32"/>
          <w:szCs w:val="32"/>
          <w:highlight w:val="none"/>
          <w:lang w:val="zh-CN"/>
          <w14:textFill>
            <w14:solidFill>
              <w14:schemeClr w14:val="tx1"/>
            </w14:solidFill>
          </w14:textFill>
        </w:rPr>
        <w:t>承包人的一般义务</w:t>
      </w:r>
      <w:bookmarkEnd w:id="215"/>
      <w:bookmarkEnd w:id="216"/>
      <w:bookmarkEnd w:id="217"/>
      <w:bookmarkEnd w:id="218"/>
      <w:bookmarkEnd w:id="219"/>
      <w:bookmarkEnd w:id="220"/>
    </w:p>
    <w:p w14:paraId="7DC19A58">
      <w:pPr>
        <w:spacing w:line="360" w:lineRule="auto"/>
        <w:ind w:firstLine="420" w:firstLineChars="200"/>
        <w:jc w:val="left"/>
        <w:rPr>
          <w:rFonts w:hAnsi="宋体"/>
          <w:color w:val="000000" w:themeColor="text1"/>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w:t>
      </w:r>
      <w:r>
        <w:rPr>
          <w:color w:val="000000" w:themeColor="text1"/>
          <w:kern w:val="0"/>
          <w:szCs w:val="21"/>
          <w:highlight w:val="none"/>
          <w14:textFill>
            <w14:solidFill>
              <w14:schemeClr w14:val="tx1"/>
            </w14:solidFill>
          </w14:textFill>
        </w:rPr>
        <w:t>9</w:t>
      </w:r>
      <w:r>
        <w:rPr>
          <w:rFonts w:hint="eastAsia" w:hAnsi="宋体" w:cs="宋体"/>
          <w:color w:val="000000" w:themeColor="text1"/>
          <w:kern w:val="0"/>
          <w:szCs w:val="21"/>
          <w:highlight w:val="none"/>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承包人提交的竣工资料的内容：</w:t>
      </w:r>
    </w:p>
    <w:p w14:paraId="1B6E3A26">
      <w:pPr>
        <w:spacing w:line="360" w:lineRule="auto"/>
        <w:ind w:firstLine="420" w:firstLineChars="200"/>
        <w:jc w:val="left"/>
        <w:rPr>
          <w:color w:val="000000" w:themeColor="text1"/>
          <w:szCs w:val="21"/>
          <w:highlight w:val="none"/>
          <w:u w:val="single"/>
          <w14:textFill>
            <w14:solidFill>
              <w14:schemeClr w14:val="tx1"/>
            </w14:solidFill>
          </w14:textFill>
        </w:rPr>
      </w:pPr>
      <w:r>
        <w:rPr>
          <w:rFonts w:hint="eastAsia" w:hAnsi="宋体"/>
          <w:color w:val="000000" w:themeColor="text1"/>
          <w:szCs w:val="21"/>
          <w:highlight w:val="none"/>
          <w:u w:val="single"/>
          <w14:textFill>
            <w14:solidFill>
              <w14:schemeClr w14:val="tx1"/>
            </w14:solidFill>
          </w14:textFill>
        </w:rPr>
        <w:t>按国家规范工程竣工验收有关规定，向发包人提供完整的（含现场隐蔽工程照片、录像）竣工资料一式陆套及竣工验收报告</w:t>
      </w:r>
      <w:r>
        <w:rPr>
          <w:rFonts w:hAnsi="宋体"/>
          <w:color w:val="000000" w:themeColor="text1"/>
          <w:szCs w:val="21"/>
          <w:highlight w:val="none"/>
          <w14:textFill>
            <w14:solidFill>
              <w14:schemeClr w14:val="tx1"/>
            </w14:solidFill>
          </w14:textFill>
        </w:rPr>
        <w:t>。</w:t>
      </w:r>
    </w:p>
    <w:p w14:paraId="1EFC48FD">
      <w:pPr>
        <w:spacing w:line="360" w:lineRule="auto"/>
        <w:ind w:firstLine="420" w:firstLineChars="200"/>
        <w:jc w:val="left"/>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承包人需要提交的竣工资料套数：</w:t>
      </w:r>
      <w:r>
        <w:rPr>
          <w:rFonts w:hint="eastAsia" w:hAnsi="宋体"/>
          <w:color w:val="000000" w:themeColor="text1"/>
          <w:szCs w:val="21"/>
          <w:highlight w:val="none"/>
          <w:u w:val="single"/>
          <w14:textFill>
            <w14:solidFill>
              <w14:schemeClr w14:val="tx1"/>
            </w14:solidFill>
          </w14:textFill>
        </w:rPr>
        <w:t>一式陆套</w:t>
      </w:r>
      <w:r>
        <w:rPr>
          <w:rFonts w:hAnsi="宋体"/>
          <w:color w:val="000000" w:themeColor="text1"/>
          <w:szCs w:val="21"/>
          <w:highlight w:val="none"/>
          <w14:textFill>
            <w14:solidFill>
              <w14:schemeClr w14:val="tx1"/>
            </w14:solidFill>
          </w14:textFill>
        </w:rPr>
        <w:t>。</w:t>
      </w:r>
    </w:p>
    <w:p w14:paraId="5F11D96D">
      <w:pPr>
        <w:spacing w:line="360" w:lineRule="auto"/>
        <w:ind w:left="424" w:leftChars="202"/>
        <w:jc w:val="left"/>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承包人提交的竣工资料的费用承担：</w:t>
      </w:r>
      <w:r>
        <w:rPr>
          <w:rFonts w:hint="eastAsia"/>
          <w:color w:val="000000" w:themeColor="text1"/>
          <w:szCs w:val="21"/>
          <w:highlight w:val="none"/>
          <w:u w:val="single"/>
          <w14:textFill>
            <w14:solidFill>
              <w14:schemeClr w14:val="tx1"/>
            </w14:solidFill>
          </w14:textFill>
        </w:rPr>
        <w:t>费用由承包人承担</w:t>
      </w:r>
      <w:r>
        <w:rPr>
          <w:rFonts w:hAnsi="宋体"/>
          <w:color w:val="000000" w:themeColor="text1"/>
          <w:szCs w:val="21"/>
          <w:highlight w:val="none"/>
          <w14:textFill>
            <w14:solidFill>
              <w14:schemeClr w14:val="tx1"/>
            </w14:solidFill>
          </w14:textFill>
        </w:rPr>
        <w:t>。</w:t>
      </w:r>
    </w:p>
    <w:p w14:paraId="460340E9">
      <w:pPr>
        <w:spacing w:line="360" w:lineRule="auto"/>
        <w:ind w:left="424" w:leftChars="202"/>
        <w:jc w:val="left"/>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承包人提交的竣工资料移交时间：</w:t>
      </w:r>
      <w:r>
        <w:rPr>
          <w:rFonts w:hint="eastAsia"/>
          <w:color w:val="000000" w:themeColor="text1"/>
          <w:szCs w:val="21"/>
          <w:highlight w:val="none"/>
          <w:u w:val="single"/>
          <w14:textFill>
            <w14:solidFill>
              <w14:schemeClr w14:val="tx1"/>
            </w14:solidFill>
          </w14:textFill>
        </w:rPr>
        <w:t>竣工验收整改完成后15日内</w:t>
      </w:r>
      <w:r>
        <w:rPr>
          <w:rFonts w:hAnsi="宋体"/>
          <w:color w:val="000000" w:themeColor="text1"/>
          <w:szCs w:val="21"/>
          <w:highlight w:val="none"/>
          <w14:textFill>
            <w14:solidFill>
              <w14:schemeClr w14:val="tx1"/>
            </w14:solidFill>
          </w14:textFill>
        </w:rPr>
        <w:t>。</w:t>
      </w:r>
    </w:p>
    <w:p w14:paraId="4358C712">
      <w:pPr>
        <w:spacing w:line="360" w:lineRule="auto"/>
        <w:ind w:firstLine="420" w:firstLineChars="200"/>
        <w:jc w:val="left"/>
        <w:rPr>
          <w:color w:val="000000" w:themeColor="text1"/>
          <w:szCs w:val="22"/>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承包人提交的竣工资料形式要求：</w:t>
      </w:r>
      <w:r>
        <w:rPr>
          <w:rFonts w:hint="eastAsia"/>
          <w:color w:val="000000" w:themeColor="text1"/>
          <w:szCs w:val="21"/>
          <w:highlight w:val="none"/>
          <w:u w:val="single"/>
          <w14:textFill>
            <w14:solidFill>
              <w14:schemeClr w14:val="tx1"/>
            </w14:solidFill>
          </w14:textFill>
        </w:rPr>
        <w:t>按南宁市建设行政主管部门和城市建设档案管理机构的相关要求，</w:t>
      </w:r>
      <w:r>
        <w:rPr>
          <w:rFonts w:hint="eastAsia" w:ascii="宋体" w:hAnsi="宋体"/>
          <w:color w:val="000000" w:themeColor="text1"/>
          <w:highlight w:val="none"/>
          <w:u w:val="single"/>
          <w14:textFill>
            <w14:solidFill>
              <w14:schemeClr w14:val="tx1"/>
            </w14:solidFill>
          </w14:textFill>
        </w:rPr>
        <w:t>纸质及电子文档并装订成册</w:t>
      </w:r>
      <w:r>
        <w:rPr>
          <w:rFonts w:hint="eastAsia" w:ascii="宋体" w:hAnsi="宋体"/>
          <w:color w:val="000000" w:themeColor="text1"/>
          <w:highlight w:val="none"/>
          <w14:textFill>
            <w14:solidFill>
              <w14:schemeClr w14:val="tx1"/>
            </w14:solidFill>
          </w14:textFill>
        </w:rPr>
        <w:t>。</w:t>
      </w:r>
    </w:p>
    <w:p w14:paraId="31908DF2">
      <w:pPr>
        <w:numPr>
          <w:ilvl w:val="0"/>
          <w:numId w:val="15"/>
        </w:numPr>
        <w:spacing w:line="360" w:lineRule="auto"/>
        <w:ind w:firstLine="420" w:firstLineChars="200"/>
        <w:rPr>
          <w:rFonts w:hAnsi="宋体" w:cs="宋体"/>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承包人应履行的其他义务：</w:t>
      </w:r>
    </w:p>
    <w:p w14:paraId="7EAE4FBE">
      <w:pPr>
        <w:spacing w:line="360" w:lineRule="auto"/>
        <w:ind w:firstLine="420" w:firstLineChars="200"/>
        <w:rPr>
          <w:color w:val="000000" w:themeColor="text1"/>
          <w:kern w:val="0"/>
          <w:szCs w:val="21"/>
          <w:highlight w:val="none"/>
          <w:u w:val="singl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1）</w:t>
      </w:r>
      <w:r>
        <w:rPr>
          <w:rFonts w:hint="eastAsia" w:hAnsi="宋体" w:cs="宋体"/>
          <w:color w:val="000000" w:themeColor="text1"/>
          <w:kern w:val="0"/>
          <w:szCs w:val="21"/>
          <w:highlight w:val="none"/>
          <w:u w:val="single"/>
          <w14:textFill>
            <w14:solidFill>
              <w14:schemeClr w14:val="tx1"/>
            </w14:solidFill>
          </w14:textFill>
        </w:rPr>
        <w:t>对开工的项目，须组建项目工会。</w:t>
      </w:r>
    </w:p>
    <w:p w14:paraId="3D0ABD83">
      <w:pPr>
        <w:spacing w:line="360" w:lineRule="auto"/>
        <w:ind w:firstLine="422" w:firstLineChars="200"/>
        <w:rPr>
          <w:rFonts w:ascii="宋体" w:hAnsi="宋体"/>
          <w:b/>
          <w:bCs/>
          <w:color w:val="000000" w:themeColor="text1"/>
          <w:kern w:val="0"/>
          <w:szCs w:val="21"/>
          <w:highlight w:val="none"/>
          <w:u w:val="single"/>
          <w14:textFill>
            <w14:solidFill>
              <w14:schemeClr w14:val="tx1"/>
            </w14:solidFill>
          </w14:textFill>
        </w:rPr>
      </w:pPr>
      <w:r>
        <w:rPr>
          <w:rFonts w:hint="eastAsia" w:ascii="宋体" w:hAnsi="宋体"/>
          <w:b/>
          <w:bCs/>
          <w:color w:val="000000" w:themeColor="text1"/>
          <w:kern w:val="0"/>
          <w:szCs w:val="21"/>
          <w:highlight w:val="none"/>
          <w14:textFill>
            <w14:solidFill>
              <w14:schemeClr w14:val="tx1"/>
            </w14:solidFill>
          </w14:textFill>
        </w:rPr>
        <w:t>2）施工场地周围地下管线和邻近建筑物、构筑物（含文物保护建筑）、古树名木的保护要求及费用承担：</w:t>
      </w:r>
      <w:r>
        <w:rPr>
          <w:rFonts w:hint="eastAsia" w:ascii="宋体" w:hAnsi="宋体"/>
          <w:b/>
          <w:bCs/>
          <w:color w:val="000000" w:themeColor="text1"/>
          <w:kern w:val="0"/>
          <w:szCs w:val="21"/>
          <w:highlight w:val="none"/>
          <w:u w:val="single"/>
          <w14:textFill>
            <w14:solidFill>
              <w14:schemeClr w14:val="tx1"/>
            </w14:solidFill>
          </w14:textFill>
        </w:rPr>
        <w:t>承包人施工时应探明并负责保护且承包费用，施工时如属承包人自身原因损坏地下管线、邻近建筑物、构筑物，所发生费用由承包人承担。</w:t>
      </w:r>
    </w:p>
    <w:p w14:paraId="1451A6E3">
      <w:pPr>
        <w:spacing w:line="360" w:lineRule="auto"/>
        <w:ind w:firstLine="422" w:firstLineChars="200"/>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kern w:val="0"/>
          <w:szCs w:val="21"/>
          <w:highlight w:val="none"/>
          <w14:textFill>
            <w14:solidFill>
              <w14:schemeClr w14:val="tx1"/>
            </w14:solidFill>
          </w14:textFill>
        </w:rPr>
        <w:t>3）</w:t>
      </w:r>
      <w:r>
        <w:rPr>
          <w:rFonts w:hint="eastAsia" w:ascii="宋体" w:hAnsi="宋体"/>
          <w:b/>
          <w:bCs/>
          <w:color w:val="000000" w:themeColor="text1"/>
          <w:szCs w:val="21"/>
          <w:highlight w:val="none"/>
          <w14:textFill>
            <w14:solidFill>
              <w14:schemeClr w14:val="tx1"/>
            </w14:solidFill>
          </w14:textFill>
        </w:rPr>
        <w:t>取土场及弃土场由承包人自行解决，但不得违反相关管理规定，并承担相关费用。</w:t>
      </w:r>
    </w:p>
    <w:p w14:paraId="201C0759">
      <w:pPr>
        <w:spacing w:line="360" w:lineRule="auto"/>
        <w:ind w:firstLine="441" w:firstLineChars="21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4）承包人的临时占地（含项目部驻地等）租用费（含拆迁补偿）、临时用地的环保、恢复及所有临时性占地的青苗补偿及地面附着物发生的费用均由承包人负责。</w:t>
      </w:r>
    </w:p>
    <w:p w14:paraId="1740B187">
      <w:pPr>
        <w:spacing w:line="360" w:lineRule="auto"/>
        <w:ind w:firstLine="441" w:firstLineChars="21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5）承包人应按监理人的指示负责拆除、清理已征用土地上的零星拆迁垃圾、杂物以及场地中的树根等并承担相关费用。</w:t>
      </w:r>
    </w:p>
    <w:p w14:paraId="7818B9FC">
      <w:pPr>
        <w:spacing w:line="360" w:lineRule="auto"/>
        <w:ind w:firstLine="441" w:firstLineChars="21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6）各合同承包人应允许本工程其他承包人在本合同承包人施工场地上架设施工用电线路，线路走向由监理人会同各有关合同承包人共同协商确定。</w:t>
      </w:r>
    </w:p>
    <w:p w14:paraId="6309E4E7">
      <w:pPr>
        <w:spacing w:line="360" w:lineRule="auto"/>
        <w:ind w:firstLine="441" w:firstLineChars="21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7）承包人应充分理解有一些设施（如施工道路）将会由一个以上的承包人使用，如果在使用过程中发生干扰时，应立即通知监理人并服从监理人的决定。</w:t>
      </w:r>
    </w:p>
    <w:p w14:paraId="544EF50A">
      <w:pPr>
        <w:spacing w:line="360" w:lineRule="auto"/>
        <w:ind w:firstLine="441" w:firstLineChars="21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8）凡属于需要承包人交付给其他承包人的工作面以及与其他承包人交叉作业的工作面，承包人必须服从发包人的决定，按规定的完工日期完成并将清理好的工作面移交给发包人。</w:t>
      </w:r>
    </w:p>
    <w:p w14:paraId="7FABCAFE">
      <w:pPr>
        <w:spacing w:line="360" w:lineRule="auto"/>
        <w:ind w:firstLine="441" w:firstLineChars="21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9）承包人应为发包人现场代表对施工现场的检查监督提供必要的配合，并对这种配合对施工的影响应有充分的考虑。</w:t>
      </w:r>
    </w:p>
    <w:p w14:paraId="7E51AA6A">
      <w:pPr>
        <w:spacing w:line="360" w:lineRule="auto"/>
        <w:ind w:firstLine="441" w:firstLineChars="21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10）配合发包人作好安全文明宣传、领导检查宣传等工作，相关费用由承包人承担。</w:t>
      </w:r>
    </w:p>
    <w:p w14:paraId="75A0FA26">
      <w:pPr>
        <w:spacing w:line="360" w:lineRule="auto"/>
        <w:ind w:firstLine="441" w:firstLineChars="21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11）承包人须自行承担本工程水电报装（含变压器、设备、电等）、使用、维护、拆除、恢复等工作，并负责相关费用。</w:t>
      </w:r>
    </w:p>
    <w:p w14:paraId="0E98D6B8">
      <w:pPr>
        <w:spacing w:line="360" w:lineRule="auto"/>
        <w:ind w:firstLine="441" w:firstLineChars="21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12）对上述2）～11）项工作，费用已包括在有关单价和总价中，发包人不再另行支付由此所发生的一切费用。</w:t>
      </w:r>
    </w:p>
    <w:p w14:paraId="60308A2F">
      <w:pPr>
        <w:spacing w:line="360" w:lineRule="auto"/>
        <w:ind w:firstLine="441" w:firstLineChars="21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经过城市道路的施工车辆，必须按交警、城管、环保、环卫等部门规定通行。施工车辆的营运手续办理、清洗等一切费用由承包人承担。由于车辆带泥或洒漏造成的道路、环境等污染，其责任和费用均由承包人承担。</w:t>
      </w:r>
    </w:p>
    <w:p w14:paraId="7FF478D4">
      <w:pPr>
        <w:spacing w:line="360" w:lineRule="auto"/>
        <w:ind w:firstLine="441" w:firstLineChars="21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14）土料场由承包人自行解决。</w:t>
      </w:r>
    </w:p>
    <w:p w14:paraId="6E4D2349">
      <w:pPr>
        <w:spacing w:line="360" w:lineRule="auto"/>
        <w:ind w:firstLine="441" w:firstLineChars="21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承包人应负责施工场内交通管制和协调通行工作。连接施工场内外道路出口处须设洗车场，对从施工场地进入市区道路的所有车辆进行清洗，并派专人在出口处负责看守，严禁与工程施工无关的人员及车辆进出施工场地，所发生的费用由承包人承担。如承包人违反以上有关规定，由此所造成的一切后果由承包人负责。</w:t>
      </w:r>
    </w:p>
    <w:p w14:paraId="583CB7D6">
      <w:pPr>
        <w:spacing w:line="360" w:lineRule="auto"/>
        <w:ind w:firstLine="441" w:firstLineChars="21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16）承包人修建的临时道路和交通设施，应免费提供给发包人、监理人和其他合同段的承包人使用。</w:t>
      </w:r>
    </w:p>
    <w:p w14:paraId="433E4BF0">
      <w:pPr>
        <w:spacing w:line="360" w:lineRule="auto"/>
        <w:ind w:firstLine="441" w:firstLineChars="21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17）承包人在施工期间应协调好与邻近相关单位（含居民、农民）的关系，应避免发生矛盾与冲突，否则，由此造成的一切后果由承包人承担。</w:t>
      </w:r>
    </w:p>
    <w:p w14:paraId="2809ADAB">
      <w:pPr>
        <w:spacing w:line="360" w:lineRule="auto"/>
        <w:ind w:firstLine="420" w:firstLineChars="200"/>
        <w:jc w:val="left"/>
        <w:rPr>
          <w:rFonts w:ascii="宋体" w:hAnsi="宋体"/>
          <w:b/>
          <w:bCs/>
          <w:color w:val="000000" w:themeColor="text1"/>
          <w:kern w:val="0"/>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18）由</w:t>
      </w:r>
      <w:r>
        <w:rPr>
          <w:rFonts w:hint="eastAsia" w:ascii="宋体" w:hAnsi="宋体"/>
          <w:b/>
          <w:bCs/>
          <w:color w:val="000000" w:themeColor="text1"/>
          <w:kern w:val="0"/>
          <w:szCs w:val="21"/>
          <w:highlight w:val="none"/>
          <w14:textFill>
            <w14:solidFill>
              <w14:schemeClr w14:val="tx1"/>
            </w14:solidFill>
          </w14:textFill>
        </w:rPr>
        <w:t>承包人按</w:t>
      </w:r>
      <w:r>
        <w:rPr>
          <w:rFonts w:hint="eastAsia" w:ascii="宋体" w:hAnsi="宋体"/>
          <w:color w:val="000000" w:themeColor="text1"/>
          <w:kern w:val="0"/>
          <w:szCs w:val="21"/>
          <w:highlight w:val="none"/>
          <w14:textFill>
            <w14:solidFill>
              <w14:schemeClr w14:val="tx1"/>
            </w14:solidFill>
          </w14:textFill>
        </w:rPr>
        <w:t>国家和自治区有关征收、管理和使用</w:t>
      </w:r>
      <w:r>
        <w:rPr>
          <w:rFonts w:hint="eastAsia" w:ascii="宋体" w:hAnsi="宋体"/>
          <w:b/>
          <w:bCs/>
          <w:color w:val="000000" w:themeColor="text1"/>
          <w:kern w:val="0"/>
          <w:szCs w:val="21"/>
          <w:highlight w:val="none"/>
          <w14:textFill>
            <w14:solidFill>
              <w14:schemeClr w14:val="tx1"/>
            </w14:solidFill>
          </w14:textFill>
        </w:rPr>
        <w:t>新型墙体材料专项基金、散装水泥专项基金</w:t>
      </w:r>
      <w:r>
        <w:rPr>
          <w:rFonts w:hint="eastAsia" w:ascii="宋体" w:hAnsi="宋体"/>
          <w:color w:val="000000" w:themeColor="text1"/>
          <w:kern w:val="0"/>
          <w:szCs w:val="21"/>
          <w:highlight w:val="none"/>
          <w14:textFill>
            <w14:solidFill>
              <w14:schemeClr w14:val="tx1"/>
            </w14:solidFill>
          </w14:textFill>
        </w:rPr>
        <w:t>的有关规定</w:t>
      </w:r>
      <w:r>
        <w:rPr>
          <w:rFonts w:hint="eastAsia" w:ascii="宋体" w:hAnsi="宋体"/>
          <w:b/>
          <w:bCs/>
          <w:color w:val="000000" w:themeColor="text1"/>
          <w:kern w:val="0"/>
          <w:szCs w:val="21"/>
          <w:highlight w:val="none"/>
          <w14:textFill>
            <w14:solidFill>
              <w14:schemeClr w14:val="tx1"/>
            </w14:solidFill>
          </w14:textFill>
        </w:rPr>
        <w:t>向管理部门缴纳新型墙体材料专项基金、散装水泥专项基金。</w:t>
      </w:r>
    </w:p>
    <w:p w14:paraId="5D33B94B">
      <w:pPr>
        <w:spacing w:line="360" w:lineRule="auto"/>
        <w:ind w:firstLine="422"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b/>
          <w:bCs/>
          <w:color w:val="000000" w:themeColor="text1"/>
          <w:kern w:val="0"/>
          <w:szCs w:val="21"/>
          <w:highlight w:val="none"/>
          <w14:textFill>
            <w14:solidFill>
              <w14:schemeClr w14:val="tx1"/>
            </w14:solidFill>
          </w14:textFill>
        </w:rPr>
        <w:t>19)</w:t>
      </w:r>
      <w:r>
        <w:rPr>
          <w:rFonts w:hint="eastAsia" w:ascii="宋体" w:hAnsi="宋体" w:cs="Arial"/>
          <w:color w:val="000000" w:themeColor="text1"/>
          <w:szCs w:val="21"/>
          <w:highlight w:val="none"/>
          <w14:textFill>
            <w14:solidFill>
              <w14:schemeClr w14:val="tx1"/>
            </w14:solidFill>
          </w14:textFill>
        </w:rPr>
        <w:t xml:space="preserve"> 积极协助与配合第三方审计机构开展跟踪审计工作，保障审计工作顺利进行。</w:t>
      </w:r>
    </w:p>
    <w:p w14:paraId="52FA3153">
      <w:pPr>
        <w:spacing w:line="360" w:lineRule="auto"/>
        <w:ind w:firstLine="420" w:firstLineChars="200"/>
        <w:jc w:val="left"/>
        <w:rPr>
          <w:color w:val="000000" w:themeColor="text1"/>
          <w:kern w:val="0"/>
          <w:szCs w:val="22"/>
          <w:highlight w:val="none"/>
          <w14:textFill>
            <w14:solidFill>
              <w14:schemeClr w14:val="tx1"/>
            </w14:solidFill>
          </w14:textFill>
        </w:rPr>
      </w:pPr>
      <w:r>
        <w:rPr>
          <w:rFonts w:hint="eastAsia" w:hAnsi="宋体"/>
          <w:color w:val="000000" w:themeColor="text1"/>
          <w:kern w:val="0"/>
          <w:szCs w:val="21"/>
          <w:highlight w:val="none"/>
          <w14:textFill>
            <w14:solidFill>
              <w14:schemeClr w14:val="tx1"/>
            </w14:solidFill>
          </w14:textFill>
        </w:rPr>
        <w:t>20）按照《中华人民共和国工会法》、《国务院关于进一步做好为农民工服务工作的意见》（国发〔2014〕40号）、《中华全国总工会关于深入贯彻落实&lt;国务院关于进一步做好为农民工服务工作的意见&gt;的实施意见》（总工发〔2015〕14号）有关要求，深入开展“农民工入会集中行动”。</w:t>
      </w:r>
    </w:p>
    <w:p w14:paraId="7102DE02">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221" w:name="_Toc78449796"/>
      <w:bookmarkStart w:id="222" w:name="_Toc373227708"/>
      <w:bookmarkStart w:id="223" w:name="_Toc114058847"/>
      <w:bookmarkStart w:id="224" w:name="_Toc407135210"/>
      <w:bookmarkStart w:id="225" w:name="_Toc389065274"/>
      <w:bookmarkStart w:id="226" w:name="_Toc373478355"/>
      <w:r>
        <w:rPr>
          <w:rFonts w:eastAsia="黑体"/>
          <w:b/>
          <w:bCs/>
          <w:color w:val="000000" w:themeColor="text1"/>
          <w:sz w:val="32"/>
          <w:szCs w:val="32"/>
          <w:highlight w:val="none"/>
          <w:lang w:val="zh-CN"/>
          <w14:textFill>
            <w14:solidFill>
              <w14:schemeClr w14:val="tx1"/>
            </w14:solidFill>
          </w14:textFill>
        </w:rPr>
        <w:t xml:space="preserve">3.2 </w:t>
      </w:r>
      <w:r>
        <w:rPr>
          <w:rFonts w:hint="eastAsia" w:hAnsi="宋体" w:eastAsia="黑体" w:cs="黑体"/>
          <w:b/>
          <w:bCs/>
          <w:color w:val="000000" w:themeColor="text1"/>
          <w:sz w:val="32"/>
          <w:szCs w:val="32"/>
          <w:highlight w:val="none"/>
          <w:lang w:val="zh-CN"/>
          <w14:textFill>
            <w14:solidFill>
              <w14:schemeClr w14:val="tx1"/>
            </w14:solidFill>
          </w14:textFill>
        </w:rPr>
        <w:t>项目经理</w:t>
      </w:r>
      <w:bookmarkEnd w:id="221"/>
      <w:bookmarkEnd w:id="222"/>
      <w:bookmarkEnd w:id="223"/>
      <w:bookmarkEnd w:id="224"/>
      <w:bookmarkEnd w:id="225"/>
      <w:bookmarkEnd w:id="226"/>
    </w:p>
    <w:p w14:paraId="204707F4">
      <w:pPr>
        <w:spacing w:line="360" w:lineRule="auto"/>
        <w:ind w:firstLine="420" w:firstLineChars="200"/>
        <w:rPr>
          <w:color w:val="000000" w:themeColor="text1"/>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 xml:space="preserve">3.2.1 </w:t>
      </w:r>
      <w:r>
        <w:rPr>
          <w:rFonts w:hint="eastAsia" w:hAnsi="宋体" w:cs="宋体"/>
          <w:color w:val="000000" w:themeColor="text1"/>
          <w:szCs w:val="21"/>
          <w:highlight w:val="none"/>
          <w14:textFill>
            <w14:solidFill>
              <w14:schemeClr w14:val="tx1"/>
            </w14:solidFill>
          </w14:textFill>
        </w:rPr>
        <w:t>项目经理：</w:t>
      </w:r>
    </w:p>
    <w:p w14:paraId="2B151C33">
      <w:pPr>
        <w:spacing w:line="360" w:lineRule="auto"/>
        <w:ind w:firstLine="420" w:firstLineChars="200"/>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姓名：；</w:t>
      </w:r>
    </w:p>
    <w:p w14:paraId="5A0495BA">
      <w:pPr>
        <w:spacing w:line="360" w:lineRule="auto"/>
        <w:ind w:firstLine="420" w:firstLineChars="200"/>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身份证号：；</w:t>
      </w:r>
    </w:p>
    <w:p w14:paraId="298D999F">
      <w:pPr>
        <w:spacing w:line="360" w:lineRule="auto"/>
        <w:ind w:firstLine="420" w:firstLineChars="200"/>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建造师执业资格等级：；</w:t>
      </w:r>
    </w:p>
    <w:p w14:paraId="3C866291">
      <w:pPr>
        <w:spacing w:line="360" w:lineRule="auto"/>
        <w:ind w:firstLine="420" w:firstLineChars="200"/>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建造师注册证书号：；</w:t>
      </w:r>
    </w:p>
    <w:p w14:paraId="7BB81996">
      <w:pPr>
        <w:spacing w:line="360" w:lineRule="auto"/>
        <w:ind w:firstLine="420" w:firstLineChars="200"/>
        <w:rPr>
          <w:rFonts w:hAnsi="宋体"/>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安全生产考核合格证书号：；</w:t>
      </w:r>
    </w:p>
    <w:p w14:paraId="111BD365">
      <w:pPr>
        <w:spacing w:line="360" w:lineRule="auto"/>
        <w:ind w:firstLine="420" w:firstLineChars="200"/>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联系电话：；</w:t>
      </w:r>
    </w:p>
    <w:p w14:paraId="4986C615">
      <w:pPr>
        <w:spacing w:line="360" w:lineRule="auto"/>
        <w:ind w:firstLine="420" w:firstLineChars="200"/>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电子信箱：；</w:t>
      </w:r>
    </w:p>
    <w:p w14:paraId="4E2C43F8">
      <w:pPr>
        <w:spacing w:line="360" w:lineRule="auto"/>
        <w:ind w:firstLine="420" w:firstLineChars="200"/>
        <w:rPr>
          <w:rFonts w:hAnsi="宋体"/>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通信地址：；</w:t>
      </w:r>
    </w:p>
    <w:p w14:paraId="7577DEDB">
      <w:pPr>
        <w:spacing w:line="360" w:lineRule="auto"/>
        <w:ind w:firstLine="420" w:firstLineChars="200"/>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承包人对项目经理的授权范围如下：</w:t>
      </w:r>
      <w:r>
        <w:rPr>
          <w:color w:val="000000" w:themeColor="text1"/>
          <w:szCs w:val="21"/>
          <w:highlight w:val="none"/>
          <w:u w:val="single"/>
          <w14:textFill>
            <w14:solidFill>
              <w14:schemeClr w14:val="tx1"/>
            </w14:solidFill>
          </w14:textFill>
        </w:rPr>
        <w:t>项目经理仅限于工程的现场施工管理，但未经承包人盖章同意，不得以承包人名义向外采购材料设备、租用建筑周转材料、雇用劳动力、签订分包合同等从事一切为承包人设立义务或责任的行为</w:t>
      </w:r>
      <w:r>
        <w:rPr>
          <w:rFonts w:hint="eastAsia" w:hAnsi="宋体" w:cs="宋体"/>
          <w:color w:val="000000" w:themeColor="text1"/>
          <w:szCs w:val="21"/>
          <w:highlight w:val="none"/>
          <w14:textFill>
            <w14:solidFill>
              <w14:schemeClr w14:val="tx1"/>
            </w14:solidFill>
          </w14:textFill>
        </w:rPr>
        <w:t>。</w:t>
      </w:r>
    </w:p>
    <w:p w14:paraId="6BA4D31C">
      <w:pPr>
        <w:spacing w:line="360" w:lineRule="auto"/>
        <w:ind w:firstLine="420" w:firstLineChars="200"/>
        <w:jc w:val="left"/>
        <w:rPr>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关于项目经理每月在施工现场的时间要求：</w:t>
      </w:r>
      <w:r>
        <w:rPr>
          <w:rFonts w:hint="eastAsia" w:ascii="宋体" w:hAnsi="宋体"/>
          <w:color w:val="000000" w:themeColor="text1"/>
          <w:kern w:val="0"/>
          <w:szCs w:val="21"/>
          <w:highlight w:val="none"/>
          <w14:textFill>
            <w14:solidFill>
              <w14:schemeClr w14:val="tx1"/>
            </w14:solidFill>
          </w14:textFill>
        </w:rPr>
        <w:t>发</w:t>
      </w:r>
      <w:r>
        <w:rPr>
          <w:rFonts w:hint="eastAsia" w:ascii="宋体" w:hAnsi="宋体"/>
          <w:color w:val="000000" w:themeColor="text1"/>
          <w:szCs w:val="21"/>
          <w:highlight w:val="none"/>
          <w:u w:val="single"/>
          <w14:textFill>
            <w14:solidFill>
              <w14:schemeClr w14:val="tx1"/>
            </w14:solidFill>
          </w14:textFill>
        </w:rPr>
        <w:t>包人对项目经理、项目总工、质量员、安全员等主要管理人员进行考勤，以上人员每月出勤必须</w:t>
      </w:r>
      <w:r>
        <w:rPr>
          <w:rFonts w:hint="eastAsia" w:ascii="宋体" w:hAnsi="宋体"/>
          <w:color w:val="000000" w:themeColor="text1"/>
          <w:szCs w:val="21"/>
          <w:highlight w:val="none"/>
          <w:u w:val="single"/>
          <w:lang w:val="en-US" w:eastAsia="zh-CN"/>
          <w14:textFill>
            <w14:solidFill>
              <w14:schemeClr w14:val="tx1"/>
            </w14:solidFill>
          </w14:textFill>
        </w:rPr>
        <w:t>不少于24天</w:t>
      </w:r>
      <w:r>
        <w:rPr>
          <w:rFonts w:hint="eastAsia" w:ascii="宋体" w:hAnsi="宋体"/>
          <w:color w:val="000000" w:themeColor="text1"/>
          <w:szCs w:val="21"/>
          <w:highlight w:val="none"/>
          <w:u w:val="single"/>
          <w14:textFill>
            <w14:solidFill>
              <w14:schemeClr w14:val="tx1"/>
            </w14:solidFill>
          </w14:textFill>
        </w:rPr>
        <w:t>，每缺勤一日，应向发包人支付违约金</w:t>
      </w:r>
      <w:r>
        <w:rPr>
          <w:rFonts w:hint="eastAsia" w:ascii="宋体" w:hAnsi="宋体"/>
          <w:b/>
          <w:bCs/>
          <w:color w:val="000000" w:themeColor="text1"/>
          <w:szCs w:val="21"/>
          <w:highlight w:val="none"/>
          <w:u w:val="single"/>
          <w14:textFill>
            <w14:solidFill>
              <w14:schemeClr w14:val="tx1"/>
            </w14:solidFill>
          </w14:textFill>
        </w:rPr>
        <w:t>1000元/人(人民币)</w:t>
      </w:r>
      <w:r>
        <w:rPr>
          <w:rFonts w:hint="eastAsia" w:hAnsi="宋体" w:cs="宋体"/>
          <w:color w:val="000000" w:themeColor="text1"/>
          <w:szCs w:val="21"/>
          <w:highlight w:val="none"/>
          <w14:textFill>
            <w14:solidFill>
              <w14:schemeClr w14:val="tx1"/>
            </w14:solidFill>
          </w14:textFill>
        </w:rPr>
        <w:t>。</w:t>
      </w:r>
    </w:p>
    <w:p w14:paraId="7A9ADFEA">
      <w:pPr>
        <w:spacing w:line="360" w:lineRule="auto"/>
        <w:ind w:firstLine="420" w:firstLineChars="200"/>
        <w:rPr>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承包人未提交劳动合同，以及没有为项目经理缴纳社会保险证明的违约责任：</w:t>
      </w:r>
      <w:r>
        <w:rPr>
          <w:rFonts w:hint="eastAsia" w:hAnsi="宋体"/>
          <w:color w:val="000000" w:themeColor="text1"/>
          <w:szCs w:val="21"/>
          <w:highlight w:val="none"/>
          <w:u w:val="single"/>
          <w14:textFill>
            <w14:solidFill>
              <w14:schemeClr w14:val="tx1"/>
            </w14:solidFill>
          </w14:textFill>
        </w:rPr>
        <w:t>视为承包人未能按照合同要求委派合格的项目经理并承担相应的违约责任</w:t>
      </w:r>
      <w:r>
        <w:rPr>
          <w:rFonts w:hint="eastAsia" w:hAnsi="宋体" w:cs="宋体"/>
          <w:color w:val="000000" w:themeColor="text1"/>
          <w:szCs w:val="21"/>
          <w:highlight w:val="none"/>
          <w14:textFill>
            <w14:solidFill>
              <w14:schemeClr w14:val="tx1"/>
            </w14:solidFill>
          </w14:textFill>
        </w:rPr>
        <w:t>。</w:t>
      </w:r>
    </w:p>
    <w:p w14:paraId="43D840DD">
      <w:pPr>
        <w:spacing w:line="360" w:lineRule="auto"/>
        <w:ind w:firstLine="420" w:firstLineChars="200"/>
        <w:rPr>
          <w:color w:val="000000" w:themeColor="text1"/>
          <w:szCs w:val="21"/>
          <w:highlight w:val="none"/>
          <w:u w:val="singl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项目经理未经批准，擅自离开施工现场的违约责任：</w:t>
      </w:r>
      <w:r>
        <w:rPr>
          <w:rFonts w:hint="eastAsia" w:hAnsi="宋体" w:cs="宋体"/>
          <w:color w:val="000000" w:themeColor="text1"/>
          <w:szCs w:val="21"/>
          <w:highlight w:val="none"/>
          <w:u w:val="single"/>
          <w14:textFill>
            <w14:solidFill>
              <w14:schemeClr w14:val="tx1"/>
            </w14:solidFill>
          </w14:textFill>
        </w:rPr>
        <w:t>项目经理每月在岗带班时间不得少于当月施工时间的</w:t>
      </w:r>
      <w:r>
        <w:rPr>
          <w:rFonts w:hAnsi="宋体"/>
          <w:color w:val="000000" w:themeColor="text1"/>
          <w:szCs w:val="21"/>
          <w:highlight w:val="none"/>
          <w:u w:val="single"/>
          <w14:textFill>
            <w14:solidFill>
              <w14:schemeClr w14:val="tx1"/>
            </w14:solidFill>
          </w14:textFill>
        </w:rPr>
        <w:t>80%</w:t>
      </w:r>
      <w:r>
        <w:rPr>
          <w:rFonts w:hint="eastAsia" w:hAnsi="宋体" w:cs="宋体"/>
          <w:color w:val="000000" w:themeColor="text1"/>
          <w:szCs w:val="21"/>
          <w:highlight w:val="none"/>
          <w:u w:val="single"/>
          <w14:textFill>
            <w14:solidFill>
              <w14:schemeClr w14:val="tx1"/>
            </w14:solidFill>
          </w14:textFill>
        </w:rPr>
        <w:t>。未经发包人同意或正当理由，项目经理每月在岗带班时间少于当月施工时间</w:t>
      </w:r>
      <w:r>
        <w:rPr>
          <w:rFonts w:hAnsi="宋体"/>
          <w:color w:val="000000" w:themeColor="text1"/>
          <w:szCs w:val="21"/>
          <w:highlight w:val="none"/>
          <w:u w:val="single"/>
          <w14:textFill>
            <w14:solidFill>
              <w14:schemeClr w14:val="tx1"/>
            </w14:solidFill>
          </w14:textFill>
        </w:rPr>
        <w:t>80%</w:t>
      </w:r>
      <w:r>
        <w:rPr>
          <w:rFonts w:hint="eastAsia" w:hAnsi="宋体" w:cs="宋体"/>
          <w:color w:val="000000" w:themeColor="text1"/>
          <w:szCs w:val="21"/>
          <w:highlight w:val="none"/>
          <w:u w:val="single"/>
          <w14:textFill>
            <w14:solidFill>
              <w14:schemeClr w14:val="tx1"/>
            </w14:solidFill>
          </w14:textFill>
        </w:rPr>
        <w:t>的，少在岗带班一天，发包人有权处违约金</w:t>
      </w:r>
      <w:r>
        <w:rPr>
          <w:rFonts w:hint="eastAsia"/>
          <w:color w:val="000000" w:themeColor="text1"/>
          <w:szCs w:val="21"/>
          <w:highlight w:val="none"/>
          <w:u w:val="single"/>
          <w14:textFill>
            <w14:solidFill>
              <w14:schemeClr w14:val="tx1"/>
            </w14:solidFill>
          </w14:textFill>
        </w:rPr>
        <w:t>10000</w:t>
      </w:r>
      <w:r>
        <w:rPr>
          <w:rFonts w:hint="eastAsia" w:hAnsi="宋体" w:cs="宋体"/>
          <w:color w:val="000000" w:themeColor="text1"/>
          <w:szCs w:val="21"/>
          <w:highlight w:val="none"/>
          <w:u w:val="single"/>
          <w14:textFill>
            <w14:solidFill>
              <w14:schemeClr w14:val="tx1"/>
            </w14:solidFill>
          </w14:textFill>
        </w:rPr>
        <w:t>元</w:t>
      </w:r>
      <w:r>
        <w:rPr>
          <w:color w:val="000000" w:themeColor="text1"/>
          <w:szCs w:val="21"/>
          <w:highlight w:val="none"/>
          <w:u w:val="single"/>
          <w14:textFill>
            <w14:solidFill>
              <w14:schemeClr w14:val="tx1"/>
            </w14:solidFill>
          </w14:textFill>
        </w:rPr>
        <w:t>/</w:t>
      </w:r>
      <w:r>
        <w:rPr>
          <w:rFonts w:hint="eastAsia" w:cs="宋体"/>
          <w:color w:val="000000" w:themeColor="text1"/>
          <w:szCs w:val="21"/>
          <w:highlight w:val="none"/>
          <w:u w:val="single"/>
          <w14:textFill>
            <w14:solidFill>
              <w14:schemeClr w14:val="tx1"/>
            </w14:solidFill>
          </w14:textFill>
        </w:rPr>
        <w:t>日（</w:t>
      </w:r>
      <w:r>
        <w:rPr>
          <w:rFonts w:hint="eastAsia" w:hAnsi="宋体" w:cs="宋体"/>
          <w:color w:val="000000" w:themeColor="text1"/>
          <w:szCs w:val="21"/>
          <w:highlight w:val="none"/>
          <w:u w:val="single"/>
          <w14:textFill>
            <w14:solidFill>
              <w14:schemeClr w14:val="tx1"/>
            </w14:solidFill>
          </w14:textFill>
        </w:rPr>
        <w:t>人民币</w:t>
      </w:r>
      <w:r>
        <w:rPr>
          <w:rFonts w:hint="eastAsia" w:cs="宋体"/>
          <w:color w:val="000000" w:themeColor="text1"/>
          <w:szCs w:val="21"/>
          <w:highlight w:val="none"/>
          <w:u w:val="single"/>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w:t>
      </w:r>
    </w:p>
    <w:p w14:paraId="6BD38639">
      <w:pPr>
        <w:adjustRightInd w:val="0"/>
        <w:snapToGrid w:val="0"/>
        <w:spacing w:line="460" w:lineRule="exact"/>
        <w:ind w:firstLine="420" w:firstLineChars="20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3.2.3 </w:t>
      </w:r>
      <w:r>
        <w:rPr>
          <w:rFonts w:hint="eastAsia" w:hAnsi="宋体" w:cs="宋体"/>
          <w:color w:val="000000" w:themeColor="text1"/>
          <w:szCs w:val="21"/>
          <w:highlight w:val="none"/>
          <w14:textFill>
            <w14:solidFill>
              <w14:schemeClr w14:val="tx1"/>
            </w14:solidFill>
          </w14:textFill>
        </w:rPr>
        <w:t>承包人擅自更换项目经理的违约责任：</w:t>
      </w:r>
      <w:r>
        <w:rPr>
          <w:rFonts w:hint="eastAsia" w:hAnsi="宋体" w:cs="宋体"/>
          <w:color w:val="000000" w:themeColor="text1"/>
          <w:szCs w:val="21"/>
          <w:highlight w:val="none"/>
          <w:u w:val="single"/>
          <w14:textFill>
            <w14:solidFill>
              <w14:schemeClr w14:val="tx1"/>
            </w14:solidFill>
          </w14:textFill>
        </w:rPr>
        <w:t>承包人项目经理必须与承包人竞标时所承诺的人员一致，并在（开工日期）前到</w:t>
      </w:r>
      <w:r>
        <w:rPr>
          <w:color w:val="000000" w:themeColor="text1"/>
          <w:szCs w:val="21"/>
          <w:highlight w:val="none"/>
          <w14:textFill>
            <w14:solidFill>
              <w14:schemeClr w14:val="tx1"/>
            </w14:solidFill>
          </w14:textFill>
        </w:rPr>
        <w:t xml:space="preserve">任。在监理人向承包人颁发 </w:t>
      </w:r>
      <w:r>
        <w:rPr>
          <w:color w:val="000000" w:themeColor="text1"/>
          <w:szCs w:val="21"/>
          <w:highlight w:val="none"/>
          <w:u w:val="single"/>
          <w14:textFill>
            <w14:solidFill>
              <w14:schemeClr w14:val="tx1"/>
            </w14:solidFill>
          </w14:textFill>
        </w:rPr>
        <w:t xml:space="preserve">   （竣工证明材料名称）   </w:t>
      </w:r>
      <w:r>
        <w:rPr>
          <w:color w:val="000000" w:themeColor="text1"/>
          <w:szCs w:val="21"/>
          <w:highlight w:val="none"/>
          <w14:textFill>
            <w14:solidFill>
              <w14:schemeClr w14:val="tx1"/>
            </w14:solidFill>
          </w14:textFill>
        </w:rPr>
        <w:t xml:space="preserve"> 前，项目经理不得同时兼任其他任何项目的项目经理（符合《广西壮族自治区建筑市场诚信卡管理暂行办法》第十六条第一款及桂建管﹝2016﹞70号、桂建管〔2019〕26号和桂建管〔2020〕11号文除外）</w:t>
      </w:r>
      <w:r>
        <w:rPr>
          <w:rFonts w:hint="eastAsia" w:hAnsi="宋体" w:cs="宋体"/>
          <w:color w:val="000000" w:themeColor="text1"/>
          <w:kern w:val="0"/>
          <w:szCs w:val="21"/>
          <w:highlight w:val="none"/>
          <w:u w:val="single"/>
          <w14:textFill>
            <w14:solidFill>
              <w14:schemeClr w14:val="tx1"/>
            </w14:solidFill>
          </w14:textFill>
        </w:rPr>
        <w:t>及</w:t>
      </w:r>
      <w:r>
        <w:rPr>
          <w:rFonts w:hint="eastAsia" w:ascii="宋体" w:hAnsi="宋体"/>
          <w:b/>
          <w:bCs/>
          <w:color w:val="000000" w:themeColor="text1"/>
          <w:szCs w:val="21"/>
          <w:highlight w:val="none"/>
          <w:u w:val="single"/>
          <w14:textFill>
            <w14:solidFill>
              <w14:schemeClr w14:val="tx1"/>
            </w14:solidFill>
          </w14:textFill>
        </w:rPr>
        <w:t>除非是拟派项目经理出现以下情形：①因自身原因导致工程质量出现重大质量、安全事故；②有违法、违纪、被暂定或吊销项目经理资格证的；③发包人同意更换的；④严重疾病需要休养，时间超过工期一半，由区级医院出具病重说明的。否则，承包人不得以项目经理离职、岗位调动等理由更换项目经理，</w:t>
      </w:r>
      <w:r>
        <w:rPr>
          <w:color w:val="000000" w:themeColor="text1"/>
          <w:szCs w:val="21"/>
          <w:highlight w:val="none"/>
          <w14:textFill>
            <w14:solidFill>
              <w14:schemeClr w14:val="tx1"/>
            </w14:solidFill>
          </w14:textFill>
        </w:rPr>
        <w:t>未经发包人书面同意，承包人擅自更换项目经理的视为违约，违约金处</w:t>
      </w:r>
      <w:r>
        <w:rPr>
          <w:rFonts w:hint="eastAsia" w:ascii="宋体" w:hAnsi="宋体"/>
          <w:b/>
          <w:bCs/>
          <w:color w:val="000000" w:themeColor="text1"/>
          <w:szCs w:val="21"/>
          <w:highlight w:val="none"/>
          <w:u w:val="single"/>
          <w14:textFill>
            <w14:solidFill>
              <w14:schemeClr w14:val="tx1"/>
            </w14:solidFill>
          </w14:textFill>
        </w:rPr>
        <w:t>30000</w:t>
      </w:r>
      <w:r>
        <w:rPr>
          <w:color w:val="000000" w:themeColor="text1"/>
          <w:szCs w:val="21"/>
          <w:highlight w:val="none"/>
          <w14:textFill>
            <w14:solidFill>
              <w14:schemeClr w14:val="tx1"/>
            </w14:solidFill>
          </w14:textFill>
        </w:rPr>
        <w:t>元/人•次（人民币）。</w:t>
      </w:r>
    </w:p>
    <w:p w14:paraId="543AFE80">
      <w:pPr>
        <w:spacing w:line="360" w:lineRule="auto"/>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3.2.4 </w:t>
      </w:r>
      <w:r>
        <w:rPr>
          <w:rFonts w:hint="eastAsia" w:hAnsi="宋体" w:cs="宋体"/>
          <w:color w:val="000000" w:themeColor="text1"/>
          <w:szCs w:val="21"/>
          <w:highlight w:val="none"/>
          <w14:textFill>
            <w14:solidFill>
              <w14:schemeClr w14:val="tx1"/>
            </w14:solidFill>
          </w14:textFill>
        </w:rPr>
        <w:t>承包人无正当理由拒绝更换项目经理的违约责任：</w:t>
      </w:r>
      <w:r>
        <w:rPr>
          <w:rFonts w:hint="eastAsia" w:hAnsi="宋体" w:cs="宋体"/>
          <w:color w:val="000000" w:themeColor="text1"/>
          <w:szCs w:val="21"/>
          <w:highlight w:val="none"/>
          <w:u w:val="single"/>
          <w14:textFill>
            <w14:solidFill>
              <w14:schemeClr w14:val="tx1"/>
            </w14:solidFill>
          </w14:textFill>
        </w:rPr>
        <w:t>因承包人项目经理不称职，发包人要求调换而未及时调换的，视为承包人违约，必须向发包人交纳处罚金</w:t>
      </w:r>
      <w:r>
        <w:rPr>
          <w:rFonts w:hint="eastAsia"/>
          <w:color w:val="000000" w:themeColor="text1"/>
          <w:szCs w:val="21"/>
          <w:highlight w:val="none"/>
          <w:u w:val="single"/>
          <w14:textFill>
            <w14:solidFill>
              <w14:schemeClr w14:val="tx1"/>
            </w14:solidFill>
          </w14:textFill>
        </w:rPr>
        <w:t>20000</w:t>
      </w:r>
      <w:r>
        <w:rPr>
          <w:rFonts w:hint="eastAsia" w:hAnsi="宋体" w:cs="宋体"/>
          <w:color w:val="000000" w:themeColor="text1"/>
          <w:szCs w:val="21"/>
          <w:highlight w:val="none"/>
          <w:u w:val="single"/>
          <w14:textFill>
            <w14:solidFill>
              <w14:schemeClr w14:val="tx1"/>
            </w14:solidFill>
          </w14:textFill>
        </w:rPr>
        <w:t>元</w:t>
      </w:r>
      <w:r>
        <w:rPr>
          <w:color w:val="000000" w:themeColor="text1"/>
          <w:szCs w:val="21"/>
          <w:highlight w:val="none"/>
          <w:u w:val="single"/>
          <w14:textFill>
            <w14:solidFill>
              <w14:schemeClr w14:val="tx1"/>
            </w14:solidFill>
          </w14:textFill>
        </w:rPr>
        <w:t>/</w:t>
      </w:r>
      <w:r>
        <w:rPr>
          <w:rFonts w:hint="eastAsia" w:hAnsi="宋体" w:cs="宋体"/>
          <w:color w:val="000000" w:themeColor="text1"/>
          <w:szCs w:val="21"/>
          <w:highlight w:val="none"/>
          <w:u w:val="single"/>
          <w14:textFill>
            <w14:solidFill>
              <w14:schemeClr w14:val="tx1"/>
            </w14:solidFill>
          </w14:textFill>
        </w:rPr>
        <w:t>人</w:t>
      </w:r>
      <w:r>
        <w:rPr>
          <w:color w:val="000000" w:themeColor="text1"/>
          <w:szCs w:val="21"/>
          <w:highlight w:val="none"/>
          <w:u w:val="single"/>
          <w14:textFill>
            <w14:solidFill>
              <w14:schemeClr w14:val="tx1"/>
            </w14:solidFill>
          </w14:textFill>
        </w:rPr>
        <w:t>•</w:t>
      </w:r>
      <w:r>
        <w:rPr>
          <w:rFonts w:hint="eastAsia" w:hAnsi="宋体" w:cs="宋体"/>
          <w:color w:val="000000" w:themeColor="text1"/>
          <w:szCs w:val="21"/>
          <w:highlight w:val="none"/>
          <w:u w:val="single"/>
          <w14:textFill>
            <w14:solidFill>
              <w14:schemeClr w14:val="tx1"/>
            </w14:solidFill>
          </w14:textFill>
        </w:rPr>
        <w:t>次</w:t>
      </w:r>
      <w:r>
        <w:rPr>
          <w:rFonts w:hint="eastAsia" w:cs="宋体"/>
          <w:color w:val="000000" w:themeColor="text1"/>
          <w:szCs w:val="21"/>
          <w:highlight w:val="none"/>
          <w:u w:val="single"/>
          <w14:textFill>
            <w14:solidFill>
              <w14:schemeClr w14:val="tx1"/>
            </w14:solidFill>
          </w14:textFill>
        </w:rPr>
        <w:t>（</w:t>
      </w:r>
      <w:r>
        <w:rPr>
          <w:rFonts w:hint="eastAsia" w:hAnsi="宋体" w:cs="宋体"/>
          <w:color w:val="000000" w:themeColor="text1"/>
          <w:szCs w:val="21"/>
          <w:highlight w:val="none"/>
          <w:u w:val="single"/>
          <w14:textFill>
            <w14:solidFill>
              <w14:schemeClr w14:val="tx1"/>
            </w14:solidFill>
          </w14:textFill>
        </w:rPr>
        <w:t>人民币</w:t>
      </w:r>
      <w:r>
        <w:rPr>
          <w:rFonts w:hint="eastAsia" w:cs="宋体"/>
          <w:color w:val="000000" w:themeColor="text1"/>
          <w:szCs w:val="21"/>
          <w:highlight w:val="none"/>
          <w:u w:val="single"/>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w:t>
      </w:r>
    </w:p>
    <w:p w14:paraId="6D13DAB8">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227" w:name="_Toc114058848"/>
      <w:bookmarkStart w:id="228" w:name="_Toc373227709"/>
      <w:bookmarkStart w:id="229" w:name="_Toc407135211"/>
      <w:bookmarkStart w:id="230" w:name="_Toc389065275"/>
      <w:bookmarkStart w:id="231" w:name="_Toc373478356"/>
      <w:bookmarkStart w:id="232" w:name="_Toc78449797"/>
      <w:r>
        <w:rPr>
          <w:rFonts w:eastAsia="黑体"/>
          <w:b/>
          <w:bCs/>
          <w:color w:val="000000" w:themeColor="text1"/>
          <w:sz w:val="32"/>
          <w:szCs w:val="32"/>
          <w:highlight w:val="none"/>
          <w:lang w:val="zh-CN"/>
          <w14:textFill>
            <w14:solidFill>
              <w14:schemeClr w14:val="tx1"/>
            </w14:solidFill>
          </w14:textFill>
        </w:rPr>
        <w:t xml:space="preserve">3.3 </w:t>
      </w:r>
      <w:r>
        <w:rPr>
          <w:rFonts w:hint="eastAsia" w:hAnsi="宋体" w:eastAsia="黑体" w:cs="黑体"/>
          <w:b/>
          <w:bCs/>
          <w:color w:val="000000" w:themeColor="text1"/>
          <w:sz w:val="32"/>
          <w:szCs w:val="32"/>
          <w:highlight w:val="none"/>
          <w:lang w:val="zh-CN"/>
          <w14:textFill>
            <w14:solidFill>
              <w14:schemeClr w14:val="tx1"/>
            </w14:solidFill>
          </w14:textFill>
        </w:rPr>
        <w:t>承包人人员</w:t>
      </w:r>
      <w:bookmarkEnd w:id="227"/>
      <w:bookmarkEnd w:id="228"/>
      <w:bookmarkEnd w:id="229"/>
      <w:bookmarkEnd w:id="230"/>
      <w:bookmarkEnd w:id="231"/>
      <w:bookmarkEnd w:id="232"/>
    </w:p>
    <w:p w14:paraId="4843FB38">
      <w:pPr>
        <w:spacing w:line="360" w:lineRule="auto"/>
        <w:ind w:firstLine="420" w:firstLineChars="200"/>
        <w:rPr>
          <w:rFonts w:hAnsi="宋体"/>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3.3.1 </w:t>
      </w:r>
      <w:r>
        <w:rPr>
          <w:rFonts w:hint="eastAsia" w:hAnsi="宋体" w:cs="宋体"/>
          <w:color w:val="000000" w:themeColor="text1"/>
          <w:szCs w:val="21"/>
          <w:highlight w:val="none"/>
          <w14:textFill>
            <w14:solidFill>
              <w14:schemeClr w14:val="tx1"/>
            </w14:solidFill>
          </w14:textFill>
        </w:rPr>
        <w:t>承包人提交项目管理机构及施工现场管理人员安排报告（格式见合同附件</w:t>
      </w:r>
      <w:r>
        <w:rPr>
          <w:rFonts w:hint="eastAsia" w:hAnsi="宋体"/>
          <w:color w:val="000000" w:themeColor="text1"/>
          <w:szCs w:val="21"/>
          <w:highlight w:val="none"/>
          <w14:textFill>
            <w14:solidFill>
              <w14:schemeClr w14:val="tx1"/>
            </w14:solidFill>
          </w14:textFill>
        </w:rPr>
        <w:t>5</w:t>
      </w:r>
      <w:r>
        <w:rPr>
          <w:rFonts w:hint="eastAsia" w:hAnsi="宋体" w:cs="宋体"/>
          <w:color w:val="000000" w:themeColor="text1"/>
          <w:szCs w:val="21"/>
          <w:highlight w:val="none"/>
          <w14:textFill>
            <w14:solidFill>
              <w14:schemeClr w14:val="tx1"/>
            </w14:solidFill>
          </w14:textFill>
        </w:rPr>
        <w:t>）的期限：</w:t>
      </w:r>
    </w:p>
    <w:p w14:paraId="1D902048">
      <w:pPr>
        <w:spacing w:line="360" w:lineRule="auto"/>
        <w:rPr>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监理工程师下发开工令且工程开工前7天内</w:t>
      </w:r>
      <w:r>
        <w:rPr>
          <w:rFonts w:hint="eastAsia" w:hAnsi="宋体" w:cs="宋体"/>
          <w:color w:val="000000" w:themeColor="text1"/>
          <w:szCs w:val="21"/>
          <w:highlight w:val="none"/>
          <w14:textFill>
            <w14:solidFill>
              <w14:schemeClr w14:val="tx1"/>
            </w14:solidFill>
          </w14:textFill>
        </w:rPr>
        <w:t>。</w:t>
      </w:r>
    </w:p>
    <w:p w14:paraId="19FCB13D">
      <w:pPr>
        <w:spacing w:line="360" w:lineRule="auto"/>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3.3.3 </w:t>
      </w:r>
      <w:r>
        <w:rPr>
          <w:rFonts w:hint="eastAsia" w:hAnsi="宋体" w:cs="宋体"/>
          <w:color w:val="000000" w:themeColor="text1"/>
          <w:szCs w:val="21"/>
          <w:highlight w:val="none"/>
          <w14:textFill>
            <w14:solidFill>
              <w14:schemeClr w14:val="tx1"/>
            </w14:solidFill>
          </w14:textFill>
        </w:rPr>
        <w:t>承包人无正当理由拒绝撤换主要施工管理人员的违约责任：</w:t>
      </w:r>
      <w:r>
        <w:rPr>
          <w:rFonts w:hAnsi="宋体"/>
          <w:color w:val="000000" w:themeColor="text1"/>
          <w:szCs w:val="21"/>
          <w:highlight w:val="none"/>
          <w:u w:val="single"/>
          <w14:textFill>
            <w14:solidFill>
              <w14:schemeClr w14:val="tx1"/>
            </w14:solidFill>
          </w14:textFill>
        </w:rPr>
        <w:t>因承包人主要施工管理人员不称职，发包人要求调换而无正当理由拒绝撤换或未及时调换的，视为承包人违约，必须向发包人交纳处罚金，处罚标准：技术负责人</w:t>
      </w:r>
      <w:r>
        <w:rPr>
          <w:rFonts w:hint="eastAsia"/>
          <w:color w:val="000000" w:themeColor="text1"/>
          <w:szCs w:val="21"/>
          <w:highlight w:val="none"/>
          <w:u w:val="single"/>
          <w14:textFill>
            <w14:solidFill>
              <w14:schemeClr w14:val="tx1"/>
            </w14:solidFill>
          </w14:textFill>
        </w:rPr>
        <w:t>5000</w:t>
      </w:r>
      <w:r>
        <w:rPr>
          <w:rFonts w:hAnsi="宋体"/>
          <w:color w:val="000000" w:themeColor="text1"/>
          <w:szCs w:val="21"/>
          <w:highlight w:val="none"/>
          <w:u w:val="single"/>
          <w14:textFill>
            <w14:solidFill>
              <w14:schemeClr w14:val="tx1"/>
            </w14:solidFill>
          </w14:textFill>
        </w:rPr>
        <w:t>元</w:t>
      </w:r>
      <w:r>
        <w:rPr>
          <w:color w:val="000000" w:themeColor="text1"/>
          <w:szCs w:val="21"/>
          <w:highlight w:val="none"/>
          <w:u w:val="single"/>
          <w14:textFill>
            <w14:solidFill>
              <w14:schemeClr w14:val="tx1"/>
            </w14:solidFill>
          </w14:textFill>
        </w:rPr>
        <w:t>/</w:t>
      </w:r>
      <w:r>
        <w:rPr>
          <w:rFonts w:hAnsi="宋体"/>
          <w:color w:val="000000" w:themeColor="text1"/>
          <w:szCs w:val="21"/>
          <w:highlight w:val="none"/>
          <w:u w:val="single"/>
          <w14:textFill>
            <w14:solidFill>
              <w14:schemeClr w14:val="tx1"/>
            </w14:solidFill>
          </w14:textFill>
        </w:rPr>
        <w:t>人</w:t>
      </w:r>
      <w:r>
        <w:rPr>
          <w:color w:val="000000" w:themeColor="text1"/>
          <w:szCs w:val="21"/>
          <w:highlight w:val="none"/>
          <w:u w:val="single"/>
          <w14:textFill>
            <w14:solidFill>
              <w14:schemeClr w14:val="tx1"/>
            </w14:solidFill>
          </w14:textFill>
        </w:rPr>
        <w:t>•</w:t>
      </w:r>
      <w:r>
        <w:rPr>
          <w:rFonts w:hAnsi="宋体"/>
          <w:color w:val="000000" w:themeColor="text1"/>
          <w:szCs w:val="21"/>
          <w:highlight w:val="none"/>
          <w:u w:val="single"/>
          <w14:textFill>
            <w14:solidFill>
              <w14:schemeClr w14:val="tx1"/>
            </w14:solidFill>
          </w14:textFill>
        </w:rPr>
        <w:t>次</w:t>
      </w:r>
      <w:r>
        <w:rPr>
          <w:rFonts w:hint="eastAsia"/>
          <w:color w:val="000000" w:themeColor="text1"/>
          <w:szCs w:val="21"/>
          <w:highlight w:val="none"/>
          <w:u w:val="single"/>
          <w14:textFill>
            <w14:solidFill>
              <w14:schemeClr w14:val="tx1"/>
            </w14:solidFill>
          </w14:textFill>
        </w:rPr>
        <w:t>（</w:t>
      </w:r>
      <w:r>
        <w:rPr>
          <w:rFonts w:hAnsi="宋体"/>
          <w:color w:val="000000" w:themeColor="text1"/>
          <w:szCs w:val="21"/>
          <w:highlight w:val="none"/>
          <w:u w:val="single"/>
          <w14:textFill>
            <w14:solidFill>
              <w14:schemeClr w14:val="tx1"/>
            </w14:solidFill>
          </w14:textFill>
        </w:rPr>
        <w:t>人民币</w:t>
      </w:r>
      <w:r>
        <w:rPr>
          <w:rFonts w:hint="eastAsia"/>
          <w:color w:val="000000" w:themeColor="text1"/>
          <w:szCs w:val="21"/>
          <w:highlight w:val="none"/>
          <w:u w:val="single"/>
          <w14:textFill>
            <w14:solidFill>
              <w14:schemeClr w14:val="tx1"/>
            </w14:solidFill>
          </w14:textFill>
        </w:rPr>
        <w:t>）</w:t>
      </w:r>
      <w:r>
        <w:rPr>
          <w:rFonts w:hAnsi="宋体"/>
          <w:color w:val="000000" w:themeColor="text1"/>
          <w:szCs w:val="21"/>
          <w:highlight w:val="none"/>
          <w:u w:val="single"/>
          <w14:textFill>
            <w14:solidFill>
              <w14:schemeClr w14:val="tx1"/>
            </w14:solidFill>
          </w14:textFill>
        </w:rPr>
        <w:t>；专业工程师</w:t>
      </w:r>
      <w:r>
        <w:rPr>
          <w:rFonts w:hint="eastAsia" w:hAnsi="宋体"/>
          <w:color w:val="000000" w:themeColor="text1"/>
          <w:szCs w:val="21"/>
          <w:highlight w:val="none"/>
          <w:u w:val="single"/>
          <w14:textFill>
            <w14:solidFill>
              <w14:schemeClr w14:val="tx1"/>
            </w14:solidFill>
          </w14:textFill>
        </w:rPr>
        <w:t>3</w:t>
      </w:r>
      <w:r>
        <w:rPr>
          <w:rFonts w:hint="eastAsia"/>
          <w:color w:val="000000" w:themeColor="text1"/>
          <w:szCs w:val="21"/>
          <w:highlight w:val="none"/>
          <w:u w:val="single"/>
          <w14:textFill>
            <w14:solidFill>
              <w14:schemeClr w14:val="tx1"/>
            </w14:solidFill>
          </w14:textFill>
        </w:rPr>
        <w:t>000</w:t>
      </w:r>
      <w:r>
        <w:rPr>
          <w:rFonts w:hAnsi="宋体"/>
          <w:color w:val="000000" w:themeColor="text1"/>
          <w:szCs w:val="21"/>
          <w:highlight w:val="none"/>
          <w:u w:val="single"/>
          <w14:textFill>
            <w14:solidFill>
              <w14:schemeClr w14:val="tx1"/>
            </w14:solidFill>
          </w14:textFill>
        </w:rPr>
        <w:t>元</w:t>
      </w:r>
      <w:r>
        <w:rPr>
          <w:color w:val="000000" w:themeColor="text1"/>
          <w:szCs w:val="21"/>
          <w:highlight w:val="none"/>
          <w:u w:val="single"/>
          <w14:textFill>
            <w14:solidFill>
              <w14:schemeClr w14:val="tx1"/>
            </w14:solidFill>
          </w14:textFill>
        </w:rPr>
        <w:t>/</w:t>
      </w:r>
      <w:r>
        <w:rPr>
          <w:rFonts w:hAnsi="宋体"/>
          <w:color w:val="000000" w:themeColor="text1"/>
          <w:szCs w:val="21"/>
          <w:highlight w:val="none"/>
          <w:u w:val="single"/>
          <w14:textFill>
            <w14:solidFill>
              <w14:schemeClr w14:val="tx1"/>
            </w14:solidFill>
          </w14:textFill>
        </w:rPr>
        <w:t>人</w:t>
      </w:r>
      <w:r>
        <w:rPr>
          <w:color w:val="000000" w:themeColor="text1"/>
          <w:szCs w:val="21"/>
          <w:highlight w:val="none"/>
          <w:u w:val="single"/>
          <w14:textFill>
            <w14:solidFill>
              <w14:schemeClr w14:val="tx1"/>
            </w14:solidFill>
          </w14:textFill>
        </w:rPr>
        <w:t>•</w:t>
      </w:r>
      <w:r>
        <w:rPr>
          <w:rFonts w:hAnsi="宋体"/>
          <w:color w:val="000000" w:themeColor="text1"/>
          <w:szCs w:val="21"/>
          <w:highlight w:val="none"/>
          <w:u w:val="single"/>
          <w14:textFill>
            <w14:solidFill>
              <w14:schemeClr w14:val="tx1"/>
            </w14:solidFill>
          </w14:textFill>
        </w:rPr>
        <w:t>次</w:t>
      </w:r>
      <w:r>
        <w:rPr>
          <w:rFonts w:hint="eastAsia"/>
          <w:color w:val="000000" w:themeColor="text1"/>
          <w:szCs w:val="21"/>
          <w:highlight w:val="none"/>
          <w:u w:val="single"/>
          <w14:textFill>
            <w14:solidFill>
              <w14:schemeClr w14:val="tx1"/>
            </w14:solidFill>
          </w14:textFill>
        </w:rPr>
        <w:t>（</w:t>
      </w:r>
      <w:r>
        <w:rPr>
          <w:rFonts w:hAnsi="宋体"/>
          <w:color w:val="000000" w:themeColor="text1"/>
          <w:szCs w:val="21"/>
          <w:highlight w:val="none"/>
          <w:u w:val="single"/>
          <w14:textFill>
            <w14:solidFill>
              <w14:schemeClr w14:val="tx1"/>
            </w14:solidFill>
          </w14:textFill>
        </w:rPr>
        <w:t>人民币</w:t>
      </w:r>
      <w:r>
        <w:rPr>
          <w:rFonts w:hint="eastAsia"/>
          <w:color w:val="000000" w:themeColor="text1"/>
          <w:szCs w:val="21"/>
          <w:highlight w:val="none"/>
          <w:u w:val="single"/>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w:t>
      </w:r>
    </w:p>
    <w:p w14:paraId="364E755E">
      <w:pPr>
        <w:spacing w:line="360" w:lineRule="auto"/>
        <w:ind w:firstLine="420" w:firstLineChars="200"/>
        <w:rPr>
          <w:color w:val="000000" w:themeColor="text1"/>
          <w:szCs w:val="21"/>
          <w:highlight w:val="none"/>
          <w:u w:val="single"/>
          <w14:textFill>
            <w14:solidFill>
              <w14:schemeClr w14:val="tx1"/>
            </w14:solidFill>
          </w14:textFill>
        </w:rPr>
      </w:pPr>
      <w:r>
        <w:rPr>
          <w:color w:val="000000" w:themeColor="text1"/>
          <w:szCs w:val="21"/>
          <w:highlight w:val="none"/>
          <w14:textFill>
            <w14:solidFill>
              <w14:schemeClr w14:val="tx1"/>
            </w14:solidFill>
          </w14:textFill>
        </w:rPr>
        <w:t xml:space="preserve">3.3.4 </w:t>
      </w:r>
      <w:r>
        <w:rPr>
          <w:rFonts w:hint="eastAsia" w:hAnsi="宋体" w:cs="宋体"/>
          <w:color w:val="000000" w:themeColor="text1"/>
          <w:szCs w:val="21"/>
          <w:highlight w:val="none"/>
          <w14:textFill>
            <w14:solidFill>
              <w14:schemeClr w14:val="tx1"/>
            </w14:solidFill>
          </w14:textFill>
        </w:rPr>
        <w:t>承包人主要施工管理人员离开施工现场的批准要求：</w:t>
      </w:r>
      <w:r>
        <w:rPr>
          <w:rFonts w:hint="eastAsia" w:ascii="宋体" w:hAnsi="宋体"/>
          <w:color w:val="000000" w:themeColor="text1"/>
          <w:szCs w:val="21"/>
          <w:highlight w:val="none"/>
          <w:u w:val="single"/>
          <w14:textFill>
            <w14:solidFill>
              <w14:schemeClr w14:val="tx1"/>
            </w14:solidFill>
          </w14:textFill>
        </w:rPr>
        <w:t>向发包人提出申请，并提供相关证明材料，</w:t>
      </w:r>
      <w:r>
        <w:rPr>
          <w:rFonts w:hint="eastAsia" w:hAnsi="宋体"/>
          <w:color w:val="000000" w:themeColor="text1"/>
          <w:szCs w:val="21"/>
          <w:highlight w:val="none"/>
          <w:u w:val="single"/>
          <w14:textFill>
            <w14:solidFill>
              <w14:schemeClr w14:val="tx1"/>
            </w14:solidFill>
          </w14:textFill>
        </w:rPr>
        <w:t>须经监理单位和现场发包负责人同意后离开</w:t>
      </w:r>
      <w:r>
        <w:rPr>
          <w:rFonts w:hint="eastAsia" w:hAnsi="宋体" w:cs="宋体"/>
          <w:color w:val="000000" w:themeColor="text1"/>
          <w:szCs w:val="21"/>
          <w:highlight w:val="none"/>
          <w14:textFill>
            <w14:solidFill>
              <w14:schemeClr w14:val="tx1"/>
            </w14:solidFill>
          </w14:textFill>
        </w:rPr>
        <w:t>。</w:t>
      </w:r>
    </w:p>
    <w:p w14:paraId="30122281">
      <w:pPr>
        <w:spacing w:line="360" w:lineRule="auto"/>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3.3.5 </w:t>
      </w:r>
      <w:r>
        <w:rPr>
          <w:rFonts w:hint="eastAsia" w:hAnsi="宋体" w:cs="宋体"/>
          <w:color w:val="000000" w:themeColor="text1"/>
          <w:szCs w:val="21"/>
          <w:highlight w:val="none"/>
          <w14:textFill>
            <w14:solidFill>
              <w14:schemeClr w14:val="tx1"/>
            </w14:solidFill>
          </w14:textFill>
        </w:rPr>
        <w:t>承包人擅自更换主要施工管理人员的违约责任：</w:t>
      </w:r>
      <w:r>
        <w:rPr>
          <w:rFonts w:hint="eastAsia" w:hAnsi="宋体" w:cs="宋体"/>
          <w:color w:val="000000" w:themeColor="text1"/>
          <w:szCs w:val="21"/>
          <w:highlight w:val="none"/>
          <w:u w:val="single"/>
          <w14:textFill>
            <w14:solidFill>
              <w14:schemeClr w14:val="tx1"/>
            </w14:solidFill>
          </w14:textFill>
        </w:rPr>
        <w:t>项</w:t>
      </w:r>
      <w:r>
        <w:rPr>
          <w:rFonts w:hint="eastAsia" w:hAnsi="宋体"/>
          <w:color w:val="000000" w:themeColor="text1"/>
          <w:szCs w:val="21"/>
          <w:highlight w:val="none"/>
          <w:u w:val="single"/>
          <w14:textFill>
            <w14:solidFill>
              <w14:schemeClr w14:val="tx1"/>
            </w14:solidFill>
          </w14:textFill>
        </w:rPr>
        <w:t>目</w:t>
      </w:r>
      <w:r>
        <w:rPr>
          <w:rFonts w:hAnsi="宋体"/>
          <w:color w:val="000000" w:themeColor="text1"/>
          <w:szCs w:val="21"/>
          <w:highlight w:val="none"/>
          <w:u w:val="single"/>
          <w14:textFill>
            <w14:solidFill>
              <w14:schemeClr w14:val="tx1"/>
            </w14:solidFill>
          </w14:textFill>
        </w:rPr>
        <w:t>技术负责人、</w:t>
      </w:r>
      <w:r>
        <w:rPr>
          <w:rFonts w:hint="eastAsia" w:hAnsi="宋体"/>
          <w:color w:val="000000" w:themeColor="text1"/>
          <w:szCs w:val="21"/>
          <w:highlight w:val="none"/>
          <w:u w:val="single"/>
          <w14:textFill>
            <w14:solidFill>
              <w14:schemeClr w14:val="tx1"/>
            </w14:solidFill>
          </w14:textFill>
        </w:rPr>
        <w:t>专职安全员及其承诺的其它在场管理人员</w:t>
      </w:r>
      <w:r>
        <w:rPr>
          <w:rFonts w:hAnsi="宋体"/>
          <w:color w:val="000000" w:themeColor="text1"/>
          <w:szCs w:val="21"/>
          <w:highlight w:val="none"/>
          <w:u w:val="single"/>
          <w14:textFill>
            <w14:solidFill>
              <w14:schemeClr w14:val="tx1"/>
            </w14:solidFill>
          </w14:textFill>
        </w:rPr>
        <w:t>未经发包人书面同意不准擅自更换，擅自更换</w:t>
      </w:r>
      <w:r>
        <w:rPr>
          <w:rFonts w:hint="eastAsia" w:hAnsi="宋体"/>
          <w:color w:val="000000" w:themeColor="text1"/>
          <w:szCs w:val="21"/>
          <w:highlight w:val="none"/>
          <w:u w:val="single"/>
          <w14:textFill>
            <w14:solidFill>
              <w14:schemeClr w14:val="tx1"/>
            </w14:solidFill>
          </w14:textFill>
        </w:rPr>
        <w:t>项目</w:t>
      </w:r>
      <w:r>
        <w:rPr>
          <w:rFonts w:hAnsi="宋体"/>
          <w:color w:val="000000" w:themeColor="text1"/>
          <w:szCs w:val="21"/>
          <w:highlight w:val="none"/>
          <w:u w:val="single"/>
          <w14:textFill>
            <w14:solidFill>
              <w14:schemeClr w14:val="tx1"/>
            </w14:solidFill>
          </w14:textFill>
        </w:rPr>
        <w:t>技术负责人处</w:t>
      </w:r>
      <w:r>
        <w:rPr>
          <w:rFonts w:hint="eastAsia"/>
          <w:color w:val="000000" w:themeColor="text1"/>
          <w:szCs w:val="21"/>
          <w:highlight w:val="none"/>
          <w:u w:val="single"/>
          <w14:textFill>
            <w14:solidFill>
              <w14:schemeClr w14:val="tx1"/>
            </w14:solidFill>
          </w14:textFill>
        </w:rPr>
        <w:t>50000</w:t>
      </w:r>
      <w:r>
        <w:rPr>
          <w:rFonts w:hAnsi="宋体"/>
          <w:color w:val="000000" w:themeColor="text1"/>
          <w:szCs w:val="21"/>
          <w:highlight w:val="none"/>
          <w:u w:val="single"/>
          <w14:textFill>
            <w14:solidFill>
              <w14:schemeClr w14:val="tx1"/>
            </w14:solidFill>
          </w14:textFill>
        </w:rPr>
        <w:t>元</w:t>
      </w:r>
      <w:r>
        <w:rPr>
          <w:color w:val="000000" w:themeColor="text1"/>
          <w:szCs w:val="21"/>
          <w:highlight w:val="none"/>
          <w:u w:val="single"/>
          <w14:textFill>
            <w14:solidFill>
              <w14:schemeClr w14:val="tx1"/>
            </w14:solidFill>
          </w14:textFill>
        </w:rPr>
        <w:t>/</w:t>
      </w:r>
      <w:r>
        <w:rPr>
          <w:rFonts w:hAnsi="宋体"/>
          <w:color w:val="000000" w:themeColor="text1"/>
          <w:szCs w:val="21"/>
          <w:highlight w:val="none"/>
          <w:u w:val="single"/>
          <w14:textFill>
            <w14:solidFill>
              <w14:schemeClr w14:val="tx1"/>
            </w14:solidFill>
          </w14:textFill>
        </w:rPr>
        <w:t>人</w:t>
      </w:r>
      <w:r>
        <w:rPr>
          <w:color w:val="000000" w:themeColor="text1"/>
          <w:szCs w:val="21"/>
          <w:highlight w:val="none"/>
          <w:u w:val="single"/>
          <w14:textFill>
            <w14:solidFill>
              <w14:schemeClr w14:val="tx1"/>
            </w14:solidFill>
          </w14:textFill>
        </w:rPr>
        <w:t>•</w:t>
      </w:r>
      <w:r>
        <w:rPr>
          <w:rFonts w:hAnsi="宋体"/>
          <w:color w:val="000000" w:themeColor="text1"/>
          <w:szCs w:val="21"/>
          <w:highlight w:val="none"/>
          <w:u w:val="single"/>
          <w14:textFill>
            <w14:solidFill>
              <w14:schemeClr w14:val="tx1"/>
            </w14:solidFill>
          </w14:textFill>
        </w:rPr>
        <w:t>次</w:t>
      </w:r>
      <w:r>
        <w:rPr>
          <w:rFonts w:hint="eastAsia"/>
          <w:color w:val="000000" w:themeColor="text1"/>
          <w:szCs w:val="21"/>
          <w:highlight w:val="none"/>
          <w:u w:val="single"/>
          <w14:textFill>
            <w14:solidFill>
              <w14:schemeClr w14:val="tx1"/>
            </w14:solidFill>
          </w14:textFill>
        </w:rPr>
        <w:t>（</w:t>
      </w:r>
      <w:r>
        <w:rPr>
          <w:rFonts w:hAnsi="宋体"/>
          <w:color w:val="000000" w:themeColor="text1"/>
          <w:szCs w:val="21"/>
          <w:highlight w:val="none"/>
          <w:u w:val="single"/>
          <w14:textFill>
            <w14:solidFill>
              <w14:schemeClr w14:val="tx1"/>
            </w14:solidFill>
          </w14:textFill>
        </w:rPr>
        <w:t>人民币</w:t>
      </w:r>
      <w:r>
        <w:rPr>
          <w:rFonts w:hint="eastAsia"/>
          <w:color w:val="000000" w:themeColor="text1"/>
          <w:szCs w:val="21"/>
          <w:highlight w:val="none"/>
          <w:u w:val="single"/>
          <w14:textFill>
            <w14:solidFill>
              <w14:schemeClr w14:val="tx1"/>
            </w14:solidFill>
          </w14:textFill>
        </w:rPr>
        <w:t>）</w:t>
      </w:r>
      <w:r>
        <w:rPr>
          <w:rFonts w:hAnsi="宋体"/>
          <w:color w:val="000000" w:themeColor="text1"/>
          <w:szCs w:val="21"/>
          <w:highlight w:val="none"/>
          <w:u w:val="single"/>
          <w14:textFill>
            <w14:solidFill>
              <w14:schemeClr w14:val="tx1"/>
            </w14:solidFill>
          </w14:textFill>
        </w:rPr>
        <w:t>违约金；擅自更换</w:t>
      </w:r>
      <w:r>
        <w:rPr>
          <w:rFonts w:hint="eastAsia" w:hAnsi="宋体"/>
          <w:color w:val="000000" w:themeColor="text1"/>
          <w:szCs w:val="21"/>
          <w:highlight w:val="none"/>
          <w:u w:val="single"/>
          <w14:textFill>
            <w14:solidFill>
              <w14:schemeClr w14:val="tx1"/>
            </w14:solidFill>
          </w14:textFill>
        </w:rPr>
        <w:t>专职安全员</w:t>
      </w:r>
      <w:r>
        <w:rPr>
          <w:rFonts w:hAnsi="宋体"/>
          <w:color w:val="000000" w:themeColor="text1"/>
          <w:szCs w:val="21"/>
          <w:highlight w:val="none"/>
          <w:u w:val="single"/>
          <w14:textFill>
            <w14:solidFill>
              <w14:schemeClr w14:val="tx1"/>
            </w14:solidFill>
          </w14:textFill>
        </w:rPr>
        <w:t>处</w:t>
      </w:r>
      <w:r>
        <w:rPr>
          <w:rFonts w:hint="eastAsia"/>
          <w:color w:val="000000" w:themeColor="text1"/>
          <w:szCs w:val="21"/>
          <w:highlight w:val="none"/>
          <w:u w:val="single"/>
          <w14:textFill>
            <w14:solidFill>
              <w14:schemeClr w14:val="tx1"/>
            </w14:solidFill>
          </w14:textFill>
        </w:rPr>
        <w:t>5000</w:t>
      </w:r>
      <w:r>
        <w:rPr>
          <w:rFonts w:hAnsi="宋体"/>
          <w:color w:val="000000" w:themeColor="text1"/>
          <w:szCs w:val="21"/>
          <w:highlight w:val="none"/>
          <w:u w:val="single"/>
          <w14:textFill>
            <w14:solidFill>
              <w14:schemeClr w14:val="tx1"/>
            </w14:solidFill>
          </w14:textFill>
        </w:rPr>
        <w:t>元</w:t>
      </w:r>
      <w:r>
        <w:rPr>
          <w:color w:val="000000" w:themeColor="text1"/>
          <w:szCs w:val="21"/>
          <w:highlight w:val="none"/>
          <w:u w:val="single"/>
          <w14:textFill>
            <w14:solidFill>
              <w14:schemeClr w14:val="tx1"/>
            </w14:solidFill>
          </w14:textFill>
        </w:rPr>
        <w:t>/</w:t>
      </w:r>
      <w:r>
        <w:rPr>
          <w:rFonts w:hAnsi="宋体"/>
          <w:color w:val="000000" w:themeColor="text1"/>
          <w:szCs w:val="21"/>
          <w:highlight w:val="none"/>
          <w:u w:val="single"/>
          <w14:textFill>
            <w14:solidFill>
              <w14:schemeClr w14:val="tx1"/>
            </w14:solidFill>
          </w14:textFill>
        </w:rPr>
        <w:t>人</w:t>
      </w:r>
      <w:r>
        <w:rPr>
          <w:color w:val="000000" w:themeColor="text1"/>
          <w:szCs w:val="21"/>
          <w:highlight w:val="none"/>
          <w:u w:val="single"/>
          <w14:textFill>
            <w14:solidFill>
              <w14:schemeClr w14:val="tx1"/>
            </w14:solidFill>
          </w14:textFill>
        </w:rPr>
        <w:t>•</w:t>
      </w:r>
      <w:r>
        <w:rPr>
          <w:rFonts w:hAnsi="宋体"/>
          <w:color w:val="000000" w:themeColor="text1"/>
          <w:szCs w:val="21"/>
          <w:highlight w:val="none"/>
          <w:u w:val="single"/>
          <w14:textFill>
            <w14:solidFill>
              <w14:schemeClr w14:val="tx1"/>
            </w14:solidFill>
          </w14:textFill>
        </w:rPr>
        <w:t>次</w:t>
      </w:r>
      <w:r>
        <w:rPr>
          <w:rFonts w:hint="eastAsia"/>
          <w:color w:val="000000" w:themeColor="text1"/>
          <w:szCs w:val="21"/>
          <w:highlight w:val="none"/>
          <w:u w:val="single"/>
          <w14:textFill>
            <w14:solidFill>
              <w14:schemeClr w14:val="tx1"/>
            </w14:solidFill>
          </w14:textFill>
        </w:rPr>
        <w:t>（</w:t>
      </w:r>
      <w:r>
        <w:rPr>
          <w:rFonts w:hAnsi="宋体"/>
          <w:color w:val="000000" w:themeColor="text1"/>
          <w:szCs w:val="21"/>
          <w:highlight w:val="none"/>
          <w:u w:val="single"/>
          <w14:textFill>
            <w14:solidFill>
              <w14:schemeClr w14:val="tx1"/>
            </w14:solidFill>
          </w14:textFill>
        </w:rPr>
        <w:t>人民币</w:t>
      </w:r>
      <w:r>
        <w:rPr>
          <w:rFonts w:hint="eastAsia"/>
          <w:color w:val="000000" w:themeColor="text1"/>
          <w:szCs w:val="21"/>
          <w:highlight w:val="none"/>
          <w:u w:val="single"/>
          <w14:textFill>
            <w14:solidFill>
              <w14:schemeClr w14:val="tx1"/>
            </w14:solidFill>
          </w14:textFill>
        </w:rPr>
        <w:t>）</w:t>
      </w:r>
      <w:r>
        <w:rPr>
          <w:rFonts w:hAnsi="宋体"/>
          <w:color w:val="000000" w:themeColor="text1"/>
          <w:szCs w:val="21"/>
          <w:highlight w:val="none"/>
          <w:u w:val="single"/>
          <w14:textFill>
            <w14:solidFill>
              <w14:schemeClr w14:val="tx1"/>
            </w14:solidFill>
          </w14:textFill>
        </w:rPr>
        <w:t>违约金</w:t>
      </w:r>
      <w:r>
        <w:rPr>
          <w:rFonts w:hint="eastAsia" w:hAnsi="宋体"/>
          <w:color w:val="000000" w:themeColor="text1"/>
          <w:szCs w:val="21"/>
          <w:highlight w:val="none"/>
          <w:u w:val="single"/>
          <w14:textFill>
            <w14:solidFill>
              <w14:schemeClr w14:val="tx1"/>
            </w14:solidFill>
          </w14:textFill>
        </w:rPr>
        <w:t>；</w:t>
      </w:r>
      <w:r>
        <w:rPr>
          <w:rFonts w:hAnsi="宋体"/>
          <w:color w:val="000000" w:themeColor="text1"/>
          <w:szCs w:val="21"/>
          <w:highlight w:val="none"/>
          <w:u w:val="single"/>
          <w14:textFill>
            <w14:solidFill>
              <w14:schemeClr w14:val="tx1"/>
            </w14:solidFill>
          </w14:textFill>
        </w:rPr>
        <w:t>擅自更换</w:t>
      </w:r>
      <w:r>
        <w:rPr>
          <w:rFonts w:hint="eastAsia" w:hAnsi="宋体"/>
          <w:color w:val="000000" w:themeColor="text1"/>
          <w:szCs w:val="21"/>
          <w:highlight w:val="none"/>
          <w:u w:val="single"/>
          <w14:textFill>
            <w14:solidFill>
              <w14:schemeClr w14:val="tx1"/>
            </w14:solidFill>
          </w14:textFill>
        </w:rPr>
        <w:t>其它在场管理人员</w:t>
      </w:r>
      <w:r>
        <w:rPr>
          <w:rFonts w:hAnsi="宋体"/>
          <w:color w:val="000000" w:themeColor="text1"/>
          <w:szCs w:val="21"/>
          <w:highlight w:val="none"/>
          <w:u w:val="single"/>
          <w14:textFill>
            <w14:solidFill>
              <w14:schemeClr w14:val="tx1"/>
            </w14:solidFill>
          </w14:textFill>
        </w:rPr>
        <w:t>处</w:t>
      </w:r>
      <w:r>
        <w:rPr>
          <w:rFonts w:hint="eastAsia"/>
          <w:color w:val="000000" w:themeColor="text1"/>
          <w:szCs w:val="21"/>
          <w:highlight w:val="none"/>
          <w:u w:val="single"/>
          <w14:textFill>
            <w14:solidFill>
              <w14:schemeClr w14:val="tx1"/>
            </w14:solidFill>
          </w14:textFill>
        </w:rPr>
        <w:t>5000</w:t>
      </w:r>
      <w:r>
        <w:rPr>
          <w:rFonts w:hAnsi="宋体"/>
          <w:color w:val="000000" w:themeColor="text1"/>
          <w:szCs w:val="21"/>
          <w:highlight w:val="none"/>
          <w:u w:val="single"/>
          <w14:textFill>
            <w14:solidFill>
              <w14:schemeClr w14:val="tx1"/>
            </w14:solidFill>
          </w14:textFill>
        </w:rPr>
        <w:t>元</w:t>
      </w:r>
      <w:r>
        <w:rPr>
          <w:color w:val="000000" w:themeColor="text1"/>
          <w:szCs w:val="21"/>
          <w:highlight w:val="none"/>
          <w:u w:val="single"/>
          <w14:textFill>
            <w14:solidFill>
              <w14:schemeClr w14:val="tx1"/>
            </w14:solidFill>
          </w14:textFill>
        </w:rPr>
        <w:t>/</w:t>
      </w:r>
      <w:r>
        <w:rPr>
          <w:rFonts w:hAnsi="宋体"/>
          <w:color w:val="000000" w:themeColor="text1"/>
          <w:szCs w:val="21"/>
          <w:highlight w:val="none"/>
          <w:u w:val="single"/>
          <w14:textFill>
            <w14:solidFill>
              <w14:schemeClr w14:val="tx1"/>
            </w14:solidFill>
          </w14:textFill>
        </w:rPr>
        <w:t>人</w:t>
      </w:r>
      <w:r>
        <w:rPr>
          <w:color w:val="000000" w:themeColor="text1"/>
          <w:szCs w:val="21"/>
          <w:highlight w:val="none"/>
          <w:u w:val="single"/>
          <w14:textFill>
            <w14:solidFill>
              <w14:schemeClr w14:val="tx1"/>
            </w14:solidFill>
          </w14:textFill>
        </w:rPr>
        <w:t>•</w:t>
      </w:r>
      <w:r>
        <w:rPr>
          <w:rFonts w:hAnsi="宋体"/>
          <w:color w:val="000000" w:themeColor="text1"/>
          <w:szCs w:val="21"/>
          <w:highlight w:val="none"/>
          <w:u w:val="single"/>
          <w14:textFill>
            <w14:solidFill>
              <w14:schemeClr w14:val="tx1"/>
            </w14:solidFill>
          </w14:textFill>
        </w:rPr>
        <w:t>次</w:t>
      </w:r>
      <w:r>
        <w:rPr>
          <w:rFonts w:hint="eastAsia"/>
          <w:color w:val="000000" w:themeColor="text1"/>
          <w:szCs w:val="21"/>
          <w:highlight w:val="none"/>
          <w:u w:val="single"/>
          <w14:textFill>
            <w14:solidFill>
              <w14:schemeClr w14:val="tx1"/>
            </w14:solidFill>
          </w14:textFill>
        </w:rPr>
        <w:t>（</w:t>
      </w:r>
      <w:r>
        <w:rPr>
          <w:rFonts w:hAnsi="宋体"/>
          <w:color w:val="000000" w:themeColor="text1"/>
          <w:szCs w:val="21"/>
          <w:highlight w:val="none"/>
          <w:u w:val="single"/>
          <w14:textFill>
            <w14:solidFill>
              <w14:schemeClr w14:val="tx1"/>
            </w14:solidFill>
          </w14:textFill>
        </w:rPr>
        <w:t>人民币</w:t>
      </w:r>
      <w:r>
        <w:rPr>
          <w:rFonts w:hint="eastAsia"/>
          <w:color w:val="000000" w:themeColor="text1"/>
          <w:szCs w:val="21"/>
          <w:highlight w:val="none"/>
          <w:u w:val="single"/>
          <w14:textFill>
            <w14:solidFill>
              <w14:schemeClr w14:val="tx1"/>
            </w14:solidFill>
          </w14:textFill>
        </w:rPr>
        <w:t>）</w:t>
      </w:r>
      <w:r>
        <w:rPr>
          <w:rFonts w:hAnsi="宋体"/>
          <w:color w:val="000000" w:themeColor="text1"/>
          <w:szCs w:val="21"/>
          <w:highlight w:val="none"/>
          <w:u w:val="single"/>
          <w14:textFill>
            <w14:solidFill>
              <w14:schemeClr w14:val="tx1"/>
            </w14:solidFill>
          </w14:textFill>
        </w:rPr>
        <w:t>违约金</w:t>
      </w:r>
      <w:r>
        <w:rPr>
          <w:rFonts w:hint="eastAsia" w:hAnsi="宋体" w:cs="宋体"/>
          <w:color w:val="000000" w:themeColor="text1"/>
          <w:szCs w:val="21"/>
          <w:highlight w:val="none"/>
          <w14:textFill>
            <w14:solidFill>
              <w14:schemeClr w14:val="tx1"/>
            </w14:solidFill>
          </w14:textFill>
        </w:rPr>
        <w:t>。</w:t>
      </w:r>
    </w:p>
    <w:p w14:paraId="1A5E8C18">
      <w:pPr>
        <w:spacing w:line="360" w:lineRule="auto"/>
        <w:ind w:firstLine="420" w:firstLineChars="200"/>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承包人主要施工管理人员擅自离开施工现场的违约责任：</w:t>
      </w:r>
      <w:r>
        <w:rPr>
          <w:rFonts w:hAnsi="宋体"/>
          <w:color w:val="000000" w:themeColor="text1"/>
          <w:szCs w:val="21"/>
          <w:highlight w:val="none"/>
          <w:u w:val="single"/>
          <w14:textFill>
            <w14:solidFill>
              <w14:schemeClr w14:val="tx1"/>
            </w14:solidFill>
          </w14:textFill>
        </w:rPr>
        <w:t>未经发包人同意，</w:t>
      </w:r>
      <w:r>
        <w:rPr>
          <w:rFonts w:hint="eastAsia" w:hAnsi="宋体"/>
          <w:color w:val="000000" w:themeColor="text1"/>
          <w:szCs w:val="21"/>
          <w:highlight w:val="none"/>
          <w:u w:val="single"/>
          <w14:textFill>
            <w14:solidFill>
              <w14:schemeClr w14:val="tx1"/>
            </w14:solidFill>
          </w14:textFill>
        </w:rPr>
        <w:t>项目</w:t>
      </w:r>
      <w:r>
        <w:rPr>
          <w:rFonts w:hAnsi="宋体"/>
          <w:color w:val="000000" w:themeColor="text1"/>
          <w:szCs w:val="21"/>
          <w:highlight w:val="none"/>
          <w:u w:val="single"/>
          <w14:textFill>
            <w14:solidFill>
              <w14:schemeClr w14:val="tx1"/>
            </w14:solidFill>
          </w14:textFill>
        </w:rPr>
        <w:t>技术负责人擅自离岗</w:t>
      </w:r>
      <w:r>
        <w:rPr>
          <w:rFonts w:hint="eastAsia" w:ascii="宋体" w:hAnsi="宋体"/>
          <w:b/>
          <w:bCs/>
          <w:color w:val="000000" w:themeColor="text1"/>
          <w:szCs w:val="21"/>
          <w:highlight w:val="none"/>
          <w:u w:val="single"/>
          <w14:textFill>
            <w14:solidFill>
              <w14:schemeClr w14:val="tx1"/>
            </w14:solidFill>
          </w14:textFill>
        </w:rPr>
        <w:t>（每个月连续缺勤7天，累计15天视为擅自离岗）</w:t>
      </w:r>
      <w:r>
        <w:rPr>
          <w:rFonts w:hAnsi="宋体"/>
          <w:color w:val="000000" w:themeColor="text1"/>
          <w:szCs w:val="21"/>
          <w:highlight w:val="none"/>
          <w:u w:val="single"/>
          <w14:textFill>
            <w14:solidFill>
              <w14:schemeClr w14:val="tx1"/>
            </w14:solidFill>
          </w14:textFill>
        </w:rPr>
        <w:t>的，视为承包人违约，发包人有权处违约金</w:t>
      </w:r>
      <w:r>
        <w:rPr>
          <w:rFonts w:hint="eastAsia"/>
          <w:color w:val="000000" w:themeColor="text1"/>
          <w:szCs w:val="21"/>
          <w:highlight w:val="none"/>
          <w:u w:val="single"/>
          <w14:textFill>
            <w14:solidFill>
              <w14:schemeClr w14:val="tx1"/>
            </w14:solidFill>
          </w14:textFill>
        </w:rPr>
        <w:t>5000</w:t>
      </w:r>
      <w:r>
        <w:rPr>
          <w:rFonts w:hAnsi="宋体"/>
          <w:color w:val="000000" w:themeColor="text1"/>
          <w:szCs w:val="21"/>
          <w:highlight w:val="none"/>
          <w:u w:val="single"/>
          <w14:textFill>
            <w14:solidFill>
              <w14:schemeClr w14:val="tx1"/>
            </w14:solidFill>
          </w14:textFill>
        </w:rPr>
        <w:t>元</w:t>
      </w:r>
      <w:r>
        <w:rPr>
          <w:color w:val="000000" w:themeColor="text1"/>
          <w:szCs w:val="21"/>
          <w:highlight w:val="none"/>
          <w:u w:val="single"/>
          <w14:textFill>
            <w14:solidFill>
              <w14:schemeClr w14:val="tx1"/>
            </w14:solidFill>
          </w14:textFill>
        </w:rPr>
        <w:t>/</w:t>
      </w:r>
      <w:r>
        <w:rPr>
          <w:rFonts w:hAnsi="宋体"/>
          <w:color w:val="000000" w:themeColor="text1"/>
          <w:szCs w:val="21"/>
          <w:highlight w:val="none"/>
          <w:u w:val="single"/>
          <w14:textFill>
            <w14:solidFill>
              <w14:schemeClr w14:val="tx1"/>
            </w14:solidFill>
          </w14:textFill>
        </w:rPr>
        <w:t>人</w:t>
      </w:r>
      <w:r>
        <w:rPr>
          <w:color w:val="000000" w:themeColor="text1"/>
          <w:szCs w:val="21"/>
          <w:highlight w:val="none"/>
          <w:u w:val="single"/>
          <w14:textFill>
            <w14:solidFill>
              <w14:schemeClr w14:val="tx1"/>
            </w14:solidFill>
          </w14:textFill>
        </w:rPr>
        <w:t>•</w:t>
      </w:r>
      <w:r>
        <w:rPr>
          <w:rFonts w:hAnsi="宋体"/>
          <w:color w:val="000000" w:themeColor="text1"/>
          <w:szCs w:val="21"/>
          <w:highlight w:val="none"/>
          <w:u w:val="single"/>
          <w14:textFill>
            <w14:solidFill>
              <w14:schemeClr w14:val="tx1"/>
            </w14:solidFill>
          </w14:textFill>
        </w:rPr>
        <w:t>次</w:t>
      </w:r>
      <w:r>
        <w:rPr>
          <w:rFonts w:hint="eastAsia"/>
          <w:color w:val="000000" w:themeColor="text1"/>
          <w:szCs w:val="21"/>
          <w:highlight w:val="none"/>
          <w:u w:val="single"/>
          <w14:textFill>
            <w14:solidFill>
              <w14:schemeClr w14:val="tx1"/>
            </w14:solidFill>
          </w14:textFill>
        </w:rPr>
        <w:t>（</w:t>
      </w:r>
      <w:r>
        <w:rPr>
          <w:rFonts w:hAnsi="宋体"/>
          <w:color w:val="000000" w:themeColor="text1"/>
          <w:szCs w:val="21"/>
          <w:highlight w:val="none"/>
          <w:u w:val="single"/>
          <w14:textFill>
            <w14:solidFill>
              <w14:schemeClr w14:val="tx1"/>
            </w14:solidFill>
          </w14:textFill>
        </w:rPr>
        <w:t>人民币</w:t>
      </w:r>
      <w:r>
        <w:rPr>
          <w:rFonts w:hint="eastAsia"/>
          <w:color w:val="000000" w:themeColor="text1"/>
          <w:szCs w:val="21"/>
          <w:highlight w:val="none"/>
          <w:u w:val="single"/>
          <w14:textFill>
            <w14:solidFill>
              <w14:schemeClr w14:val="tx1"/>
            </w14:solidFill>
          </w14:textFill>
        </w:rPr>
        <w:t>）</w:t>
      </w:r>
      <w:r>
        <w:rPr>
          <w:rFonts w:hAnsi="宋体"/>
          <w:color w:val="000000" w:themeColor="text1"/>
          <w:szCs w:val="21"/>
          <w:highlight w:val="none"/>
          <w:u w:val="single"/>
          <w14:textFill>
            <w14:solidFill>
              <w14:schemeClr w14:val="tx1"/>
            </w14:solidFill>
          </w14:textFill>
        </w:rPr>
        <w:t>；未经发包人同意，</w:t>
      </w:r>
      <w:r>
        <w:rPr>
          <w:rFonts w:hint="eastAsia" w:hAnsi="宋体"/>
          <w:color w:val="000000" w:themeColor="text1"/>
          <w:szCs w:val="21"/>
          <w:highlight w:val="none"/>
          <w:u w:val="single"/>
          <w14:textFill>
            <w14:solidFill>
              <w14:schemeClr w14:val="tx1"/>
            </w14:solidFill>
          </w14:textFill>
        </w:rPr>
        <w:t>专职安全员</w:t>
      </w:r>
      <w:r>
        <w:rPr>
          <w:rFonts w:hAnsi="宋体"/>
          <w:color w:val="000000" w:themeColor="text1"/>
          <w:szCs w:val="21"/>
          <w:highlight w:val="none"/>
          <w:u w:val="single"/>
          <w14:textFill>
            <w14:solidFill>
              <w14:schemeClr w14:val="tx1"/>
            </w14:solidFill>
          </w14:textFill>
        </w:rPr>
        <w:t>擅自离岗</w:t>
      </w:r>
      <w:r>
        <w:rPr>
          <w:rFonts w:hint="eastAsia" w:ascii="宋体" w:hAnsi="宋体"/>
          <w:b/>
          <w:bCs/>
          <w:color w:val="000000" w:themeColor="text1"/>
          <w:szCs w:val="21"/>
          <w:highlight w:val="none"/>
          <w:u w:val="single"/>
          <w14:textFill>
            <w14:solidFill>
              <w14:schemeClr w14:val="tx1"/>
            </w14:solidFill>
          </w14:textFill>
        </w:rPr>
        <w:t>（每个月连续缺勤7天，累计15天视为擅自离岗）</w:t>
      </w:r>
      <w:r>
        <w:rPr>
          <w:rFonts w:hint="eastAsia" w:hAnsi="宋体" w:cs="宋体"/>
          <w:color w:val="000000" w:themeColor="text1"/>
          <w:szCs w:val="21"/>
          <w:highlight w:val="none"/>
          <w:u w:val="single"/>
          <w14:textFill>
            <w14:solidFill>
              <w14:schemeClr w14:val="tx1"/>
            </w14:solidFill>
          </w14:textFill>
        </w:rPr>
        <w:t>的，视为承包人违约，发包人有权处违约金</w:t>
      </w:r>
      <w:r>
        <w:rPr>
          <w:rFonts w:hint="eastAsia"/>
          <w:color w:val="000000" w:themeColor="text1"/>
          <w:szCs w:val="21"/>
          <w:highlight w:val="none"/>
          <w:u w:val="single"/>
          <w14:textFill>
            <w14:solidFill>
              <w14:schemeClr w14:val="tx1"/>
            </w14:solidFill>
          </w14:textFill>
        </w:rPr>
        <w:t>5000</w:t>
      </w:r>
      <w:r>
        <w:rPr>
          <w:rFonts w:hint="eastAsia" w:hAnsi="宋体" w:cs="宋体"/>
          <w:color w:val="000000" w:themeColor="text1"/>
          <w:szCs w:val="21"/>
          <w:highlight w:val="none"/>
          <w:u w:val="single"/>
          <w14:textFill>
            <w14:solidFill>
              <w14:schemeClr w14:val="tx1"/>
            </w14:solidFill>
          </w14:textFill>
        </w:rPr>
        <w:t>元</w:t>
      </w:r>
      <w:r>
        <w:rPr>
          <w:color w:val="000000" w:themeColor="text1"/>
          <w:szCs w:val="21"/>
          <w:highlight w:val="none"/>
          <w:u w:val="single"/>
          <w14:textFill>
            <w14:solidFill>
              <w14:schemeClr w14:val="tx1"/>
            </w14:solidFill>
          </w14:textFill>
        </w:rPr>
        <w:t>/</w:t>
      </w:r>
      <w:r>
        <w:rPr>
          <w:rFonts w:hint="eastAsia" w:hAnsi="宋体" w:cs="宋体"/>
          <w:color w:val="000000" w:themeColor="text1"/>
          <w:szCs w:val="21"/>
          <w:highlight w:val="none"/>
          <w:u w:val="single"/>
          <w14:textFill>
            <w14:solidFill>
              <w14:schemeClr w14:val="tx1"/>
            </w14:solidFill>
          </w14:textFill>
        </w:rPr>
        <w:t>人</w:t>
      </w:r>
      <w:r>
        <w:rPr>
          <w:color w:val="000000" w:themeColor="text1"/>
          <w:szCs w:val="21"/>
          <w:highlight w:val="none"/>
          <w:u w:val="single"/>
          <w14:textFill>
            <w14:solidFill>
              <w14:schemeClr w14:val="tx1"/>
            </w14:solidFill>
          </w14:textFill>
        </w:rPr>
        <w:t>•</w:t>
      </w:r>
      <w:r>
        <w:rPr>
          <w:rFonts w:hint="eastAsia" w:hAnsi="宋体" w:cs="宋体"/>
          <w:color w:val="000000" w:themeColor="text1"/>
          <w:szCs w:val="21"/>
          <w:highlight w:val="none"/>
          <w:u w:val="single"/>
          <w14:textFill>
            <w14:solidFill>
              <w14:schemeClr w14:val="tx1"/>
            </w14:solidFill>
          </w14:textFill>
        </w:rPr>
        <w:t>次</w:t>
      </w:r>
      <w:r>
        <w:rPr>
          <w:rFonts w:hint="eastAsia" w:cs="宋体"/>
          <w:color w:val="000000" w:themeColor="text1"/>
          <w:szCs w:val="21"/>
          <w:highlight w:val="none"/>
          <w:u w:val="single"/>
          <w14:textFill>
            <w14:solidFill>
              <w14:schemeClr w14:val="tx1"/>
            </w14:solidFill>
          </w14:textFill>
        </w:rPr>
        <w:t>（</w:t>
      </w:r>
      <w:r>
        <w:rPr>
          <w:rFonts w:hint="eastAsia" w:hAnsi="宋体" w:cs="宋体"/>
          <w:color w:val="000000" w:themeColor="text1"/>
          <w:szCs w:val="21"/>
          <w:highlight w:val="none"/>
          <w:u w:val="single"/>
          <w14:textFill>
            <w14:solidFill>
              <w14:schemeClr w14:val="tx1"/>
            </w14:solidFill>
          </w14:textFill>
        </w:rPr>
        <w:t>人民币</w:t>
      </w:r>
      <w:r>
        <w:rPr>
          <w:rFonts w:hint="eastAsia" w:cs="宋体"/>
          <w:color w:val="000000" w:themeColor="text1"/>
          <w:szCs w:val="21"/>
          <w:highlight w:val="none"/>
          <w:u w:val="single"/>
          <w14:textFill>
            <w14:solidFill>
              <w14:schemeClr w14:val="tx1"/>
            </w14:solidFill>
          </w14:textFill>
        </w:rPr>
        <w:t>）</w:t>
      </w:r>
      <w:r>
        <w:rPr>
          <w:rFonts w:hint="eastAsia" w:hAnsi="宋体" w:cs="宋体"/>
          <w:color w:val="000000" w:themeColor="text1"/>
          <w:szCs w:val="21"/>
          <w:highlight w:val="none"/>
          <w:u w:val="single"/>
          <w14:textFill>
            <w14:solidFill>
              <w14:schemeClr w14:val="tx1"/>
            </w14:solidFill>
          </w14:textFill>
        </w:rPr>
        <w:t>；其它在场管理人员擅自离岗</w:t>
      </w:r>
      <w:r>
        <w:rPr>
          <w:rFonts w:hint="eastAsia" w:ascii="宋体" w:hAnsi="宋体"/>
          <w:b/>
          <w:bCs/>
          <w:color w:val="000000" w:themeColor="text1"/>
          <w:szCs w:val="21"/>
          <w:highlight w:val="none"/>
          <w:u w:val="single"/>
          <w14:textFill>
            <w14:solidFill>
              <w14:schemeClr w14:val="tx1"/>
            </w14:solidFill>
          </w14:textFill>
        </w:rPr>
        <w:t>（每个月连续缺勤7天，累计15天视为擅自离岗）</w:t>
      </w:r>
      <w:r>
        <w:rPr>
          <w:rFonts w:hint="eastAsia" w:hAnsi="宋体" w:cs="宋体"/>
          <w:color w:val="000000" w:themeColor="text1"/>
          <w:szCs w:val="21"/>
          <w:highlight w:val="none"/>
          <w:u w:val="single"/>
          <w14:textFill>
            <w14:solidFill>
              <w14:schemeClr w14:val="tx1"/>
            </w14:solidFill>
          </w14:textFill>
        </w:rPr>
        <w:t>的，视为承包人违约，发包人有权处违约金5000元</w:t>
      </w:r>
      <w:r>
        <w:rPr>
          <w:color w:val="000000" w:themeColor="text1"/>
          <w:szCs w:val="21"/>
          <w:highlight w:val="none"/>
          <w:u w:val="single"/>
          <w14:textFill>
            <w14:solidFill>
              <w14:schemeClr w14:val="tx1"/>
            </w14:solidFill>
          </w14:textFill>
        </w:rPr>
        <w:t>/</w:t>
      </w:r>
      <w:r>
        <w:rPr>
          <w:rFonts w:hint="eastAsia" w:hAnsi="宋体" w:cs="宋体"/>
          <w:color w:val="000000" w:themeColor="text1"/>
          <w:szCs w:val="21"/>
          <w:highlight w:val="none"/>
          <w:u w:val="single"/>
          <w14:textFill>
            <w14:solidFill>
              <w14:schemeClr w14:val="tx1"/>
            </w14:solidFill>
          </w14:textFill>
        </w:rPr>
        <w:t>人</w:t>
      </w:r>
      <w:r>
        <w:rPr>
          <w:color w:val="000000" w:themeColor="text1"/>
          <w:szCs w:val="21"/>
          <w:highlight w:val="none"/>
          <w:u w:val="single"/>
          <w14:textFill>
            <w14:solidFill>
              <w14:schemeClr w14:val="tx1"/>
            </w14:solidFill>
          </w14:textFill>
        </w:rPr>
        <w:t>•</w:t>
      </w:r>
      <w:r>
        <w:rPr>
          <w:rFonts w:hint="eastAsia" w:hAnsi="宋体" w:cs="宋体"/>
          <w:color w:val="000000" w:themeColor="text1"/>
          <w:szCs w:val="21"/>
          <w:highlight w:val="none"/>
          <w:u w:val="single"/>
          <w14:textFill>
            <w14:solidFill>
              <w14:schemeClr w14:val="tx1"/>
            </w14:solidFill>
          </w14:textFill>
        </w:rPr>
        <w:t>次</w:t>
      </w:r>
      <w:r>
        <w:rPr>
          <w:rFonts w:hint="eastAsia" w:cs="宋体"/>
          <w:color w:val="000000" w:themeColor="text1"/>
          <w:szCs w:val="21"/>
          <w:highlight w:val="none"/>
          <w:u w:val="single"/>
          <w14:textFill>
            <w14:solidFill>
              <w14:schemeClr w14:val="tx1"/>
            </w14:solidFill>
          </w14:textFill>
        </w:rPr>
        <w:t>（</w:t>
      </w:r>
      <w:r>
        <w:rPr>
          <w:rFonts w:hint="eastAsia" w:hAnsi="宋体" w:cs="宋体"/>
          <w:color w:val="000000" w:themeColor="text1"/>
          <w:szCs w:val="21"/>
          <w:highlight w:val="none"/>
          <w:u w:val="single"/>
          <w14:textFill>
            <w14:solidFill>
              <w14:schemeClr w14:val="tx1"/>
            </w14:solidFill>
          </w14:textFill>
        </w:rPr>
        <w:t>人民币</w:t>
      </w:r>
      <w:r>
        <w:rPr>
          <w:rFonts w:hint="eastAsia" w:cs="宋体"/>
          <w:color w:val="000000" w:themeColor="text1"/>
          <w:szCs w:val="21"/>
          <w:highlight w:val="none"/>
          <w:u w:val="single"/>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w:t>
      </w:r>
    </w:p>
    <w:p w14:paraId="19D25035">
      <w:pPr>
        <w:spacing w:line="360" w:lineRule="auto"/>
        <w:ind w:firstLine="422" w:firstLineChars="200"/>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3.3.6工程例会要求：承包人项目经理、项目技术负责人、水电负责人、质量员、安全员必须参加由监理人主持的每周工程例会，因故不能参加的应提前4小时向监理或项目总监提出书面申请并在获得总监批准后方可缺席（最多只能1人缺席），否则承包人须向发包人支付违约金 500元/人•次,迟到的承包人须向发包人支付违约金 200元/人•次。</w:t>
      </w:r>
    </w:p>
    <w:p w14:paraId="4AA54F40">
      <w:pPr>
        <w:spacing w:line="360" w:lineRule="auto"/>
        <w:ind w:firstLine="422" w:firstLineChars="200"/>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3.3.7对承包人工作人员的要求：对于下列承包人工作人员，发包人有权要求及时更换，承包人在收到书面通知后必须在24小时内将其调离本工程范围，否则承包人支付违约金 1000元/人•次；同时，承包人应在48 小时内用发包人批准的合格的人员代替上述调离的人员。</w:t>
      </w:r>
    </w:p>
    <w:p w14:paraId="5A4F4F18">
      <w:pPr>
        <w:spacing w:line="360" w:lineRule="auto"/>
        <w:ind w:firstLine="422" w:firstLineChars="200"/>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（1）分部分项工程经两次验收仍不能满足要求的主要责任者（指施工员、班组长、质量员、工长）；</w:t>
      </w:r>
    </w:p>
    <w:p w14:paraId="28AFF625">
      <w:pPr>
        <w:spacing w:line="360" w:lineRule="auto"/>
        <w:ind w:firstLine="422" w:firstLineChars="200"/>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（2）专业水平达不到岗位要求、工作责任心不强的施工人员；</w:t>
      </w:r>
    </w:p>
    <w:p w14:paraId="14D18597">
      <w:pPr>
        <w:spacing w:line="360" w:lineRule="auto"/>
        <w:ind w:firstLine="422" w:firstLineChars="200"/>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（3）不能积极配合监理和发包人管理的工作人员；</w:t>
      </w:r>
    </w:p>
    <w:p w14:paraId="4D2ED3A2">
      <w:pPr>
        <w:spacing w:line="360" w:lineRule="auto"/>
        <w:ind w:firstLine="422" w:firstLineChars="200"/>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（4）违反发包人或承包人工地现场管理规定者；</w:t>
      </w:r>
    </w:p>
    <w:p w14:paraId="21DF4B23">
      <w:pPr>
        <w:spacing w:line="360" w:lineRule="auto"/>
        <w:ind w:firstLine="422" w:firstLineChars="200"/>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（5）高空抛弃建筑垃圾者及随地大小便者；</w:t>
      </w:r>
    </w:p>
    <w:p w14:paraId="5481D365">
      <w:pPr>
        <w:spacing w:line="360" w:lineRule="auto"/>
        <w:ind w:firstLine="422" w:firstLineChars="200"/>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（6）无证上岗者；</w:t>
      </w:r>
    </w:p>
    <w:p w14:paraId="63B96404">
      <w:pPr>
        <w:spacing w:line="360" w:lineRule="auto"/>
        <w:ind w:firstLine="422" w:firstLineChars="200"/>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（7）与响应文件及本合同规定名册不符者；</w:t>
      </w:r>
    </w:p>
    <w:p w14:paraId="026134FA">
      <w:pPr>
        <w:spacing w:line="360" w:lineRule="auto"/>
        <w:ind w:firstLine="422" w:firstLineChars="200"/>
        <w:rPr>
          <w:rFonts w:hAnsi="宋体" w:cs="宋体"/>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（8）与本工程施工无关及对本工程产生不良影响的其他人员。</w:t>
      </w:r>
    </w:p>
    <w:p w14:paraId="471266DC">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233" w:name="_Toc407135212"/>
      <w:bookmarkStart w:id="234" w:name="_Toc373227710"/>
      <w:bookmarkStart w:id="235" w:name="_Toc78449798"/>
      <w:bookmarkStart w:id="236" w:name="_Toc389065276"/>
      <w:bookmarkStart w:id="237" w:name="_Toc373478357"/>
      <w:bookmarkStart w:id="238" w:name="_Toc114058849"/>
      <w:r>
        <w:rPr>
          <w:rFonts w:eastAsia="黑体"/>
          <w:b/>
          <w:bCs/>
          <w:color w:val="000000" w:themeColor="text1"/>
          <w:sz w:val="32"/>
          <w:szCs w:val="32"/>
          <w:highlight w:val="none"/>
          <w:lang w:val="zh-CN"/>
          <w14:textFill>
            <w14:solidFill>
              <w14:schemeClr w14:val="tx1"/>
            </w14:solidFill>
          </w14:textFill>
        </w:rPr>
        <w:t>3</w:t>
      </w:r>
      <w:bookmarkStart w:id="239" w:name="_Toc296891199"/>
      <w:bookmarkStart w:id="240" w:name="_Toc297120459"/>
      <w:bookmarkStart w:id="241" w:name="_Toc292559364"/>
      <w:bookmarkStart w:id="242" w:name="_Toc297216151"/>
      <w:bookmarkStart w:id="243" w:name="_Toc292559869"/>
      <w:bookmarkStart w:id="244" w:name="_Toc296347158"/>
      <w:bookmarkStart w:id="245" w:name="_Toc304295523"/>
      <w:bookmarkStart w:id="246" w:name="_Toc312677988"/>
      <w:bookmarkStart w:id="247" w:name="_Toc297048345"/>
      <w:bookmarkStart w:id="248" w:name="_Toc297123492"/>
      <w:bookmarkStart w:id="249" w:name="_Toc296346660"/>
      <w:bookmarkStart w:id="250" w:name="_Toc303539102"/>
      <w:bookmarkStart w:id="251" w:name="_Toc296890987"/>
      <w:bookmarkStart w:id="252" w:name="_Toc296503159"/>
      <w:bookmarkStart w:id="253" w:name="_Toc296944498"/>
      <w:bookmarkStart w:id="254" w:name="_Toc300934945"/>
      <w:r>
        <w:rPr>
          <w:rFonts w:eastAsia="黑体"/>
          <w:b/>
          <w:bCs/>
          <w:color w:val="000000" w:themeColor="text1"/>
          <w:sz w:val="32"/>
          <w:szCs w:val="32"/>
          <w:highlight w:val="none"/>
          <w:lang w:val="zh-CN"/>
          <w14:textFill>
            <w14:solidFill>
              <w14:schemeClr w14:val="tx1"/>
            </w14:solidFill>
          </w14:textFill>
        </w:rPr>
        <w:t xml:space="preserve">.5 </w:t>
      </w:r>
      <w:r>
        <w:rPr>
          <w:rFonts w:hint="eastAsia" w:hAnsi="宋体" w:eastAsia="黑体" w:cs="黑体"/>
          <w:b/>
          <w:bCs/>
          <w:color w:val="000000" w:themeColor="text1"/>
          <w:sz w:val="32"/>
          <w:szCs w:val="32"/>
          <w:highlight w:val="none"/>
          <w:lang w:val="zh-CN"/>
          <w14:textFill>
            <w14:solidFill>
              <w14:schemeClr w14:val="tx1"/>
            </w14:solidFill>
          </w14:textFill>
        </w:rPr>
        <w:t>分包</w:t>
      </w:r>
      <w:bookmarkEnd w:id="233"/>
      <w:bookmarkEnd w:id="234"/>
      <w:bookmarkEnd w:id="235"/>
      <w:bookmarkEnd w:id="236"/>
      <w:bookmarkEnd w:id="237"/>
      <w:bookmarkEnd w:id="238"/>
    </w:p>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14:paraId="7E5FF975">
      <w:pPr>
        <w:spacing w:line="360" w:lineRule="auto"/>
        <w:ind w:firstLine="420" w:firstLineChars="200"/>
        <w:rPr>
          <w:color w:val="000000" w:themeColor="text1"/>
          <w:szCs w:val="21"/>
          <w:highlight w:val="none"/>
          <w14:textFill>
            <w14:solidFill>
              <w14:schemeClr w14:val="tx1"/>
            </w14:solidFill>
          </w14:textFill>
        </w:rPr>
      </w:pPr>
      <w:bookmarkStart w:id="255" w:name="_Toc312677990"/>
      <w:bookmarkStart w:id="256" w:name="_Toc318581159"/>
      <w:r>
        <w:rPr>
          <w:color w:val="000000" w:themeColor="text1"/>
          <w:szCs w:val="21"/>
          <w:highlight w:val="none"/>
          <w14:textFill>
            <w14:solidFill>
              <w14:schemeClr w14:val="tx1"/>
            </w14:solidFill>
          </w14:textFill>
        </w:rPr>
        <w:t>3</w:t>
      </w:r>
      <w:bookmarkStart w:id="257" w:name="_Toc296347159"/>
      <w:bookmarkStart w:id="258" w:name="_Toc296891200"/>
      <w:bookmarkStart w:id="259" w:name="_Toc296346661"/>
      <w:bookmarkStart w:id="260" w:name="_Toc297123493"/>
      <w:bookmarkStart w:id="261" w:name="_Toc297216152"/>
      <w:bookmarkStart w:id="262" w:name="_Toc297048346"/>
      <w:bookmarkStart w:id="263" w:name="_Toc292559870"/>
      <w:bookmarkStart w:id="264" w:name="_Toc304295524"/>
      <w:bookmarkStart w:id="265" w:name="_Toc318581158"/>
      <w:bookmarkStart w:id="266" w:name="_Toc300934946"/>
      <w:bookmarkStart w:id="267" w:name="_Toc292559365"/>
      <w:bookmarkStart w:id="268" w:name="_Toc312677989"/>
      <w:bookmarkStart w:id="269" w:name="_Toc296944499"/>
      <w:bookmarkStart w:id="270" w:name="_Toc296890988"/>
      <w:bookmarkStart w:id="271" w:name="_Toc297120460"/>
      <w:bookmarkStart w:id="272" w:name="_Toc296503160"/>
      <w:bookmarkStart w:id="273" w:name="_Toc303539103"/>
      <w:r>
        <w:rPr>
          <w:color w:val="000000" w:themeColor="text1"/>
          <w:szCs w:val="21"/>
          <w:highlight w:val="none"/>
          <w14:textFill>
            <w14:solidFill>
              <w14:schemeClr w14:val="tx1"/>
            </w14:solidFill>
          </w14:textFill>
        </w:rPr>
        <w:t xml:space="preserve">.5.1 </w:t>
      </w:r>
      <w:r>
        <w:rPr>
          <w:rFonts w:hAnsi="宋体"/>
          <w:color w:val="000000" w:themeColor="text1"/>
          <w:szCs w:val="21"/>
          <w:highlight w:val="none"/>
          <w14:textFill>
            <w14:solidFill>
              <w14:schemeClr w14:val="tx1"/>
            </w14:solidFill>
          </w14:textFill>
        </w:rPr>
        <w:t>分包的一般约定</w:t>
      </w:r>
    </w:p>
    <w:p w14:paraId="3065288C">
      <w:pPr>
        <w:spacing w:line="360" w:lineRule="auto"/>
        <w:ind w:firstLine="420" w:firstLineChars="200"/>
        <w:jc w:val="left"/>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禁止分包的工程包括：</w:t>
      </w:r>
      <w:r>
        <w:rPr>
          <w:rFonts w:hint="eastAsia" w:hAnsi="宋体"/>
          <w:color w:val="000000" w:themeColor="text1"/>
          <w:szCs w:val="21"/>
          <w:highlight w:val="none"/>
          <w:u w:val="single"/>
          <w14:textFill>
            <w14:solidFill>
              <w14:schemeClr w14:val="tx1"/>
            </w14:solidFill>
          </w14:textFill>
        </w:rPr>
        <w:t>按通用条款</w:t>
      </w:r>
      <w:r>
        <w:rPr>
          <w:rFonts w:hAnsi="宋体"/>
          <w:color w:val="000000" w:themeColor="text1"/>
          <w:szCs w:val="21"/>
          <w:highlight w:val="none"/>
          <w14:textFill>
            <w14:solidFill>
              <w14:schemeClr w14:val="tx1"/>
            </w14:solidFill>
          </w14:textFill>
        </w:rPr>
        <w:t>。</w:t>
      </w:r>
    </w:p>
    <w:p w14:paraId="62A83FB9">
      <w:pPr>
        <w:spacing w:line="360" w:lineRule="auto"/>
        <w:ind w:firstLine="420" w:firstLineChars="200"/>
        <w:jc w:val="left"/>
        <w:rPr>
          <w:rFonts w:hAnsi="宋体"/>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主体结构、关键性工作的范围：</w:t>
      </w:r>
      <w:r>
        <w:rPr>
          <w:rFonts w:hint="eastAsia" w:hAnsi="宋体"/>
          <w:color w:val="000000" w:themeColor="text1"/>
          <w:szCs w:val="21"/>
          <w:highlight w:val="none"/>
          <w:u w:val="single"/>
          <w14:textFill>
            <w14:solidFill>
              <w14:schemeClr w14:val="tx1"/>
            </w14:solidFill>
          </w14:textFill>
        </w:rPr>
        <w:t>项目招标清单所列范围</w:t>
      </w:r>
      <w:r>
        <w:rPr>
          <w:rFonts w:hAnsi="宋体"/>
          <w:color w:val="000000" w:themeColor="text1"/>
          <w:szCs w:val="21"/>
          <w:highlight w:val="none"/>
          <w14:textFill>
            <w14:solidFill>
              <w14:schemeClr w14:val="tx1"/>
            </w14:solidFill>
          </w14:textFill>
        </w:rPr>
        <w:t>。</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p w14:paraId="67422DDD">
      <w:pPr>
        <w:spacing w:line="360" w:lineRule="auto"/>
        <w:ind w:firstLine="420" w:firstLineChars="20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3.5.2</w:t>
      </w:r>
      <w:r>
        <w:rPr>
          <w:rFonts w:hAnsi="宋体"/>
          <w:color w:val="000000" w:themeColor="text1"/>
          <w:szCs w:val="21"/>
          <w:highlight w:val="none"/>
          <w14:textFill>
            <w14:solidFill>
              <w14:schemeClr w14:val="tx1"/>
            </w14:solidFill>
          </w14:textFill>
        </w:rPr>
        <w:t>分包的确定</w:t>
      </w:r>
    </w:p>
    <w:p w14:paraId="03F28F9F">
      <w:pPr>
        <w:spacing w:line="360" w:lineRule="auto"/>
        <w:ind w:firstLine="420" w:firstLineChars="200"/>
        <w:rPr>
          <w:color w:val="000000" w:themeColor="text1"/>
          <w:szCs w:val="21"/>
          <w:highlight w:val="none"/>
          <w:u w:val="single"/>
          <w14:textFill>
            <w14:solidFill>
              <w14:schemeClr w14:val="tx1"/>
            </w14:solidFill>
          </w14:textFill>
        </w:rPr>
      </w:pPr>
      <w:r>
        <w:rPr>
          <w:rFonts w:hAnsi="宋体"/>
          <w:color w:val="000000" w:themeColor="text1"/>
          <w:szCs w:val="21"/>
          <w:highlight w:val="none"/>
          <w14:textFill>
            <w14:solidFill>
              <w14:schemeClr w14:val="tx1"/>
            </w14:solidFill>
          </w14:textFill>
        </w:rPr>
        <w:t>允许分包的专业工程包括：</w:t>
      </w:r>
      <w:r>
        <w:rPr>
          <w:rFonts w:hint="eastAsia" w:hAnsi="宋体"/>
          <w:color w:val="000000" w:themeColor="text1"/>
          <w:szCs w:val="21"/>
          <w:highlight w:val="none"/>
          <w:u w:val="single"/>
          <w14:textFill>
            <w14:solidFill>
              <w14:schemeClr w14:val="tx1"/>
            </w14:solidFill>
          </w14:textFill>
        </w:rPr>
        <w:t>无</w:t>
      </w:r>
      <w:r>
        <w:rPr>
          <w:rFonts w:hAnsi="宋体"/>
          <w:color w:val="000000" w:themeColor="text1"/>
          <w:szCs w:val="21"/>
          <w:highlight w:val="none"/>
          <w14:textFill>
            <w14:solidFill>
              <w14:schemeClr w14:val="tx1"/>
            </w14:solidFill>
          </w14:textFill>
        </w:rPr>
        <w:t>。</w:t>
      </w:r>
    </w:p>
    <w:p w14:paraId="4E017208">
      <w:pPr>
        <w:spacing w:line="360" w:lineRule="auto"/>
        <w:ind w:firstLine="420" w:firstLineChars="200"/>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其他关于分包的约定：</w:t>
      </w:r>
    </w:p>
    <w:p w14:paraId="1C52B8DC">
      <w:pPr>
        <w:spacing w:line="360" w:lineRule="auto"/>
        <w:ind w:firstLine="420" w:firstLineChars="200"/>
        <w:rPr>
          <w:color w:val="000000" w:themeColor="text1"/>
          <w:szCs w:val="21"/>
          <w:highlight w:val="none"/>
          <w14:textFill>
            <w14:solidFill>
              <w14:schemeClr w14:val="tx1"/>
            </w14:solidFill>
          </w14:textFill>
        </w:rPr>
      </w:pPr>
      <w:r>
        <w:rPr>
          <w:rFonts w:hint="eastAsia" w:cs="宋体"/>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1</w:t>
      </w:r>
      <w:r>
        <w:rPr>
          <w:rFonts w:hint="eastAsia" w:cs="宋体"/>
          <w:color w:val="000000" w:themeColor="text1"/>
          <w:szCs w:val="21"/>
          <w:highlight w:val="none"/>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除前款约定的分包内容外，经过发包人和监理人同意，承包人可以将其他非主体、非关键性工作分包给第三人，但分包人应当经过发包人和监理人审批。发包人和监理人有权拒绝承包人的分包请求和承包人选择的分包人。本项目分包人主要施工管理人员名单详见合同附件</w:t>
      </w:r>
      <w:r>
        <w:rPr>
          <w:rFonts w:hint="eastAsia" w:hAnsi="宋体"/>
          <w:color w:val="000000" w:themeColor="text1"/>
          <w:szCs w:val="21"/>
          <w:highlight w:val="none"/>
          <w14:textFill>
            <w14:solidFill>
              <w14:schemeClr w14:val="tx1"/>
            </w14:solidFill>
          </w14:textFill>
        </w:rPr>
        <w:t>6</w:t>
      </w:r>
      <w:r>
        <w:rPr>
          <w:rFonts w:hint="eastAsia" w:hAnsi="宋体" w:cs="宋体"/>
          <w:color w:val="000000" w:themeColor="text1"/>
          <w:szCs w:val="21"/>
          <w:highlight w:val="none"/>
          <w14:textFill>
            <w14:solidFill>
              <w14:schemeClr w14:val="tx1"/>
            </w14:solidFill>
          </w14:textFill>
        </w:rPr>
        <w:t>。</w:t>
      </w:r>
    </w:p>
    <w:p w14:paraId="5397CDB3">
      <w:pPr>
        <w:spacing w:line="360" w:lineRule="auto"/>
        <w:ind w:firstLine="420" w:firstLineChars="200"/>
        <w:rPr>
          <w:color w:val="000000" w:themeColor="text1"/>
          <w:szCs w:val="21"/>
          <w:highlight w:val="none"/>
          <w:u w:val="single"/>
          <w14:textFill>
            <w14:solidFill>
              <w14:schemeClr w14:val="tx1"/>
            </w14:solidFill>
          </w14:textFill>
        </w:rPr>
      </w:pPr>
      <w:r>
        <w:rPr>
          <w:rFonts w:hint="eastAsia" w:cs="宋体"/>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2</w:t>
      </w:r>
      <w:r>
        <w:rPr>
          <w:rFonts w:hint="eastAsia" w:cs="宋体"/>
          <w:color w:val="000000" w:themeColor="text1"/>
          <w:szCs w:val="21"/>
          <w:highlight w:val="none"/>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在相关分包合同签订并报送有关建设行政主管部门备案后</w:t>
      </w:r>
      <w:r>
        <w:rPr>
          <w:color w:val="000000" w:themeColor="text1"/>
          <w:szCs w:val="21"/>
          <w:highlight w:val="none"/>
          <w14:textFill>
            <w14:solidFill>
              <w14:schemeClr w14:val="tx1"/>
            </w14:solidFill>
          </w14:textFill>
        </w:rPr>
        <w:t>7</w:t>
      </w:r>
      <w:r>
        <w:rPr>
          <w:rFonts w:hint="eastAsia" w:hAnsi="宋体" w:cs="宋体"/>
          <w:color w:val="000000" w:themeColor="text1"/>
          <w:szCs w:val="21"/>
          <w:highlight w:val="none"/>
          <w14:textFill>
            <w14:solidFill>
              <w14:schemeClr w14:val="tx1"/>
            </w14:solidFill>
          </w14:textFill>
        </w:rPr>
        <w:t>天内，承包人应当将一份副本提交给监理人，承包人应保障分包工作不得再次分包。</w:t>
      </w:r>
    </w:p>
    <w:p w14:paraId="7F466DD0">
      <w:pPr>
        <w:spacing w:line="360" w:lineRule="auto"/>
        <w:ind w:firstLine="420" w:firstLineChars="200"/>
        <w:rPr>
          <w:color w:val="000000" w:themeColor="text1"/>
          <w:szCs w:val="21"/>
          <w:highlight w:val="none"/>
          <w14:textFill>
            <w14:solidFill>
              <w14:schemeClr w14:val="tx1"/>
            </w14:solidFill>
          </w14:textFill>
        </w:rPr>
      </w:pPr>
      <w:r>
        <w:rPr>
          <w:rFonts w:hint="eastAsia" w:cs="宋体"/>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3</w:t>
      </w:r>
      <w:r>
        <w:rPr>
          <w:rFonts w:hint="eastAsia" w:cs="宋体"/>
          <w:color w:val="000000" w:themeColor="text1"/>
          <w:szCs w:val="21"/>
          <w:highlight w:val="none"/>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未经承包人和监理人审批同意的分包工程和分包人，承包人有权拒绝验收分包工程和支付相应款项，由此引起的发包人费用增加和</w:t>
      </w:r>
      <w:r>
        <w:rPr>
          <w:color w:val="000000" w:themeColor="text1"/>
          <w:szCs w:val="21"/>
          <w:highlight w:val="none"/>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或</w:t>
      </w:r>
      <w:r>
        <w:rPr>
          <w:color w:val="000000" w:themeColor="text1"/>
          <w:szCs w:val="21"/>
          <w:highlight w:val="none"/>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延误的工期由发包人承担。</w:t>
      </w:r>
    </w:p>
    <w:p w14:paraId="67D3BF6F">
      <w:pPr>
        <w:spacing w:line="360"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4</w:t>
      </w:r>
      <w:r>
        <w:rPr>
          <w:rFonts w:hint="eastAsia"/>
          <w:color w:val="000000" w:themeColor="text1"/>
          <w:szCs w:val="21"/>
          <w:highlight w:val="none"/>
          <w14:textFill>
            <w14:solidFill>
              <w14:schemeClr w14:val="tx1"/>
            </w14:solidFill>
          </w14:textFill>
        </w:rPr>
        <w:t>）</w:t>
      </w:r>
      <w:r>
        <w:rPr>
          <w:rFonts w:hint="eastAsia" w:hAnsi="宋体"/>
          <w:color w:val="000000" w:themeColor="text1"/>
          <w:szCs w:val="21"/>
          <w:highlight w:val="none"/>
          <w14:textFill>
            <w14:solidFill>
              <w14:schemeClr w14:val="tx1"/>
            </w14:solidFill>
          </w14:textFill>
        </w:rPr>
        <w:t>承包人有以下情况之一者，发包人有权解除合同，并视情况</w:t>
      </w:r>
      <w:r>
        <w:rPr>
          <w:rFonts w:hint="eastAsia" w:hAnsi="宋体"/>
          <w:color w:val="000000" w:themeColor="text1"/>
          <w:szCs w:val="21"/>
          <w:highlight w:val="none"/>
          <w:lang w:val="en-US" w:eastAsia="zh-CN"/>
          <w14:textFill>
            <w14:solidFill>
              <w14:schemeClr w14:val="tx1"/>
            </w14:solidFill>
          </w14:textFill>
        </w:rPr>
        <w:t>对其进行处罚</w:t>
      </w:r>
      <w:r>
        <w:rPr>
          <w:rFonts w:hint="eastAsia" w:hAnsi="宋体"/>
          <w:color w:val="000000" w:themeColor="text1"/>
          <w:szCs w:val="21"/>
          <w:highlight w:val="none"/>
          <w14:textFill>
            <w14:solidFill>
              <w14:schemeClr w14:val="tx1"/>
            </w14:solidFill>
          </w14:textFill>
        </w:rPr>
        <w:t>：</w:t>
      </w:r>
    </w:p>
    <w:p w14:paraId="5593072E">
      <w:pPr>
        <w:spacing w:line="360" w:lineRule="auto"/>
        <w:ind w:firstLine="441" w:firstLineChars="210"/>
        <w:rPr>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①个人承包工程，包括本人单位及外单位人员承包，发包人不承认其个人拥有任何资质等级及营业许可资格。</w:t>
      </w:r>
    </w:p>
    <w:p w14:paraId="50EC22DB">
      <w:pPr>
        <w:spacing w:line="360" w:lineRule="auto"/>
        <w:ind w:firstLine="441" w:firstLineChars="210"/>
        <w:rPr>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②几个人联合承包工程，就地组织暗分包队伍，不具备完成本工程的技术、机械能力，被发包人判定为没有能力履行的承包人。</w:t>
      </w:r>
    </w:p>
    <w:p w14:paraId="0C82A1FE">
      <w:pPr>
        <w:spacing w:line="360" w:lineRule="auto"/>
        <w:ind w:firstLine="441" w:firstLineChars="210"/>
        <w:rPr>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③就地转包全部的工程，以谋取高额转让费、管理费的承包人。</w:t>
      </w:r>
    </w:p>
    <w:p w14:paraId="34D8A77F">
      <w:pPr>
        <w:spacing w:line="360" w:lineRule="auto"/>
        <w:ind w:firstLine="420" w:firstLineChars="200"/>
        <w:rPr>
          <w:color w:val="000000" w:themeColor="text1"/>
          <w:szCs w:val="21"/>
          <w:highlight w:val="none"/>
          <w:u w:val="singl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④承包人有部分分包现象（其中包括冒充承包人下属单位的</w:t>
      </w:r>
      <w:r>
        <w:rPr>
          <w:rFonts w:hint="eastAsia" w:hAnsi="宋体" w:cs="宋体"/>
          <w:color w:val="000000" w:themeColor="text1"/>
          <w:szCs w:val="21"/>
          <w:highlight w:val="none"/>
          <w:lang w:eastAsia="zh-CN"/>
          <w14:textFill>
            <w14:solidFill>
              <w14:schemeClr w14:val="tx1"/>
            </w14:solidFill>
          </w14:textFill>
        </w:rPr>
        <w:t>挂钩</w:t>
      </w:r>
      <w:r>
        <w:rPr>
          <w:rFonts w:hint="eastAsia" w:hAnsi="宋体" w:cs="宋体"/>
          <w:color w:val="000000" w:themeColor="text1"/>
          <w:szCs w:val="21"/>
          <w:highlight w:val="none"/>
          <w14:textFill>
            <w14:solidFill>
              <w14:schemeClr w14:val="tx1"/>
            </w14:solidFill>
          </w14:textFill>
        </w:rPr>
        <w:t>单位，凭口头协议参与施工的分包人及其他暗分包个体户），一经发现核实，发包人将采取驱逐该暗分包人措施。</w:t>
      </w:r>
    </w:p>
    <w:p w14:paraId="2EFAD9E7">
      <w:pPr>
        <w:spacing w:line="360" w:lineRule="auto"/>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3.5.4 </w:t>
      </w:r>
      <w:r>
        <w:rPr>
          <w:rFonts w:hint="eastAsia" w:hAnsi="宋体" w:cs="宋体"/>
          <w:color w:val="000000" w:themeColor="text1"/>
          <w:szCs w:val="21"/>
          <w:highlight w:val="none"/>
          <w14:textFill>
            <w14:solidFill>
              <w14:schemeClr w14:val="tx1"/>
            </w14:solidFill>
          </w14:textFill>
        </w:rPr>
        <w:t>分包合同价款</w:t>
      </w:r>
    </w:p>
    <w:bookmarkEnd w:id="255"/>
    <w:bookmarkEnd w:id="256"/>
    <w:p w14:paraId="52458F55">
      <w:pPr>
        <w:spacing w:line="360" w:lineRule="auto"/>
        <w:ind w:firstLine="420" w:firstLineChars="200"/>
        <w:rPr>
          <w:color w:val="000000" w:themeColor="text1"/>
          <w:szCs w:val="21"/>
          <w:highlight w:val="none"/>
          <w14:textFill>
            <w14:solidFill>
              <w14:schemeClr w14:val="tx1"/>
            </w14:solidFill>
          </w14:textFill>
        </w:rPr>
      </w:pPr>
      <w:bookmarkStart w:id="274" w:name="_Toc373478358"/>
      <w:bookmarkStart w:id="275" w:name="_Toc373227711"/>
      <w:bookmarkStart w:id="276" w:name="_Toc389065277"/>
      <w:r>
        <w:rPr>
          <w:rFonts w:hint="eastAsia" w:hAnsi="宋体" w:cs="宋体"/>
          <w:color w:val="000000" w:themeColor="text1"/>
          <w:szCs w:val="21"/>
          <w:highlight w:val="none"/>
          <w14:textFill>
            <w14:solidFill>
              <w14:schemeClr w14:val="tx1"/>
            </w14:solidFill>
          </w14:textFill>
        </w:rPr>
        <w:t>关于分包合同价款支付的约定：</w:t>
      </w:r>
      <w:r>
        <w:rPr>
          <w:rFonts w:hint="eastAsia" w:hAnsi="宋体" w:cs="宋体"/>
          <w:color w:val="000000" w:themeColor="text1"/>
          <w:szCs w:val="21"/>
          <w:highlight w:val="none"/>
          <w:u w:val="single"/>
          <w14:textFill>
            <w14:solidFill>
              <w14:schemeClr w14:val="tx1"/>
            </w14:solidFill>
          </w14:textFill>
        </w:rPr>
        <w:t>分包工程价款由承包人与分包人</w:t>
      </w:r>
      <w:r>
        <w:rPr>
          <w:rFonts w:hint="eastAsia" w:cs="宋体"/>
          <w:color w:val="000000" w:themeColor="text1"/>
          <w:szCs w:val="21"/>
          <w:highlight w:val="none"/>
          <w:u w:val="single"/>
          <w14:textFill>
            <w14:solidFill>
              <w14:schemeClr w14:val="tx1"/>
            </w14:solidFill>
          </w14:textFill>
        </w:rPr>
        <w:t>（</w:t>
      </w:r>
      <w:r>
        <w:rPr>
          <w:rFonts w:hint="eastAsia" w:hAnsi="宋体" w:cs="宋体"/>
          <w:color w:val="000000" w:themeColor="text1"/>
          <w:szCs w:val="21"/>
          <w:highlight w:val="none"/>
          <w:u w:val="single"/>
          <w14:textFill>
            <w14:solidFill>
              <w14:schemeClr w14:val="tx1"/>
            </w14:solidFill>
          </w14:textFill>
        </w:rPr>
        <w:t>包括专业分包人</w:t>
      </w:r>
      <w:r>
        <w:rPr>
          <w:rFonts w:hint="eastAsia" w:cs="宋体"/>
          <w:color w:val="000000" w:themeColor="text1"/>
          <w:szCs w:val="21"/>
          <w:highlight w:val="none"/>
          <w:u w:val="single"/>
          <w14:textFill>
            <w14:solidFill>
              <w14:schemeClr w14:val="tx1"/>
            </w14:solidFill>
          </w14:textFill>
        </w:rPr>
        <w:t>）</w:t>
      </w:r>
      <w:r>
        <w:rPr>
          <w:rFonts w:hint="eastAsia" w:hAnsi="宋体" w:cs="宋体"/>
          <w:color w:val="000000" w:themeColor="text1"/>
          <w:szCs w:val="21"/>
          <w:highlight w:val="none"/>
          <w:u w:val="single"/>
          <w14:textFill>
            <w14:solidFill>
              <w14:schemeClr w14:val="tx1"/>
            </w14:solidFill>
          </w14:textFill>
        </w:rPr>
        <w:t>结算。发包人未经承包人同意不得以任何形式向分包人</w:t>
      </w:r>
      <w:r>
        <w:rPr>
          <w:rFonts w:hint="eastAsia" w:cs="宋体"/>
          <w:color w:val="000000" w:themeColor="text1"/>
          <w:szCs w:val="21"/>
          <w:highlight w:val="none"/>
          <w:u w:val="single"/>
          <w14:textFill>
            <w14:solidFill>
              <w14:schemeClr w14:val="tx1"/>
            </w14:solidFill>
          </w14:textFill>
        </w:rPr>
        <w:t>（</w:t>
      </w:r>
      <w:r>
        <w:rPr>
          <w:rFonts w:hint="eastAsia" w:hAnsi="宋体" w:cs="宋体"/>
          <w:color w:val="000000" w:themeColor="text1"/>
          <w:szCs w:val="21"/>
          <w:highlight w:val="none"/>
          <w:u w:val="single"/>
          <w14:textFill>
            <w14:solidFill>
              <w14:schemeClr w14:val="tx1"/>
            </w14:solidFill>
          </w14:textFill>
        </w:rPr>
        <w:t>包括专业分包人</w:t>
      </w:r>
      <w:r>
        <w:rPr>
          <w:rFonts w:hint="eastAsia" w:cs="宋体"/>
          <w:color w:val="000000" w:themeColor="text1"/>
          <w:szCs w:val="21"/>
          <w:highlight w:val="none"/>
          <w:u w:val="single"/>
          <w14:textFill>
            <w14:solidFill>
              <w14:schemeClr w14:val="tx1"/>
            </w14:solidFill>
          </w14:textFill>
        </w:rPr>
        <w:t>）</w:t>
      </w:r>
      <w:r>
        <w:rPr>
          <w:rFonts w:hint="eastAsia" w:hAnsi="宋体" w:cs="宋体"/>
          <w:color w:val="000000" w:themeColor="text1"/>
          <w:szCs w:val="21"/>
          <w:highlight w:val="none"/>
          <w:u w:val="single"/>
          <w14:textFill>
            <w14:solidFill>
              <w14:schemeClr w14:val="tx1"/>
            </w14:solidFill>
          </w14:textFill>
        </w:rPr>
        <w:t>支付相关分包合同项下的任何工程款项。因发包人未经承包人同意直接向分包人</w:t>
      </w:r>
      <w:r>
        <w:rPr>
          <w:rFonts w:hint="eastAsia" w:cs="宋体"/>
          <w:color w:val="000000" w:themeColor="text1"/>
          <w:szCs w:val="21"/>
          <w:highlight w:val="none"/>
          <w:u w:val="single"/>
          <w14:textFill>
            <w14:solidFill>
              <w14:schemeClr w14:val="tx1"/>
            </w14:solidFill>
          </w14:textFill>
        </w:rPr>
        <w:t>（</w:t>
      </w:r>
      <w:r>
        <w:rPr>
          <w:rFonts w:hint="eastAsia" w:hAnsi="宋体" w:cs="宋体"/>
          <w:color w:val="000000" w:themeColor="text1"/>
          <w:szCs w:val="21"/>
          <w:highlight w:val="none"/>
          <w:u w:val="single"/>
          <w14:textFill>
            <w14:solidFill>
              <w14:schemeClr w14:val="tx1"/>
            </w14:solidFill>
          </w14:textFill>
        </w:rPr>
        <w:t>包括专业分包人</w:t>
      </w:r>
      <w:r>
        <w:rPr>
          <w:rFonts w:hint="eastAsia" w:cs="宋体"/>
          <w:color w:val="000000" w:themeColor="text1"/>
          <w:szCs w:val="21"/>
          <w:highlight w:val="none"/>
          <w:u w:val="single"/>
          <w14:textFill>
            <w14:solidFill>
              <w14:schemeClr w14:val="tx1"/>
            </w14:solidFill>
          </w14:textFill>
        </w:rPr>
        <w:t>）</w:t>
      </w:r>
      <w:r>
        <w:rPr>
          <w:rFonts w:hint="eastAsia" w:hAnsi="宋体" w:cs="宋体"/>
          <w:color w:val="000000" w:themeColor="text1"/>
          <w:szCs w:val="21"/>
          <w:highlight w:val="none"/>
          <w:u w:val="single"/>
          <w14:textFill>
            <w14:solidFill>
              <w14:schemeClr w14:val="tx1"/>
            </w14:solidFill>
          </w14:textFill>
        </w:rPr>
        <w:t>支付相关分包合同项下的任何工程款项而影响承包人工作的，所造成的承包人费用增加和</w:t>
      </w:r>
      <w:r>
        <w:rPr>
          <w:rFonts w:hint="eastAsia" w:cs="宋体"/>
          <w:color w:val="000000" w:themeColor="text1"/>
          <w:szCs w:val="21"/>
          <w:highlight w:val="none"/>
          <w:u w:val="single"/>
          <w14:textFill>
            <w14:solidFill>
              <w14:schemeClr w14:val="tx1"/>
            </w14:solidFill>
          </w14:textFill>
        </w:rPr>
        <w:t>（</w:t>
      </w:r>
      <w:r>
        <w:rPr>
          <w:rFonts w:hint="eastAsia" w:hAnsi="宋体" w:cs="宋体"/>
          <w:color w:val="000000" w:themeColor="text1"/>
          <w:szCs w:val="21"/>
          <w:highlight w:val="none"/>
          <w:u w:val="single"/>
          <w14:textFill>
            <w14:solidFill>
              <w14:schemeClr w14:val="tx1"/>
            </w14:solidFill>
          </w14:textFill>
        </w:rPr>
        <w:t>或</w:t>
      </w:r>
      <w:r>
        <w:rPr>
          <w:rFonts w:hint="eastAsia" w:cs="宋体"/>
          <w:color w:val="000000" w:themeColor="text1"/>
          <w:szCs w:val="21"/>
          <w:highlight w:val="none"/>
          <w:u w:val="single"/>
          <w14:textFill>
            <w14:solidFill>
              <w14:schemeClr w14:val="tx1"/>
            </w14:solidFill>
          </w14:textFill>
        </w:rPr>
        <w:t>）</w:t>
      </w:r>
      <w:r>
        <w:rPr>
          <w:rFonts w:hint="eastAsia" w:hAnsi="宋体" w:cs="宋体"/>
          <w:color w:val="000000" w:themeColor="text1"/>
          <w:szCs w:val="21"/>
          <w:highlight w:val="none"/>
          <w:u w:val="single"/>
          <w14:textFill>
            <w14:solidFill>
              <w14:schemeClr w14:val="tx1"/>
            </w14:solidFill>
          </w14:textFill>
        </w:rPr>
        <w:t>延误的工期由发包人承担。</w:t>
      </w:r>
    </w:p>
    <w:p w14:paraId="6C9BF6A7">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277" w:name="_Toc407135213"/>
      <w:bookmarkStart w:id="278" w:name="_Toc114058850"/>
      <w:bookmarkStart w:id="279" w:name="_Toc78449799"/>
      <w:r>
        <w:rPr>
          <w:rFonts w:eastAsia="黑体"/>
          <w:b/>
          <w:bCs/>
          <w:color w:val="000000" w:themeColor="text1"/>
          <w:sz w:val="32"/>
          <w:szCs w:val="32"/>
          <w:highlight w:val="none"/>
          <w:lang w:val="zh-CN"/>
          <w14:textFill>
            <w14:solidFill>
              <w14:schemeClr w14:val="tx1"/>
            </w14:solidFill>
          </w14:textFill>
        </w:rPr>
        <w:t xml:space="preserve">3.6 </w:t>
      </w:r>
      <w:r>
        <w:rPr>
          <w:rFonts w:hint="eastAsia" w:eastAsia="黑体" w:cs="黑体"/>
          <w:b/>
          <w:bCs/>
          <w:color w:val="000000" w:themeColor="text1"/>
          <w:sz w:val="32"/>
          <w:szCs w:val="32"/>
          <w:highlight w:val="none"/>
          <w:lang w:val="zh-CN"/>
          <w14:textFill>
            <w14:solidFill>
              <w14:schemeClr w14:val="tx1"/>
            </w14:solidFill>
          </w14:textFill>
        </w:rPr>
        <w:t>工程照管与成品、半成品保护</w:t>
      </w:r>
      <w:bookmarkEnd w:id="274"/>
      <w:bookmarkEnd w:id="275"/>
      <w:bookmarkEnd w:id="276"/>
      <w:bookmarkEnd w:id="277"/>
      <w:bookmarkEnd w:id="278"/>
      <w:bookmarkEnd w:id="279"/>
    </w:p>
    <w:p w14:paraId="2EC61EC4">
      <w:pPr>
        <w:spacing w:line="360" w:lineRule="auto"/>
        <w:ind w:firstLine="420" w:firstLineChars="200"/>
        <w:rPr>
          <w:color w:val="000000" w:themeColor="text1"/>
          <w:kern w:val="0"/>
          <w:szCs w:val="21"/>
          <w:highlight w:val="none"/>
          <w:u w:val="singl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承包人负责照管工程及工程相关的材料、工程设备的起始时间：</w:t>
      </w:r>
      <w:r>
        <w:rPr>
          <w:rFonts w:hAnsi="宋体"/>
          <w:color w:val="000000" w:themeColor="text1"/>
          <w:szCs w:val="21"/>
          <w:highlight w:val="none"/>
          <w:u w:val="single"/>
          <w14:textFill>
            <w14:solidFill>
              <w14:schemeClr w14:val="tx1"/>
            </w14:solidFill>
          </w14:textFill>
        </w:rPr>
        <w:t>工程接收证书颁发前，承包人应负责照管和维护工程。工程接收证书颁发时尚有部分未竣工工程的，承包人还应负责该未竣工工程的照管和维护工作，直到竣工后移交给发包人为止。因发包人原因不能及时办理竣工验收以及移交所引起的照管和保护费用由发包人承担</w:t>
      </w:r>
      <w:r>
        <w:rPr>
          <w:rFonts w:hint="eastAsia" w:hAnsi="宋体" w:cs="宋体"/>
          <w:color w:val="000000" w:themeColor="text1"/>
          <w:kern w:val="0"/>
          <w:szCs w:val="21"/>
          <w:highlight w:val="none"/>
          <w14:textFill>
            <w14:solidFill>
              <w14:schemeClr w14:val="tx1"/>
            </w14:solidFill>
          </w14:textFill>
        </w:rPr>
        <w:t>。</w:t>
      </w:r>
    </w:p>
    <w:p w14:paraId="5DE84EA9">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280" w:name="_Toc373227712"/>
      <w:bookmarkStart w:id="281" w:name="_Toc373478359"/>
      <w:bookmarkStart w:id="282" w:name="_Toc389065278"/>
      <w:bookmarkStart w:id="283" w:name="_Toc78449800"/>
      <w:bookmarkStart w:id="284" w:name="_Toc407135214"/>
      <w:bookmarkStart w:id="285" w:name="_Toc114058851"/>
      <w:r>
        <w:rPr>
          <w:rFonts w:eastAsia="黑体"/>
          <w:b/>
          <w:bCs/>
          <w:color w:val="000000" w:themeColor="text1"/>
          <w:sz w:val="32"/>
          <w:szCs w:val="32"/>
          <w:highlight w:val="none"/>
          <w:lang w:val="zh-CN"/>
          <w14:textFill>
            <w14:solidFill>
              <w14:schemeClr w14:val="tx1"/>
            </w14:solidFill>
          </w14:textFill>
        </w:rPr>
        <w:t xml:space="preserve">3.7 </w:t>
      </w:r>
      <w:r>
        <w:rPr>
          <w:rFonts w:hint="eastAsia" w:hAnsi="宋体" w:eastAsia="黑体" w:cs="黑体"/>
          <w:b/>
          <w:bCs/>
          <w:color w:val="000000" w:themeColor="text1"/>
          <w:sz w:val="32"/>
          <w:szCs w:val="32"/>
          <w:highlight w:val="none"/>
          <w:lang w:val="zh-CN"/>
          <w14:textFill>
            <w14:solidFill>
              <w14:schemeClr w14:val="tx1"/>
            </w14:solidFill>
          </w14:textFill>
        </w:rPr>
        <w:t>履约</w:t>
      </w:r>
      <w:bookmarkEnd w:id="280"/>
      <w:bookmarkEnd w:id="281"/>
      <w:bookmarkEnd w:id="282"/>
      <w:r>
        <w:rPr>
          <w:rFonts w:hint="eastAsia" w:hAnsi="宋体" w:eastAsia="黑体" w:cs="黑体"/>
          <w:b/>
          <w:bCs/>
          <w:color w:val="000000" w:themeColor="text1"/>
          <w:sz w:val="32"/>
          <w:szCs w:val="32"/>
          <w:highlight w:val="none"/>
          <w:lang w:val="zh-CN"/>
          <w14:textFill>
            <w14:solidFill>
              <w14:schemeClr w14:val="tx1"/>
            </w14:solidFill>
          </w14:textFill>
        </w:rPr>
        <w:t>保证金</w:t>
      </w:r>
      <w:bookmarkEnd w:id="283"/>
      <w:bookmarkEnd w:id="284"/>
      <w:bookmarkEnd w:id="285"/>
    </w:p>
    <w:p w14:paraId="0A708F26">
      <w:pPr>
        <w:spacing w:line="360" w:lineRule="auto"/>
        <w:ind w:firstLine="420" w:firstLineChars="200"/>
        <w:rPr>
          <w:rFonts w:hint="eastAsia" w:hAnsi="宋体" w:eastAsia="宋体" w:cs="宋体"/>
          <w:color w:val="000000" w:themeColor="text1"/>
          <w:szCs w:val="21"/>
          <w:highlight w:val="none"/>
          <w:u w:val="single"/>
          <w:lang w:eastAsia="zh-CN"/>
          <w14:textFill>
            <w14:solidFill>
              <w14:schemeClr w14:val="tx1"/>
            </w14:solidFill>
          </w14:textFill>
        </w:rPr>
      </w:pPr>
      <w:bookmarkStart w:id="286" w:name="_Toc351203636"/>
      <w:bookmarkStart w:id="287" w:name="_Toc373478360"/>
      <w:bookmarkStart w:id="288" w:name="_Toc373227713"/>
      <w:bookmarkStart w:id="289" w:name="_Toc389065279"/>
      <w:r>
        <w:rPr>
          <w:rFonts w:hint="eastAsia" w:hAnsi="宋体"/>
          <w:color w:val="000000" w:themeColor="text1"/>
          <w:szCs w:val="21"/>
          <w:highlight w:val="none"/>
          <w:lang w:val="en-US" w:eastAsia="zh-CN"/>
          <w14:textFill>
            <w14:solidFill>
              <w14:schemeClr w14:val="tx1"/>
            </w14:solidFill>
          </w14:textFill>
        </w:rPr>
        <w:t>/</w:t>
      </w:r>
    </w:p>
    <w:p w14:paraId="67512750">
      <w:pPr>
        <w:keepNext/>
        <w:keepLines/>
        <w:spacing w:before="60" w:after="60" w:line="413" w:lineRule="auto"/>
        <w:outlineLvl w:val="1"/>
        <w:rPr>
          <w:rFonts w:ascii="Arial" w:hAnsi="Arial" w:eastAsia="黑体"/>
          <w:b/>
          <w:bCs/>
          <w:color w:val="000000" w:themeColor="text1"/>
          <w:sz w:val="32"/>
          <w:szCs w:val="32"/>
          <w:highlight w:val="none"/>
          <w:lang w:val="zh-CN"/>
          <w14:textFill>
            <w14:solidFill>
              <w14:schemeClr w14:val="tx1"/>
            </w14:solidFill>
          </w14:textFill>
        </w:rPr>
      </w:pPr>
      <w:bookmarkStart w:id="290" w:name="_Toc114058852"/>
      <w:bookmarkStart w:id="291" w:name="_Toc78449801"/>
      <w:bookmarkStart w:id="292" w:name="_Toc407135215"/>
      <w:r>
        <w:rPr>
          <w:rFonts w:ascii="Arial" w:hAnsi="Arial" w:eastAsia="黑体"/>
          <w:b/>
          <w:bCs/>
          <w:color w:val="000000" w:themeColor="text1"/>
          <w:sz w:val="32"/>
          <w:szCs w:val="32"/>
          <w:highlight w:val="none"/>
          <w:lang w:val="zh-CN"/>
          <w14:textFill>
            <w14:solidFill>
              <w14:schemeClr w14:val="tx1"/>
            </w14:solidFill>
          </w14:textFill>
        </w:rPr>
        <w:t>4</w:t>
      </w:r>
      <w:bookmarkStart w:id="293" w:name="_Toc267251413"/>
      <w:bookmarkStart w:id="294" w:name="_Toc296347161"/>
      <w:bookmarkStart w:id="295" w:name="_Toc297048348"/>
      <w:bookmarkStart w:id="296" w:name="_Toc297120462"/>
      <w:bookmarkStart w:id="297" w:name="_Toc292559871"/>
      <w:bookmarkStart w:id="298" w:name="_Toc296890990"/>
      <w:bookmarkStart w:id="299" w:name="_Toc296503162"/>
      <w:bookmarkStart w:id="300" w:name="_Toc296346663"/>
      <w:bookmarkStart w:id="301" w:name="_Toc296944501"/>
      <w:bookmarkStart w:id="302" w:name="_Toc292559366"/>
      <w:bookmarkStart w:id="303" w:name="_Toc296891202"/>
      <w:r>
        <w:rPr>
          <w:rFonts w:ascii="Arial" w:hAnsi="Arial" w:eastAsia="黑体"/>
          <w:b/>
          <w:bCs/>
          <w:color w:val="000000" w:themeColor="text1"/>
          <w:sz w:val="32"/>
          <w:szCs w:val="32"/>
          <w:highlight w:val="none"/>
          <w:lang w:val="zh-CN"/>
          <w14:textFill>
            <w14:solidFill>
              <w14:schemeClr w14:val="tx1"/>
            </w14:solidFill>
          </w14:textFill>
        </w:rPr>
        <w:t xml:space="preserve">. </w:t>
      </w:r>
      <w:r>
        <w:rPr>
          <w:rFonts w:hint="eastAsia" w:ascii="Arial" w:hAnsi="宋体" w:eastAsia="黑体" w:cs="黑体"/>
          <w:b/>
          <w:bCs/>
          <w:color w:val="000000" w:themeColor="text1"/>
          <w:sz w:val="32"/>
          <w:szCs w:val="32"/>
          <w:highlight w:val="none"/>
          <w:lang w:val="zh-CN"/>
          <w14:textFill>
            <w14:solidFill>
              <w14:schemeClr w14:val="tx1"/>
            </w14:solidFill>
          </w14:textFill>
        </w:rPr>
        <w:t>监</w:t>
      </w:r>
      <w:bookmarkEnd w:id="293"/>
      <w:bookmarkEnd w:id="294"/>
      <w:bookmarkEnd w:id="295"/>
      <w:bookmarkEnd w:id="296"/>
      <w:bookmarkEnd w:id="297"/>
      <w:bookmarkEnd w:id="298"/>
      <w:bookmarkEnd w:id="299"/>
      <w:bookmarkEnd w:id="300"/>
      <w:bookmarkEnd w:id="301"/>
      <w:bookmarkEnd w:id="302"/>
      <w:bookmarkEnd w:id="303"/>
      <w:r>
        <w:rPr>
          <w:rFonts w:hint="eastAsia" w:ascii="Arial" w:hAnsi="宋体" w:eastAsia="黑体" w:cs="黑体"/>
          <w:b/>
          <w:bCs/>
          <w:color w:val="000000" w:themeColor="text1"/>
          <w:sz w:val="32"/>
          <w:szCs w:val="32"/>
          <w:highlight w:val="none"/>
          <w:lang w:val="zh-CN"/>
          <w14:textFill>
            <w14:solidFill>
              <w14:schemeClr w14:val="tx1"/>
            </w14:solidFill>
          </w14:textFill>
        </w:rPr>
        <w:t>理人</w:t>
      </w:r>
      <w:bookmarkEnd w:id="286"/>
      <w:bookmarkEnd w:id="287"/>
      <w:bookmarkEnd w:id="288"/>
      <w:bookmarkEnd w:id="289"/>
      <w:bookmarkEnd w:id="290"/>
      <w:bookmarkEnd w:id="291"/>
      <w:bookmarkEnd w:id="292"/>
    </w:p>
    <w:p w14:paraId="3F15BE72">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304" w:name="_Toc389065280"/>
      <w:bookmarkStart w:id="305" w:name="_Toc78449802"/>
      <w:bookmarkStart w:id="306" w:name="_Toc114058853"/>
      <w:bookmarkStart w:id="307" w:name="_Toc407135216"/>
      <w:bookmarkStart w:id="308" w:name="_Toc373227714"/>
      <w:bookmarkStart w:id="309" w:name="_Toc373478361"/>
      <w:r>
        <w:rPr>
          <w:rFonts w:eastAsia="黑体"/>
          <w:b/>
          <w:bCs/>
          <w:color w:val="000000" w:themeColor="text1"/>
          <w:sz w:val="32"/>
          <w:szCs w:val="32"/>
          <w:highlight w:val="none"/>
          <w:lang w:val="zh-CN"/>
          <w14:textFill>
            <w14:solidFill>
              <w14:schemeClr w14:val="tx1"/>
            </w14:solidFill>
          </w14:textFill>
        </w:rPr>
        <w:t xml:space="preserve">4.1 </w:t>
      </w:r>
      <w:r>
        <w:rPr>
          <w:rFonts w:hint="eastAsia" w:eastAsia="黑体" w:cs="黑体"/>
          <w:b/>
          <w:bCs/>
          <w:color w:val="000000" w:themeColor="text1"/>
          <w:sz w:val="32"/>
          <w:szCs w:val="32"/>
          <w:highlight w:val="none"/>
          <w:lang w:val="zh-CN"/>
          <w14:textFill>
            <w14:solidFill>
              <w14:schemeClr w14:val="tx1"/>
            </w14:solidFill>
          </w14:textFill>
        </w:rPr>
        <w:t>监理人的一般规定</w:t>
      </w:r>
      <w:bookmarkEnd w:id="304"/>
      <w:bookmarkEnd w:id="305"/>
      <w:bookmarkEnd w:id="306"/>
      <w:bookmarkEnd w:id="307"/>
      <w:bookmarkEnd w:id="308"/>
      <w:bookmarkEnd w:id="309"/>
    </w:p>
    <w:p w14:paraId="2706160B">
      <w:pPr>
        <w:spacing w:line="360" w:lineRule="auto"/>
        <w:ind w:firstLine="420" w:firstLineChars="200"/>
        <w:jc w:val="left"/>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关于监理人的监理内容：</w:t>
      </w:r>
      <w:r>
        <w:rPr>
          <w:rFonts w:hint="eastAsia" w:ascii="宋体" w:hAnsi="宋体"/>
          <w:color w:val="000000" w:themeColor="text1"/>
          <w:szCs w:val="21"/>
          <w:highlight w:val="none"/>
          <w:u w:val="single"/>
          <w14:textFill>
            <w14:solidFill>
              <w14:schemeClr w14:val="tx1"/>
            </w14:solidFill>
          </w14:textFill>
        </w:rPr>
        <w:t>审查施工承包人提交的施工组织设计，专项施工方案与工程建设强制性标准的符合性；检查施工承包人工程质量、安全、施工进度；审查施工承包人报送的工程材料、构配件、设备质量证明文件的有效性和符合性；签发工程暂停令和复工令；验收隐蔽工程、分部分项工程；参与工程变更的审核签认，协助发包人核签现场发生的签证，最终须经发包人认可后作为结算的依据，审核月进度工作报表并报发包人审批；审核工程款支付申请；参加工程竣工验收。</w:t>
      </w:r>
    </w:p>
    <w:p w14:paraId="600A3F05">
      <w:pPr>
        <w:spacing w:line="360" w:lineRule="auto"/>
        <w:ind w:firstLine="420" w:firstLineChars="200"/>
        <w:jc w:val="left"/>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关于监理人的监理权限：</w:t>
      </w:r>
      <w:r>
        <w:rPr>
          <w:rFonts w:hint="eastAsia" w:ascii="宋体" w:hAnsi="宋体"/>
          <w:color w:val="000000" w:themeColor="text1"/>
          <w:szCs w:val="21"/>
          <w:highlight w:val="none"/>
          <w:u w:val="single"/>
          <w14:textFill>
            <w14:solidFill>
              <w14:schemeClr w14:val="tx1"/>
            </w14:solidFill>
          </w14:textFill>
        </w:rPr>
        <w:t xml:space="preserve">工程暂停令和复工令签发、参与设计变更、工程量调整、费用调整、参与工程变更的审核签认、审核月进度工作报表以及审核工程款支付申请和分包申请、承包人的任何索赔申请最终均须经发包人审批确认。  </w:t>
      </w:r>
    </w:p>
    <w:p w14:paraId="051987F5">
      <w:pPr>
        <w:spacing w:line="360" w:lineRule="auto"/>
        <w:ind w:firstLine="420" w:firstLineChars="200"/>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关于监理人在施工现场的办公场所、生活场所的提供和费用承担的约定：</w:t>
      </w:r>
      <w:r>
        <w:rPr>
          <w:rFonts w:hint="eastAsia" w:hAnsi="宋体"/>
          <w:color w:val="000000" w:themeColor="text1"/>
          <w:szCs w:val="21"/>
          <w:highlight w:val="none"/>
          <w:u w:val="single"/>
          <w14:textFill>
            <w14:solidFill>
              <w14:schemeClr w14:val="tx1"/>
            </w14:solidFill>
          </w14:textFill>
        </w:rPr>
        <w:t>由监理人自行承担</w:t>
      </w:r>
      <w:r>
        <w:rPr>
          <w:rFonts w:hint="eastAsia" w:hAnsi="宋体" w:cs="宋体"/>
          <w:color w:val="000000" w:themeColor="text1"/>
          <w:szCs w:val="21"/>
          <w:highlight w:val="none"/>
          <w14:textFill>
            <w14:solidFill>
              <w14:schemeClr w14:val="tx1"/>
            </w14:solidFill>
          </w14:textFill>
        </w:rPr>
        <w:t>。</w:t>
      </w:r>
    </w:p>
    <w:p w14:paraId="7C879CDA">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310" w:name="_Toc114058854"/>
      <w:bookmarkStart w:id="311" w:name="_Toc78449803"/>
      <w:bookmarkStart w:id="312" w:name="_Toc373227715"/>
      <w:bookmarkStart w:id="313" w:name="_Toc407135217"/>
      <w:bookmarkStart w:id="314" w:name="_Toc389065281"/>
      <w:bookmarkStart w:id="315" w:name="_Toc373478362"/>
      <w:r>
        <w:rPr>
          <w:rFonts w:eastAsia="黑体"/>
          <w:b/>
          <w:bCs/>
          <w:color w:val="000000" w:themeColor="text1"/>
          <w:sz w:val="32"/>
          <w:szCs w:val="32"/>
          <w:highlight w:val="none"/>
          <w:lang w:val="zh-CN"/>
          <w14:textFill>
            <w14:solidFill>
              <w14:schemeClr w14:val="tx1"/>
            </w14:solidFill>
          </w14:textFill>
        </w:rPr>
        <w:t xml:space="preserve">4.2 </w:t>
      </w:r>
      <w:r>
        <w:rPr>
          <w:rFonts w:hint="eastAsia" w:hAnsi="宋体" w:eastAsia="黑体" w:cs="黑体"/>
          <w:b/>
          <w:bCs/>
          <w:color w:val="000000" w:themeColor="text1"/>
          <w:sz w:val="32"/>
          <w:szCs w:val="32"/>
          <w:highlight w:val="none"/>
          <w:lang w:val="zh-CN"/>
          <w14:textFill>
            <w14:solidFill>
              <w14:schemeClr w14:val="tx1"/>
            </w14:solidFill>
          </w14:textFill>
        </w:rPr>
        <w:t>监理人员</w:t>
      </w:r>
      <w:bookmarkEnd w:id="310"/>
      <w:bookmarkEnd w:id="311"/>
      <w:bookmarkEnd w:id="312"/>
      <w:bookmarkEnd w:id="313"/>
      <w:bookmarkEnd w:id="314"/>
      <w:bookmarkEnd w:id="315"/>
    </w:p>
    <w:p w14:paraId="03834A0E">
      <w:pPr>
        <w:spacing w:line="360" w:lineRule="auto"/>
        <w:ind w:firstLine="420" w:firstLineChars="200"/>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总监理工程师：</w:t>
      </w:r>
    </w:p>
    <w:p w14:paraId="6987904B">
      <w:pPr>
        <w:spacing w:line="360" w:lineRule="auto"/>
        <w:ind w:firstLine="420" w:firstLineChars="200"/>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姓名：；</w:t>
      </w:r>
    </w:p>
    <w:p w14:paraId="61ED12E5">
      <w:pPr>
        <w:spacing w:line="360" w:lineRule="auto"/>
        <w:ind w:firstLine="420" w:firstLineChars="200"/>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职务：；</w:t>
      </w:r>
    </w:p>
    <w:p w14:paraId="292C65DD">
      <w:pPr>
        <w:spacing w:line="360" w:lineRule="auto"/>
        <w:ind w:firstLine="420" w:firstLineChars="200"/>
        <w:rPr>
          <w:rFonts w:hAnsi="宋体"/>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监理工程师注册证书号：；</w:t>
      </w:r>
    </w:p>
    <w:p w14:paraId="01B030EF">
      <w:pPr>
        <w:spacing w:line="360" w:lineRule="auto"/>
        <w:ind w:firstLine="420" w:firstLineChars="200"/>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联系电话：；</w:t>
      </w:r>
    </w:p>
    <w:p w14:paraId="01A8FA30">
      <w:pPr>
        <w:spacing w:line="360" w:lineRule="auto"/>
        <w:ind w:firstLine="420" w:firstLineChars="200"/>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电子信箱：；</w:t>
      </w:r>
    </w:p>
    <w:p w14:paraId="20FD6325">
      <w:pPr>
        <w:spacing w:line="360" w:lineRule="auto"/>
        <w:ind w:firstLine="420" w:firstLineChars="200"/>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通信地址：；</w:t>
      </w:r>
    </w:p>
    <w:p w14:paraId="38DF7C95">
      <w:pPr>
        <w:spacing w:line="360" w:lineRule="auto"/>
        <w:ind w:firstLine="315" w:firstLineChars="150"/>
        <w:rPr>
          <w:rFonts w:ascii="宋体" w:hAnsi="宋体"/>
          <w:color w:val="000000" w:themeColor="text1"/>
          <w:szCs w:val="21"/>
          <w:highlight w:val="none"/>
          <w14:textFill>
            <w14:solidFill>
              <w14:schemeClr w14:val="tx1"/>
            </w14:solidFill>
          </w14:textFill>
        </w:rPr>
      </w:pPr>
      <w:r>
        <w:rPr>
          <w:rFonts w:hAnsi="宋体"/>
          <w:color w:val="000000" w:themeColor="text1"/>
          <w:szCs w:val="22"/>
          <w:highlight w:val="none"/>
          <w14:textFill>
            <w14:solidFill>
              <w14:schemeClr w14:val="tx1"/>
            </w14:solidFill>
          </w14:textFill>
        </w:rPr>
        <w:t>关于监理人的其他约定：</w:t>
      </w:r>
      <w:bookmarkStart w:id="316" w:name="_Toc386547068"/>
      <w:r>
        <w:rPr>
          <w:rFonts w:hint="eastAsia" w:ascii="宋体" w:hAnsi="宋体"/>
          <w:color w:val="000000" w:themeColor="text1"/>
          <w:szCs w:val="21"/>
          <w:highlight w:val="none"/>
          <w14:textFill>
            <w14:solidFill>
              <w14:schemeClr w14:val="tx1"/>
            </w14:solidFill>
          </w14:textFill>
        </w:rPr>
        <w:t>工程监理在执行下列职责前应事先得到</w:t>
      </w:r>
      <w:bookmarkEnd w:id="316"/>
      <w:r>
        <w:rPr>
          <w:rFonts w:hint="eastAsia" w:ascii="宋体" w:hAnsi="宋体"/>
          <w:color w:val="000000" w:themeColor="text1"/>
          <w:szCs w:val="21"/>
          <w:highlight w:val="none"/>
          <w14:textFill>
            <w14:solidFill>
              <w14:schemeClr w14:val="tx1"/>
            </w14:solidFill>
          </w14:textFill>
        </w:rPr>
        <w:t>发包人的特别认可：</w:t>
      </w:r>
    </w:p>
    <w:p w14:paraId="22C4A8C7">
      <w:pPr>
        <w:numPr>
          <w:ilvl w:val="0"/>
          <w:numId w:val="16"/>
        </w:numPr>
        <w:tabs>
          <w:tab w:val="left" w:pos="1050"/>
        </w:tabs>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下达开工、停工指令或通知；</w:t>
      </w:r>
    </w:p>
    <w:p w14:paraId="74B94247">
      <w:pPr>
        <w:numPr>
          <w:ilvl w:val="0"/>
          <w:numId w:val="16"/>
        </w:numPr>
        <w:tabs>
          <w:tab w:val="left" w:pos="1050"/>
        </w:tabs>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认可工程任何部分的分包及确认或同意分包人；</w:t>
      </w:r>
    </w:p>
    <w:p w14:paraId="7C14574D">
      <w:pPr>
        <w:numPr>
          <w:ilvl w:val="0"/>
          <w:numId w:val="16"/>
        </w:numPr>
        <w:tabs>
          <w:tab w:val="left" w:pos="1050"/>
        </w:tabs>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批准任何工期顺延；</w:t>
      </w:r>
    </w:p>
    <w:p w14:paraId="46597AD5">
      <w:pPr>
        <w:numPr>
          <w:ilvl w:val="0"/>
          <w:numId w:val="16"/>
        </w:numPr>
        <w:tabs>
          <w:tab w:val="left" w:pos="1050"/>
        </w:tabs>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对工期、工程造价有任何影响的变更指示；</w:t>
      </w:r>
    </w:p>
    <w:p w14:paraId="62316066">
      <w:pPr>
        <w:numPr>
          <w:ilvl w:val="0"/>
          <w:numId w:val="16"/>
        </w:numPr>
        <w:tabs>
          <w:tab w:val="left" w:pos="1050"/>
        </w:tabs>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确定变更估价；</w:t>
      </w:r>
    </w:p>
    <w:p w14:paraId="0C7ADDEE">
      <w:pPr>
        <w:numPr>
          <w:ilvl w:val="0"/>
          <w:numId w:val="16"/>
        </w:numPr>
        <w:tabs>
          <w:tab w:val="left" w:pos="1050"/>
        </w:tabs>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决定暂定金额、暂定项目、选择项目的使用或不使用；</w:t>
      </w:r>
    </w:p>
    <w:p w14:paraId="1D350CFF">
      <w:pPr>
        <w:numPr>
          <w:ilvl w:val="0"/>
          <w:numId w:val="16"/>
        </w:numPr>
        <w:tabs>
          <w:tab w:val="left" w:pos="1050"/>
        </w:tabs>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发出接收证书或通过工程竣工验收；</w:t>
      </w:r>
    </w:p>
    <w:p w14:paraId="5D6A8ABF">
      <w:pPr>
        <w:numPr>
          <w:ilvl w:val="0"/>
          <w:numId w:val="16"/>
        </w:numPr>
        <w:tabs>
          <w:tab w:val="left" w:pos="1050"/>
        </w:tabs>
        <w:spacing w:line="360" w:lineRule="auto"/>
        <w:rPr>
          <w:rFonts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认可承包人的任何费用索赔。</w:t>
      </w:r>
    </w:p>
    <w:p w14:paraId="6870AD7A">
      <w:pPr>
        <w:spacing w:line="360" w:lineRule="auto"/>
        <w:rPr>
          <w:rFonts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 xml:space="preserve">    一切有关上述事宜而没有发包人签认的指令或行动将被视作无效。</w:t>
      </w:r>
    </w:p>
    <w:p w14:paraId="32CF32EB">
      <w:pPr>
        <w:spacing w:line="360" w:lineRule="auto"/>
        <w:ind w:firstLine="420" w:firstLineChars="200"/>
        <w:rPr>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尽管有如上述需征求特别许可的义务，但如果工程监理认为事故的发生会影响人员生命、工程或附近财产的安全，工程监理可以在不减轻承包人任何合同规定的责任和义务的情况下，指示承包人采取工程监理认为必要有效的措施及办法以排除及减低危险。尽管没有得到发包人的认可,承包人应立即执行该等有关的指令，此类指令承包人必须在发出后24小时内得到发包人的认可。除上述的紧急指令外，承包人因遵守须经发包人特别认可的而又未经发包人认可的指令而引致的索赔都不会获得接受</w:t>
      </w:r>
      <w:r>
        <w:rPr>
          <w:rFonts w:hAnsi="宋体"/>
          <w:color w:val="000000" w:themeColor="text1"/>
          <w:szCs w:val="21"/>
          <w:highlight w:val="none"/>
          <w14:textFill>
            <w14:solidFill>
              <w14:schemeClr w14:val="tx1"/>
            </w14:solidFill>
          </w14:textFill>
        </w:rPr>
        <w:t>。</w:t>
      </w:r>
    </w:p>
    <w:p w14:paraId="78E202BA">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317" w:name="_Toc114058855"/>
      <w:bookmarkStart w:id="318" w:name="_Toc373478363"/>
      <w:bookmarkStart w:id="319" w:name="_Toc407135218"/>
      <w:bookmarkStart w:id="320" w:name="_Toc389065282"/>
      <w:bookmarkStart w:id="321" w:name="_Toc373227716"/>
      <w:bookmarkStart w:id="322" w:name="_Toc78449804"/>
      <w:r>
        <w:rPr>
          <w:rFonts w:eastAsia="黑体"/>
          <w:b/>
          <w:bCs/>
          <w:color w:val="000000" w:themeColor="text1"/>
          <w:sz w:val="32"/>
          <w:szCs w:val="32"/>
          <w:highlight w:val="none"/>
          <w:lang w:val="zh-CN"/>
          <w14:textFill>
            <w14:solidFill>
              <w14:schemeClr w14:val="tx1"/>
            </w14:solidFill>
          </w14:textFill>
        </w:rPr>
        <w:t xml:space="preserve">4.4 </w:t>
      </w:r>
      <w:r>
        <w:rPr>
          <w:rFonts w:hint="eastAsia" w:hAnsi="宋体" w:eastAsia="黑体" w:cs="黑体"/>
          <w:b/>
          <w:bCs/>
          <w:color w:val="000000" w:themeColor="text1"/>
          <w:sz w:val="32"/>
          <w:szCs w:val="32"/>
          <w:highlight w:val="none"/>
          <w:lang w:val="zh-CN"/>
          <w14:textFill>
            <w14:solidFill>
              <w14:schemeClr w14:val="tx1"/>
            </w14:solidFill>
          </w14:textFill>
        </w:rPr>
        <w:t>商定或确定</w:t>
      </w:r>
      <w:bookmarkEnd w:id="317"/>
      <w:bookmarkEnd w:id="318"/>
      <w:bookmarkEnd w:id="319"/>
      <w:bookmarkEnd w:id="320"/>
      <w:bookmarkEnd w:id="321"/>
      <w:bookmarkEnd w:id="322"/>
    </w:p>
    <w:p w14:paraId="08F429C1">
      <w:pPr>
        <w:spacing w:line="360" w:lineRule="auto"/>
        <w:ind w:firstLine="420" w:firstLineChars="200"/>
        <w:rPr>
          <w:color w:val="000000" w:themeColor="text1"/>
          <w:szCs w:val="21"/>
          <w:highlight w:val="none"/>
          <w14:textFill>
            <w14:solidFill>
              <w14:schemeClr w14:val="tx1"/>
            </w14:solidFill>
          </w14:textFill>
        </w:rPr>
      </w:pPr>
      <w:bookmarkStart w:id="323" w:name="_Toc267251418"/>
      <w:r>
        <w:rPr>
          <w:rFonts w:hint="eastAsia" w:hAnsi="宋体" w:cs="宋体"/>
          <w:color w:val="000000" w:themeColor="text1"/>
          <w:szCs w:val="21"/>
          <w:highlight w:val="none"/>
          <w14:textFill>
            <w14:solidFill>
              <w14:schemeClr w14:val="tx1"/>
            </w14:solidFill>
          </w14:textFill>
        </w:rPr>
        <w:t>在发包人和承包人不能通过协商达成一致意见时，发包人授权监理人对以下事项进行确定：</w:t>
      </w:r>
    </w:p>
    <w:p w14:paraId="337DE135">
      <w:pPr>
        <w:autoSpaceDE w:val="0"/>
        <w:autoSpaceDN w:val="0"/>
        <w:adjustRightInd w:val="0"/>
        <w:spacing w:line="360" w:lineRule="auto"/>
        <w:ind w:firstLine="420" w:firstLineChars="200"/>
        <w:jc w:val="left"/>
        <w:rPr>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w:t>
      </w:r>
      <w:r>
        <w:rPr>
          <w:color w:val="000000" w:themeColor="text1"/>
          <w:kern w:val="0"/>
          <w:szCs w:val="21"/>
          <w:highlight w:val="none"/>
          <w14:textFill>
            <w14:solidFill>
              <w14:schemeClr w14:val="tx1"/>
            </w14:solidFill>
          </w14:textFill>
        </w:rPr>
        <w:t>1</w:t>
      </w:r>
      <w:r>
        <w:rPr>
          <w:rFonts w:hint="eastAsia" w:hAnsi="宋体" w:cs="宋体"/>
          <w:color w:val="000000" w:themeColor="text1"/>
          <w:kern w:val="0"/>
          <w:szCs w:val="21"/>
          <w:highlight w:val="non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对隐蔽工程及中间部位的验收工作</w:t>
      </w:r>
      <w:r>
        <w:rPr>
          <w:rFonts w:hint="eastAsia" w:hAnsi="宋体" w:cs="宋体"/>
          <w:color w:val="000000" w:themeColor="text1"/>
          <w:szCs w:val="21"/>
          <w:highlight w:val="none"/>
          <w14:textFill>
            <w14:solidFill>
              <w14:schemeClr w14:val="tx1"/>
            </w14:solidFill>
          </w14:textFill>
        </w:rPr>
        <w:t>；</w:t>
      </w:r>
    </w:p>
    <w:p w14:paraId="48ECD4A8">
      <w:pPr>
        <w:autoSpaceDE w:val="0"/>
        <w:autoSpaceDN w:val="0"/>
        <w:adjustRightInd w:val="0"/>
        <w:spacing w:line="360" w:lineRule="auto"/>
        <w:ind w:firstLine="420" w:firstLineChars="200"/>
        <w:jc w:val="left"/>
        <w:rPr>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w:t>
      </w:r>
      <w:r>
        <w:rPr>
          <w:color w:val="000000" w:themeColor="text1"/>
          <w:kern w:val="0"/>
          <w:szCs w:val="21"/>
          <w:highlight w:val="none"/>
          <w14:textFill>
            <w14:solidFill>
              <w14:schemeClr w14:val="tx1"/>
            </w14:solidFill>
          </w14:textFill>
        </w:rPr>
        <w:t>2</w:t>
      </w:r>
      <w:r>
        <w:rPr>
          <w:rFonts w:hint="eastAsia" w:hAnsi="宋体" w:cs="宋体"/>
          <w:color w:val="000000" w:themeColor="text1"/>
          <w:kern w:val="0"/>
          <w:szCs w:val="21"/>
          <w:highlight w:val="none"/>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w:t>
      </w:r>
    </w:p>
    <w:p w14:paraId="2768D024">
      <w:pPr>
        <w:autoSpaceDE w:val="0"/>
        <w:autoSpaceDN w:val="0"/>
        <w:adjustRightInd w:val="0"/>
        <w:spacing w:line="360" w:lineRule="auto"/>
        <w:ind w:firstLine="420" w:firstLineChars="200"/>
        <w:jc w:val="left"/>
        <w:rPr>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w:t>
      </w:r>
      <w:r>
        <w:rPr>
          <w:color w:val="000000" w:themeColor="text1"/>
          <w:kern w:val="0"/>
          <w:szCs w:val="21"/>
          <w:highlight w:val="none"/>
          <w14:textFill>
            <w14:solidFill>
              <w14:schemeClr w14:val="tx1"/>
            </w14:solidFill>
          </w14:textFill>
        </w:rPr>
        <w:t>3</w:t>
      </w:r>
      <w:r>
        <w:rPr>
          <w:rFonts w:hint="eastAsia" w:hAnsi="宋体" w:cs="宋体"/>
          <w:color w:val="000000" w:themeColor="text1"/>
          <w:kern w:val="0"/>
          <w:szCs w:val="21"/>
          <w:highlight w:val="none"/>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w:t>
      </w:r>
    </w:p>
    <w:p w14:paraId="09B5578E">
      <w:pPr>
        <w:keepNext/>
        <w:keepLines/>
        <w:spacing w:before="60" w:after="60" w:line="413" w:lineRule="auto"/>
        <w:outlineLvl w:val="1"/>
        <w:rPr>
          <w:rFonts w:ascii="Arial" w:hAnsi="Arial" w:eastAsia="黑体"/>
          <w:b/>
          <w:bCs/>
          <w:color w:val="000000" w:themeColor="text1"/>
          <w:sz w:val="32"/>
          <w:szCs w:val="32"/>
          <w:highlight w:val="none"/>
          <w:lang w:val="zh-CN"/>
          <w14:textFill>
            <w14:solidFill>
              <w14:schemeClr w14:val="tx1"/>
            </w14:solidFill>
          </w14:textFill>
        </w:rPr>
      </w:pPr>
      <w:bookmarkStart w:id="324" w:name="_Toc114058856"/>
      <w:bookmarkStart w:id="325" w:name="_Toc373478364"/>
      <w:bookmarkStart w:id="326" w:name="_Toc78449805"/>
      <w:bookmarkStart w:id="327" w:name="_Toc407135219"/>
      <w:bookmarkStart w:id="328" w:name="_Toc373227717"/>
      <w:bookmarkStart w:id="329" w:name="_Toc351203637"/>
      <w:bookmarkStart w:id="330" w:name="_Toc389065283"/>
      <w:r>
        <w:rPr>
          <w:rFonts w:ascii="Arial" w:hAnsi="Arial" w:eastAsia="黑体"/>
          <w:b/>
          <w:bCs/>
          <w:color w:val="000000" w:themeColor="text1"/>
          <w:sz w:val="32"/>
          <w:szCs w:val="32"/>
          <w:highlight w:val="none"/>
          <w:lang w:val="zh-CN"/>
          <w14:textFill>
            <w14:solidFill>
              <w14:schemeClr w14:val="tx1"/>
            </w14:solidFill>
          </w14:textFill>
        </w:rPr>
        <w:t>5</w:t>
      </w:r>
      <w:bookmarkEnd w:id="323"/>
      <w:bookmarkStart w:id="331" w:name="_Toc296891203"/>
      <w:bookmarkStart w:id="332" w:name="_Toc296503163"/>
      <w:bookmarkStart w:id="333" w:name="_Toc296890991"/>
      <w:bookmarkStart w:id="334" w:name="_Toc292559367"/>
      <w:bookmarkStart w:id="335" w:name="_Toc297048349"/>
      <w:bookmarkStart w:id="336" w:name="_Toc297120463"/>
      <w:bookmarkStart w:id="337" w:name="_Toc296944502"/>
      <w:bookmarkStart w:id="338" w:name="_Toc296347162"/>
      <w:bookmarkStart w:id="339" w:name="_Toc296346664"/>
      <w:bookmarkStart w:id="340" w:name="_Toc292559872"/>
      <w:r>
        <w:rPr>
          <w:rFonts w:ascii="Arial" w:hAnsi="Arial" w:eastAsia="黑体"/>
          <w:b/>
          <w:bCs/>
          <w:color w:val="000000" w:themeColor="text1"/>
          <w:sz w:val="32"/>
          <w:szCs w:val="32"/>
          <w:highlight w:val="none"/>
          <w:lang w:val="zh-CN"/>
          <w14:textFill>
            <w14:solidFill>
              <w14:schemeClr w14:val="tx1"/>
            </w14:solidFill>
          </w14:textFill>
        </w:rPr>
        <w:t xml:space="preserve">. </w:t>
      </w:r>
      <w:r>
        <w:rPr>
          <w:rFonts w:hint="eastAsia" w:ascii="Arial" w:hAnsi="宋体" w:eastAsia="黑体" w:cs="黑体"/>
          <w:b/>
          <w:bCs/>
          <w:color w:val="000000" w:themeColor="text1"/>
          <w:sz w:val="32"/>
          <w:szCs w:val="32"/>
          <w:highlight w:val="none"/>
          <w:lang w:val="zh-CN"/>
          <w14:textFill>
            <w14:solidFill>
              <w14:schemeClr w14:val="tx1"/>
            </w14:solidFill>
          </w14:textFill>
        </w:rPr>
        <w:t>工程质量</w:t>
      </w:r>
      <w:bookmarkEnd w:id="324"/>
      <w:bookmarkEnd w:id="325"/>
      <w:bookmarkEnd w:id="326"/>
      <w:bookmarkEnd w:id="327"/>
      <w:bookmarkEnd w:id="328"/>
      <w:bookmarkEnd w:id="329"/>
      <w:bookmarkEnd w:id="330"/>
    </w:p>
    <w:p w14:paraId="0CBEB6EE">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341" w:name="_Toc78449806"/>
      <w:bookmarkStart w:id="342" w:name="_Toc407135220"/>
      <w:bookmarkStart w:id="343" w:name="_Toc389065284"/>
      <w:bookmarkStart w:id="344" w:name="_Toc373227718"/>
      <w:bookmarkStart w:id="345" w:name="_Toc373478365"/>
      <w:bookmarkStart w:id="346" w:name="_Toc114058857"/>
      <w:r>
        <w:rPr>
          <w:rFonts w:eastAsia="黑体"/>
          <w:b/>
          <w:bCs/>
          <w:color w:val="000000" w:themeColor="text1"/>
          <w:sz w:val="32"/>
          <w:szCs w:val="32"/>
          <w:highlight w:val="none"/>
          <w:lang w:val="zh-CN"/>
          <w14:textFill>
            <w14:solidFill>
              <w14:schemeClr w14:val="tx1"/>
            </w14:solidFill>
          </w14:textFill>
        </w:rPr>
        <w:t xml:space="preserve">5.1 </w:t>
      </w:r>
      <w:r>
        <w:rPr>
          <w:rFonts w:hint="eastAsia" w:hAnsi="宋体" w:eastAsia="黑体" w:cs="黑体"/>
          <w:b/>
          <w:bCs/>
          <w:color w:val="000000" w:themeColor="text1"/>
          <w:sz w:val="32"/>
          <w:szCs w:val="32"/>
          <w:highlight w:val="none"/>
          <w:lang w:val="zh-CN"/>
          <w14:textFill>
            <w14:solidFill>
              <w14:schemeClr w14:val="tx1"/>
            </w14:solidFill>
          </w14:textFill>
        </w:rPr>
        <w:t>质量要求</w:t>
      </w:r>
      <w:bookmarkEnd w:id="341"/>
      <w:bookmarkEnd w:id="342"/>
      <w:bookmarkEnd w:id="343"/>
      <w:bookmarkEnd w:id="344"/>
      <w:bookmarkEnd w:id="345"/>
      <w:bookmarkEnd w:id="346"/>
    </w:p>
    <w:p w14:paraId="27F0C3C2">
      <w:pPr>
        <w:spacing w:line="360" w:lineRule="auto"/>
        <w:ind w:firstLine="420" w:firstLineChars="200"/>
        <w:jc w:val="left"/>
        <w:rPr>
          <w:color w:val="000000" w:themeColor="text1"/>
          <w:szCs w:val="21"/>
          <w:highlight w:val="none"/>
          <w:u w:val="single"/>
          <w14:textFill>
            <w14:solidFill>
              <w14:schemeClr w14:val="tx1"/>
            </w14:solidFill>
          </w14:textFill>
        </w:rPr>
      </w:pPr>
      <w:r>
        <w:rPr>
          <w:color w:val="000000" w:themeColor="text1"/>
          <w:szCs w:val="21"/>
          <w:highlight w:val="none"/>
          <w14:textFill>
            <w14:solidFill>
              <w14:schemeClr w14:val="tx1"/>
            </w14:solidFill>
          </w14:textFill>
        </w:rPr>
        <w:t>5</w:t>
      </w:r>
      <w:bookmarkStart w:id="347" w:name="_Toc318581164"/>
      <w:bookmarkStart w:id="348" w:name="_Toc304295527"/>
      <w:bookmarkStart w:id="349" w:name="_Toc300934949"/>
      <w:bookmarkStart w:id="350" w:name="_Toc303539106"/>
      <w:bookmarkStart w:id="351" w:name="_Toc297123496"/>
      <w:bookmarkStart w:id="352" w:name="_Toc297216155"/>
      <w:bookmarkStart w:id="353" w:name="_Toc312677997"/>
      <w:r>
        <w:rPr>
          <w:color w:val="000000" w:themeColor="text1"/>
          <w:szCs w:val="21"/>
          <w:highlight w:val="none"/>
          <w14:textFill>
            <w14:solidFill>
              <w14:schemeClr w14:val="tx1"/>
            </w14:solidFill>
          </w14:textFill>
        </w:rPr>
        <w:t xml:space="preserve">.1.1 </w:t>
      </w:r>
      <w:r>
        <w:rPr>
          <w:rFonts w:hint="eastAsia" w:hAnsi="宋体" w:cs="宋体"/>
          <w:color w:val="000000" w:themeColor="text1"/>
          <w:szCs w:val="21"/>
          <w:highlight w:val="none"/>
          <w14:textFill>
            <w14:solidFill>
              <w14:schemeClr w14:val="tx1"/>
            </w14:solidFill>
          </w14:textFill>
        </w:rPr>
        <w:t>特殊质量标准和要求：</w:t>
      </w:r>
      <w:r>
        <w:rPr>
          <w:rFonts w:hint="eastAsia"/>
          <w:color w:val="000000" w:themeColor="text1"/>
          <w:szCs w:val="21"/>
          <w:highlight w:val="none"/>
          <w:u w:val="single"/>
          <w14:textFill>
            <w14:solidFill>
              <w14:schemeClr w14:val="tx1"/>
            </w14:solidFill>
          </w14:textFill>
        </w:rPr>
        <w:t>严格执行</w:t>
      </w:r>
      <w:r>
        <w:rPr>
          <w:color w:val="000000" w:themeColor="text1"/>
          <w:szCs w:val="21"/>
          <w:highlight w:val="none"/>
          <w:u w:val="single"/>
          <w14:textFill>
            <w14:solidFill>
              <w14:schemeClr w14:val="tx1"/>
            </w14:solidFill>
          </w14:textFill>
        </w:rPr>
        <w:t>广西壮族自治区住房和城乡建设厅</w:t>
      </w:r>
      <w:r>
        <w:rPr>
          <w:rFonts w:hint="eastAsia"/>
          <w:color w:val="000000" w:themeColor="text1"/>
          <w:szCs w:val="21"/>
          <w:highlight w:val="none"/>
          <w:u w:val="single"/>
          <w14:textFill>
            <w14:solidFill>
              <w14:schemeClr w14:val="tx1"/>
            </w14:solidFill>
          </w14:textFill>
        </w:rPr>
        <w:t>《</w:t>
      </w:r>
      <w:r>
        <w:rPr>
          <w:color w:val="000000" w:themeColor="text1"/>
          <w:szCs w:val="21"/>
          <w:highlight w:val="none"/>
          <w:u w:val="single"/>
          <w14:textFill>
            <w14:solidFill>
              <w14:schemeClr w14:val="tx1"/>
            </w14:solidFill>
          </w14:textFill>
        </w:rPr>
        <w:t>关于严格实行房屋建筑和市政基础设施工程质量终身责任承诺、永久性质量责任标牌、终身责任信息档案等制度的通知</w:t>
      </w:r>
      <w:r>
        <w:rPr>
          <w:rFonts w:hint="eastAsia"/>
          <w:color w:val="000000" w:themeColor="text1"/>
          <w:szCs w:val="21"/>
          <w:highlight w:val="none"/>
          <w:u w:val="single"/>
          <w14:textFill>
            <w14:solidFill>
              <w14:schemeClr w14:val="tx1"/>
            </w14:solidFill>
          </w14:textFill>
        </w:rPr>
        <w:t>》</w:t>
      </w:r>
      <w:r>
        <w:rPr>
          <w:color w:val="000000" w:themeColor="text1"/>
          <w:szCs w:val="21"/>
          <w:highlight w:val="none"/>
          <w:u w:val="single"/>
          <w14:textFill>
            <w14:solidFill>
              <w14:schemeClr w14:val="tx1"/>
            </w14:solidFill>
          </w14:textFill>
        </w:rPr>
        <w:t>(桂建管[2014]96号</w:t>
      </w:r>
      <w:r>
        <w:rPr>
          <w:rFonts w:hint="eastAsia"/>
          <w:color w:val="000000" w:themeColor="text1"/>
          <w:szCs w:val="21"/>
          <w:highlight w:val="none"/>
          <w:u w:val="single"/>
          <w14:textFill>
            <w14:solidFill>
              <w14:schemeClr w14:val="tx1"/>
            </w14:solidFill>
          </w14:textFill>
        </w:rPr>
        <w:t>)</w:t>
      </w:r>
      <w:r>
        <w:rPr>
          <w:color w:val="000000" w:themeColor="text1"/>
          <w:szCs w:val="21"/>
          <w:highlight w:val="none"/>
          <w:u w:val="single"/>
          <w14:textFill>
            <w14:solidFill>
              <w14:schemeClr w14:val="tx1"/>
            </w14:solidFill>
          </w14:textFill>
        </w:rPr>
        <w:t>和南宁市城乡建设委员会</w:t>
      </w:r>
      <w:r>
        <w:rPr>
          <w:rFonts w:hint="eastAsia"/>
          <w:color w:val="000000" w:themeColor="text1"/>
          <w:szCs w:val="21"/>
          <w:highlight w:val="none"/>
          <w:u w:val="single"/>
          <w14:textFill>
            <w14:solidFill>
              <w14:schemeClr w14:val="tx1"/>
            </w14:solidFill>
          </w14:textFill>
        </w:rPr>
        <w:t>《关于落实建设工程质量终身责任，加强工程质量管理的通知》（南建质安[2014]155号）要求，落实建设工程质量终身责任</w:t>
      </w:r>
      <w:r>
        <w:rPr>
          <w:rFonts w:hint="eastAsia" w:hAnsi="宋体" w:cs="宋体"/>
          <w:color w:val="000000" w:themeColor="text1"/>
          <w:szCs w:val="21"/>
          <w:highlight w:val="none"/>
          <w14:textFill>
            <w14:solidFill>
              <w14:schemeClr w14:val="tx1"/>
            </w14:solidFill>
          </w14:textFill>
        </w:rPr>
        <w:t>。</w:t>
      </w:r>
    </w:p>
    <w:p w14:paraId="64CF88E0">
      <w:pPr>
        <w:spacing w:line="360" w:lineRule="auto"/>
        <w:ind w:firstLine="420" w:firstLineChars="200"/>
        <w:jc w:val="left"/>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关于工程奖项的约定：</w:t>
      </w:r>
      <w:r>
        <w:rPr>
          <w:rFonts w:hint="eastAsia"/>
          <w:color w:val="000000" w:themeColor="text1"/>
          <w:szCs w:val="21"/>
          <w:highlight w:val="none"/>
          <w14:textFill>
            <w14:solidFill>
              <w14:schemeClr w14:val="tx1"/>
            </w14:solidFill>
          </w14:textFill>
        </w:rPr>
        <w:t xml:space="preserve"> 无</w:t>
      </w:r>
    </w:p>
    <w:p w14:paraId="6F16F1E4">
      <w:pPr>
        <w:spacing w:line="360" w:lineRule="auto"/>
        <w:ind w:firstLine="420" w:firstLineChars="20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5.3 </w:t>
      </w:r>
      <w:r>
        <w:rPr>
          <w:rFonts w:hint="eastAsia" w:hAnsi="宋体" w:cs="宋体"/>
          <w:color w:val="000000" w:themeColor="text1"/>
          <w:szCs w:val="21"/>
          <w:highlight w:val="none"/>
          <w14:textFill>
            <w14:solidFill>
              <w14:schemeClr w14:val="tx1"/>
            </w14:solidFill>
          </w14:textFill>
        </w:rPr>
        <w:t>隐蔽工程检查</w:t>
      </w:r>
    </w:p>
    <w:p w14:paraId="69773EB7">
      <w:pPr>
        <w:spacing w:line="360" w:lineRule="auto"/>
        <w:ind w:firstLine="420" w:firstLineChars="200"/>
        <w:jc w:val="left"/>
        <w:rPr>
          <w:color w:val="000000" w:themeColor="text1"/>
          <w:szCs w:val="21"/>
          <w:highlight w:val="none"/>
          <w:u w:val="single"/>
          <w14:textFill>
            <w14:solidFill>
              <w14:schemeClr w14:val="tx1"/>
            </w14:solidFill>
          </w14:textFill>
        </w:rPr>
      </w:pPr>
      <w:r>
        <w:rPr>
          <w:color w:val="000000" w:themeColor="text1"/>
          <w:szCs w:val="21"/>
          <w:highlight w:val="none"/>
          <w14:textFill>
            <w14:solidFill>
              <w14:schemeClr w14:val="tx1"/>
            </w14:solidFill>
          </w14:textFill>
        </w:rPr>
        <w:t>5.3.2</w:t>
      </w:r>
      <w:r>
        <w:rPr>
          <w:rFonts w:hint="eastAsia" w:hAnsi="宋体" w:cs="宋体"/>
          <w:color w:val="000000" w:themeColor="text1"/>
          <w:szCs w:val="21"/>
          <w:highlight w:val="none"/>
          <w14:textFill>
            <w14:solidFill>
              <w14:schemeClr w14:val="tx1"/>
            </w14:solidFill>
          </w14:textFill>
        </w:rPr>
        <w:t>承包人提前通知监理人隐蔽工程检查的期限的约定：工程隐蔽或中间验收前</w:t>
      </w:r>
      <w:r>
        <w:rPr>
          <w:color w:val="000000" w:themeColor="text1"/>
          <w:szCs w:val="21"/>
          <w:highlight w:val="none"/>
          <w14:textFill>
            <w14:solidFill>
              <w14:schemeClr w14:val="tx1"/>
            </w14:solidFill>
          </w14:textFill>
        </w:rPr>
        <w:t>12</w:t>
      </w:r>
      <w:r>
        <w:rPr>
          <w:rFonts w:hint="eastAsia" w:hAnsi="宋体" w:cs="宋体"/>
          <w:color w:val="000000" w:themeColor="text1"/>
          <w:szCs w:val="21"/>
          <w:highlight w:val="none"/>
          <w14:textFill>
            <w14:solidFill>
              <w14:schemeClr w14:val="tx1"/>
            </w14:solidFill>
          </w14:textFill>
        </w:rPr>
        <w:t>小时以书面形式通知发包人和监理工程师验收的内容、时间、地点，承包人准备验收记录单（最好是印制的表格）由双方签证。验收合格，承包人可进行隐蔽和继续施工；验收不合格，双方商订时限内修改后按上述</w:t>
      </w:r>
      <w:r>
        <w:rPr>
          <w:rFonts w:hint="eastAsia" w:hAnsi="宋体" w:cs="宋体"/>
          <w:color w:val="000000" w:themeColor="text1"/>
          <w:szCs w:val="21"/>
          <w:highlight w:val="none"/>
          <w:lang w:eastAsia="zh-CN"/>
          <w14:textFill>
            <w14:solidFill>
              <w14:schemeClr w14:val="tx1"/>
            </w14:solidFill>
          </w14:textFill>
        </w:rPr>
        <w:t>顺序</w:t>
      </w:r>
      <w:r>
        <w:rPr>
          <w:rFonts w:hint="eastAsia" w:hAnsi="宋体" w:cs="宋体"/>
          <w:color w:val="000000" w:themeColor="text1"/>
          <w:szCs w:val="21"/>
          <w:highlight w:val="none"/>
          <w14:textFill>
            <w14:solidFill>
              <w14:schemeClr w14:val="tx1"/>
            </w14:solidFill>
          </w14:textFill>
        </w:rPr>
        <w:t>重新验收。</w:t>
      </w:r>
    </w:p>
    <w:p w14:paraId="7CD96887">
      <w:pPr>
        <w:spacing w:line="360" w:lineRule="auto"/>
        <w:ind w:firstLine="420" w:firstLineChars="200"/>
        <w:jc w:val="left"/>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监理人不能按时进行检查时，应提前</w:t>
      </w:r>
      <w:r>
        <w:rPr>
          <w:rFonts w:hint="eastAsia"/>
          <w:color w:val="000000" w:themeColor="text1"/>
          <w:szCs w:val="21"/>
          <w:highlight w:val="none"/>
          <w:u w:val="single"/>
          <w14:textFill>
            <w14:solidFill>
              <w14:schemeClr w14:val="tx1"/>
            </w14:solidFill>
          </w14:textFill>
        </w:rPr>
        <w:t>24</w:t>
      </w:r>
      <w:r>
        <w:rPr>
          <w:rFonts w:hint="eastAsia" w:hAnsi="宋体" w:cs="宋体"/>
          <w:color w:val="000000" w:themeColor="text1"/>
          <w:szCs w:val="21"/>
          <w:highlight w:val="none"/>
          <w14:textFill>
            <w14:solidFill>
              <w14:schemeClr w14:val="tx1"/>
            </w14:solidFill>
          </w14:textFill>
        </w:rPr>
        <w:t>小时提交书面延期要求。</w:t>
      </w:r>
    </w:p>
    <w:p w14:paraId="02B173E5">
      <w:pPr>
        <w:spacing w:line="360" w:lineRule="auto"/>
        <w:ind w:firstLine="420" w:firstLineChars="200"/>
        <w:jc w:val="left"/>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关于延期最长不得超过：</w:t>
      </w:r>
      <w:r>
        <w:rPr>
          <w:rFonts w:hint="eastAsia"/>
          <w:color w:val="000000" w:themeColor="text1"/>
          <w:szCs w:val="21"/>
          <w:highlight w:val="none"/>
          <w:u w:val="single"/>
          <w14:textFill>
            <w14:solidFill>
              <w14:schemeClr w14:val="tx1"/>
            </w14:solidFill>
          </w14:textFill>
        </w:rPr>
        <w:t>24</w:t>
      </w:r>
      <w:r>
        <w:rPr>
          <w:rFonts w:hint="eastAsia" w:hAnsi="宋体" w:cs="宋体"/>
          <w:color w:val="000000" w:themeColor="text1"/>
          <w:szCs w:val="21"/>
          <w:highlight w:val="none"/>
          <w14:textFill>
            <w14:solidFill>
              <w14:schemeClr w14:val="tx1"/>
            </w14:solidFill>
          </w14:textFill>
        </w:rPr>
        <w:t>小时。</w:t>
      </w:r>
    </w:p>
    <w:p w14:paraId="1C246051">
      <w:pPr>
        <w:keepNext/>
        <w:keepLines/>
        <w:spacing w:before="60" w:after="60" w:line="413" w:lineRule="auto"/>
        <w:outlineLvl w:val="1"/>
        <w:rPr>
          <w:rFonts w:ascii="Arial" w:hAnsi="Arial" w:eastAsia="黑体"/>
          <w:b/>
          <w:bCs/>
          <w:color w:val="000000" w:themeColor="text1"/>
          <w:sz w:val="32"/>
          <w:szCs w:val="32"/>
          <w:highlight w:val="none"/>
          <w:lang w:val="zh-CN"/>
          <w14:textFill>
            <w14:solidFill>
              <w14:schemeClr w14:val="tx1"/>
            </w14:solidFill>
          </w14:textFill>
        </w:rPr>
      </w:pPr>
      <w:bookmarkStart w:id="354" w:name="_Toc114058858"/>
      <w:bookmarkStart w:id="355" w:name="_Toc373478366"/>
      <w:bookmarkStart w:id="356" w:name="_Toc351203638"/>
      <w:bookmarkStart w:id="357" w:name="_Toc78449807"/>
      <w:bookmarkStart w:id="358" w:name="_Toc407135221"/>
      <w:bookmarkStart w:id="359" w:name="_Toc373227719"/>
      <w:bookmarkStart w:id="360" w:name="_Toc389065285"/>
      <w:r>
        <w:rPr>
          <w:rFonts w:ascii="Arial" w:hAnsi="Arial" w:eastAsia="黑体"/>
          <w:b/>
          <w:bCs/>
          <w:color w:val="000000" w:themeColor="text1"/>
          <w:sz w:val="32"/>
          <w:szCs w:val="32"/>
          <w:highlight w:val="none"/>
          <w:lang w:val="zh-CN"/>
          <w14:textFill>
            <w14:solidFill>
              <w14:schemeClr w14:val="tx1"/>
            </w14:solidFill>
          </w14:textFill>
        </w:rPr>
        <w:t xml:space="preserve">6. </w:t>
      </w:r>
      <w:r>
        <w:rPr>
          <w:rFonts w:hint="eastAsia" w:ascii="Arial" w:hAnsi="Arial" w:eastAsia="黑体" w:cs="黑体"/>
          <w:b/>
          <w:bCs/>
          <w:color w:val="000000" w:themeColor="text1"/>
          <w:sz w:val="32"/>
          <w:szCs w:val="32"/>
          <w:highlight w:val="none"/>
          <w:lang w:val="zh-CN"/>
          <w14:textFill>
            <w14:solidFill>
              <w14:schemeClr w14:val="tx1"/>
            </w14:solidFill>
          </w14:textFill>
        </w:rPr>
        <w:t>安全文明施工与环境保护</w:t>
      </w:r>
      <w:bookmarkEnd w:id="354"/>
      <w:bookmarkEnd w:id="355"/>
      <w:bookmarkEnd w:id="356"/>
      <w:bookmarkEnd w:id="357"/>
      <w:bookmarkEnd w:id="358"/>
      <w:bookmarkEnd w:id="359"/>
      <w:bookmarkEnd w:id="360"/>
    </w:p>
    <w:p w14:paraId="572FB0B0">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361" w:name="_Toc114058859"/>
      <w:bookmarkStart w:id="362" w:name="_Toc373227720"/>
      <w:bookmarkStart w:id="363" w:name="_Toc389065286"/>
      <w:bookmarkStart w:id="364" w:name="_Toc78449808"/>
      <w:bookmarkStart w:id="365" w:name="_Toc407135222"/>
      <w:bookmarkStart w:id="366" w:name="_Toc373478367"/>
      <w:r>
        <w:rPr>
          <w:rFonts w:eastAsia="黑体"/>
          <w:b/>
          <w:bCs/>
          <w:color w:val="000000" w:themeColor="text1"/>
          <w:sz w:val="32"/>
          <w:szCs w:val="32"/>
          <w:highlight w:val="none"/>
          <w:lang w:val="zh-CN"/>
          <w14:textFill>
            <w14:solidFill>
              <w14:schemeClr w14:val="tx1"/>
            </w14:solidFill>
          </w14:textFill>
        </w:rPr>
        <w:t xml:space="preserve">6.1 </w:t>
      </w:r>
      <w:r>
        <w:rPr>
          <w:rFonts w:hint="eastAsia" w:eastAsia="黑体" w:cs="黑体"/>
          <w:b/>
          <w:bCs/>
          <w:color w:val="000000" w:themeColor="text1"/>
          <w:sz w:val="32"/>
          <w:szCs w:val="32"/>
          <w:highlight w:val="none"/>
          <w:lang w:val="zh-CN"/>
          <w14:textFill>
            <w14:solidFill>
              <w14:schemeClr w14:val="tx1"/>
            </w14:solidFill>
          </w14:textFill>
        </w:rPr>
        <w:t>安全文明施工</w:t>
      </w:r>
      <w:bookmarkEnd w:id="361"/>
      <w:bookmarkEnd w:id="362"/>
      <w:bookmarkEnd w:id="363"/>
      <w:bookmarkEnd w:id="364"/>
      <w:bookmarkEnd w:id="365"/>
      <w:bookmarkEnd w:id="366"/>
    </w:p>
    <w:p w14:paraId="39478458">
      <w:pPr>
        <w:spacing w:line="360" w:lineRule="auto"/>
        <w:ind w:firstLine="420" w:firstLineChars="200"/>
        <w:jc w:val="left"/>
        <w:rPr>
          <w:rFonts w:hAnsi="宋体"/>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6.1.1 </w:t>
      </w:r>
      <w:r>
        <w:rPr>
          <w:rFonts w:hint="eastAsia" w:hAnsi="宋体" w:cs="宋体"/>
          <w:color w:val="000000" w:themeColor="text1"/>
          <w:szCs w:val="21"/>
          <w:highlight w:val="none"/>
          <w14:textFill>
            <w14:solidFill>
              <w14:schemeClr w14:val="tx1"/>
            </w14:solidFill>
          </w14:textFill>
        </w:rPr>
        <w:t>项目安全生产的达标目标及相应事项的约定：</w:t>
      </w:r>
      <w:r>
        <w:rPr>
          <w:rFonts w:hint="eastAsia"/>
          <w:color w:val="000000" w:themeColor="text1"/>
          <w:szCs w:val="21"/>
          <w:highlight w:val="none"/>
          <w:u w:val="single"/>
          <w14:textFill>
            <w14:solidFill>
              <w14:schemeClr w14:val="tx1"/>
            </w14:solidFill>
          </w14:textFill>
        </w:rPr>
        <w:t>承包人负责 ，所发生费用由承包人承担。承包人的施工安全防护和文明施工措施，应执行《中华人民共和国安全生产法》的有关要求，施工中必须遵守国家颁布的《</w:t>
      </w:r>
      <w:r>
        <w:rPr>
          <w:rFonts w:hint="eastAsia"/>
          <w:color w:val="000000" w:themeColor="text1"/>
          <w:szCs w:val="21"/>
          <w:highlight w:val="none"/>
          <w:u w:val="single"/>
          <w:lang w:eastAsia="zh-CN"/>
          <w14:textFill>
            <w14:solidFill>
              <w14:schemeClr w14:val="tx1"/>
            </w14:solidFill>
          </w14:textFill>
        </w:rPr>
        <w:t>建设工程安全生产管理条例</w:t>
      </w:r>
      <w:r>
        <w:rPr>
          <w:rFonts w:hint="eastAsia"/>
          <w:color w:val="000000" w:themeColor="text1"/>
          <w:szCs w:val="21"/>
          <w:highlight w:val="none"/>
          <w:u w:val="single"/>
          <w14:textFill>
            <w14:solidFill>
              <w14:schemeClr w14:val="tx1"/>
            </w14:solidFill>
          </w14:textFill>
        </w:rPr>
        <w:t>》、广西壮族自治区及南宁市关于安全施工的法律法规和有关标准和规范</w:t>
      </w:r>
      <w:r>
        <w:rPr>
          <w:rFonts w:hint="eastAsia" w:hAnsi="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要求达到《建筑施工安全检查标准》（JGJ59-2011）的标准和符合</w:t>
      </w:r>
      <w:r>
        <w:rPr>
          <w:rFonts w:hint="eastAsia"/>
          <w:color w:val="000000" w:themeColor="text1"/>
          <w:szCs w:val="21"/>
          <w:highlight w:val="none"/>
          <w:u w:val="single"/>
          <w14:textFill>
            <w14:solidFill>
              <w14:schemeClr w14:val="tx1"/>
            </w14:solidFill>
          </w14:textFill>
        </w:rPr>
        <w:t>《广西安全文明施工费使用管理细则》</w:t>
      </w:r>
      <w:r>
        <w:rPr>
          <w:rFonts w:hint="eastAsia" w:ascii="宋体" w:hAnsi="宋体"/>
          <w:color w:val="000000" w:themeColor="text1"/>
          <w:szCs w:val="21"/>
          <w:highlight w:val="none"/>
          <w:u w:val="single"/>
          <w14:textFill>
            <w14:solidFill>
              <w14:schemeClr w14:val="tx1"/>
            </w14:solidFill>
          </w14:textFill>
        </w:rPr>
        <w:t>桂建质[2015]16号文的要求</w:t>
      </w:r>
      <w:r>
        <w:rPr>
          <w:rFonts w:hint="eastAsia" w:hAnsi="宋体" w:cs="宋体"/>
          <w:color w:val="000000" w:themeColor="text1"/>
          <w:szCs w:val="21"/>
          <w:highlight w:val="none"/>
          <w14:textFill>
            <w14:solidFill>
              <w14:schemeClr w14:val="tx1"/>
            </w14:solidFill>
          </w14:textFill>
        </w:rPr>
        <w:t>。</w:t>
      </w:r>
    </w:p>
    <w:p w14:paraId="16B2795F">
      <w:pPr>
        <w:spacing w:line="360" w:lineRule="auto"/>
        <w:ind w:firstLine="420" w:firstLineChars="200"/>
        <w:jc w:val="left"/>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关于安全文明施工奖项的约定：</w:t>
      </w:r>
      <w:r>
        <w:rPr>
          <w:rFonts w:hint="eastAsia"/>
          <w:color w:val="000000" w:themeColor="text1"/>
          <w:szCs w:val="21"/>
          <w:highlight w:val="none"/>
          <w:u w:val="single"/>
          <w14:textFill>
            <w14:solidFill>
              <w14:schemeClr w14:val="tx1"/>
            </w14:solidFill>
          </w14:textFill>
        </w:rPr>
        <w:t>无</w:t>
      </w:r>
      <w:r>
        <w:rPr>
          <w:rFonts w:hint="eastAsia" w:hAnsi="宋体" w:cs="宋体"/>
          <w:color w:val="000000" w:themeColor="text1"/>
          <w:szCs w:val="21"/>
          <w:highlight w:val="none"/>
          <w14:textFill>
            <w14:solidFill>
              <w14:schemeClr w14:val="tx1"/>
            </w14:solidFill>
          </w14:textFill>
        </w:rPr>
        <w:t>。</w:t>
      </w:r>
    </w:p>
    <w:p w14:paraId="14A59991">
      <w:pPr>
        <w:spacing w:line="360" w:lineRule="auto"/>
        <w:ind w:firstLine="420" w:firstLineChars="200"/>
        <w:jc w:val="left"/>
        <w:rPr>
          <w:color w:val="000000" w:themeColor="text1"/>
          <w:szCs w:val="21"/>
          <w:highlight w:val="none"/>
          <w:u w:val="single"/>
          <w14:textFill>
            <w14:solidFill>
              <w14:schemeClr w14:val="tx1"/>
            </w14:solidFill>
          </w14:textFill>
        </w:rPr>
      </w:pPr>
      <w:r>
        <w:rPr>
          <w:color w:val="000000" w:themeColor="text1"/>
          <w:szCs w:val="21"/>
          <w:highlight w:val="none"/>
          <w14:textFill>
            <w14:solidFill>
              <w14:schemeClr w14:val="tx1"/>
            </w14:solidFill>
          </w14:textFill>
        </w:rPr>
        <w:t xml:space="preserve">6.1.4 </w:t>
      </w:r>
      <w:r>
        <w:rPr>
          <w:rFonts w:hint="eastAsia" w:hAnsi="宋体" w:cs="宋体"/>
          <w:color w:val="000000" w:themeColor="text1"/>
          <w:szCs w:val="21"/>
          <w:highlight w:val="none"/>
          <w14:textFill>
            <w14:solidFill>
              <w14:schemeClr w14:val="tx1"/>
            </w14:solidFill>
          </w14:textFill>
        </w:rPr>
        <w:t>关于治安保卫的特别约定：</w:t>
      </w:r>
      <w:r>
        <w:rPr>
          <w:rFonts w:hint="eastAsia" w:hAnsi="宋体" w:cs="宋体"/>
          <w:color w:val="000000" w:themeColor="text1"/>
          <w:szCs w:val="21"/>
          <w:highlight w:val="none"/>
          <w:u w:val="single"/>
          <w14:textFill>
            <w14:solidFill>
              <w14:schemeClr w14:val="tx1"/>
            </w14:solidFill>
          </w14:textFill>
        </w:rPr>
        <w:t>承包人应承担施工安全保卫工作及非夜间施工照明的责任，承包人应采取一切合理的预防措施，防止人员伤亡、财产损失事故，费用由承包人承担。承包人生活设施及施工场应自费配备消防设备，防止火灾发生。</w:t>
      </w:r>
    </w:p>
    <w:p w14:paraId="5A46B739">
      <w:pPr>
        <w:spacing w:line="360" w:lineRule="auto"/>
        <w:ind w:firstLine="420" w:firstLineChars="200"/>
        <w:jc w:val="left"/>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关于编制施工场地治安管理计划的约定：</w:t>
      </w:r>
      <w:r>
        <w:rPr>
          <w:rFonts w:hint="eastAsia"/>
          <w:color w:val="000000" w:themeColor="text1"/>
          <w:szCs w:val="21"/>
          <w:highlight w:val="none"/>
          <w:u w:val="single"/>
          <w14:textFill>
            <w14:solidFill>
              <w14:schemeClr w14:val="tx1"/>
            </w14:solidFill>
          </w14:textFill>
        </w:rPr>
        <w:t>承包人负责 ，所发生费用由承包人承担.。</w:t>
      </w:r>
      <w:r>
        <w:rPr>
          <w:rFonts w:hint="eastAsia" w:ascii="宋体" w:hAnsi="宋体"/>
          <w:color w:val="000000" w:themeColor="text1"/>
          <w:szCs w:val="21"/>
          <w:highlight w:val="none"/>
          <w:u w:val="single"/>
          <w14:textFill>
            <w14:solidFill>
              <w14:schemeClr w14:val="tx1"/>
            </w14:solidFill>
          </w14:textFill>
        </w:rPr>
        <w:t>承包人于开工前提供施工场地治安管理计划</w:t>
      </w:r>
      <w:r>
        <w:rPr>
          <w:rFonts w:hint="eastAsia" w:hAnsi="宋体" w:cs="宋体"/>
          <w:color w:val="000000" w:themeColor="text1"/>
          <w:szCs w:val="21"/>
          <w:highlight w:val="none"/>
          <w14:textFill>
            <w14:solidFill>
              <w14:schemeClr w14:val="tx1"/>
            </w14:solidFill>
          </w14:textFill>
        </w:rPr>
        <w:t>。</w:t>
      </w:r>
    </w:p>
    <w:p w14:paraId="22EDCBEE">
      <w:pPr>
        <w:spacing w:line="360" w:lineRule="auto"/>
        <w:ind w:firstLine="420" w:firstLineChars="20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6.1.5 </w:t>
      </w:r>
      <w:r>
        <w:rPr>
          <w:rFonts w:hint="eastAsia" w:hAnsi="宋体" w:cs="宋体"/>
          <w:color w:val="000000" w:themeColor="text1"/>
          <w:szCs w:val="21"/>
          <w:highlight w:val="none"/>
          <w14:textFill>
            <w14:solidFill>
              <w14:schemeClr w14:val="tx1"/>
            </w14:solidFill>
          </w14:textFill>
        </w:rPr>
        <w:t>文明施工</w:t>
      </w:r>
    </w:p>
    <w:p w14:paraId="18CFEEB7">
      <w:pPr>
        <w:spacing w:line="360" w:lineRule="auto"/>
        <w:jc w:val="left"/>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合同当事人对文明施工的要求：</w:t>
      </w:r>
      <w:r>
        <w:rPr>
          <w:rFonts w:hint="eastAsia" w:hAnsi="宋体"/>
          <w:bCs/>
          <w:color w:val="000000" w:themeColor="text1"/>
          <w:szCs w:val="21"/>
          <w:highlight w:val="none"/>
          <w14:textFill>
            <w14:solidFill>
              <w14:schemeClr w14:val="tx1"/>
            </w14:solidFill>
          </w14:textFill>
        </w:rPr>
        <w:t>严格执行《</w:t>
      </w:r>
      <w:r>
        <w:rPr>
          <w:rFonts w:hint="eastAsia" w:hAnsi="宋体"/>
          <w:bCs/>
          <w:color w:val="000000" w:themeColor="text1"/>
          <w:szCs w:val="21"/>
          <w:highlight w:val="none"/>
          <w:lang w:eastAsia="zh-CN"/>
          <w14:textFill>
            <w14:solidFill>
              <w14:schemeClr w14:val="tx1"/>
            </w14:solidFill>
          </w14:textFill>
        </w:rPr>
        <w:t>中华人民共和国大气污染防治法</w:t>
      </w:r>
      <w:r>
        <w:rPr>
          <w:rFonts w:hint="eastAsia" w:hAnsi="宋体"/>
          <w:bCs/>
          <w:color w:val="000000" w:themeColor="text1"/>
          <w:szCs w:val="21"/>
          <w:highlight w:val="none"/>
          <w14:textFill>
            <w14:solidFill>
              <w14:schemeClr w14:val="tx1"/>
            </w14:solidFill>
          </w14:textFill>
        </w:rPr>
        <w:t>》（主席令第三十一号）、《南宁市建设工程质量和安全生产管理办法》（南宁市人民政府令 第46号）、《南宁市建设工程质量安全标准化图集》、《南宁市建设工程施工现场管理若干规定》（南宁市人民政府令 第8号）的有关规定，与辖区卫生防疫、环卫管理部门或有合法资质资格的企业签订病媒生物消杀协议、生活垃圾清运协议、渣土密闭运输协议、在线远程监控扬尘监测协议，遵守“一口两池三包四协议”的有关规定，施工前办理排水许可证，严格执行排水许可，做好工地泥浆水、临时生活污水的排放管理，现场设置三级沉淀池及化粪池，避免生活污水及施工废水直排市政排水管网及内河。采取道路硬化、裸土必盖（种草、绿网）、洗车出门、保洁路口、在线监测、抑尘喷淋等有效措施，确保建设工程各项安全防护、文明施工措施及其费用在工地一线按标准落实到位</w:t>
      </w:r>
      <w:r>
        <w:rPr>
          <w:rFonts w:hint="eastAsia" w:cs="宋体"/>
          <w:color w:val="000000" w:themeColor="text1"/>
          <w:szCs w:val="21"/>
          <w:highlight w:val="none"/>
          <w14:textFill>
            <w14:solidFill>
              <w14:schemeClr w14:val="tx1"/>
            </w14:solidFill>
          </w14:textFill>
        </w:rPr>
        <w:t>。</w:t>
      </w:r>
    </w:p>
    <w:p w14:paraId="6448955E">
      <w:pPr>
        <w:spacing w:line="360" w:lineRule="auto"/>
        <w:ind w:firstLine="420" w:firstLineChars="200"/>
        <w:jc w:val="left"/>
        <w:rPr>
          <w:rFonts w:hAnsi="宋体"/>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6.1.6</w:t>
      </w:r>
      <w:r>
        <w:rPr>
          <w:rFonts w:hAnsi="宋体" w:cs="宋体"/>
          <w:color w:val="000000" w:themeColor="text1"/>
          <w:kern w:val="0"/>
          <w:szCs w:val="21"/>
          <w:highlight w:val="none"/>
          <w14:textFill>
            <w14:solidFill>
              <w14:schemeClr w14:val="tx1"/>
            </w14:solidFill>
          </w14:textFill>
        </w:rPr>
        <w:t>关于安全</w:t>
      </w:r>
      <w:r>
        <w:rPr>
          <w:rFonts w:hint="eastAsia" w:hAnsi="宋体" w:cs="宋体"/>
          <w:color w:val="000000" w:themeColor="text1"/>
          <w:kern w:val="0"/>
          <w:szCs w:val="21"/>
          <w:highlight w:val="none"/>
          <w14:textFill>
            <w14:solidFill>
              <w14:schemeClr w14:val="tx1"/>
            </w14:solidFill>
          </w14:textFill>
        </w:rPr>
        <w:t>生产</w:t>
      </w:r>
      <w:r>
        <w:rPr>
          <w:rFonts w:hAnsi="宋体" w:cs="宋体"/>
          <w:color w:val="000000" w:themeColor="text1"/>
          <w:kern w:val="0"/>
          <w:szCs w:val="21"/>
          <w:highlight w:val="none"/>
          <w14:textFill>
            <w14:solidFill>
              <w14:schemeClr w14:val="tx1"/>
            </w14:solidFill>
          </w14:textFill>
        </w:rPr>
        <w:t>费</w:t>
      </w:r>
      <w:r>
        <w:rPr>
          <w:rFonts w:hint="eastAsia" w:hAnsi="宋体" w:cs="宋体"/>
          <w:color w:val="000000" w:themeColor="text1"/>
          <w:kern w:val="0"/>
          <w:szCs w:val="21"/>
          <w:highlight w:val="none"/>
          <w14:textFill>
            <w14:solidFill>
              <w14:schemeClr w14:val="tx1"/>
            </w14:solidFill>
          </w14:textFill>
        </w:rPr>
        <w:t>总额、</w:t>
      </w:r>
      <w:r>
        <w:rPr>
          <w:rFonts w:hAnsi="宋体" w:cs="宋体"/>
          <w:color w:val="000000" w:themeColor="text1"/>
          <w:kern w:val="0"/>
          <w:szCs w:val="21"/>
          <w:highlight w:val="none"/>
          <w14:textFill>
            <w14:solidFill>
              <w14:schemeClr w14:val="tx1"/>
            </w14:solidFill>
          </w14:textFill>
        </w:rPr>
        <w:t>支付比例</w:t>
      </w:r>
      <w:r>
        <w:rPr>
          <w:rFonts w:hint="eastAsia" w:hAnsi="宋体" w:cs="宋体"/>
          <w:color w:val="000000" w:themeColor="text1"/>
          <w:kern w:val="0"/>
          <w:szCs w:val="21"/>
          <w:highlight w:val="none"/>
          <w14:textFill>
            <w14:solidFill>
              <w14:schemeClr w14:val="tx1"/>
            </w14:solidFill>
          </w14:textFill>
        </w:rPr>
        <w:t>、</w:t>
      </w:r>
      <w:r>
        <w:rPr>
          <w:rFonts w:hAnsi="宋体" w:cs="宋体"/>
          <w:color w:val="000000" w:themeColor="text1"/>
          <w:kern w:val="0"/>
          <w:szCs w:val="21"/>
          <w:highlight w:val="none"/>
          <w14:textFill>
            <w14:solidFill>
              <w14:schemeClr w14:val="tx1"/>
            </w14:solidFill>
          </w14:textFill>
        </w:rPr>
        <w:t>支付期限</w:t>
      </w:r>
      <w:r>
        <w:rPr>
          <w:rFonts w:hint="eastAsia" w:hAnsi="宋体" w:cs="宋体"/>
          <w:color w:val="000000" w:themeColor="text1"/>
          <w:kern w:val="0"/>
          <w:szCs w:val="21"/>
          <w:highlight w:val="none"/>
          <w14:textFill>
            <w14:solidFill>
              <w14:schemeClr w14:val="tx1"/>
            </w14:solidFill>
          </w14:textFill>
        </w:rPr>
        <w:t>、转入和结余收回</w:t>
      </w:r>
      <w:r>
        <w:rPr>
          <w:rFonts w:hAnsi="宋体" w:cs="宋体"/>
          <w:color w:val="000000" w:themeColor="text1"/>
          <w:kern w:val="0"/>
          <w:szCs w:val="21"/>
          <w:highlight w:val="none"/>
          <w14:textFill>
            <w14:solidFill>
              <w14:schemeClr w14:val="tx1"/>
            </w14:solidFill>
          </w14:textFill>
        </w:rPr>
        <w:t>的约定：</w:t>
      </w:r>
    </w:p>
    <w:p w14:paraId="3132FCD1">
      <w:pPr>
        <w:autoSpaceDE w:val="0"/>
        <w:autoSpaceDN w:val="0"/>
        <w:adjustRightInd w:val="0"/>
        <w:spacing w:line="360" w:lineRule="auto"/>
        <w:ind w:firstLine="420" w:firstLineChars="200"/>
        <w:jc w:val="left"/>
        <w:rPr>
          <w:rFonts w:hAnsi="宋体"/>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w:t>
      </w:r>
      <w:r>
        <w:rPr>
          <w:rFonts w:hAnsi="宋体"/>
          <w:color w:val="000000" w:themeColor="text1"/>
          <w:kern w:val="0"/>
          <w:szCs w:val="21"/>
          <w:highlight w:val="none"/>
          <w14:textFill>
            <w14:solidFill>
              <w14:schemeClr w14:val="tx1"/>
            </w14:solidFill>
          </w14:textFill>
        </w:rPr>
        <w:t>1</w:t>
      </w:r>
      <w:r>
        <w:rPr>
          <w:rFonts w:hint="eastAsia" w:hAnsi="宋体" w:cs="宋体"/>
          <w:color w:val="000000" w:themeColor="text1"/>
          <w:kern w:val="0"/>
          <w:szCs w:val="21"/>
          <w:highlight w:val="none"/>
          <w14:textFill>
            <w14:solidFill>
              <w14:schemeClr w14:val="tx1"/>
            </w14:solidFill>
          </w14:textFill>
        </w:rPr>
        <w:t>）本合同价款已包含安全文明施工费</w:t>
      </w:r>
      <w:r>
        <w:rPr>
          <w:rFonts w:hint="eastAsia" w:hAnsi="宋体" w:cs="宋体"/>
          <w:color w:val="000000" w:themeColor="text1"/>
          <w:kern w:val="0"/>
          <w:szCs w:val="21"/>
          <w:highlight w:val="none"/>
          <w:u w:val="single"/>
          <w:lang w:val="en-US" w:eastAsia="zh-CN"/>
          <w14:textFill>
            <w14:solidFill>
              <w14:schemeClr w14:val="tx1"/>
            </w14:solidFill>
          </w14:textFill>
        </w:rPr>
        <w:t xml:space="preserve">   </w:t>
      </w:r>
      <w:r>
        <w:rPr>
          <w:rFonts w:hint="eastAsia" w:hAnsi="宋体" w:cs="宋体"/>
          <w:color w:val="000000" w:themeColor="text1"/>
          <w:kern w:val="0"/>
          <w:szCs w:val="21"/>
          <w:highlight w:val="none"/>
          <w:lang w:val="en-US" w:eastAsia="zh-CN"/>
          <w14:textFill>
            <w14:solidFill>
              <w14:schemeClr w14:val="tx1"/>
            </w14:solidFill>
          </w14:textFill>
        </w:rPr>
        <w:t>元</w:t>
      </w:r>
      <w:r>
        <w:rPr>
          <w:rFonts w:hint="eastAsia" w:hAnsi="宋体" w:cs="宋体"/>
          <w:color w:val="000000" w:themeColor="text1"/>
          <w:kern w:val="0"/>
          <w:szCs w:val="21"/>
          <w:highlight w:val="none"/>
          <w14:textFill>
            <w14:solidFill>
              <w14:schemeClr w14:val="tx1"/>
            </w14:solidFill>
          </w14:textFill>
        </w:rPr>
        <w:t>。</w:t>
      </w:r>
    </w:p>
    <w:p w14:paraId="6FA97D63">
      <w:pPr>
        <w:autoSpaceDE w:val="0"/>
        <w:autoSpaceDN w:val="0"/>
        <w:adjustRightInd w:val="0"/>
        <w:spacing w:line="360" w:lineRule="auto"/>
        <w:ind w:firstLine="420" w:firstLineChars="200"/>
        <w:jc w:val="left"/>
        <w:rPr>
          <w:rFonts w:hAnsi="宋体"/>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w:t>
      </w:r>
      <w:r>
        <w:rPr>
          <w:rFonts w:hAnsi="宋体"/>
          <w:color w:val="000000" w:themeColor="text1"/>
          <w:kern w:val="0"/>
          <w:szCs w:val="21"/>
          <w:highlight w:val="none"/>
          <w14:textFill>
            <w14:solidFill>
              <w14:schemeClr w14:val="tx1"/>
            </w14:solidFill>
          </w14:textFill>
        </w:rPr>
        <w:t>2</w:t>
      </w:r>
      <w:r>
        <w:rPr>
          <w:rFonts w:hint="eastAsia" w:hAnsi="宋体" w:cs="宋体"/>
          <w:color w:val="000000" w:themeColor="text1"/>
          <w:kern w:val="0"/>
          <w:szCs w:val="21"/>
          <w:highlight w:val="none"/>
          <w14:textFill>
            <w14:solidFill>
              <w14:schemeClr w14:val="tx1"/>
            </w14:solidFill>
          </w14:textFill>
        </w:rPr>
        <w:t>）使用要求：专款专用。具体按</w:t>
      </w:r>
      <w:r>
        <w:rPr>
          <w:rFonts w:hint="eastAsia" w:hAnsi="宋体" w:cs="宋体"/>
          <w:color w:val="000000" w:themeColor="text1"/>
          <w:kern w:val="0"/>
          <w:szCs w:val="21"/>
          <w:highlight w:val="none"/>
          <w:u w:val="single"/>
          <w14:textFill>
            <w14:solidFill>
              <w14:schemeClr w14:val="tx1"/>
            </w14:solidFill>
          </w14:textFill>
        </w:rPr>
        <w:t>《广西壮族自治区建设工程安全文明施工费使用管理细则》（桂建质〔</w:t>
      </w:r>
      <w:r>
        <w:rPr>
          <w:rFonts w:hAnsi="宋体"/>
          <w:color w:val="000000" w:themeColor="text1"/>
          <w:kern w:val="0"/>
          <w:szCs w:val="21"/>
          <w:highlight w:val="none"/>
          <w:u w:val="single"/>
          <w14:textFill>
            <w14:solidFill>
              <w14:schemeClr w14:val="tx1"/>
            </w14:solidFill>
          </w14:textFill>
        </w:rPr>
        <w:t>2015</w:t>
      </w:r>
      <w:r>
        <w:rPr>
          <w:rFonts w:hint="eastAsia" w:hAnsi="宋体" w:cs="宋体"/>
          <w:color w:val="000000" w:themeColor="text1"/>
          <w:kern w:val="0"/>
          <w:szCs w:val="21"/>
          <w:highlight w:val="none"/>
          <w:u w:val="single"/>
          <w14:textFill>
            <w14:solidFill>
              <w14:schemeClr w14:val="tx1"/>
            </w14:solidFill>
          </w14:textFill>
        </w:rPr>
        <w:t>〕</w:t>
      </w:r>
      <w:r>
        <w:rPr>
          <w:rFonts w:hAnsi="宋体"/>
          <w:color w:val="000000" w:themeColor="text1"/>
          <w:kern w:val="0"/>
          <w:szCs w:val="21"/>
          <w:highlight w:val="none"/>
          <w:u w:val="single"/>
          <w14:textFill>
            <w14:solidFill>
              <w14:schemeClr w14:val="tx1"/>
            </w14:solidFill>
          </w14:textFill>
        </w:rPr>
        <w:t>16</w:t>
      </w:r>
      <w:r>
        <w:rPr>
          <w:rFonts w:hint="eastAsia" w:hAnsi="宋体" w:cs="宋体"/>
          <w:color w:val="000000" w:themeColor="text1"/>
          <w:kern w:val="0"/>
          <w:szCs w:val="21"/>
          <w:highlight w:val="none"/>
          <w:u w:val="single"/>
          <w14:textFill>
            <w14:solidFill>
              <w14:schemeClr w14:val="tx1"/>
            </w14:solidFill>
          </w14:textFill>
        </w:rPr>
        <w:t>号）</w:t>
      </w:r>
      <w:r>
        <w:rPr>
          <w:rFonts w:hint="eastAsia" w:hAnsi="宋体" w:cs="宋体"/>
          <w:color w:val="000000" w:themeColor="text1"/>
          <w:kern w:val="0"/>
          <w:szCs w:val="21"/>
          <w:highlight w:val="none"/>
          <w14:textFill>
            <w14:solidFill>
              <w14:schemeClr w14:val="tx1"/>
            </w14:solidFill>
          </w14:textFill>
        </w:rPr>
        <w:t>和</w:t>
      </w:r>
      <w:r>
        <w:rPr>
          <w:rFonts w:hint="eastAsia" w:hAnsi="宋体"/>
          <w:color w:val="000000" w:themeColor="text1"/>
          <w:kern w:val="0"/>
          <w:szCs w:val="21"/>
          <w:highlight w:val="none"/>
          <w:u w:val="single"/>
          <w14:textFill>
            <w14:solidFill>
              <w14:schemeClr w14:val="tx1"/>
            </w14:solidFill>
          </w14:textFill>
        </w:rPr>
        <w:t>南宁（《关于印发&lt;南宁市建设工程安全防护、文明施工措施费用管理规定&gt;的通知》(南建质安(2013)22号等）</w:t>
      </w:r>
      <w:r>
        <w:rPr>
          <w:rFonts w:hint="eastAsia" w:hAnsi="宋体" w:cs="宋体"/>
          <w:color w:val="000000" w:themeColor="text1"/>
          <w:kern w:val="0"/>
          <w:szCs w:val="21"/>
          <w:highlight w:val="none"/>
          <w14:textFill>
            <w14:solidFill>
              <w14:schemeClr w14:val="tx1"/>
            </w14:solidFill>
          </w14:textFill>
        </w:rPr>
        <w:t>市相关规定执行。</w:t>
      </w:r>
    </w:p>
    <w:p w14:paraId="37B2C2A9">
      <w:pPr>
        <w:autoSpaceDE w:val="0"/>
        <w:autoSpaceDN w:val="0"/>
        <w:adjustRightInd w:val="0"/>
        <w:spacing w:line="360" w:lineRule="auto"/>
        <w:ind w:firstLine="420" w:firstLineChars="200"/>
        <w:jc w:val="left"/>
        <w:rPr>
          <w:rFonts w:hAnsi="宋体" w:cs="宋体"/>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w:t>
      </w:r>
      <w:r>
        <w:rPr>
          <w:rFonts w:hAnsi="宋体"/>
          <w:color w:val="000000" w:themeColor="text1"/>
          <w:kern w:val="0"/>
          <w:szCs w:val="21"/>
          <w:highlight w:val="none"/>
          <w14:textFill>
            <w14:solidFill>
              <w14:schemeClr w14:val="tx1"/>
            </w14:solidFill>
          </w14:textFill>
        </w:rPr>
        <w:t>3</w:t>
      </w:r>
      <w:r>
        <w:rPr>
          <w:rFonts w:hint="eastAsia" w:hAnsi="宋体" w:cs="宋体"/>
          <w:color w:val="000000" w:themeColor="text1"/>
          <w:kern w:val="0"/>
          <w:szCs w:val="21"/>
          <w:highlight w:val="none"/>
          <w14:textFill>
            <w14:solidFill>
              <w14:schemeClr w14:val="tx1"/>
            </w14:solidFill>
          </w14:textFill>
        </w:rPr>
        <w:t>）支付约定：</w:t>
      </w:r>
      <w:r>
        <w:rPr>
          <w:rFonts w:hint="eastAsia"/>
          <w:color w:val="000000" w:themeColor="text1"/>
          <w:kern w:val="0"/>
          <w:szCs w:val="21"/>
          <w:highlight w:val="none"/>
          <w14:textFill>
            <w14:solidFill>
              <w14:schemeClr w14:val="tx1"/>
            </w14:solidFill>
          </w14:textFill>
        </w:rPr>
        <w:t>与进度款同期支付</w:t>
      </w:r>
      <w:r>
        <w:rPr>
          <w:rFonts w:hint="eastAsia" w:hAnsi="宋体" w:cs="宋体"/>
          <w:color w:val="000000" w:themeColor="text1"/>
          <w:kern w:val="0"/>
          <w:szCs w:val="21"/>
          <w:highlight w:val="none"/>
          <w14:textFill>
            <w14:solidFill>
              <w14:schemeClr w14:val="tx1"/>
            </w14:solidFill>
          </w14:textFill>
        </w:rPr>
        <w:t>。</w:t>
      </w:r>
    </w:p>
    <w:p w14:paraId="39151CB6">
      <w:pPr>
        <w:autoSpaceDE w:val="0"/>
        <w:autoSpaceDN w:val="0"/>
        <w:adjustRightInd w:val="0"/>
        <w:spacing w:line="360" w:lineRule="auto"/>
        <w:ind w:firstLine="420" w:firstLineChars="200"/>
        <w:jc w:val="left"/>
        <w:rPr>
          <w:rFonts w:hAnsi="宋体" w:cs="宋体"/>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（4）建设单位按规定将安全生产费用转入施工单位设立的安全生产费用专户。</w:t>
      </w:r>
    </w:p>
    <w:p w14:paraId="7660FD89">
      <w:pPr>
        <w:autoSpaceDE w:val="0"/>
        <w:autoSpaceDN w:val="0"/>
        <w:adjustRightInd w:val="0"/>
        <w:spacing w:line="360" w:lineRule="auto"/>
        <w:ind w:firstLine="420" w:firstLineChars="200"/>
        <w:jc w:val="left"/>
        <w:rPr>
          <w:rFonts w:hAnsi="宋体" w:cs="宋体"/>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（5）工程施工完成后安全生产费用尚有结余的，结余部分由建设单位收回。</w:t>
      </w:r>
    </w:p>
    <w:p w14:paraId="2F0FF014">
      <w:pPr>
        <w:autoSpaceDE w:val="0"/>
        <w:autoSpaceDN w:val="0"/>
        <w:adjustRightInd w:val="0"/>
        <w:spacing w:line="360" w:lineRule="auto"/>
        <w:ind w:firstLine="420" w:firstLineChars="200"/>
        <w:jc w:val="left"/>
        <w:rPr>
          <w:rFonts w:hAnsi="宋体" w:cs="宋体"/>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（6）施工单位将安全生产费用使用情况定期报告建设单位和监理单位，并提供相应的材料接受建设行政主管部门对此事项监管。</w:t>
      </w:r>
    </w:p>
    <w:p w14:paraId="583A74C3">
      <w:pPr>
        <w:autoSpaceDE w:val="0"/>
        <w:autoSpaceDN w:val="0"/>
        <w:adjustRightInd w:val="0"/>
        <w:spacing w:line="360" w:lineRule="auto"/>
        <w:ind w:firstLine="420" w:firstLineChars="200"/>
        <w:jc w:val="left"/>
        <w:rPr>
          <w:rFonts w:hAnsi="宋体"/>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（7）安全生产费用专户：</w:t>
      </w:r>
      <w:r>
        <w:rPr>
          <w:rFonts w:hAnsi="宋体" w:cs="宋体"/>
          <w:color w:val="000000" w:themeColor="text1"/>
          <w:kern w:val="0"/>
          <w:szCs w:val="21"/>
          <w:highlight w:val="none"/>
          <w14:textFill>
            <w14:solidFill>
              <w14:schemeClr w14:val="tx1"/>
            </w14:solidFill>
          </w14:textFill>
        </w:rPr>
        <w:t>××××</w:t>
      </w:r>
      <w:r>
        <w:rPr>
          <w:rFonts w:hint="eastAsia" w:hAnsi="宋体" w:cs="宋体"/>
          <w:color w:val="000000" w:themeColor="text1"/>
          <w:kern w:val="0"/>
          <w:szCs w:val="21"/>
          <w:highlight w:val="none"/>
          <w14:textFill>
            <w14:solidFill>
              <w14:schemeClr w14:val="tx1"/>
            </w14:solidFill>
          </w14:textFill>
        </w:rPr>
        <w:t>公司安全生产费用专户。账号：                。</w:t>
      </w:r>
    </w:p>
    <w:p w14:paraId="1A2A082F">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367" w:name="_Toc114058860"/>
      <w:bookmarkStart w:id="368" w:name="_Toc78449809"/>
      <w:bookmarkStart w:id="369" w:name="_Toc373227721"/>
      <w:bookmarkStart w:id="370" w:name="_Toc389065287"/>
      <w:bookmarkStart w:id="371" w:name="_Toc407135223"/>
      <w:bookmarkStart w:id="372" w:name="_Toc373478368"/>
      <w:r>
        <w:rPr>
          <w:rFonts w:eastAsia="黑体"/>
          <w:b/>
          <w:bCs/>
          <w:color w:val="000000" w:themeColor="text1"/>
          <w:sz w:val="32"/>
          <w:szCs w:val="32"/>
          <w:highlight w:val="none"/>
          <w:lang w:val="zh-CN"/>
          <w14:textFill>
            <w14:solidFill>
              <w14:schemeClr w14:val="tx1"/>
            </w14:solidFill>
          </w14:textFill>
        </w:rPr>
        <w:t xml:space="preserve">6.3 </w:t>
      </w:r>
      <w:r>
        <w:rPr>
          <w:rFonts w:hint="eastAsia" w:hAnsi="宋体" w:eastAsia="黑体" w:cs="黑体"/>
          <w:b/>
          <w:bCs/>
          <w:color w:val="000000" w:themeColor="text1"/>
          <w:sz w:val="32"/>
          <w:szCs w:val="32"/>
          <w:highlight w:val="none"/>
          <w:lang w:val="zh-CN"/>
          <w14:textFill>
            <w14:solidFill>
              <w14:schemeClr w14:val="tx1"/>
            </w14:solidFill>
          </w14:textFill>
        </w:rPr>
        <w:t>环境保护</w:t>
      </w:r>
      <w:bookmarkEnd w:id="367"/>
      <w:bookmarkEnd w:id="368"/>
      <w:bookmarkEnd w:id="369"/>
      <w:bookmarkEnd w:id="370"/>
      <w:bookmarkEnd w:id="371"/>
      <w:bookmarkEnd w:id="372"/>
    </w:p>
    <w:p w14:paraId="0A27B9E9">
      <w:pPr>
        <w:spacing w:line="360" w:lineRule="auto"/>
        <w:ind w:firstLine="420" w:firstLineChars="200"/>
        <w:jc w:val="left"/>
        <w:rPr>
          <w:color w:val="000000" w:themeColor="text1"/>
          <w:szCs w:val="21"/>
          <w:highlight w:val="none"/>
          <w:u w:val="single"/>
          <w14:textFill>
            <w14:solidFill>
              <w14:schemeClr w14:val="tx1"/>
            </w14:solidFill>
          </w14:textFill>
        </w:rPr>
      </w:pPr>
      <w:r>
        <w:rPr>
          <w:rFonts w:hint="eastAsia" w:hAnsi="宋体" w:cs="宋体"/>
          <w:color w:val="000000" w:themeColor="text1"/>
          <w:szCs w:val="21"/>
          <w:highlight w:val="none"/>
          <w:u w:val="single"/>
          <w14:textFill>
            <w14:solidFill>
              <w14:schemeClr w14:val="tx1"/>
            </w14:solidFill>
          </w14:textFill>
        </w:rPr>
        <w:t>因施工需要，经发包人批准，由承包人办理有关施工场地交通、环卫和施工噪音管理等手续，费用由承包人负责。</w:t>
      </w:r>
    </w:p>
    <w:p w14:paraId="70D9E889">
      <w:pPr>
        <w:spacing w:line="360" w:lineRule="auto"/>
        <w:ind w:firstLine="420" w:firstLineChars="200"/>
        <w:jc w:val="left"/>
        <w:rPr>
          <w:rFonts w:hAnsi="宋体" w:cs="宋体"/>
          <w:color w:val="000000" w:themeColor="text1"/>
          <w:szCs w:val="21"/>
          <w:highlight w:val="none"/>
          <w:u w:val="single"/>
          <w14:textFill>
            <w14:solidFill>
              <w14:schemeClr w14:val="tx1"/>
            </w14:solidFill>
          </w14:textFill>
        </w:rPr>
      </w:pPr>
      <w:r>
        <w:rPr>
          <w:rFonts w:hint="eastAsia" w:hAnsi="宋体" w:cs="宋体"/>
          <w:color w:val="000000" w:themeColor="text1"/>
          <w:szCs w:val="21"/>
          <w:highlight w:val="none"/>
          <w:u w:val="single"/>
          <w14:textFill>
            <w14:solidFill>
              <w14:schemeClr w14:val="tx1"/>
            </w14:solidFill>
          </w14:textFill>
        </w:rPr>
        <w:t>经过城市道路的施工车辆，必须按交警、城管、运输等部门相关规定执行。由于施工车辆造成的道路、环境等污染，其责任和费用均由承包人承担。</w:t>
      </w:r>
    </w:p>
    <w:p w14:paraId="37485AE7">
      <w:pPr>
        <w:spacing w:line="360" w:lineRule="auto"/>
        <w:ind w:firstLine="420" w:firstLineChars="200"/>
        <w:jc w:val="left"/>
        <w:rPr>
          <w:rFonts w:hAnsi="宋体" w:cs="宋体"/>
          <w:color w:val="000000" w:themeColor="text1"/>
          <w:szCs w:val="22"/>
          <w:highlight w:val="none"/>
          <w:u w:val="single"/>
          <w14:textFill>
            <w14:solidFill>
              <w14:schemeClr w14:val="tx1"/>
            </w14:solidFill>
          </w14:textFill>
        </w:rPr>
      </w:pPr>
      <w:r>
        <w:rPr>
          <w:rFonts w:hint="eastAsia" w:hAnsi="宋体"/>
          <w:color w:val="000000" w:themeColor="text1"/>
          <w:szCs w:val="21"/>
          <w:highlight w:val="none"/>
          <w:u w:val="single"/>
          <w14:textFill>
            <w14:solidFill>
              <w14:schemeClr w14:val="tx1"/>
            </w14:solidFill>
          </w14:textFill>
        </w:rPr>
        <w:t>根据《南宁市挥发性有机物污染防治实施方案（2019-2020年）》（南环委办</w:t>
      </w:r>
      <w:r>
        <w:rPr>
          <w:rFonts w:hint="eastAsia" w:hAnsi="宋体"/>
          <w:color w:val="000000" w:themeColor="text1"/>
          <w:kern w:val="0"/>
          <w:szCs w:val="21"/>
          <w:highlight w:val="none"/>
          <w:u w:val="single"/>
          <w14:textFill>
            <w14:solidFill>
              <w14:schemeClr w14:val="tx1"/>
            </w14:solidFill>
          </w14:textFill>
        </w:rPr>
        <w:t>〔</w:t>
      </w:r>
      <w:r>
        <w:rPr>
          <w:rFonts w:hAnsi="宋体"/>
          <w:color w:val="000000" w:themeColor="text1"/>
          <w:kern w:val="0"/>
          <w:szCs w:val="21"/>
          <w:highlight w:val="none"/>
          <w:u w:val="single"/>
          <w14:textFill>
            <w14:solidFill>
              <w14:schemeClr w14:val="tx1"/>
            </w14:solidFill>
          </w14:textFill>
        </w:rPr>
        <w:t>20</w:t>
      </w:r>
      <w:r>
        <w:rPr>
          <w:rFonts w:hint="eastAsia" w:hAnsi="宋体"/>
          <w:color w:val="000000" w:themeColor="text1"/>
          <w:kern w:val="0"/>
          <w:szCs w:val="21"/>
          <w:highlight w:val="none"/>
          <w:u w:val="single"/>
          <w14:textFill>
            <w14:solidFill>
              <w14:schemeClr w14:val="tx1"/>
            </w14:solidFill>
          </w14:textFill>
        </w:rPr>
        <w:t>19〕166</w:t>
      </w:r>
      <w:r>
        <w:rPr>
          <w:rFonts w:hAnsi="宋体"/>
          <w:color w:val="000000" w:themeColor="text1"/>
          <w:kern w:val="0"/>
          <w:szCs w:val="21"/>
          <w:highlight w:val="none"/>
          <w:u w:val="single"/>
          <w14:textFill>
            <w14:solidFill>
              <w14:schemeClr w14:val="tx1"/>
            </w14:solidFill>
          </w14:textFill>
        </w:rPr>
        <w:t>号</w:t>
      </w:r>
      <w:r>
        <w:rPr>
          <w:rFonts w:hint="eastAsia" w:hAnsi="宋体"/>
          <w:color w:val="000000" w:themeColor="text1"/>
          <w:kern w:val="0"/>
          <w:szCs w:val="21"/>
          <w:highlight w:val="none"/>
          <w:u w:val="single"/>
          <w14:textFill>
            <w14:solidFill>
              <w14:schemeClr w14:val="tx1"/>
            </w14:solidFill>
          </w14:textFill>
        </w:rPr>
        <w:t>）文件精神，宜优先使用低VOCs含量的涂料、油漆和有机溶剂。</w:t>
      </w:r>
    </w:p>
    <w:bookmarkEnd w:id="347"/>
    <w:bookmarkEnd w:id="348"/>
    <w:bookmarkEnd w:id="349"/>
    <w:bookmarkEnd w:id="350"/>
    <w:bookmarkEnd w:id="351"/>
    <w:bookmarkEnd w:id="352"/>
    <w:bookmarkEnd w:id="353"/>
    <w:p w14:paraId="665335C8">
      <w:pPr>
        <w:keepNext/>
        <w:keepLines/>
        <w:spacing w:before="60" w:after="60" w:line="413" w:lineRule="auto"/>
        <w:outlineLvl w:val="1"/>
        <w:rPr>
          <w:rFonts w:ascii="Arial" w:hAnsi="Arial" w:eastAsia="黑体"/>
          <w:b/>
          <w:bCs/>
          <w:color w:val="000000" w:themeColor="text1"/>
          <w:sz w:val="32"/>
          <w:szCs w:val="32"/>
          <w:highlight w:val="none"/>
          <w:lang w:val="zh-CN"/>
          <w14:textFill>
            <w14:solidFill>
              <w14:schemeClr w14:val="tx1"/>
            </w14:solidFill>
          </w14:textFill>
        </w:rPr>
      </w:pPr>
      <w:bookmarkStart w:id="373" w:name="_Toc373478369"/>
      <w:bookmarkStart w:id="374" w:name="_Toc351203639"/>
      <w:bookmarkStart w:id="375" w:name="_Toc373227722"/>
      <w:bookmarkStart w:id="376" w:name="_Toc389065288"/>
      <w:bookmarkStart w:id="377" w:name="_Toc78449810"/>
      <w:bookmarkStart w:id="378" w:name="_Toc407135224"/>
      <w:bookmarkStart w:id="379" w:name="_Toc114058861"/>
      <w:r>
        <w:rPr>
          <w:rFonts w:ascii="Arial" w:hAnsi="Arial" w:eastAsia="黑体"/>
          <w:b/>
          <w:bCs/>
          <w:color w:val="000000" w:themeColor="text1"/>
          <w:sz w:val="32"/>
          <w:szCs w:val="32"/>
          <w:highlight w:val="none"/>
          <w:lang w:val="zh-CN"/>
          <w14:textFill>
            <w14:solidFill>
              <w14:schemeClr w14:val="tx1"/>
            </w14:solidFill>
          </w14:textFill>
        </w:rPr>
        <w:t xml:space="preserve">7. </w:t>
      </w:r>
      <w:r>
        <w:rPr>
          <w:rFonts w:hint="eastAsia" w:ascii="Arial" w:hAnsi="Arial" w:eastAsia="黑体" w:cs="黑体"/>
          <w:b/>
          <w:bCs/>
          <w:color w:val="000000" w:themeColor="text1"/>
          <w:sz w:val="32"/>
          <w:szCs w:val="32"/>
          <w:highlight w:val="none"/>
          <w:lang w:val="zh-CN"/>
          <w14:textFill>
            <w14:solidFill>
              <w14:schemeClr w14:val="tx1"/>
            </w14:solidFill>
          </w14:textFill>
        </w:rPr>
        <w:t>工期和进度</w:t>
      </w:r>
      <w:bookmarkEnd w:id="373"/>
      <w:bookmarkEnd w:id="374"/>
      <w:bookmarkEnd w:id="375"/>
      <w:bookmarkEnd w:id="376"/>
      <w:bookmarkEnd w:id="377"/>
      <w:bookmarkEnd w:id="378"/>
      <w:bookmarkEnd w:id="379"/>
    </w:p>
    <w:p w14:paraId="19F3DD7F">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380" w:name="_Toc114058862"/>
      <w:bookmarkStart w:id="381" w:name="_Toc78449811"/>
      <w:bookmarkStart w:id="382" w:name="_Toc373478370"/>
      <w:bookmarkStart w:id="383" w:name="_Toc389065289"/>
      <w:bookmarkStart w:id="384" w:name="_Toc407135225"/>
      <w:bookmarkStart w:id="385" w:name="_Toc373227723"/>
      <w:r>
        <w:rPr>
          <w:rFonts w:eastAsia="黑体"/>
          <w:b/>
          <w:bCs/>
          <w:color w:val="000000" w:themeColor="text1"/>
          <w:sz w:val="32"/>
          <w:szCs w:val="32"/>
          <w:highlight w:val="none"/>
          <w:lang w:val="zh-CN"/>
          <w14:textFill>
            <w14:solidFill>
              <w14:schemeClr w14:val="tx1"/>
            </w14:solidFill>
          </w14:textFill>
        </w:rPr>
        <w:t xml:space="preserve">7.1 </w:t>
      </w:r>
      <w:r>
        <w:rPr>
          <w:rFonts w:hint="eastAsia" w:eastAsia="黑体" w:cs="黑体"/>
          <w:b/>
          <w:bCs/>
          <w:color w:val="000000" w:themeColor="text1"/>
          <w:sz w:val="32"/>
          <w:szCs w:val="32"/>
          <w:highlight w:val="none"/>
          <w:lang w:val="zh-CN"/>
          <w14:textFill>
            <w14:solidFill>
              <w14:schemeClr w14:val="tx1"/>
            </w14:solidFill>
          </w14:textFill>
        </w:rPr>
        <w:t>施工组织设计</w:t>
      </w:r>
      <w:bookmarkEnd w:id="380"/>
      <w:bookmarkEnd w:id="381"/>
      <w:bookmarkEnd w:id="382"/>
      <w:bookmarkEnd w:id="383"/>
      <w:bookmarkEnd w:id="384"/>
      <w:bookmarkEnd w:id="385"/>
    </w:p>
    <w:p w14:paraId="0252618F">
      <w:pPr>
        <w:autoSpaceDE w:val="0"/>
        <w:autoSpaceDN w:val="0"/>
        <w:adjustRightInd w:val="0"/>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7.1.1 </w:t>
      </w:r>
      <w:r>
        <w:rPr>
          <w:rFonts w:hAnsi="宋体"/>
          <w:color w:val="000000" w:themeColor="text1"/>
          <w:szCs w:val="21"/>
          <w:highlight w:val="none"/>
          <w14:textFill>
            <w14:solidFill>
              <w14:schemeClr w14:val="tx1"/>
            </w14:solidFill>
          </w14:textFill>
        </w:rPr>
        <w:t>合</w:t>
      </w:r>
      <w:r>
        <w:rPr>
          <w:rFonts w:hAnsi="宋体"/>
          <w:color w:val="000000" w:themeColor="text1"/>
          <w:kern w:val="0"/>
          <w:szCs w:val="21"/>
          <w:highlight w:val="none"/>
          <w14:textFill>
            <w14:solidFill>
              <w14:schemeClr w14:val="tx1"/>
            </w14:solidFill>
          </w14:textFill>
        </w:rPr>
        <w:t>同当事人约定的施工组织设计应包括的其他内容：</w:t>
      </w:r>
      <w:r>
        <w:rPr>
          <w:rFonts w:hint="eastAsia" w:ascii="宋体" w:hAnsi="宋体"/>
          <w:color w:val="000000" w:themeColor="text1"/>
          <w:szCs w:val="21"/>
          <w:highlight w:val="none"/>
          <w:u w:val="single"/>
          <w14:textFill>
            <w14:solidFill>
              <w14:schemeClr w14:val="tx1"/>
            </w14:solidFill>
          </w14:textFill>
        </w:rPr>
        <w:t>施工进度计划包括总进度计划、分阶段和分项进度计划、设备材料人员进场计划；施工方案说明包括分部、分项工程或工程部位的名称及施工顺序和方法。</w:t>
      </w:r>
    </w:p>
    <w:p w14:paraId="390289F5">
      <w:pPr>
        <w:autoSpaceDE w:val="0"/>
        <w:autoSpaceDN w:val="0"/>
        <w:adjustRightInd w:val="0"/>
        <w:spacing w:line="360" w:lineRule="auto"/>
        <w:ind w:firstLine="420" w:firstLineChars="200"/>
        <w:jc w:val="left"/>
        <w:rPr>
          <w:color w:val="000000" w:themeColor="text1"/>
          <w:kern w:val="0"/>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7.1.2 </w:t>
      </w:r>
      <w:r>
        <w:rPr>
          <w:rFonts w:hAnsi="宋体"/>
          <w:color w:val="000000" w:themeColor="text1"/>
          <w:kern w:val="0"/>
          <w:szCs w:val="21"/>
          <w:highlight w:val="none"/>
          <w14:textFill>
            <w14:solidFill>
              <w14:schemeClr w14:val="tx1"/>
            </w14:solidFill>
          </w14:textFill>
        </w:rPr>
        <w:t>施工组织设计的提交和修改</w:t>
      </w:r>
    </w:p>
    <w:p w14:paraId="3D3837F0">
      <w:pPr>
        <w:autoSpaceDE w:val="0"/>
        <w:autoSpaceDN w:val="0"/>
        <w:adjustRightInd w:val="0"/>
        <w:spacing w:line="360" w:lineRule="auto"/>
        <w:ind w:firstLine="420" w:firstLineChars="200"/>
        <w:jc w:val="left"/>
        <w:rPr>
          <w:color w:val="000000" w:themeColor="text1"/>
          <w:szCs w:val="21"/>
          <w:highlight w:val="none"/>
          <w:u w:val="single"/>
          <w14:textFill>
            <w14:solidFill>
              <w14:schemeClr w14:val="tx1"/>
            </w14:solidFill>
          </w14:textFill>
        </w:rPr>
      </w:pPr>
      <w:r>
        <w:rPr>
          <w:rFonts w:hAnsi="宋体"/>
          <w:color w:val="000000" w:themeColor="text1"/>
          <w:kern w:val="0"/>
          <w:szCs w:val="21"/>
          <w:highlight w:val="none"/>
          <w14:textFill>
            <w14:solidFill>
              <w14:schemeClr w14:val="tx1"/>
            </w14:solidFill>
          </w14:textFill>
        </w:rPr>
        <w:t>承包人提交详细施工组织设计的期限的约定：</w:t>
      </w:r>
      <w:r>
        <w:rPr>
          <w:rFonts w:hint="eastAsia"/>
          <w:color w:val="000000" w:themeColor="text1"/>
          <w:szCs w:val="21"/>
          <w:highlight w:val="none"/>
          <w:u w:val="single"/>
          <w14:textFill>
            <w14:solidFill>
              <w14:schemeClr w14:val="tx1"/>
            </w14:solidFill>
          </w14:textFill>
        </w:rPr>
        <w:t>承包人应在开工前7日内，提交详细的施工组织设计，并报送监理人和发包人</w:t>
      </w:r>
      <w:r>
        <w:rPr>
          <w:rFonts w:hAnsi="宋体"/>
          <w:color w:val="000000" w:themeColor="text1"/>
          <w:szCs w:val="21"/>
          <w:highlight w:val="none"/>
          <w14:textFill>
            <w14:solidFill>
              <w14:schemeClr w14:val="tx1"/>
            </w14:solidFill>
          </w14:textFill>
        </w:rPr>
        <w:t>。</w:t>
      </w:r>
    </w:p>
    <w:p w14:paraId="666A28EA">
      <w:pPr>
        <w:spacing w:line="360" w:lineRule="auto"/>
        <w:ind w:firstLine="420" w:firstLineChars="200"/>
        <w:jc w:val="left"/>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发包人和监理人在收到详细的施工组织设计后确认或提出修改意见的期限：</w:t>
      </w:r>
      <w:r>
        <w:rPr>
          <w:rFonts w:hint="eastAsia"/>
          <w:color w:val="000000" w:themeColor="text1"/>
          <w:szCs w:val="21"/>
          <w:highlight w:val="none"/>
          <w:u w:val="single"/>
          <w14:textFill>
            <w14:solidFill>
              <w14:schemeClr w14:val="tx1"/>
            </w14:solidFill>
          </w14:textFill>
        </w:rPr>
        <w:t>收到详细施工组织设计后14天内确定或提出修改意见。对监理人和发包人提出合理意见和要求，承包人应自行修改完善</w:t>
      </w:r>
      <w:r>
        <w:rPr>
          <w:rFonts w:hint="eastAsia" w:hAnsi="宋体" w:cs="宋体"/>
          <w:color w:val="000000" w:themeColor="text1"/>
          <w:szCs w:val="21"/>
          <w:highlight w:val="none"/>
          <w14:textFill>
            <w14:solidFill>
              <w14:schemeClr w14:val="tx1"/>
            </w14:solidFill>
          </w14:textFill>
        </w:rPr>
        <w:t>。</w:t>
      </w:r>
    </w:p>
    <w:p w14:paraId="521FC790">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386" w:name="_Toc407135226"/>
      <w:bookmarkStart w:id="387" w:name="_Toc373478371"/>
      <w:bookmarkStart w:id="388" w:name="_Toc78449812"/>
      <w:bookmarkStart w:id="389" w:name="_Toc373227724"/>
      <w:bookmarkStart w:id="390" w:name="_Toc114058863"/>
      <w:bookmarkStart w:id="391" w:name="_Toc389065290"/>
      <w:r>
        <w:rPr>
          <w:rFonts w:eastAsia="黑体"/>
          <w:b/>
          <w:bCs/>
          <w:color w:val="000000" w:themeColor="text1"/>
          <w:sz w:val="32"/>
          <w:szCs w:val="32"/>
          <w:highlight w:val="none"/>
          <w:lang w:val="zh-CN"/>
          <w14:textFill>
            <w14:solidFill>
              <w14:schemeClr w14:val="tx1"/>
            </w14:solidFill>
          </w14:textFill>
        </w:rPr>
        <w:t>7</w:t>
      </w:r>
      <w:bookmarkStart w:id="392" w:name="_Toc297123514"/>
      <w:bookmarkStart w:id="393" w:name="_Toc297216173"/>
      <w:bookmarkStart w:id="394" w:name="_Toc312677479"/>
      <w:bookmarkStart w:id="395" w:name="_Toc312678005"/>
      <w:bookmarkStart w:id="396" w:name="_Toc303539123"/>
      <w:bookmarkStart w:id="397" w:name="_Toc300934966"/>
      <w:bookmarkStart w:id="398" w:name="_Toc304295541"/>
      <w:r>
        <w:rPr>
          <w:rFonts w:eastAsia="黑体"/>
          <w:b/>
          <w:bCs/>
          <w:color w:val="000000" w:themeColor="text1"/>
          <w:sz w:val="32"/>
          <w:szCs w:val="32"/>
          <w:highlight w:val="none"/>
          <w:lang w:val="zh-CN"/>
          <w14:textFill>
            <w14:solidFill>
              <w14:schemeClr w14:val="tx1"/>
            </w14:solidFill>
          </w14:textFill>
        </w:rPr>
        <w:t xml:space="preserve">.2 </w:t>
      </w:r>
      <w:r>
        <w:rPr>
          <w:rFonts w:hint="eastAsia" w:eastAsia="黑体" w:cs="黑体"/>
          <w:b/>
          <w:bCs/>
          <w:color w:val="000000" w:themeColor="text1"/>
          <w:sz w:val="32"/>
          <w:szCs w:val="32"/>
          <w:highlight w:val="none"/>
          <w:lang w:val="zh-CN"/>
          <w14:textFill>
            <w14:solidFill>
              <w14:schemeClr w14:val="tx1"/>
            </w14:solidFill>
          </w14:textFill>
        </w:rPr>
        <w:t>施工进度计划</w:t>
      </w:r>
      <w:bookmarkEnd w:id="386"/>
      <w:bookmarkEnd w:id="387"/>
      <w:bookmarkEnd w:id="388"/>
      <w:bookmarkEnd w:id="389"/>
      <w:bookmarkEnd w:id="390"/>
      <w:bookmarkEnd w:id="391"/>
    </w:p>
    <w:p w14:paraId="33E435F1">
      <w:pPr>
        <w:spacing w:line="360" w:lineRule="auto"/>
        <w:ind w:firstLine="420" w:firstLineChars="20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7.2.2 </w:t>
      </w:r>
      <w:r>
        <w:rPr>
          <w:rFonts w:hint="eastAsia" w:hAnsi="宋体" w:cs="宋体"/>
          <w:color w:val="000000" w:themeColor="text1"/>
          <w:szCs w:val="21"/>
          <w:highlight w:val="none"/>
          <w14:textFill>
            <w14:solidFill>
              <w14:schemeClr w14:val="tx1"/>
            </w14:solidFill>
          </w14:textFill>
        </w:rPr>
        <w:t>施工进度计划的修订</w:t>
      </w:r>
    </w:p>
    <w:p w14:paraId="44C5605A">
      <w:pPr>
        <w:spacing w:line="360" w:lineRule="auto"/>
        <w:ind w:firstLine="420" w:firstLineChars="200"/>
        <w:jc w:val="left"/>
        <w:rPr>
          <w:rFonts w:hAnsi="宋体"/>
          <w:color w:val="000000" w:themeColor="text1"/>
          <w:szCs w:val="21"/>
          <w:highlight w:val="none"/>
          <w14:textFill>
            <w14:solidFill>
              <w14:schemeClr w14:val="tx1"/>
            </w14:solidFill>
          </w14:textFill>
        </w:rPr>
      </w:pPr>
      <w:r>
        <w:rPr>
          <w:rFonts w:hint="eastAsia" w:hAnsi="宋体" w:cs="宋体"/>
          <w:color w:val="000000" w:themeColor="text1"/>
          <w:szCs w:val="22"/>
          <w:highlight w:val="none"/>
          <w14:textFill>
            <w14:solidFill>
              <w14:schemeClr w14:val="tx1"/>
            </w14:solidFill>
          </w14:textFill>
        </w:rPr>
        <w:t>发包人和监理人在收到修订的施工进度计划后确认或提出修改意见的期限：</w:t>
      </w:r>
      <w:r>
        <w:rPr>
          <w:rFonts w:hint="eastAsia"/>
          <w:color w:val="000000" w:themeColor="text1"/>
          <w:szCs w:val="21"/>
          <w:highlight w:val="none"/>
          <w:u w:val="single"/>
          <w14:textFill>
            <w14:solidFill>
              <w14:schemeClr w14:val="tx1"/>
            </w14:solidFill>
          </w14:textFill>
        </w:rPr>
        <w:t>承包人应在 开工前7日 编制详细的施工进度计划和施工方案说明报送监理人和发包人，其内容包括： 施工组织设计、专项方案、项目人员配备表等 。监理人和发包人应在14天内批复或提出修改意见，否则该进度计划视为已得到批准。经监理人和发包人批准的施工进度计划称施工进度计划，是控制合同工程进度的依据。承包人还应根据合同进度计划，编制更为详细的分阶段或分项进度计划，报监理人和发包人审批</w:t>
      </w:r>
      <w:r>
        <w:rPr>
          <w:rFonts w:hAnsi="宋体"/>
          <w:color w:val="000000" w:themeColor="text1"/>
          <w:szCs w:val="21"/>
          <w:highlight w:val="none"/>
          <w14:textFill>
            <w14:solidFill>
              <w14:schemeClr w14:val="tx1"/>
            </w14:solidFill>
          </w14:textFill>
        </w:rPr>
        <w:t>。</w:t>
      </w:r>
    </w:p>
    <w:p w14:paraId="5E7DB50D">
      <w:pPr>
        <w:spacing w:line="360" w:lineRule="auto"/>
        <w:ind w:firstLine="422" w:firstLineChars="200"/>
        <w:jc w:val="left"/>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7.2.3承包人所报的施工组织设计应包含详细、完整的施工总进度计划及符合行业相关规定的施工方案。进度计划应包括发包人直接发包的各专业工程进退场时间、预埋时间、竣工时间、各分项工程的开始和完工、验收时间等。此施工总进度计划一经发包人和监理人确认后，承包人应在每月的25日，向发包人和监理人提交最新的、经过修改的、动态的施工总进度计划（无论是否已发生变更），并由其审核确认，但对于发包人明确不得延误的阶段性施工目标不得擅自更改（合同已明确规定需延期或非承包人原因影响的除外）。如工程发生较大调整或发包人和监理人明确要求需要提交时，承包人应在接到通知5日内按发包人和监理人的要求，将最新的施工总进度计划予以提交。</w:t>
      </w:r>
    </w:p>
    <w:p w14:paraId="405DA59A">
      <w:pPr>
        <w:spacing w:line="360" w:lineRule="auto"/>
        <w:ind w:firstLine="422" w:firstLineChars="200"/>
        <w:jc w:val="left"/>
        <w:rPr>
          <w:color w:val="000000" w:themeColor="text1"/>
          <w:szCs w:val="22"/>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7.2.4承包人应按照经监理人及发包人批准的施工组织设计中提供的施工进度计划按时完成工程进度。发包人每月考核一次，如承包人在考核期内未能完成当月工程进度，则每逾期一天，应向发包人支付违约金人民币1000元（该罚款与总工期延期罚款不冲突），并在当月进度款中抵扣。</w:t>
      </w:r>
    </w:p>
    <w:p w14:paraId="7FB66A59">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399" w:name="_Toc114058864"/>
      <w:bookmarkStart w:id="400" w:name="_Toc389065291"/>
      <w:bookmarkStart w:id="401" w:name="_Toc373478372"/>
      <w:bookmarkStart w:id="402" w:name="_Toc407135227"/>
      <w:bookmarkStart w:id="403" w:name="_Toc78449813"/>
      <w:bookmarkStart w:id="404" w:name="_Toc373227725"/>
      <w:r>
        <w:rPr>
          <w:rFonts w:eastAsia="黑体"/>
          <w:b/>
          <w:bCs/>
          <w:color w:val="000000" w:themeColor="text1"/>
          <w:sz w:val="32"/>
          <w:szCs w:val="32"/>
          <w:highlight w:val="none"/>
          <w:lang w:val="zh-CN"/>
          <w14:textFill>
            <w14:solidFill>
              <w14:schemeClr w14:val="tx1"/>
            </w14:solidFill>
          </w14:textFill>
        </w:rPr>
        <w:t xml:space="preserve">7.3 </w:t>
      </w:r>
      <w:r>
        <w:rPr>
          <w:rFonts w:hint="eastAsia" w:eastAsia="黑体" w:cs="黑体"/>
          <w:b/>
          <w:bCs/>
          <w:color w:val="000000" w:themeColor="text1"/>
          <w:sz w:val="32"/>
          <w:szCs w:val="32"/>
          <w:highlight w:val="none"/>
          <w:lang w:val="zh-CN"/>
          <w14:textFill>
            <w14:solidFill>
              <w14:schemeClr w14:val="tx1"/>
            </w14:solidFill>
          </w14:textFill>
        </w:rPr>
        <w:t>开工</w:t>
      </w:r>
      <w:bookmarkEnd w:id="399"/>
      <w:bookmarkEnd w:id="400"/>
      <w:bookmarkEnd w:id="401"/>
      <w:bookmarkEnd w:id="402"/>
      <w:bookmarkEnd w:id="403"/>
      <w:bookmarkEnd w:id="404"/>
    </w:p>
    <w:p w14:paraId="1EE28E6E">
      <w:pPr>
        <w:spacing w:line="360" w:lineRule="auto"/>
        <w:ind w:firstLine="420" w:firstLineChars="20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7.3.1 </w:t>
      </w:r>
      <w:r>
        <w:rPr>
          <w:rFonts w:hint="eastAsia" w:hAnsi="宋体" w:cs="宋体"/>
          <w:color w:val="000000" w:themeColor="text1"/>
          <w:szCs w:val="21"/>
          <w:highlight w:val="none"/>
          <w14:textFill>
            <w14:solidFill>
              <w14:schemeClr w14:val="tx1"/>
            </w14:solidFill>
          </w14:textFill>
        </w:rPr>
        <w:t>开工准备</w:t>
      </w:r>
    </w:p>
    <w:p w14:paraId="57A36996">
      <w:pPr>
        <w:spacing w:line="360" w:lineRule="auto"/>
        <w:ind w:firstLine="426"/>
        <w:jc w:val="left"/>
        <w:rPr>
          <w:color w:val="000000" w:themeColor="text1"/>
          <w:szCs w:val="21"/>
          <w:highlight w:val="none"/>
          <w:u w:val="single"/>
          <w14:textFill>
            <w14:solidFill>
              <w14:schemeClr w14:val="tx1"/>
            </w14:solidFill>
          </w14:textFill>
        </w:rPr>
      </w:pPr>
      <w:r>
        <w:rPr>
          <w:rFonts w:hAnsi="宋体"/>
          <w:color w:val="000000" w:themeColor="text1"/>
          <w:szCs w:val="21"/>
          <w:highlight w:val="none"/>
          <w14:textFill>
            <w14:solidFill>
              <w14:schemeClr w14:val="tx1"/>
            </w14:solidFill>
          </w14:textFill>
        </w:rPr>
        <w:t>关于承包人提交</w:t>
      </w:r>
      <w:r>
        <w:rPr>
          <w:rFonts w:hAnsi="宋体"/>
          <w:color w:val="000000" w:themeColor="text1"/>
          <w:kern w:val="0"/>
          <w:szCs w:val="21"/>
          <w:highlight w:val="none"/>
          <w14:textFill>
            <w14:solidFill>
              <w14:schemeClr w14:val="tx1"/>
            </w14:solidFill>
          </w14:textFill>
        </w:rPr>
        <w:t>工程开工报审表的期限：</w:t>
      </w:r>
      <w:r>
        <w:rPr>
          <w:rFonts w:hint="eastAsia"/>
          <w:color w:val="000000" w:themeColor="text1"/>
          <w:szCs w:val="21"/>
          <w:highlight w:val="none"/>
          <w:u w:val="single"/>
          <w14:textFill>
            <w14:solidFill>
              <w14:schemeClr w14:val="tx1"/>
            </w14:solidFill>
          </w14:textFill>
        </w:rPr>
        <w:t>按审批的施工组织设计约定的期限</w:t>
      </w:r>
      <w:r>
        <w:rPr>
          <w:rFonts w:hAnsi="宋体"/>
          <w:color w:val="000000" w:themeColor="text1"/>
          <w:szCs w:val="21"/>
          <w:highlight w:val="none"/>
          <w14:textFill>
            <w14:solidFill>
              <w14:schemeClr w14:val="tx1"/>
            </w14:solidFill>
          </w14:textFill>
        </w:rPr>
        <w:t>。</w:t>
      </w:r>
    </w:p>
    <w:p w14:paraId="666AD875">
      <w:pPr>
        <w:spacing w:line="360" w:lineRule="auto"/>
        <w:ind w:firstLine="420" w:firstLineChars="200"/>
        <w:jc w:val="left"/>
        <w:rPr>
          <w:color w:val="000000" w:themeColor="text1"/>
          <w:szCs w:val="21"/>
          <w:highlight w:val="none"/>
          <w:u w:val="single"/>
          <w14:textFill>
            <w14:solidFill>
              <w14:schemeClr w14:val="tx1"/>
            </w14:solidFill>
          </w14:textFill>
        </w:rPr>
      </w:pPr>
      <w:r>
        <w:rPr>
          <w:rFonts w:hAnsi="宋体"/>
          <w:color w:val="000000" w:themeColor="text1"/>
          <w:szCs w:val="21"/>
          <w:highlight w:val="none"/>
          <w14:textFill>
            <w14:solidFill>
              <w14:schemeClr w14:val="tx1"/>
            </w14:solidFill>
          </w14:textFill>
        </w:rPr>
        <w:t>关于发包人应完成的其他开工准备工作及期限：</w:t>
      </w:r>
      <w:r>
        <w:rPr>
          <w:rFonts w:hint="eastAsia" w:ascii="宋体" w:hAnsi="宋体"/>
          <w:color w:val="000000" w:themeColor="text1"/>
          <w:szCs w:val="21"/>
          <w:highlight w:val="none"/>
          <w:u w:val="single"/>
          <w14:textFill>
            <w14:solidFill>
              <w14:schemeClr w14:val="tx1"/>
            </w14:solidFill>
          </w14:textFill>
        </w:rPr>
        <w:t>①开工前14天完成施工现场 “三通一平 ”工作，并满足施工要求；②开工前7天内发包人确定施工用水、用电接入点； ③按监理核批的施工组织设计，开工前7天内由承包方完成施工临时道路的修建，并承担修建费用；④开工前7天内将工程管线的资料提供给承包人并确保图纸的准确性、有效性及完整性，如因图纸有误造成的损失由发包人承担及由此产生的相关费用；⑤开工前7天内由发包人办理的施工所需证件、批件，因发包人证件资料不齐全，无法办理导致工程无法顺利进行，工期相应顺延；⑥开工前组织承包人和设计单位进行图纸会审，并由设计单位向承包人进行设计交底</w:t>
      </w:r>
      <w:r>
        <w:rPr>
          <w:rFonts w:hint="eastAsia" w:ascii="宋体" w:hAnsi="宋体"/>
          <w:color w:val="000000" w:themeColor="text1"/>
          <w:szCs w:val="21"/>
          <w:highlight w:val="none"/>
          <w14:textFill>
            <w14:solidFill>
              <w14:schemeClr w14:val="tx1"/>
            </w14:solidFill>
          </w14:textFill>
        </w:rPr>
        <w:t>。</w:t>
      </w:r>
    </w:p>
    <w:p w14:paraId="2AE379DE">
      <w:pPr>
        <w:spacing w:line="360" w:lineRule="auto"/>
        <w:ind w:firstLine="420" w:firstLineChars="200"/>
        <w:jc w:val="left"/>
        <w:rPr>
          <w:color w:val="000000" w:themeColor="text1"/>
          <w:szCs w:val="21"/>
          <w:highlight w:val="none"/>
          <w:u w:val="single"/>
          <w14:textFill>
            <w14:solidFill>
              <w14:schemeClr w14:val="tx1"/>
            </w14:solidFill>
          </w14:textFill>
        </w:rPr>
      </w:pPr>
      <w:r>
        <w:rPr>
          <w:rFonts w:hAnsi="宋体"/>
          <w:color w:val="000000" w:themeColor="text1"/>
          <w:szCs w:val="21"/>
          <w:highlight w:val="none"/>
          <w14:textFill>
            <w14:solidFill>
              <w14:schemeClr w14:val="tx1"/>
            </w14:solidFill>
          </w14:textFill>
        </w:rPr>
        <w:t>关于承包人应完成的其他开工准备工作及期限：</w:t>
      </w:r>
      <w:r>
        <w:rPr>
          <w:rFonts w:hint="eastAsia"/>
          <w:color w:val="000000" w:themeColor="text1"/>
          <w:szCs w:val="21"/>
          <w:highlight w:val="none"/>
          <w:u w:val="single"/>
          <w14:textFill>
            <w14:solidFill>
              <w14:schemeClr w14:val="tx1"/>
            </w14:solidFill>
          </w14:textFill>
        </w:rPr>
        <w:t>开工前7天</w:t>
      </w:r>
      <w:r>
        <w:rPr>
          <w:rFonts w:hint="eastAsia" w:hAnsi="宋体" w:cs="宋体"/>
          <w:color w:val="000000" w:themeColor="text1"/>
          <w:szCs w:val="21"/>
          <w:highlight w:val="none"/>
          <w14:textFill>
            <w14:solidFill>
              <w14:schemeClr w14:val="tx1"/>
            </w14:solidFill>
          </w14:textFill>
        </w:rPr>
        <w:t>。</w:t>
      </w:r>
    </w:p>
    <w:p w14:paraId="00AEB919">
      <w:pPr>
        <w:spacing w:line="360" w:lineRule="auto"/>
        <w:ind w:firstLine="420" w:firstLineChars="20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7.3.2 </w:t>
      </w:r>
      <w:r>
        <w:rPr>
          <w:rFonts w:hint="eastAsia" w:hAnsi="宋体" w:cs="宋体"/>
          <w:color w:val="000000" w:themeColor="text1"/>
          <w:szCs w:val="21"/>
          <w:highlight w:val="none"/>
          <w14:textFill>
            <w14:solidFill>
              <w14:schemeClr w14:val="tx1"/>
            </w14:solidFill>
          </w14:textFill>
        </w:rPr>
        <w:t>开工通知</w:t>
      </w:r>
    </w:p>
    <w:p w14:paraId="6EDBAB8C">
      <w:pPr>
        <w:spacing w:line="360" w:lineRule="auto"/>
        <w:ind w:firstLine="420" w:firstLineChars="200"/>
        <w:jc w:val="left"/>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因发包人原因造成监理人未能在计划开工日期之日起</w:t>
      </w:r>
      <w:r>
        <w:rPr>
          <w:rFonts w:hint="eastAsia"/>
          <w:color w:val="000000" w:themeColor="text1"/>
          <w:szCs w:val="21"/>
          <w:highlight w:val="none"/>
          <w:u w:val="single"/>
          <w14:textFill>
            <w14:solidFill>
              <w14:schemeClr w14:val="tx1"/>
            </w14:solidFill>
          </w14:textFill>
        </w:rPr>
        <w:t>180</w:t>
      </w:r>
      <w:r>
        <w:rPr>
          <w:rFonts w:hAnsi="宋体"/>
          <w:color w:val="000000" w:themeColor="text1"/>
          <w:szCs w:val="21"/>
          <w:highlight w:val="none"/>
          <w14:textFill>
            <w14:solidFill>
              <w14:schemeClr w14:val="tx1"/>
            </w14:solidFill>
          </w14:textFill>
        </w:rPr>
        <w:t>天内发出开工通知的，承包人有权提出价格调整要求，或者解除合同</w:t>
      </w:r>
      <w:r>
        <w:rPr>
          <w:rFonts w:hint="eastAsia" w:hAnsi="宋体" w:cs="宋体"/>
          <w:color w:val="000000" w:themeColor="text1"/>
          <w:szCs w:val="21"/>
          <w:highlight w:val="none"/>
          <w14:textFill>
            <w14:solidFill>
              <w14:schemeClr w14:val="tx1"/>
            </w14:solidFill>
          </w14:textFill>
        </w:rPr>
        <w:t>。</w:t>
      </w:r>
    </w:p>
    <w:bookmarkEnd w:id="392"/>
    <w:bookmarkEnd w:id="393"/>
    <w:bookmarkEnd w:id="394"/>
    <w:bookmarkEnd w:id="395"/>
    <w:bookmarkEnd w:id="396"/>
    <w:bookmarkEnd w:id="397"/>
    <w:bookmarkEnd w:id="398"/>
    <w:p w14:paraId="7C31960E">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405" w:name="_Toc78449814"/>
      <w:bookmarkStart w:id="406" w:name="_Toc373478373"/>
      <w:bookmarkStart w:id="407" w:name="_Toc114058865"/>
      <w:bookmarkStart w:id="408" w:name="_Toc373227726"/>
      <w:bookmarkStart w:id="409" w:name="_Toc407135228"/>
      <w:bookmarkStart w:id="410" w:name="_Toc389065292"/>
      <w:r>
        <w:rPr>
          <w:rFonts w:eastAsia="黑体"/>
          <w:b/>
          <w:bCs/>
          <w:color w:val="000000" w:themeColor="text1"/>
          <w:sz w:val="32"/>
          <w:szCs w:val="32"/>
          <w:highlight w:val="none"/>
          <w:lang w:val="zh-CN"/>
          <w14:textFill>
            <w14:solidFill>
              <w14:schemeClr w14:val="tx1"/>
            </w14:solidFill>
          </w14:textFill>
        </w:rPr>
        <w:t xml:space="preserve">7.4 </w:t>
      </w:r>
      <w:r>
        <w:rPr>
          <w:rFonts w:hint="eastAsia" w:hAnsi="宋体" w:eastAsia="黑体" w:cs="黑体"/>
          <w:b/>
          <w:bCs/>
          <w:color w:val="000000" w:themeColor="text1"/>
          <w:sz w:val="32"/>
          <w:szCs w:val="32"/>
          <w:highlight w:val="none"/>
          <w:lang w:val="zh-CN"/>
          <w14:textFill>
            <w14:solidFill>
              <w14:schemeClr w14:val="tx1"/>
            </w14:solidFill>
          </w14:textFill>
        </w:rPr>
        <w:t>测量放线</w:t>
      </w:r>
      <w:bookmarkEnd w:id="405"/>
      <w:bookmarkEnd w:id="406"/>
      <w:bookmarkEnd w:id="407"/>
      <w:bookmarkEnd w:id="408"/>
      <w:bookmarkEnd w:id="409"/>
      <w:bookmarkEnd w:id="410"/>
    </w:p>
    <w:p w14:paraId="16351C62">
      <w:pPr>
        <w:spacing w:line="360" w:lineRule="auto"/>
        <w:ind w:firstLine="420" w:firstLineChars="200"/>
        <w:jc w:val="left"/>
        <w:rPr>
          <w:rFonts w:hAnsi="宋体"/>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7.4.1</w:t>
      </w:r>
      <w:r>
        <w:rPr>
          <w:rFonts w:hint="eastAsia" w:hAnsi="宋体" w:cs="宋体"/>
          <w:color w:val="000000" w:themeColor="text1"/>
          <w:szCs w:val="21"/>
          <w:highlight w:val="none"/>
          <w14:textFill>
            <w14:solidFill>
              <w14:schemeClr w14:val="tx1"/>
            </w14:solidFill>
          </w14:textFill>
        </w:rPr>
        <w:t>发包人通过监理人向承包人提供测量基准点、基准线和水准点及其书面资料的期限：</w:t>
      </w:r>
    </w:p>
    <w:p w14:paraId="35398681">
      <w:pPr>
        <w:spacing w:line="360" w:lineRule="auto"/>
        <w:jc w:val="left"/>
        <w:rPr>
          <w:color w:val="000000" w:themeColor="text1"/>
          <w:szCs w:val="21"/>
          <w:highlight w:val="none"/>
          <w:u w:val="single"/>
          <w14:textFill>
            <w14:solidFill>
              <w14:schemeClr w14:val="tx1"/>
            </w14:solidFill>
          </w14:textFill>
        </w:rPr>
      </w:pPr>
      <w:r>
        <w:rPr>
          <w:rFonts w:hint="eastAsia" w:hAnsi="宋体"/>
          <w:color w:val="000000" w:themeColor="text1"/>
          <w:szCs w:val="21"/>
          <w:highlight w:val="none"/>
          <w:u w:val="single"/>
          <w14:textFill>
            <w14:solidFill>
              <w14:schemeClr w14:val="tx1"/>
            </w14:solidFill>
          </w14:textFill>
        </w:rPr>
        <w:t>开工前7天，发包人用书面形式交给承包人。承包人应根据国家测绘基准、测绘系统和工程测量技术规范，按上述基准点（线）以及合同工程精度要求，测设施工控制网，并在7个工作日期限内，将施工控制网资料报送监理人审批</w:t>
      </w:r>
      <w:r>
        <w:rPr>
          <w:rFonts w:hint="eastAsia" w:hAnsi="宋体" w:cs="宋体"/>
          <w:color w:val="000000" w:themeColor="text1"/>
          <w:szCs w:val="21"/>
          <w:highlight w:val="none"/>
          <w14:textFill>
            <w14:solidFill>
              <w14:schemeClr w14:val="tx1"/>
            </w14:solidFill>
          </w14:textFill>
        </w:rPr>
        <w:t>。</w:t>
      </w:r>
    </w:p>
    <w:p w14:paraId="638C534E">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411" w:name="_Toc373478374"/>
      <w:bookmarkStart w:id="412" w:name="_Toc114058866"/>
      <w:bookmarkStart w:id="413" w:name="_Toc78449815"/>
      <w:bookmarkStart w:id="414" w:name="_Toc373227727"/>
      <w:bookmarkStart w:id="415" w:name="_Toc407135229"/>
      <w:bookmarkStart w:id="416" w:name="_Toc389065293"/>
      <w:r>
        <w:rPr>
          <w:rFonts w:eastAsia="黑体"/>
          <w:b/>
          <w:bCs/>
          <w:color w:val="000000" w:themeColor="text1"/>
          <w:sz w:val="32"/>
          <w:szCs w:val="32"/>
          <w:highlight w:val="none"/>
          <w:lang w:val="zh-CN"/>
          <w14:textFill>
            <w14:solidFill>
              <w14:schemeClr w14:val="tx1"/>
            </w14:solidFill>
          </w14:textFill>
        </w:rPr>
        <w:t>7</w:t>
      </w:r>
      <w:bookmarkStart w:id="417" w:name="_Toc300934968"/>
      <w:bookmarkStart w:id="418" w:name="_Toc303539125"/>
      <w:bookmarkStart w:id="419" w:name="_Toc312678010"/>
      <w:bookmarkStart w:id="420" w:name="_Toc312677484"/>
      <w:bookmarkStart w:id="421" w:name="_Toc304295546"/>
      <w:bookmarkStart w:id="422" w:name="_Toc297216175"/>
      <w:bookmarkStart w:id="423" w:name="_Toc297123516"/>
      <w:r>
        <w:rPr>
          <w:rFonts w:eastAsia="黑体"/>
          <w:b/>
          <w:bCs/>
          <w:color w:val="000000" w:themeColor="text1"/>
          <w:sz w:val="32"/>
          <w:szCs w:val="32"/>
          <w:highlight w:val="none"/>
          <w:lang w:val="zh-CN"/>
          <w14:textFill>
            <w14:solidFill>
              <w14:schemeClr w14:val="tx1"/>
            </w14:solidFill>
          </w14:textFill>
        </w:rPr>
        <w:t xml:space="preserve">.5 </w:t>
      </w:r>
      <w:r>
        <w:rPr>
          <w:rFonts w:hint="eastAsia" w:hAnsi="宋体" w:eastAsia="黑体" w:cs="黑体"/>
          <w:b/>
          <w:bCs/>
          <w:color w:val="000000" w:themeColor="text1"/>
          <w:sz w:val="32"/>
          <w:szCs w:val="32"/>
          <w:highlight w:val="none"/>
          <w:lang w:val="zh-CN"/>
          <w14:textFill>
            <w14:solidFill>
              <w14:schemeClr w14:val="tx1"/>
            </w14:solidFill>
          </w14:textFill>
        </w:rPr>
        <w:t>工期延误</w:t>
      </w:r>
      <w:bookmarkEnd w:id="411"/>
      <w:bookmarkEnd w:id="412"/>
      <w:bookmarkEnd w:id="413"/>
      <w:bookmarkEnd w:id="414"/>
      <w:bookmarkEnd w:id="415"/>
      <w:bookmarkEnd w:id="416"/>
    </w:p>
    <w:bookmarkEnd w:id="417"/>
    <w:bookmarkEnd w:id="418"/>
    <w:bookmarkEnd w:id="419"/>
    <w:bookmarkEnd w:id="420"/>
    <w:bookmarkEnd w:id="421"/>
    <w:bookmarkEnd w:id="422"/>
    <w:bookmarkEnd w:id="423"/>
    <w:p w14:paraId="4D16B9BA">
      <w:pPr>
        <w:spacing w:line="360" w:lineRule="auto"/>
        <w:ind w:firstLine="420" w:firstLineChars="20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7.5.1 </w:t>
      </w:r>
      <w:r>
        <w:rPr>
          <w:rFonts w:hint="eastAsia" w:hAnsi="宋体" w:cs="宋体"/>
          <w:color w:val="000000" w:themeColor="text1"/>
          <w:szCs w:val="21"/>
          <w:highlight w:val="none"/>
          <w14:textFill>
            <w14:solidFill>
              <w14:schemeClr w14:val="tx1"/>
            </w14:solidFill>
          </w14:textFill>
        </w:rPr>
        <w:t>因发包人原因导致工期延误</w:t>
      </w:r>
    </w:p>
    <w:p w14:paraId="3C91185D">
      <w:pPr>
        <w:spacing w:line="360" w:lineRule="auto"/>
        <w:ind w:firstLine="420" w:firstLineChars="200"/>
        <w:jc w:val="left"/>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7</w:t>
      </w:r>
      <w:r>
        <w:rPr>
          <w:rFonts w:hint="eastAsia" w:hAnsi="宋体" w:cs="宋体"/>
          <w:color w:val="000000" w:themeColor="text1"/>
          <w:szCs w:val="21"/>
          <w:highlight w:val="none"/>
          <w14:textFill>
            <w14:solidFill>
              <w14:schemeClr w14:val="tx1"/>
            </w14:solidFill>
          </w14:textFill>
        </w:rPr>
        <w:t>）因发包人原因导致工期延误的其他情形：</w:t>
      </w:r>
      <w:r>
        <w:rPr>
          <w:rFonts w:hint="eastAsia" w:ascii="宋体" w:hAnsi="宋体"/>
          <w:color w:val="000000" w:themeColor="text1"/>
          <w:szCs w:val="21"/>
          <w:highlight w:val="none"/>
          <w:u w:val="single"/>
          <w14:textFill>
            <w14:solidFill>
              <w14:schemeClr w14:val="tx1"/>
            </w14:solidFill>
          </w14:textFill>
        </w:rPr>
        <w:t>①重大设计变更而影响施工进度，工程变更和工程量增加的；②发包人未能按合同要求配合施工或因发包人原因造成的延误、故障、人为阻止施工导致停工时；③下雨天日降雨量达60mm以上持续4小时及以上的大雨的，且经监理方确认确实影响到施工的情形，可顺延一天，</w:t>
      </w:r>
      <w:r>
        <w:rPr>
          <w:rFonts w:hint="eastAsia" w:ascii="宋体" w:hAnsi="宋体"/>
          <w:color w:val="000000" w:themeColor="text1"/>
          <w:szCs w:val="21"/>
          <w:highlight w:val="none"/>
          <w:u w:val="single"/>
          <w:lang w:eastAsia="zh-CN"/>
          <w14:textFill>
            <w14:solidFill>
              <w14:schemeClr w14:val="tx1"/>
            </w14:solidFill>
          </w14:textFill>
        </w:rPr>
        <w:t>依次类推</w:t>
      </w:r>
      <w:r>
        <w:rPr>
          <w:rFonts w:hint="eastAsia" w:ascii="宋体" w:hAnsi="宋体"/>
          <w:color w:val="000000" w:themeColor="text1"/>
          <w:szCs w:val="21"/>
          <w:highlight w:val="none"/>
          <w:u w:val="single"/>
          <w14:textFill>
            <w14:solidFill>
              <w14:schemeClr w14:val="tx1"/>
            </w14:solidFill>
          </w14:textFill>
        </w:rPr>
        <w:t>；④每日非承包人原因停水停电，累计超过4小时可顺延一日；或一周内，非承包人原因停水、停电累计超过8个小时可顺延一日；⑤非承包人责任而造成的停工和工期延误及工程师同意或承包人有证据证明可顺延工期的其他情形，且经监理方确认确实影响到施工的情形；发生专用条款第7.7项约定的异常恶劣的气候条件的情形并对工程进度产生影响的；⑥其余工期顺延的情况按本合同《通用条款》第7.5.1条第（1）～（6）款的规定执行；⑦按施工条件规定，发包人不能提供“三通一平”影响进场施工；⑧发包人或监理人发出错误的施工指令导致工期延误；⑨政府指令性停工（除高考、中考、东盟、春节休假以外）、或不可抗力因素而延误工期。</w:t>
      </w:r>
    </w:p>
    <w:p w14:paraId="488D68DB">
      <w:pPr>
        <w:spacing w:line="360" w:lineRule="auto"/>
        <w:ind w:firstLine="422" w:firstLineChars="200"/>
        <w:jc w:val="left"/>
        <w:rPr>
          <w:rFonts w:hAnsi="宋体" w:cs="宋体"/>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以上延误工期情况发生后十四日内，承包人应向监理和发包人提出书面申请，监理人及时审核确认无误后书面报告发包人。若承包人不提出或逾期提出，则视为承包人放弃此权利。若发包人14日内未回复，</w:t>
      </w:r>
      <w:r>
        <w:rPr>
          <w:rFonts w:hint="eastAsia" w:ascii="宋体" w:hAnsi="宋体"/>
          <w:b/>
          <w:bCs/>
          <w:color w:val="000000" w:themeColor="text1"/>
          <w:szCs w:val="21"/>
          <w:highlight w:val="none"/>
          <w:lang w:eastAsia="zh-CN"/>
          <w14:textFill>
            <w14:solidFill>
              <w14:schemeClr w14:val="tx1"/>
            </w14:solidFill>
          </w14:textFill>
        </w:rPr>
        <w:t>视为</w:t>
      </w:r>
      <w:r>
        <w:rPr>
          <w:rFonts w:hint="eastAsia" w:ascii="宋体" w:hAnsi="宋体"/>
          <w:b/>
          <w:bCs/>
          <w:color w:val="000000" w:themeColor="text1"/>
          <w:szCs w:val="21"/>
          <w:highlight w:val="none"/>
          <w14:textFill>
            <w14:solidFill>
              <w14:schemeClr w14:val="tx1"/>
            </w14:solidFill>
          </w14:textFill>
        </w:rPr>
        <w:t>默认承包人工期延误。</w:t>
      </w:r>
    </w:p>
    <w:p w14:paraId="57E21E8D">
      <w:pPr>
        <w:spacing w:line="360" w:lineRule="auto"/>
        <w:ind w:firstLine="420" w:firstLineChars="20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7</w:t>
      </w:r>
      <w:bookmarkStart w:id="424" w:name="_Toc318581169"/>
      <w:bookmarkStart w:id="425" w:name="_Toc297123518"/>
      <w:bookmarkStart w:id="426" w:name="_Toc300934970"/>
      <w:bookmarkStart w:id="427" w:name="_Toc297216177"/>
      <w:bookmarkStart w:id="428" w:name="_Toc312678012"/>
      <w:bookmarkStart w:id="429" w:name="_Toc312677486"/>
      <w:bookmarkStart w:id="430" w:name="_Toc304295548"/>
      <w:bookmarkStart w:id="431" w:name="_Toc303539127"/>
      <w:r>
        <w:rPr>
          <w:color w:val="000000" w:themeColor="text1"/>
          <w:szCs w:val="21"/>
          <w:highlight w:val="none"/>
          <w14:textFill>
            <w14:solidFill>
              <w14:schemeClr w14:val="tx1"/>
            </w14:solidFill>
          </w14:textFill>
        </w:rPr>
        <w:t xml:space="preserve">.5.2 </w:t>
      </w:r>
      <w:r>
        <w:rPr>
          <w:rFonts w:hint="eastAsia" w:hAnsi="宋体" w:cs="宋体"/>
          <w:color w:val="000000" w:themeColor="text1"/>
          <w:szCs w:val="21"/>
          <w:highlight w:val="none"/>
          <w14:textFill>
            <w14:solidFill>
              <w14:schemeClr w14:val="tx1"/>
            </w14:solidFill>
          </w14:textFill>
        </w:rPr>
        <w:t>因承包人原因导致工期延误</w:t>
      </w:r>
    </w:p>
    <w:bookmarkEnd w:id="424"/>
    <w:bookmarkEnd w:id="425"/>
    <w:bookmarkEnd w:id="426"/>
    <w:bookmarkEnd w:id="427"/>
    <w:bookmarkEnd w:id="428"/>
    <w:bookmarkEnd w:id="429"/>
    <w:bookmarkEnd w:id="430"/>
    <w:bookmarkEnd w:id="431"/>
    <w:p w14:paraId="607F478B">
      <w:pPr>
        <w:spacing w:line="360" w:lineRule="auto"/>
        <w:ind w:firstLine="420" w:firstLineChars="200"/>
        <w:jc w:val="left"/>
        <w:rPr>
          <w:color w:val="000000" w:themeColor="text1"/>
          <w:szCs w:val="21"/>
          <w:highlight w:val="none"/>
          <w14:textFill>
            <w14:solidFill>
              <w14:schemeClr w14:val="tx1"/>
            </w14:solidFill>
          </w14:textFill>
        </w:rPr>
      </w:pPr>
      <w:bookmarkStart w:id="432" w:name="_Toc312678014"/>
      <w:bookmarkStart w:id="433" w:name="_Toc318581171"/>
      <w:r>
        <w:rPr>
          <w:rFonts w:hAnsi="宋体"/>
          <w:color w:val="000000" w:themeColor="text1"/>
          <w:szCs w:val="21"/>
          <w:highlight w:val="none"/>
          <w14:textFill>
            <w14:solidFill>
              <w14:schemeClr w14:val="tx1"/>
            </w14:solidFill>
          </w14:textFill>
        </w:rPr>
        <w:t>双方约定经监理工程师确认，工期相应顺延的情况：</w:t>
      </w:r>
      <w:r>
        <w:rPr>
          <w:rFonts w:hint="eastAsia"/>
          <w:color w:val="000000" w:themeColor="text1"/>
          <w:szCs w:val="21"/>
          <w:highlight w:val="none"/>
          <w:u w:val="single"/>
          <w14:textFill>
            <w14:solidFill>
              <w14:schemeClr w14:val="tx1"/>
            </w14:solidFill>
          </w14:textFill>
        </w:rPr>
        <w:t>不可抗力的原因</w:t>
      </w:r>
      <w:r>
        <w:rPr>
          <w:rFonts w:hAnsi="宋体"/>
          <w:color w:val="000000" w:themeColor="text1"/>
          <w:szCs w:val="21"/>
          <w:highlight w:val="none"/>
          <w14:textFill>
            <w14:solidFill>
              <w14:schemeClr w14:val="tx1"/>
            </w14:solidFill>
          </w14:textFill>
        </w:rPr>
        <w:t>。</w:t>
      </w:r>
    </w:p>
    <w:p w14:paraId="33C5E6EB">
      <w:pPr>
        <w:spacing w:line="360" w:lineRule="auto"/>
        <w:ind w:firstLine="315" w:firstLineChars="150"/>
        <w:jc w:val="left"/>
        <w:rPr>
          <w:rFonts w:ascii="宋体" w:hAnsi="宋体"/>
          <w:color w:val="000000" w:themeColor="text1"/>
          <w:szCs w:val="21"/>
          <w:highlight w:val="none"/>
          <w:u w:val="single"/>
          <w14:textFill>
            <w14:solidFill>
              <w14:schemeClr w14:val="tx1"/>
            </w14:solidFill>
          </w14:textFill>
        </w:rPr>
      </w:pPr>
      <w:r>
        <w:rPr>
          <w:rFonts w:hAnsi="宋体"/>
          <w:color w:val="000000" w:themeColor="text1"/>
          <w:szCs w:val="21"/>
          <w:highlight w:val="none"/>
          <w14:textFill>
            <w14:solidFill>
              <w14:schemeClr w14:val="tx1"/>
            </w14:solidFill>
          </w14:textFill>
        </w:rPr>
        <w:t>因</w:t>
      </w:r>
      <w:bookmarkStart w:id="434" w:name="_Toc312677487"/>
      <w:bookmarkStart w:id="435" w:name="_Toc318581170"/>
      <w:bookmarkStart w:id="436" w:name="_Toc312678013"/>
      <w:r>
        <w:rPr>
          <w:rFonts w:hAnsi="宋体"/>
          <w:color w:val="000000" w:themeColor="text1"/>
          <w:szCs w:val="21"/>
          <w:highlight w:val="none"/>
          <w14:textFill>
            <w14:solidFill>
              <w14:schemeClr w14:val="tx1"/>
            </w14:solidFill>
          </w14:textFill>
        </w:rPr>
        <w:t>承包人原因造成工期延误，逾期竣工违约金的计算方法为：</w:t>
      </w:r>
      <w:bookmarkEnd w:id="434"/>
      <w:bookmarkEnd w:id="435"/>
      <w:bookmarkEnd w:id="436"/>
      <w:r>
        <w:rPr>
          <w:rFonts w:hint="eastAsia" w:ascii="宋体" w:hAnsi="宋体"/>
          <w:color w:val="000000" w:themeColor="text1"/>
          <w:szCs w:val="21"/>
          <w:highlight w:val="none"/>
          <w:u w:val="single"/>
          <w14:textFill>
            <w14:solidFill>
              <w14:schemeClr w14:val="tx1"/>
            </w14:solidFill>
          </w14:textFill>
        </w:rPr>
        <w:t>非上述原因，承包人不能按合同约定的时间竣工，承包人应承担违约责任。应向发包人支付误期赔偿费（每天赔偿金额为合同总价款的万分之四），误期时间从规定竣工日期起直到全部工程或相应部分工程竣工验收各方签章日期之间的天数（扣除发包人批准顺延的工期）。发包人可从应向承包人支付的任何金额中扣除此项</w:t>
      </w:r>
      <w:r>
        <w:rPr>
          <w:rFonts w:hint="eastAsia" w:ascii="宋体" w:hAnsi="宋体"/>
          <w:color w:val="000000" w:themeColor="text1"/>
          <w:szCs w:val="21"/>
          <w:highlight w:val="none"/>
          <w:u w:val="single"/>
          <w:lang w:eastAsia="zh-CN"/>
          <w14:textFill>
            <w14:solidFill>
              <w14:schemeClr w14:val="tx1"/>
            </w14:solidFill>
          </w14:textFill>
        </w:rPr>
        <w:t>赔偿费</w:t>
      </w:r>
      <w:r>
        <w:rPr>
          <w:rFonts w:hint="eastAsia" w:ascii="宋体" w:hAnsi="宋体"/>
          <w:color w:val="000000" w:themeColor="text1"/>
          <w:szCs w:val="21"/>
          <w:highlight w:val="none"/>
          <w:u w:val="single"/>
          <w14:textFill>
            <w14:solidFill>
              <w14:schemeClr w14:val="tx1"/>
            </w14:solidFill>
          </w14:textFill>
        </w:rPr>
        <w:t>或其他方式收回此款，此赔偿款的支付并不能免除承包人应完成工程的责任或合同规定的其他责任。</w:t>
      </w:r>
    </w:p>
    <w:p w14:paraId="3C5B7C93">
      <w:pPr>
        <w:spacing w:line="360" w:lineRule="auto"/>
        <w:ind w:firstLine="420" w:firstLineChars="200"/>
        <w:jc w:val="left"/>
        <w:rPr>
          <w:rFonts w:hAnsi="宋体" w:cs="宋体"/>
          <w:color w:val="000000" w:themeColor="text1"/>
          <w:szCs w:val="21"/>
          <w:highlight w:val="none"/>
          <w:u w:val="singl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因承包人原因造成工期延误，逾期竣工违约金的上限：</w:t>
      </w:r>
      <w:r>
        <w:rPr>
          <w:rFonts w:hint="eastAsia" w:hAnsi="宋体" w:cs="宋体"/>
          <w:color w:val="000000" w:themeColor="text1"/>
          <w:szCs w:val="21"/>
          <w:highlight w:val="none"/>
          <w:u w:val="single"/>
          <w14:textFill>
            <w14:solidFill>
              <w14:schemeClr w14:val="tx1"/>
            </w14:solidFill>
          </w14:textFill>
        </w:rPr>
        <w:t>签约合同价扣除发包人材料价款、暂估专业工程、暂列金额后的3% 。</w:t>
      </w:r>
    </w:p>
    <w:bookmarkEnd w:id="432"/>
    <w:bookmarkEnd w:id="433"/>
    <w:p w14:paraId="7DBA0928">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437" w:name="_Toc373478375"/>
      <w:bookmarkStart w:id="438" w:name="_Toc407135230"/>
      <w:bookmarkStart w:id="439" w:name="_Toc78449816"/>
      <w:bookmarkStart w:id="440" w:name="_Toc373227728"/>
      <w:bookmarkStart w:id="441" w:name="_Toc114058867"/>
      <w:bookmarkStart w:id="442" w:name="_Toc389065294"/>
      <w:r>
        <w:rPr>
          <w:rFonts w:eastAsia="黑体"/>
          <w:b/>
          <w:bCs/>
          <w:color w:val="000000" w:themeColor="text1"/>
          <w:sz w:val="32"/>
          <w:szCs w:val="32"/>
          <w:highlight w:val="none"/>
          <w:lang w:val="zh-CN"/>
          <w14:textFill>
            <w14:solidFill>
              <w14:schemeClr w14:val="tx1"/>
            </w14:solidFill>
          </w14:textFill>
        </w:rPr>
        <w:t>7</w:t>
      </w:r>
      <w:bookmarkStart w:id="443" w:name="_Toc312678015"/>
      <w:bookmarkStart w:id="444" w:name="_Toc303539128"/>
      <w:bookmarkStart w:id="445" w:name="_Toc297123519"/>
      <w:bookmarkStart w:id="446" w:name="_Toc297216178"/>
      <w:bookmarkStart w:id="447" w:name="_Toc300934971"/>
      <w:bookmarkStart w:id="448" w:name="_Toc304295549"/>
      <w:r>
        <w:rPr>
          <w:rFonts w:eastAsia="黑体"/>
          <w:b/>
          <w:bCs/>
          <w:color w:val="000000" w:themeColor="text1"/>
          <w:sz w:val="32"/>
          <w:szCs w:val="32"/>
          <w:highlight w:val="none"/>
          <w:lang w:val="zh-CN"/>
          <w14:textFill>
            <w14:solidFill>
              <w14:schemeClr w14:val="tx1"/>
            </w14:solidFill>
          </w14:textFill>
        </w:rPr>
        <w:t xml:space="preserve">.6 </w:t>
      </w:r>
      <w:r>
        <w:rPr>
          <w:rFonts w:hint="eastAsia" w:eastAsia="黑体" w:cs="黑体"/>
          <w:b/>
          <w:bCs/>
          <w:color w:val="000000" w:themeColor="text1"/>
          <w:sz w:val="32"/>
          <w:szCs w:val="32"/>
          <w:highlight w:val="none"/>
          <w:lang w:val="zh-CN"/>
          <w14:textFill>
            <w14:solidFill>
              <w14:schemeClr w14:val="tx1"/>
            </w14:solidFill>
          </w14:textFill>
        </w:rPr>
        <w:t>不</w:t>
      </w:r>
      <w:bookmarkEnd w:id="443"/>
      <w:bookmarkEnd w:id="444"/>
      <w:bookmarkEnd w:id="445"/>
      <w:bookmarkEnd w:id="446"/>
      <w:bookmarkEnd w:id="447"/>
      <w:bookmarkEnd w:id="448"/>
      <w:r>
        <w:rPr>
          <w:rFonts w:hint="eastAsia" w:eastAsia="黑体" w:cs="黑体"/>
          <w:b/>
          <w:bCs/>
          <w:color w:val="000000" w:themeColor="text1"/>
          <w:sz w:val="32"/>
          <w:szCs w:val="32"/>
          <w:highlight w:val="none"/>
          <w:lang w:val="zh-CN"/>
          <w14:textFill>
            <w14:solidFill>
              <w14:schemeClr w14:val="tx1"/>
            </w14:solidFill>
          </w14:textFill>
        </w:rPr>
        <w:t>利物质条件</w:t>
      </w:r>
      <w:bookmarkEnd w:id="437"/>
      <w:bookmarkEnd w:id="438"/>
      <w:bookmarkEnd w:id="439"/>
      <w:bookmarkEnd w:id="440"/>
      <w:bookmarkEnd w:id="441"/>
      <w:bookmarkEnd w:id="442"/>
    </w:p>
    <w:p w14:paraId="76B21D7F">
      <w:pPr>
        <w:spacing w:line="360" w:lineRule="auto"/>
        <w:ind w:firstLine="420" w:firstLineChars="200"/>
        <w:jc w:val="left"/>
        <w:rPr>
          <w:color w:val="000000" w:themeColor="text1"/>
          <w:szCs w:val="21"/>
          <w:highlight w:val="none"/>
          <w:u w:val="single"/>
          <w14:textFill>
            <w14:solidFill>
              <w14:schemeClr w14:val="tx1"/>
            </w14:solidFill>
          </w14:textFill>
        </w:rPr>
      </w:pPr>
      <w:bookmarkStart w:id="449" w:name="_Toc318581172"/>
      <w:bookmarkStart w:id="450" w:name="_Toc297123520"/>
      <w:bookmarkStart w:id="451" w:name="_Toc312678016"/>
      <w:bookmarkStart w:id="452" w:name="_Toc300934972"/>
      <w:bookmarkStart w:id="453" w:name="_Toc304295550"/>
      <w:bookmarkStart w:id="454" w:name="_Toc303539129"/>
      <w:bookmarkStart w:id="455" w:name="_Toc297216179"/>
      <w:r>
        <w:rPr>
          <w:rFonts w:hint="eastAsia" w:hAnsi="宋体" w:cs="宋体"/>
          <w:color w:val="000000" w:themeColor="text1"/>
          <w:szCs w:val="21"/>
          <w:highlight w:val="none"/>
          <w14:textFill>
            <w14:solidFill>
              <w14:schemeClr w14:val="tx1"/>
            </w14:solidFill>
          </w14:textFill>
        </w:rPr>
        <w:t>不利物质条件的其他情形和有关约定：</w:t>
      </w:r>
      <w:r>
        <w:rPr>
          <w:rFonts w:hint="eastAsia" w:ascii="宋体" w:hAnsi="宋体"/>
          <w:color w:val="000000" w:themeColor="text1"/>
          <w:szCs w:val="21"/>
          <w:highlight w:val="none"/>
          <w:u w:val="single"/>
          <w14:textFill>
            <w14:solidFill>
              <w14:schemeClr w14:val="tx1"/>
            </w14:solidFill>
          </w14:textFill>
        </w:rPr>
        <w:t>因不利物质条件的原因导致承包人暂停施工的，由监理方确认是否给予工期顺延或费用补偿</w:t>
      </w:r>
      <w:r>
        <w:rPr>
          <w:rFonts w:hint="eastAsia" w:hAnsi="宋体" w:cs="宋体"/>
          <w:color w:val="000000" w:themeColor="text1"/>
          <w:szCs w:val="21"/>
          <w:highlight w:val="none"/>
          <w14:textFill>
            <w14:solidFill>
              <w14:schemeClr w14:val="tx1"/>
            </w14:solidFill>
          </w14:textFill>
        </w:rPr>
        <w:t>。</w:t>
      </w:r>
    </w:p>
    <w:bookmarkEnd w:id="449"/>
    <w:bookmarkEnd w:id="450"/>
    <w:bookmarkEnd w:id="451"/>
    <w:bookmarkEnd w:id="452"/>
    <w:bookmarkEnd w:id="453"/>
    <w:bookmarkEnd w:id="454"/>
    <w:bookmarkEnd w:id="455"/>
    <w:p w14:paraId="407BE509">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456" w:name="_Toc373478376"/>
      <w:bookmarkStart w:id="457" w:name="_Toc114058868"/>
      <w:bookmarkStart w:id="458" w:name="_Toc407135231"/>
      <w:bookmarkStart w:id="459" w:name="_Toc373227729"/>
      <w:bookmarkStart w:id="460" w:name="_Toc78449817"/>
      <w:bookmarkStart w:id="461" w:name="_Toc389065295"/>
      <w:r>
        <w:rPr>
          <w:rFonts w:eastAsia="黑体"/>
          <w:b/>
          <w:bCs/>
          <w:color w:val="000000" w:themeColor="text1"/>
          <w:sz w:val="32"/>
          <w:szCs w:val="32"/>
          <w:highlight w:val="none"/>
          <w:lang w:val="zh-CN"/>
          <w14:textFill>
            <w14:solidFill>
              <w14:schemeClr w14:val="tx1"/>
            </w14:solidFill>
          </w14:textFill>
        </w:rPr>
        <w:t>7</w:t>
      </w:r>
      <w:bookmarkStart w:id="462" w:name="_Toc312678017"/>
      <w:bookmarkStart w:id="463" w:name="_Toc304295551"/>
      <w:bookmarkStart w:id="464" w:name="_Toc297216180"/>
      <w:bookmarkStart w:id="465" w:name="_Toc303539130"/>
      <w:bookmarkStart w:id="466" w:name="_Toc300934973"/>
      <w:bookmarkStart w:id="467" w:name="_Toc297123521"/>
      <w:r>
        <w:rPr>
          <w:rFonts w:eastAsia="黑体"/>
          <w:b/>
          <w:bCs/>
          <w:color w:val="000000" w:themeColor="text1"/>
          <w:sz w:val="32"/>
          <w:szCs w:val="32"/>
          <w:highlight w:val="none"/>
          <w:lang w:val="zh-CN"/>
          <w14:textFill>
            <w14:solidFill>
              <w14:schemeClr w14:val="tx1"/>
            </w14:solidFill>
          </w14:textFill>
        </w:rPr>
        <w:t xml:space="preserve">.7 </w:t>
      </w:r>
      <w:r>
        <w:rPr>
          <w:rFonts w:hint="eastAsia" w:eastAsia="黑体" w:cs="黑体"/>
          <w:b/>
          <w:bCs/>
          <w:color w:val="000000" w:themeColor="text1"/>
          <w:sz w:val="32"/>
          <w:szCs w:val="32"/>
          <w:highlight w:val="none"/>
          <w:lang w:val="zh-CN"/>
          <w14:textFill>
            <w14:solidFill>
              <w14:schemeClr w14:val="tx1"/>
            </w14:solidFill>
          </w14:textFill>
        </w:rPr>
        <w:t>异常恶劣的气候条件</w:t>
      </w:r>
      <w:bookmarkEnd w:id="456"/>
      <w:bookmarkEnd w:id="457"/>
      <w:bookmarkEnd w:id="458"/>
      <w:bookmarkEnd w:id="459"/>
      <w:bookmarkEnd w:id="460"/>
      <w:bookmarkEnd w:id="461"/>
    </w:p>
    <w:bookmarkEnd w:id="462"/>
    <w:bookmarkEnd w:id="463"/>
    <w:bookmarkEnd w:id="464"/>
    <w:bookmarkEnd w:id="465"/>
    <w:bookmarkEnd w:id="466"/>
    <w:bookmarkEnd w:id="467"/>
    <w:p w14:paraId="2F084228">
      <w:pPr>
        <w:spacing w:line="420" w:lineRule="exact"/>
        <w:ind w:right="-328" w:firstLine="315" w:firstLineChars="1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u w:val="single"/>
          <w14:textFill>
            <w14:solidFill>
              <w14:schemeClr w14:val="tx1"/>
            </w14:solidFill>
          </w14:textFill>
        </w:rPr>
        <w:t>5</w:t>
      </w:r>
      <w:r>
        <w:rPr>
          <w:rFonts w:hint="eastAsia" w:ascii="宋体" w:hAnsi="宋体"/>
          <w:b/>
          <w:bCs/>
          <w:color w:val="000000" w:themeColor="text1"/>
          <w:szCs w:val="21"/>
          <w:highlight w:val="none"/>
          <w:u w:val="single"/>
          <w14:textFill>
            <w14:solidFill>
              <w14:schemeClr w14:val="tx1"/>
            </w14:solidFill>
          </w14:textFill>
        </w:rPr>
        <w:t>级</w:t>
      </w:r>
      <w:r>
        <w:rPr>
          <w:rFonts w:hint="eastAsia" w:ascii="宋体" w:hAnsi="宋体"/>
          <w:color w:val="000000" w:themeColor="text1"/>
          <w:szCs w:val="21"/>
          <w:highlight w:val="none"/>
          <w:u w:val="single"/>
          <w14:textFill>
            <w14:solidFill>
              <w14:schemeClr w14:val="tx1"/>
            </w14:solidFill>
          </w14:textFill>
        </w:rPr>
        <w:t>以上的地震；</w:t>
      </w:r>
    </w:p>
    <w:p w14:paraId="789824AC">
      <w:pPr>
        <w:spacing w:line="420" w:lineRule="exact"/>
        <w:ind w:right="-328" w:firstLine="1"/>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（2）</w:t>
      </w:r>
      <w:r>
        <w:rPr>
          <w:rFonts w:hint="eastAsia" w:ascii="宋体" w:hAnsi="宋体"/>
          <w:b/>
          <w:bCs/>
          <w:color w:val="000000" w:themeColor="text1"/>
          <w:szCs w:val="21"/>
          <w:highlight w:val="none"/>
          <w:u w:val="single"/>
          <w14:textFill>
            <w14:solidFill>
              <w14:schemeClr w14:val="tx1"/>
            </w14:solidFill>
          </w14:textFill>
        </w:rPr>
        <w:t>6</w:t>
      </w:r>
      <w:r>
        <w:rPr>
          <w:rFonts w:hint="eastAsia" w:ascii="宋体" w:hAnsi="宋体"/>
          <w:color w:val="000000" w:themeColor="text1"/>
          <w:szCs w:val="21"/>
          <w:highlight w:val="none"/>
          <w:u w:val="single"/>
          <w14:textFill>
            <w14:solidFill>
              <w14:schemeClr w14:val="tx1"/>
            </w14:solidFill>
          </w14:textFill>
        </w:rPr>
        <w:t>级以上的大风；</w:t>
      </w:r>
    </w:p>
    <w:p w14:paraId="606B6B96">
      <w:pPr>
        <w:spacing w:line="420" w:lineRule="exact"/>
        <w:ind w:right="-328" w:firstLine="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（3）</w:t>
      </w:r>
      <w:r>
        <w:rPr>
          <w:rFonts w:hint="eastAsia" w:ascii="宋体" w:hAnsi="宋体"/>
          <w:color w:val="000000" w:themeColor="text1"/>
          <w:szCs w:val="21"/>
          <w:highlight w:val="none"/>
          <w:u w:val="single"/>
          <w14:textFill>
            <w14:solidFill>
              <w14:schemeClr w14:val="tx1"/>
            </w14:solidFill>
          </w14:textFill>
        </w:rPr>
        <w:t>60mm以上持续4小时及以上的大雨；</w:t>
      </w:r>
    </w:p>
    <w:p w14:paraId="5B52444E">
      <w:pPr>
        <w:spacing w:line="420" w:lineRule="exact"/>
        <w:ind w:right="-328" w:firstLine="1"/>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（4）</w:t>
      </w:r>
      <w:r>
        <w:rPr>
          <w:rFonts w:hint="eastAsia" w:ascii="宋体" w:hAnsi="宋体"/>
          <w:color w:val="000000" w:themeColor="text1"/>
          <w:szCs w:val="21"/>
          <w:highlight w:val="none"/>
          <w:u w:val="single"/>
          <w14:textFill>
            <w14:solidFill>
              <w14:schemeClr w14:val="tx1"/>
            </w14:solidFill>
          </w14:textFill>
        </w:rPr>
        <w:t>日最高温度40℃以上的高温天气；</w:t>
      </w:r>
    </w:p>
    <w:p w14:paraId="1BACA4A2">
      <w:pPr>
        <w:spacing w:line="420" w:lineRule="exact"/>
        <w:ind w:right="-328" w:firstLine="1"/>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（5）</w:t>
      </w:r>
      <w:r>
        <w:rPr>
          <w:rFonts w:hint="eastAsia" w:ascii="宋体" w:hAnsi="宋体"/>
          <w:color w:val="000000" w:themeColor="text1"/>
          <w:szCs w:val="21"/>
          <w:highlight w:val="none"/>
          <w:u w:val="single"/>
          <w14:textFill>
            <w14:solidFill>
              <w14:schemeClr w14:val="tx1"/>
            </w14:solidFill>
          </w14:textFill>
        </w:rPr>
        <w:t>50年以上未发生过的严寒天气；</w:t>
      </w:r>
    </w:p>
    <w:p w14:paraId="7406D010">
      <w:pPr>
        <w:spacing w:line="420" w:lineRule="exact"/>
        <w:ind w:firstLine="315" w:firstLineChars="15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w:t>
      </w:r>
      <w:r>
        <w:rPr>
          <w:rFonts w:hint="eastAsia" w:ascii="宋体" w:hAnsi="宋体"/>
          <w:b/>
          <w:bCs/>
          <w:color w:val="000000" w:themeColor="text1"/>
          <w:szCs w:val="21"/>
          <w:highlight w:val="none"/>
          <w:u w:val="single"/>
          <w14:textFill>
            <w14:solidFill>
              <w14:schemeClr w14:val="tx1"/>
            </w14:solidFill>
          </w14:textFill>
        </w:rPr>
        <w:t>50年</w:t>
      </w:r>
      <w:r>
        <w:rPr>
          <w:rFonts w:hint="eastAsia" w:ascii="宋体" w:hAnsi="宋体"/>
          <w:color w:val="000000" w:themeColor="text1"/>
          <w:szCs w:val="21"/>
          <w:highlight w:val="none"/>
          <w:u w:val="single"/>
          <w14:textFill>
            <w14:solidFill>
              <w14:schemeClr w14:val="tx1"/>
            </w14:solidFill>
          </w14:textFill>
        </w:rPr>
        <w:t>以上未发生过的洪水。</w:t>
      </w:r>
    </w:p>
    <w:p w14:paraId="0D32555C">
      <w:pPr>
        <w:spacing w:line="360" w:lineRule="auto"/>
        <w:jc w:val="left"/>
        <w:rPr>
          <w:color w:val="000000" w:themeColor="text1"/>
          <w:szCs w:val="21"/>
          <w:highlight w:val="none"/>
          <w14:textFill>
            <w14:solidFill>
              <w14:schemeClr w14:val="tx1"/>
            </w14:solidFill>
          </w14:textFill>
        </w:rPr>
      </w:pPr>
    </w:p>
    <w:p w14:paraId="73AE9021">
      <w:pPr>
        <w:keepNext/>
        <w:keepLines/>
        <w:spacing w:line="360" w:lineRule="auto"/>
        <w:outlineLvl w:val="2"/>
        <w:rPr>
          <w:rFonts w:eastAsia="黑体"/>
          <w:b/>
          <w:bCs/>
          <w:color w:val="000000" w:themeColor="text1"/>
          <w:sz w:val="32"/>
          <w:szCs w:val="32"/>
          <w:highlight w:val="none"/>
          <w14:textFill>
            <w14:solidFill>
              <w14:schemeClr w14:val="tx1"/>
            </w14:solidFill>
          </w14:textFill>
        </w:rPr>
      </w:pPr>
      <w:bookmarkStart w:id="468" w:name="_Toc78449818"/>
      <w:bookmarkStart w:id="469" w:name="_Toc114058869"/>
      <w:bookmarkStart w:id="470" w:name="_Toc407135232"/>
      <w:bookmarkStart w:id="471" w:name="_Toc373478377"/>
      <w:bookmarkStart w:id="472" w:name="_Toc373227730"/>
      <w:bookmarkStart w:id="473" w:name="_Toc389065296"/>
      <w:r>
        <w:rPr>
          <w:rFonts w:eastAsia="黑体"/>
          <w:b/>
          <w:bCs/>
          <w:color w:val="000000" w:themeColor="text1"/>
          <w:sz w:val="32"/>
          <w:szCs w:val="32"/>
          <w:highlight w:val="none"/>
          <w14:textFill>
            <w14:solidFill>
              <w14:schemeClr w14:val="tx1"/>
            </w14:solidFill>
          </w14:textFill>
        </w:rPr>
        <w:t xml:space="preserve">7.9 </w:t>
      </w:r>
      <w:r>
        <w:rPr>
          <w:rFonts w:hint="eastAsia" w:hAnsi="宋体" w:eastAsia="黑体" w:cs="黑体"/>
          <w:b/>
          <w:bCs/>
          <w:color w:val="000000" w:themeColor="text1"/>
          <w:sz w:val="32"/>
          <w:szCs w:val="32"/>
          <w:highlight w:val="none"/>
          <w:lang w:val="zh-CN"/>
          <w14:textFill>
            <w14:solidFill>
              <w14:schemeClr w14:val="tx1"/>
            </w14:solidFill>
          </w14:textFill>
        </w:rPr>
        <w:t>提前竣工</w:t>
      </w:r>
      <w:bookmarkEnd w:id="468"/>
      <w:bookmarkEnd w:id="469"/>
      <w:bookmarkEnd w:id="470"/>
      <w:bookmarkEnd w:id="471"/>
      <w:bookmarkEnd w:id="472"/>
      <w:bookmarkEnd w:id="473"/>
    </w:p>
    <w:p w14:paraId="79ECFF85">
      <w:pPr>
        <w:spacing w:line="360" w:lineRule="auto"/>
        <w:ind w:firstLine="420" w:firstLineChars="200"/>
        <w:jc w:val="left"/>
        <w:rPr>
          <w:rFonts w:hAnsi="宋体"/>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7.9.2</w:t>
      </w:r>
      <w:r>
        <w:rPr>
          <w:rFonts w:hint="eastAsia" w:hAnsi="宋体" w:cs="宋体"/>
          <w:color w:val="000000" w:themeColor="text1"/>
          <w:szCs w:val="21"/>
          <w:highlight w:val="none"/>
          <w14:textFill>
            <w14:solidFill>
              <w14:schemeClr w14:val="tx1"/>
            </w14:solidFill>
          </w14:textFill>
        </w:rPr>
        <w:t>提前竣工（赶工）增加费的计算方法：</w:t>
      </w:r>
      <w:r>
        <w:rPr>
          <w:rFonts w:hint="eastAsia"/>
          <w:color w:val="000000" w:themeColor="text1"/>
          <w:szCs w:val="21"/>
          <w:highlight w:val="none"/>
          <w:u w:val="single"/>
          <w14:textFill>
            <w14:solidFill>
              <w14:schemeClr w14:val="tx1"/>
            </w14:solidFill>
          </w14:textFill>
        </w:rPr>
        <w:t>无</w:t>
      </w:r>
      <w:r>
        <w:rPr>
          <w:rFonts w:hint="eastAsia" w:hAnsi="宋体" w:cs="宋体"/>
          <w:color w:val="000000" w:themeColor="text1"/>
          <w:szCs w:val="21"/>
          <w:highlight w:val="none"/>
          <w14:textFill>
            <w14:solidFill>
              <w14:schemeClr w14:val="tx1"/>
            </w14:solidFill>
          </w14:textFill>
        </w:rPr>
        <w:t>。</w:t>
      </w:r>
    </w:p>
    <w:p w14:paraId="29E8E41D">
      <w:pPr>
        <w:keepNext/>
        <w:keepLines/>
        <w:spacing w:before="60" w:after="60" w:line="413" w:lineRule="auto"/>
        <w:outlineLvl w:val="1"/>
        <w:rPr>
          <w:rFonts w:ascii="Arial" w:hAnsi="Arial" w:eastAsia="黑体"/>
          <w:b/>
          <w:bCs/>
          <w:color w:val="000000" w:themeColor="text1"/>
          <w:sz w:val="32"/>
          <w:szCs w:val="32"/>
          <w:highlight w:val="none"/>
          <w:lang w:val="zh-CN"/>
          <w14:textFill>
            <w14:solidFill>
              <w14:schemeClr w14:val="tx1"/>
            </w14:solidFill>
          </w14:textFill>
        </w:rPr>
      </w:pPr>
      <w:bookmarkStart w:id="474" w:name="_Toc389065297"/>
      <w:bookmarkStart w:id="475" w:name="_Toc114058870"/>
      <w:bookmarkStart w:id="476" w:name="_Toc351203640"/>
      <w:bookmarkStart w:id="477" w:name="_Toc407135233"/>
      <w:bookmarkStart w:id="478" w:name="_Toc373227731"/>
      <w:bookmarkStart w:id="479" w:name="_Toc78449819"/>
      <w:bookmarkStart w:id="480" w:name="_Toc373478378"/>
      <w:r>
        <w:rPr>
          <w:rFonts w:ascii="Arial" w:hAnsi="Arial" w:eastAsia="黑体"/>
          <w:b/>
          <w:bCs/>
          <w:color w:val="000000" w:themeColor="text1"/>
          <w:sz w:val="32"/>
          <w:szCs w:val="32"/>
          <w:highlight w:val="none"/>
          <w:lang w:val="zh-CN"/>
          <w14:textFill>
            <w14:solidFill>
              <w14:schemeClr w14:val="tx1"/>
            </w14:solidFill>
          </w14:textFill>
        </w:rPr>
        <w:t xml:space="preserve">8. </w:t>
      </w:r>
      <w:r>
        <w:rPr>
          <w:rFonts w:hint="eastAsia" w:ascii="Arial" w:hAnsi="Arial" w:eastAsia="黑体" w:cs="黑体"/>
          <w:b/>
          <w:bCs/>
          <w:color w:val="000000" w:themeColor="text1"/>
          <w:sz w:val="32"/>
          <w:szCs w:val="32"/>
          <w:highlight w:val="none"/>
          <w:lang w:val="zh-CN"/>
          <w14:textFill>
            <w14:solidFill>
              <w14:schemeClr w14:val="tx1"/>
            </w14:solidFill>
          </w14:textFill>
        </w:rPr>
        <w:t>材料与设备</w:t>
      </w:r>
      <w:bookmarkEnd w:id="474"/>
      <w:bookmarkEnd w:id="475"/>
      <w:bookmarkEnd w:id="476"/>
      <w:bookmarkEnd w:id="477"/>
      <w:bookmarkEnd w:id="478"/>
      <w:bookmarkEnd w:id="479"/>
      <w:bookmarkEnd w:id="480"/>
    </w:p>
    <w:bookmarkEnd w:id="331"/>
    <w:bookmarkEnd w:id="332"/>
    <w:bookmarkEnd w:id="333"/>
    <w:bookmarkEnd w:id="334"/>
    <w:bookmarkEnd w:id="335"/>
    <w:bookmarkEnd w:id="336"/>
    <w:bookmarkEnd w:id="337"/>
    <w:bookmarkEnd w:id="338"/>
    <w:bookmarkEnd w:id="339"/>
    <w:bookmarkEnd w:id="340"/>
    <w:p w14:paraId="76BCEEAB">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481" w:name="_Toc373478379"/>
      <w:bookmarkStart w:id="482" w:name="_Toc114058871"/>
      <w:bookmarkStart w:id="483" w:name="_Toc78449820"/>
      <w:bookmarkStart w:id="484" w:name="_Toc373227732"/>
      <w:bookmarkStart w:id="485" w:name="_Toc389065298"/>
      <w:bookmarkStart w:id="486" w:name="_Toc407135234"/>
      <w:r>
        <w:rPr>
          <w:rFonts w:eastAsia="黑体"/>
          <w:b/>
          <w:bCs/>
          <w:color w:val="000000" w:themeColor="text1"/>
          <w:sz w:val="32"/>
          <w:szCs w:val="32"/>
          <w:highlight w:val="none"/>
          <w:lang w:val="zh-CN"/>
          <w14:textFill>
            <w14:solidFill>
              <w14:schemeClr w14:val="tx1"/>
            </w14:solidFill>
          </w14:textFill>
        </w:rPr>
        <w:t xml:space="preserve">8.2 </w:t>
      </w:r>
      <w:r>
        <w:rPr>
          <w:rFonts w:hint="eastAsia" w:eastAsia="黑体" w:cs="黑体"/>
          <w:b/>
          <w:bCs/>
          <w:color w:val="000000" w:themeColor="text1"/>
          <w:sz w:val="32"/>
          <w:szCs w:val="32"/>
          <w:highlight w:val="none"/>
          <w:lang w:val="zh-CN"/>
          <w14:textFill>
            <w14:solidFill>
              <w14:schemeClr w14:val="tx1"/>
            </w14:solidFill>
          </w14:textFill>
        </w:rPr>
        <w:t>承包人采购材料与工程设备</w:t>
      </w:r>
      <w:bookmarkEnd w:id="481"/>
      <w:bookmarkEnd w:id="482"/>
      <w:bookmarkEnd w:id="483"/>
      <w:bookmarkEnd w:id="484"/>
      <w:bookmarkEnd w:id="485"/>
      <w:bookmarkEnd w:id="486"/>
    </w:p>
    <w:p w14:paraId="3056E40D">
      <w:pPr>
        <w:autoSpaceDE w:val="0"/>
        <w:autoSpaceDN w:val="0"/>
        <w:adjustRightInd w:val="0"/>
        <w:spacing w:line="360" w:lineRule="auto"/>
        <w:ind w:firstLine="420" w:firstLineChars="200"/>
        <w:jc w:val="left"/>
        <w:rPr>
          <w:rFonts w:cs="宋体"/>
          <w:color w:val="000000" w:themeColor="text1"/>
          <w:szCs w:val="21"/>
          <w:highlight w:val="none"/>
          <w14:textFill>
            <w14:solidFill>
              <w14:schemeClr w14:val="tx1"/>
            </w14:solidFill>
          </w14:textFill>
        </w:rPr>
      </w:pPr>
      <w:r>
        <w:rPr>
          <w:rFonts w:hint="eastAsia" w:cs="宋体"/>
          <w:color w:val="000000" w:themeColor="text1"/>
          <w:kern w:val="0"/>
          <w:szCs w:val="21"/>
          <w:highlight w:val="none"/>
          <w14:textFill>
            <w14:solidFill>
              <w14:schemeClr w14:val="tx1"/>
            </w14:solidFill>
          </w14:textFill>
        </w:rPr>
        <w:t>除已标价工程量清单《发包人提供主要材料和工程设备一览表》（表</w:t>
      </w:r>
      <w:r>
        <w:rPr>
          <w:color w:val="000000" w:themeColor="text1"/>
          <w:kern w:val="0"/>
          <w:szCs w:val="21"/>
          <w:highlight w:val="none"/>
          <w14:textFill>
            <w14:solidFill>
              <w14:schemeClr w14:val="tx1"/>
            </w14:solidFill>
          </w14:textFill>
        </w:rPr>
        <w:t>-21</w:t>
      </w:r>
      <w:r>
        <w:rPr>
          <w:rFonts w:hint="eastAsia" w:cs="宋体"/>
          <w:color w:val="000000" w:themeColor="text1"/>
          <w:kern w:val="0"/>
          <w:szCs w:val="21"/>
          <w:highlight w:val="none"/>
          <w14:textFill>
            <w14:solidFill>
              <w14:schemeClr w14:val="tx1"/>
            </w14:solidFill>
          </w14:textFill>
        </w:rPr>
        <w:t>）中明确的材料、工程设备外，由承包人负责材料和工程设备的采购、运输和保管。</w:t>
      </w:r>
      <w:bookmarkStart w:id="487" w:name="_Toc389065299"/>
      <w:bookmarkStart w:id="488" w:name="_Toc373478380"/>
      <w:bookmarkStart w:id="489" w:name="_Toc373227733"/>
    </w:p>
    <w:p w14:paraId="603EA7E7">
      <w:pPr>
        <w:autoSpaceDE w:val="0"/>
        <w:autoSpaceDN w:val="0"/>
        <w:adjustRightInd w:val="0"/>
        <w:spacing w:line="360" w:lineRule="auto"/>
        <w:ind w:firstLine="420" w:firstLineChars="200"/>
        <w:jc w:val="left"/>
        <w:rPr>
          <w:rFonts w:cs="宋体"/>
          <w:color w:val="000000" w:themeColor="text1"/>
          <w:szCs w:val="21"/>
          <w:highlight w:val="none"/>
          <w14:textFill>
            <w14:solidFill>
              <w14:schemeClr w14:val="tx1"/>
            </w14:solidFill>
          </w14:textFill>
        </w:rPr>
      </w:pPr>
      <w:r>
        <w:rPr>
          <w:rFonts w:hint="eastAsia" w:cs="宋体"/>
          <w:color w:val="000000" w:themeColor="text1"/>
          <w:szCs w:val="21"/>
          <w:highlight w:val="none"/>
          <w14:textFill>
            <w14:solidFill>
              <w14:schemeClr w14:val="tx1"/>
            </w14:solidFill>
          </w14:textFill>
        </w:rPr>
        <w:t>对发包人在招标时有“参照或相当于</w:t>
      </w:r>
      <w:r>
        <w:rPr>
          <w:color w:val="000000" w:themeColor="text1"/>
          <w:szCs w:val="21"/>
          <w:highlight w:val="none"/>
          <w14:textFill>
            <w14:solidFill>
              <w14:schemeClr w14:val="tx1"/>
            </w14:solidFill>
          </w14:textFill>
        </w:rPr>
        <w:t>**</w:t>
      </w:r>
      <w:r>
        <w:rPr>
          <w:rFonts w:hint="eastAsia" w:cs="宋体"/>
          <w:color w:val="000000" w:themeColor="text1"/>
          <w:szCs w:val="21"/>
          <w:highlight w:val="none"/>
          <w14:textFill>
            <w14:solidFill>
              <w14:schemeClr w14:val="tx1"/>
            </w14:solidFill>
          </w14:textFill>
        </w:rPr>
        <w:t>品牌、级别”约定的材料或设备，承包人采购时必须按类似于或优于所约定品牌、等级进行采购，施工期间该部分材料或设备如未超过招标约定的风险幅度的</w:t>
      </w:r>
      <w:r>
        <w:rPr>
          <w:rFonts w:hint="eastAsia"/>
          <w:color w:val="000000" w:themeColor="text1"/>
          <w:szCs w:val="21"/>
          <w:highlight w:val="none"/>
          <w14:textFill>
            <w14:solidFill>
              <w14:schemeClr w14:val="tx1"/>
            </w14:solidFill>
          </w14:textFill>
        </w:rPr>
        <w:t>或</w:t>
      </w:r>
      <w:r>
        <w:rPr>
          <w:rFonts w:hint="eastAsia" w:ascii="宋体" w:hAnsi="宋体"/>
          <w:b/>
          <w:bCs/>
          <w:color w:val="000000" w:themeColor="text1"/>
          <w:szCs w:val="21"/>
          <w:highlight w:val="none"/>
          <w14:textFill>
            <w14:solidFill>
              <w14:schemeClr w14:val="tx1"/>
            </w14:solidFill>
          </w14:textFill>
        </w:rPr>
        <w:t>当发包人与承包人对采购文件所约定的材料有争议时，发包人有权要求承包人按采购文件有“参照或相当于”标明材料品牌的材料进行采购，</w:t>
      </w:r>
      <w:r>
        <w:rPr>
          <w:rFonts w:hint="eastAsia" w:cs="宋体"/>
          <w:color w:val="000000" w:themeColor="text1"/>
          <w:szCs w:val="21"/>
          <w:highlight w:val="none"/>
          <w14:textFill>
            <w14:solidFill>
              <w14:schemeClr w14:val="tx1"/>
            </w14:solidFill>
          </w14:textFill>
        </w:rPr>
        <w:t>结算时按成交单价支付，不得调整。</w:t>
      </w:r>
    </w:p>
    <w:p w14:paraId="6E7D5B69">
      <w:pPr>
        <w:autoSpaceDE w:val="0"/>
        <w:autoSpaceDN w:val="0"/>
        <w:adjustRightInd w:val="0"/>
        <w:spacing w:line="360" w:lineRule="auto"/>
        <w:ind w:firstLine="420" w:firstLineChars="200"/>
        <w:jc w:val="left"/>
        <w:rPr>
          <w:rFonts w:cs="宋体"/>
          <w:color w:val="000000" w:themeColor="text1"/>
          <w:szCs w:val="21"/>
          <w:highlight w:val="none"/>
          <w14:textFill>
            <w14:solidFill>
              <w14:schemeClr w14:val="tx1"/>
            </w14:solidFill>
          </w14:textFill>
        </w:rPr>
      </w:pPr>
      <w:r>
        <w:rPr>
          <w:rFonts w:hint="eastAsia" w:ascii="仿宋_GB2312" w:hAnsi="宋体" w:eastAsia="仿宋_GB2312"/>
          <w:bCs/>
          <w:color w:val="000000" w:themeColor="text1"/>
          <w:kern w:val="0"/>
          <w:szCs w:val="21"/>
          <w:highlight w:val="none"/>
          <w14:textFill>
            <w14:solidFill>
              <w14:schemeClr w14:val="tx1"/>
            </w14:solidFill>
          </w14:textFill>
        </w:rPr>
        <w:t>对发包人在招标时，没有明确约定参照或相当于**品牌、档次的材料和设备，或双方对材料和设备选择有争议的，发包人有权要求承包人按不低于招标控制价相同细目的材料或设备价格进行采购，</w:t>
      </w:r>
      <w:r>
        <w:rPr>
          <w:rFonts w:hint="eastAsia" w:cs="宋体"/>
          <w:color w:val="000000" w:themeColor="text1"/>
          <w:szCs w:val="21"/>
          <w:highlight w:val="none"/>
          <w14:textFill>
            <w14:solidFill>
              <w14:schemeClr w14:val="tx1"/>
            </w14:solidFill>
          </w14:textFill>
        </w:rPr>
        <w:t>结算时按成交单价支付，不得调整。</w:t>
      </w:r>
    </w:p>
    <w:p w14:paraId="597DC260">
      <w:pPr>
        <w:autoSpaceDE w:val="0"/>
        <w:autoSpaceDN w:val="0"/>
        <w:adjustRightInd w:val="0"/>
        <w:spacing w:line="360" w:lineRule="auto"/>
        <w:ind w:firstLine="420" w:firstLineChars="200"/>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禁止使用松木、松木包装材料设备、种子、苗木、花卉及繁殖材料。</w:t>
      </w:r>
    </w:p>
    <w:p w14:paraId="48E4DC17">
      <w:pPr>
        <w:autoSpaceDE w:val="0"/>
        <w:autoSpaceDN w:val="0"/>
        <w:adjustRightInd w:val="0"/>
        <w:spacing w:line="360" w:lineRule="auto"/>
        <w:ind w:firstLine="420" w:firstLineChars="20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满足南宁市城乡建设委员会南宁市工业和信息化委员会关于重新印发《南宁市城乡建设委员会和南宁市工业和信息化委员会关于推广应用高性能混凝土的通知》的通知（南建规【2016】1号）要求的，本工程必须使用高性能混凝土。 </w:t>
      </w:r>
    </w:p>
    <w:p w14:paraId="4AD85FE4">
      <w:pPr>
        <w:autoSpaceDE w:val="0"/>
        <w:autoSpaceDN w:val="0"/>
        <w:adjustRightInd w:val="0"/>
        <w:spacing w:line="360" w:lineRule="auto"/>
        <w:ind w:firstLine="420" w:firstLineChars="200"/>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满足南宁市人民政府印发的《南宁市人民政府关于推广使用预拌砂浆的实施意见》（南府规〔</w:t>
      </w:r>
      <w:r>
        <w:rPr>
          <w:color w:val="000000" w:themeColor="text1"/>
          <w:szCs w:val="21"/>
          <w:highlight w:val="none"/>
          <w14:textFill>
            <w14:solidFill>
              <w14:schemeClr w14:val="tx1"/>
            </w14:solidFill>
          </w14:textFill>
        </w:rPr>
        <w:t>2016</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 xml:space="preserve">12 </w:t>
      </w:r>
      <w:r>
        <w:rPr>
          <w:rFonts w:hint="eastAsia"/>
          <w:color w:val="000000" w:themeColor="text1"/>
          <w:szCs w:val="21"/>
          <w:highlight w:val="none"/>
          <w14:textFill>
            <w14:solidFill>
              <w14:schemeClr w14:val="tx1"/>
            </w14:solidFill>
          </w14:textFill>
        </w:rPr>
        <w:t>号）要求的，本工程必须使用预拌砂浆。</w:t>
      </w:r>
    </w:p>
    <w:p w14:paraId="05070148">
      <w:pPr>
        <w:autoSpaceDE w:val="0"/>
        <w:autoSpaceDN w:val="0"/>
        <w:adjustRightInd w:val="0"/>
        <w:spacing w:line="360" w:lineRule="auto"/>
        <w:ind w:firstLine="420" w:firstLineChars="200"/>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满足《南宁市松材线虫病防控工作领导小组工作制度》要求，要求涉木产品供货商对应施检疫的产品提供《植物检疫证书》；涉及松木质包装材料的，积极配合林业部门做好检疫工作。</w:t>
      </w:r>
    </w:p>
    <w:p w14:paraId="15435FBA">
      <w:pPr>
        <w:widowControl/>
        <w:shd w:val="clear" w:color="auto" w:fill="FFFFFF"/>
        <w:spacing w:line="360" w:lineRule="auto"/>
        <w:ind w:firstLine="420"/>
        <w:jc w:val="left"/>
        <w:rPr>
          <w:rFonts w:ascii="宋体" w:hAnsi="宋体"/>
          <w:b/>
          <w:bCs/>
          <w:color w:val="000000" w:themeColor="text1"/>
          <w:kern w:val="44"/>
          <w:szCs w:val="21"/>
          <w:highlight w:val="none"/>
          <w:shd w:val="clear" w:color="auto" w:fill="FFFFFF"/>
          <w14:textFill>
            <w14:solidFill>
              <w14:schemeClr w14:val="tx1"/>
            </w14:solidFill>
          </w14:textFill>
        </w:rPr>
      </w:pPr>
      <w:r>
        <w:rPr>
          <w:rFonts w:hint="eastAsia" w:ascii="宋体" w:hAnsi="宋体"/>
          <w:b/>
          <w:bCs/>
          <w:color w:val="000000" w:themeColor="text1"/>
          <w:kern w:val="44"/>
          <w:szCs w:val="21"/>
          <w:highlight w:val="none"/>
          <w:shd w:val="clear" w:color="auto" w:fill="FFFFFF"/>
          <w14:textFill>
            <w14:solidFill>
              <w14:schemeClr w14:val="tx1"/>
            </w14:solidFill>
          </w14:textFill>
        </w:rPr>
        <w:t>8.2.1 由承包人采购、供应的材料，承包人需提前三天向监理人及发包人报验并提供详细进货清单，进货清单应含有所进货物的品牌、规格、型号、数量及质量等级等内容，待监理人及发包人书面回复同意后方可进货，若承包人材料进场前未报验、进场材料与报验材料不符及进场材料为假冒伪劣材料的，每发生一例，承包人应向发包人支付违约金30000元。该款项直接从工程进度款中扣除，无需经承包人同意，承包人还应无条件负责将材料退场，并承担由此产生的一切费用及责任，由此延误的工期不予顺延。</w:t>
      </w:r>
    </w:p>
    <w:p w14:paraId="5C1CB8A5">
      <w:pPr>
        <w:widowControl/>
        <w:shd w:val="clear" w:color="auto" w:fill="FFFFFF"/>
        <w:spacing w:line="360" w:lineRule="auto"/>
        <w:ind w:firstLine="420"/>
        <w:jc w:val="left"/>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kern w:val="44"/>
          <w:szCs w:val="21"/>
          <w:highlight w:val="none"/>
          <w:shd w:val="clear" w:color="auto" w:fill="FFFFFF"/>
          <w14:textFill>
            <w14:solidFill>
              <w14:schemeClr w14:val="tx1"/>
            </w14:solidFill>
          </w14:textFill>
        </w:rPr>
        <w:t>8.2.2 承包人采购材料进场同时，需提供与报验相同的产品合格证及相关检测报告，若不能提供的，该批材料按不合格产品清退出场，并按8.2.1条处理。</w:t>
      </w:r>
    </w:p>
    <w:p w14:paraId="310952D9">
      <w:pPr>
        <w:autoSpaceDE w:val="0"/>
        <w:autoSpaceDN w:val="0"/>
        <w:adjustRightInd w:val="0"/>
        <w:spacing w:line="360" w:lineRule="auto"/>
        <w:ind w:firstLine="420" w:firstLineChars="200"/>
        <w:jc w:val="left"/>
        <w:rPr>
          <w:color w:val="000000" w:themeColor="text1"/>
          <w:szCs w:val="21"/>
          <w:highlight w:val="none"/>
          <w14:textFill>
            <w14:solidFill>
              <w14:schemeClr w14:val="tx1"/>
            </w14:solidFill>
          </w14:textFill>
        </w:rPr>
      </w:pPr>
    </w:p>
    <w:p w14:paraId="0AC4A116">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490" w:name="_Toc407135235"/>
      <w:bookmarkStart w:id="491" w:name="_Toc78449821"/>
      <w:bookmarkStart w:id="492" w:name="_Toc114058872"/>
      <w:r>
        <w:rPr>
          <w:rFonts w:eastAsia="黑体"/>
          <w:b/>
          <w:bCs/>
          <w:color w:val="000000" w:themeColor="text1"/>
          <w:sz w:val="32"/>
          <w:szCs w:val="32"/>
          <w:highlight w:val="none"/>
          <w:lang w:val="zh-CN"/>
          <w14:textFill>
            <w14:solidFill>
              <w14:schemeClr w14:val="tx1"/>
            </w14:solidFill>
          </w14:textFill>
        </w:rPr>
        <w:t>8</w:t>
      </w:r>
      <w:bookmarkStart w:id="493" w:name="_Toc297123527"/>
      <w:bookmarkStart w:id="494" w:name="_Toc296890995"/>
      <w:bookmarkStart w:id="495" w:name="_Toc297048353"/>
      <w:bookmarkStart w:id="496" w:name="_Toc312678019"/>
      <w:bookmarkStart w:id="497" w:name="_Toc280868654"/>
      <w:bookmarkStart w:id="498" w:name="_Toc296503167"/>
      <w:bookmarkStart w:id="499" w:name="_Toc303539136"/>
      <w:bookmarkStart w:id="500" w:name="_Toc292559372"/>
      <w:bookmarkStart w:id="501" w:name="_Toc304295556"/>
      <w:bookmarkStart w:id="502" w:name="_Toc297120467"/>
      <w:bookmarkStart w:id="503" w:name="_Toc312677493"/>
      <w:bookmarkStart w:id="504" w:name="_Toc296891207"/>
      <w:bookmarkStart w:id="505" w:name="_Toc296346668"/>
      <w:bookmarkStart w:id="506" w:name="_Toc296944506"/>
      <w:bookmarkStart w:id="507" w:name="_Toc297216186"/>
      <w:bookmarkStart w:id="508" w:name="_Toc296347166"/>
      <w:bookmarkStart w:id="509" w:name="_Toc292559877"/>
      <w:bookmarkStart w:id="510" w:name="_Toc300934979"/>
      <w:bookmarkStart w:id="511" w:name="_Toc267251424"/>
      <w:bookmarkStart w:id="512" w:name="_Toc280868655"/>
      <w:bookmarkStart w:id="513" w:name="_Toc280868656"/>
      <w:r>
        <w:rPr>
          <w:rFonts w:eastAsia="黑体"/>
          <w:b/>
          <w:bCs/>
          <w:color w:val="000000" w:themeColor="text1"/>
          <w:sz w:val="32"/>
          <w:szCs w:val="32"/>
          <w:highlight w:val="none"/>
          <w:lang w:val="zh-CN"/>
          <w14:textFill>
            <w14:solidFill>
              <w14:schemeClr w14:val="tx1"/>
            </w14:solidFill>
          </w14:textFill>
        </w:rPr>
        <w:t xml:space="preserve">.4 </w:t>
      </w:r>
      <w:r>
        <w:rPr>
          <w:rFonts w:hint="eastAsia" w:eastAsia="黑体" w:cs="黑体"/>
          <w:b/>
          <w:bCs/>
          <w:color w:val="000000" w:themeColor="text1"/>
          <w:sz w:val="32"/>
          <w:szCs w:val="32"/>
          <w:highlight w:val="none"/>
          <w:lang w:val="zh-CN"/>
          <w14:textFill>
            <w14:solidFill>
              <w14:schemeClr w14:val="tx1"/>
            </w14:solidFill>
          </w14:textFill>
        </w:rPr>
        <w:t>材料与工程设备的保管与使用</w:t>
      </w:r>
      <w:bookmarkEnd w:id="487"/>
      <w:bookmarkEnd w:id="488"/>
      <w:bookmarkEnd w:id="489"/>
      <w:bookmarkEnd w:id="490"/>
      <w:bookmarkEnd w:id="491"/>
      <w:bookmarkEnd w:id="492"/>
    </w:p>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p w14:paraId="02F29C7D">
      <w:pPr>
        <w:spacing w:line="360" w:lineRule="auto"/>
        <w:ind w:firstLine="420" w:firstLineChars="200"/>
        <w:jc w:val="left"/>
        <w:rPr>
          <w:color w:val="000000" w:themeColor="text1"/>
          <w:szCs w:val="21"/>
          <w:highlight w:val="none"/>
          <w:u w:val="single"/>
          <w14:textFill>
            <w14:solidFill>
              <w14:schemeClr w14:val="tx1"/>
            </w14:solidFill>
          </w14:textFill>
        </w:rPr>
      </w:pPr>
      <w:r>
        <w:rPr>
          <w:color w:val="000000" w:themeColor="text1"/>
          <w:szCs w:val="21"/>
          <w:highlight w:val="none"/>
          <w14:textFill>
            <w14:solidFill>
              <w14:schemeClr w14:val="tx1"/>
            </w14:solidFill>
          </w14:textFill>
        </w:rPr>
        <w:t>8</w:t>
      </w:r>
      <w:bookmarkStart w:id="514" w:name="_Toc292559373"/>
      <w:bookmarkStart w:id="515" w:name="_Toc292559878"/>
      <w:bookmarkStart w:id="516" w:name="_Toc296503168"/>
      <w:bookmarkStart w:id="517" w:name="_Toc296347167"/>
      <w:bookmarkStart w:id="518" w:name="_Toc297123528"/>
      <w:bookmarkStart w:id="519" w:name="_Toc312677494"/>
      <w:bookmarkStart w:id="520" w:name="_Toc304295557"/>
      <w:bookmarkStart w:id="521" w:name="_Toc296890996"/>
      <w:bookmarkStart w:id="522" w:name="_Toc296891208"/>
      <w:bookmarkStart w:id="523" w:name="_Toc296944507"/>
      <w:bookmarkStart w:id="524" w:name="_Toc312678020"/>
      <w:bookmarkStart w:id="525" w:name="_Toc297120468"/>
      <w:bookmarkStart w:id="526" w:name="_Toc318581173"/>
      <w:bookmarkStart w:id="527" w:name="_Toc297048354"/>
      <w:bookmarkStart w:id="528" w:name="_Toc303539137"/>
      <w:bookmarkStart w:id="529" w:name="_Toc300934980"/>
      <w:bookmarkStart w:id="530" w:name="_Toc296346669"/>
      <w:bookmarkStart w:id="531" w:name="_Toc297216187"/>
      <w:r>
        <w:rPr>
          <w:color w:val="000000" w:themeColor="text1"/>
          <w:szCs w:val="21"/>
          <w:highlight w:val="none"/>
          <w14:textFill>
            <w14:solidFill>
              <w14:schemeClr w14:val="tx1"/>
            </w14:solidFill>
          </w14:textFill>
        </w:rPr>
        <w:t>.4.1</w:t>
      </w:r>
      <w:r>
        <w:rPr>
          <w:rFonts w:hint="eastAsia" w:hAnsi="宋体" w:cs="宋体"/>
          <w:color w:val="000000" w:themeColor="text1"/>
          <w:szCs w:val="21"/>
          <w:highlight w:val="none"/>
          <w14:textFill>
            <w14:solidFill>
              <w14:schemeClr w14:val="tx1"/>
            </w14:solidFill>
          </w14:textFill>
        </w:rPr>
        <w:t>发包人供应的材料设备的保管费用的承担：</w:t>
      </w:r>
      <w:r>
        <w:rPr>
          <w:rFonts w:hint="eastAsia"/>
          <w:color w:val="000000" w:themeColor="text1"/>
          <w:szCs w:val="21"/>
          <w:highlight w:val="none"/>
          <w:u w:val="single"/>
          <w14:textFill>
            <w14:solidFill>
              <w14:schemeClr w14:val="tx1"/>
            </w14:solidFill>
          </w14:textFill>
        </w:rPr>
        <w:t>由发包人供应给承包人施工使用的材料、设备，保管费由承包人承担</w:t>
      </w:r>
      <w:r>
        <w:rPr>
          <w:rFonts w:hint="eastAsia" w:hAnsi="宋体" w:cs="宋体"/>
          <w:color w:val="000000" w:themeColor="text1"/>
          <w:szCs w:val="21"/>
          <w:highlight w:val="none"/>
          <w14:textFill>
            <w14:solidFill>
              <w14:schemeClr w14:val="tx1"/>
            </w14:solidFill>
          </w14:textFill>
        </w:rPr>
        <w:t>。</w:t>
      </w:r>
    </w:p>
    <w:bookmarkEnd w:id="514"/>
    <w:bookmarkEnd w:id="515"/>
    <w:p w14:paraId="02F4FE91">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532" w:name="_Toc407135236"/>
      <w:bookmarkStart w:id="533" w:name="_Toc373227734"/>
      <w:bookmarkStart w:id="534" w:name="_Toc78449822"/>
      <w:bookmarkStart w:id="535" w:name="_Toc114058873"/>
      <w:bookmarkStart w:id="536" w:name="_Toc373478381"/>
      <w:bookmarkStart w:id="537" w:name="_Toc389065300"/>
      <w:r>
        <w:rPr>
          <w:rFonts w:eastAsia="黑体"/>
          <w:b/>
          <w:bCs/>
          <w:color w:val="000000" w:themeColor="text1"/>
          <w:sz w:val="32"/>
          <w:szCs w:val="32"/>
          <w:highlight w:val="none"/>
          <w:lang w:val="zh-CN"/>
          <w14:textFill>
            <w14:solidFill>
              <w14:schemeClr w14:val="tx1"/>
            </w14:solidFill>
          </w14:textFill>
        </w:rPr>
        <w:t xml:space="preserve">8.6 </w:t>
      </w:r>
      <w:r>
        <w:rPr>
          <w:rFonts w:hint="eastAsia" w:hAnsi="宋体" w:eastAsia="黑体" w:cs="黑体"/>
          <w:b/>
          <w:bCs/>
          <w:color w:val="000000" w:themeColor="text1"/>
          <w:sz w:val="32"/>
          <w:szCs w:val="32"/>
          <w:highlight w:val="none"/>
          <w:lang w:val="zh-CN"/>
          <w14:textFill>
            <w14:solidFill>
              <w14:schemeClr w14:val="tx1"/>
            </w14:solidFill>
          </w14:textFill>
        </w:rPr>
        <w:t>样品</w:t>
      </w:r>
      <w:bookmarkEnd w:id="532"/>
      <w:bookmarkEnd w:id="533"/>
      <w:bookmarkEnd w:id="534"/>
      <w:bookmarkEnd w:id="535"/>
      <w:bookmarkEnd w:id="536"/>
      <w:bookmarkEnd w:id="537"/>
    </w:p>
    <w:p w14:paraId="75E8F5C6">
      <w:pPr>
        <w:autoSpaceDE w:val="0"/>
        <w:autoSpaceDN w:val="0"/>
        <w:adjustRightInd w:val="0"/>
        <w:spacing w:line="360" w:lineRule="auto"/>
        <w:ind w:firstLine="420" w:firstLineChars="200"/>
        <w:jc w:val="left"/>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 xml:space="preserve">8.6.1 </w:t>
      </w:r>
      <w:r>
        <w:rPr>
          <w:rFonts w:hint="eastAsia" w:hAnsi="宋体" w:cs="宋体"/>
          <w:color w:val="000000" w:themeColor="text1"/>
          <w:kern w:val="0"/>
          <w:szCs w:val="21"/>
          <w:highlight w:val="none"/>
          <w14:textFill>
            <w14:solidFill>
              <w14:schemeClr w14:val="tx1"/>
            </w14:solidFill>
          </w14:textFill>
        </w:rPr>
        <w:t>样品的报送与封存</w:t>
      </w:r>
    </w:p>
    <w:p w14:paraId="21BF0157">
      <w:pPr>
        <w:widowControl/>
        <w:shd w:val="clear" w:color="auto" w:fill="FFFFFF"/>
        <w:spacing w:line="360" w:lineRule="auto"/>
        <w:ind w:firstLine="420"/>
        <w:jc w:val="left"/>
        <w:rPr>
          <w:rFonts w:ascii="宋体" w:hAnsi="宋体"/>
          <w:color w:val="000000" w:themeColor="text1"/>
          <w:kern w:val="44"/>
          <w:szCs w:val="21"/>
          <w:highlight w:val="none"/>
          <w:shd w:val="clear" w:color="auto" w:fill="FFFFFF"/>
          <w14:textFill>
            <w14:solidFill>
              <w14:schemeClr w14:val="tx1"/>
            </w14:solidFill>
          </w14:textFill>
        </w:rPr>
      </w:pPr>
      <w:r>
        <w:rPr>
          <w:rFonts w:hint="eastAsia" w:ascii="宋体" w:hAnsi="宋体"/>
          <w:b/>
          <w:bCs/>
          <w:color w:val="000000" w:themeColor="text1"/>
          <w:kern w:val="44"/>
          <w:szCs w:val="21"/>
          <w:highlight w:val="none"/>
          <w:shd w:val="clear" w:color="auto" w:fill="FFFFFF"/>
          <w14:textFill>
            <w14:solidFill>
              <w14:schemeClr w14:val="tx1"/>
            </w14:solidFill>
          </w14:textFill>
        </w:rPr>
        <w:t>需要承包人报送样品的材料或工程设备，样品的种类、名称、规格、数量要求：</w:t>
      </w:r>
      <w:r>
        <w:rPr>
          <w:rFonts w:hint="eastAsia" w:ascii="宋体" w:hAnsi="宋体"/>
          <w:color w:val="000000" w:themeColor="text1"/>
          <w:kern w:val="44"/>
          <w:szCs w:val="21"/>
          <w:highlight w:val="none"/>
          <w:shd w:val="clear" w:color="auto" w:fill="FFFFFF"/>
          <w14:textFill>
            <w14:solidFill>
              <w14:schemeClr w14:val="tx1"/>
            </w14:solidFill>
          </w14:textFill>
        </w:rPr>
        <w:t>主要材料涉及品种、款式、颜色等方面内容的，承包人应提交拟选用合格的材料样品送发包人选定。选定的样品应封存于现场，承包人应在现场为保存样品提供适当和固定的场所并保持适当和良好的储存环境条件，特别是主要装饰、安装工程材料样品至少封存到竣工结算审定完成后（根据工程设计实施情况，包括但不限于地面、天面、内外墙面装饰材料，防水材料，门窗，电线电缆，桥架，给排水管等材料）。</w:t>
      </w:r>
    </w:p>
    <w:p w14:paraId="10D87AE6">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538" w:name="_Toc373227735"/>
      <w:bookmarkStart w:id="539" w:name="_Toc407135237"/>
      <w:bookmarkStart w:id="540" w:name="_Toc78449823"/>
      <w:bookmarkStart w:id="541" w:name="_Toc389065301"/>
      <w:bookmarkStart w:id="542" w:name="_Toc373478382"/>
      <w:bookmarkStart w:id="543" w:name="_Toc114058874"/>
      <w:r>
        <w:rPr>
          <w:rFonts w:eastAsia="黑体"/>
          <w:b/>
          <w:bCs/>
          <w:color w:val="000000" w:themeColor="text1"/>
          <w:sz w:val="32"/>
          <w:szCs w:val="32"/>
          <w:highlight w:val="none"/>
          <w:lang w:val="zh-CN"/>
          <w14:textFill>
            <w14:solidFill>
              <w14:schemeClr w14:val="tx1"/>
            </w14:solidFill>
          </w14:textFill>
        </w:rPr>
        <w:t xml:space="preserve">8.8 </w:t>
      </w:r>
      <w:r>
        <w:rPr>
          <w:rFonts w:hint="eastAsia" w:eastAsia="黑体" w:cs="黑体"/>
          <w:b/>
          <w:bCs/>
          <w:color w:val="000000" w:themeColor="text1"/>
          <w:sz w:val="32"/>
          <w:szCs w:val="32"/>
          <w:highlight w:val="none"/>
          <w:lang w:val="zh-CN"/>
          <w14:textFill>
            <w14:solidFill>
              <w14:schemeClr w14:val="tx1"/>
            </w14:solidFill>
          </w14:textFill>
        </w:rPr>
        <w:t>施工设备和临时设施</w:t>
      </w:r>
      <w:bookmarkEnd w:id="538"/>
      <w:bookmarkEnd w:id="539"/>
      <w:bookmarkEnd w:id="540"/>
      <w:bookmarkEnd w:id="541"/>
      <w:bookmarkEnd w:id="542"/>
      <w:bookmarkEnd w:id="543"/>
    </w:p>
    <w:p w14:paraId="6B3C3BFC">
      <w:pPr>
        <w:autoSpaceDE w:val="0"/>
        <w:autoSpaceDN w:val="0"/>
        <w:adjustRightInd w:val="0"/>
        <w:spacing w:line="360" w:lineRule="auto"/>
        <w:ind w:firstLine="420" w:firstLineChars="20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8.8.1 </w:t>
      </w:r>
      <w:r>
        <w:rPr>
          <w:rFonts w:hint="eastAsia" w:hAnsi="宋体" w:cs="宋体"/>
          <w:color w:val="000000" w:themeColor="text1"/>
          <w:szCs w:val="21"/>
          <w:highlight w:val="none"/>
          <w14:textFill>
            <w14:solidFill>
              <w14:schemeClr w14:val="tx1"/>
            </w14:solidFill>
          </w14:textFill>
        </w:rPr>
        <w:t>承包人提供的施工设备和临时设施</w:t>
      </w:r>
    </w:p>
    <w:p w14:paraId="454E2231">
      <w:pPr>
        <w:autoSpaceDE w:val="0"/>
        <w:autoSpaceDN w:val="0"/>
        <w:adjustRightInd w:val="0"/>
        <w:spacing w:line="360" w:lineRule="auto"/>
        <w:ind w:firstLine="420" w:firstLineChars="200"/>
        <w:jc w:val="left"/>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除专用合同条款另有约定的其他独立承包人和监理人指示的他人提供条件外，承包人运入施工场地的所有施工设备以及在施工场地建设的临时设施仅限于用于合同工程。</w:t>
      </w:r>
      <w:r>
        <w:rPr>
          <w:rFonts w:hint="eastAsia" w:ascii="宋体" w:hAnsi="宋体"/>
          <w:b/>
          <w:bCs/>
          <w:color w:val="000000" w:themeColor="text1"/>
          <w:highlight w:val="none"/>
          <w:u w:val="single"/>
          <w14:textFill>
            <w14:solidFill>
              <w14:schemeClr w14:val="tx1"/>
            </w14:solidFill>
          </w14:textFill>
        </w:rPr>
        <w:t>免费提供给发包人、监理工程师和其他合同段的承包人使用。</w:t>
      </w:r>
      <w:r>
        <w:rPr>
          <w:rFonts w:hint="eastAsia" w:ascii="宋体" w:hAnsi="宋体" w:cs="宋体"/>
          <w:color w:val="000000" w:themeColor="text1"/>
          <w:szCs w:val="21"/>
          <w:highlight w:val="none"/>
          <w14:textFill>
            <w14:solidFill>
              <w14:schemeClr w14:val="tx1"/>
            </w14:solidFill>
          </w14:textFill>
        </w:rPr>
        <w:t>承包人用于本工程的主要机械设备清单见合同附件4。</w:t>
      </w:r>
    </w:p>
    <w:p w14:paraId="180707DD">
      <w:pPr>
        <w:autoSpaceDE w:val="0"/>
        <w:autoSpaceDN w:val="0"/>
        <w:adjustRightInd w:val="0"/>
        <w:spacing w:line="360" w:lineRule="auto"/>
        <w:ind w:firstLine="420" w:firstLineChars="200"/>
        <w:jc w:val="left"/>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关于修建临时设施费用承担的约定：</w:t>
      </w:r>
    </w:p>
    <w:p w14:paraId="3D2F6BEA">
      <w:pPr>
        <w:numPr>
          <w:ilvl w:val="0"/>
          <w:numId w:val="17"/>
        </w:numPr>
        <w:autoSpaceDE w:val="0"/>
        <w:autoSpaceDN w:val="0"/>
        <w:adjustRightInd w:val="0"/>
        <w:spacing w:line="360" w:lineRule="auto"/>
        <w:ind w:firstLine="420" w:firstLineChars="200"/>
        <w:jc w:val="left"/>
        <w:rPr>
          <w:rFonts w:hAnsi="宋体"/>
          <w:color w:val="000000" w:themeColor="text1"/>
          <w:szCs w:val="21"/>
          <w:highlight w:val="none"/>
          <w:u w:val="single"/>
          <w14:textFill>
            <w14:solidFill>
              <w14:schemeClr w14:val="tx1"/>
            </w14:solidFill>
          </w14:textFill>
        </w:rPr>
      </w:pPr>
      <w:r>
        <w:rPr>
          <w:rFonts w:hint="eastAsia" w:hAnsi="宋体"/>
          <w:color w:val="000000" w:themeColor="text1"/>
          <w:szCs w:val="21"/>
          <w:highlight w:val="none"/>
          <w:u w:val="single"/>
          <w14:textFill>
            <w14:solidFill>
              <w14:schemeClr w14:val="tx1"/>
            </w14:solidFill>
          </w14:textFill>
        </w:rPr>
        <w:t xml:space="preserve">除专用合同条款另有约定外， </w:t>
      </w:r>
      <w:r>
        <w:rPr>
          <w:rFonts w:hint="eastAsia" w:ascii="宋体" w:hAnsi="宋体" w:cs="宋体"/>
          <w:color w:val="000000" w:themeColor="text1"/>
          <w:szCs w:val="21"/>
          <w:highlight w:val="none"/>
          <w:u w:val="single"/>
          <w14:textFill>
            <w14:solidFill>
              <w14:schemeClr w14:val="tx1"/>
            </w14:solidFill>
          </w14:textFill>
        </w:rPr>
        <w:t>承包人的临时用地（含项目部驻地等）租用费（含拆迁补偿）、临时用地的环保、恢复、临时用地的青苗补偿及地面附着物拆除等费用均由承包人负责</w:t>
      </w:r>
      <w:r>
        <w:rPr>
          <w:rFonts w:hint="eastAsia" w:hAnsi="宋体"/>
          <w:color w:val="000000" w:themeColor="text1"/>
          <w:szCs w:val="21"/>
          <w:highlight w:val="none"/>
          <w:u w:val="single"/>
          <w14:textFill>
            <w14:solidFill>
              <w14:schemeClr w14:val="tx1"/>
            </w14:solidFill>
          </w14:textFill>
        </w:rPr>
        <w:t xml:space="preserve"> ，费用在竞标报价中综合考虑。</w:t>
      </w:r>
    </w:p>
    <w:p w14:paraId="7BBAC6D3">
      <w:pPr>
        <w:autoSpaceDE w:val="0"/>
        <w:autoSpaceDN w:val="0"/>
        <w:adjustRightInd w:val="0"/>
        <w:spacing w:line="360" w:lineRule="auto"/>
        <w:ind w:firstLine="420" w:firstLineChars="200"/>
        <w:jc w:val="left"/>
        <w:rPr>
          <w:rFonts w:hAnsi="宋体"/>
          <w:color w:val="000000" w:themeColor="text1"/>
          <w:szCs w:val="21"/>
          <w:highlight w:val="none"/>
          <w:u w:val="single"/>
          <w14:textFill>
            <w14:solidFill>
              <w14:schemeClr w14:val="tx1"/>
            </w14:solidFill>
          </w14:textFill>
        </w:rPr>
      </w:pPr>
      <w:r>
        <w:rPr>
          <w:rFonts w:hint="eastAsia" w:hAnsi="宋体"/>
          <w:color w:val="000000" w:themeColor="text1"/>
          <w:szCs w:val="21"/>
          <w:highlight w:val="none"/>
          <w:u w:val="single"/>
          <w14:textFill>
            <w14:solidFill>
              <w14:schemeClr w14:val="tx1"/>
            </w14:solidFill>
          </w14:textFill>
        </w:rPr>
        <w:t>（2）承包人负责合同实施期间其合同段内临时交通道路（含场内外连接公共交通道路）和交通设施的修建、维修、养护和交通管理工作，并承担一切费用。</w:t>
      </w:r>
    </w:p>
    <w:p w14:paraId="492E9820">
      <w:pPr>
        <w:autoSpaceDE w:val="0"/>
        <w:autoSpaceDN w:val="0"/>
        <w:adjustRightInd w:val="0"/>
        <w:spacing w:line="360" w:lineRule="auto"/>
        <w:jc w:val="left"/>
        <w:rPr>
          <w:rFonts w:hAnsi="宋体"/>
          <w:color w:val="000000" w:themeColor="text1"/>
          <w:szCs w:val="21"/>
          <w:highlight w:val="none"/>
          <w:u w:val="single"/>
          <w14:textFill>
            <w14:solidFill>
              <w14:schemeClr w14:val="tx1"/>
            </w14:solidFill>
          </w14:textFill>
        </w:rPr>
      </w:pPr>
      <w:r>
        <w:rPr>
          <w:rFonts w:hint="eastAsia" w:hAnsi="宋体"/>
          <w:color w:val="000000" w:themeColor="text1"/>
          <w:szCs w:val="21"/>
          <w:highlight w:val="none"/>
          <w:u w:val="single"/>
          <w14:textFill>
            <w14:solidFill>
              <w14:schemeClr w14:val="tx1"/>
            </w14:solidFill>
          </w14:textFill>
        </w:rPr>
        <w:t>（3）承包人修建的临时道路和交通设施，应免费提供给发包人、监理人和其他合同段的承包人使用，如共同使用的路基损坏严重，发包人或监理人将负责通知有关承包人共同出资修复，若使用频率相差悬殊，则按比例分摊</w:t>
      </w:r>
      <w:r>
        <w:rPr>
          <w:rFonts w:hint="eastAsia" w:hAnsi="宋体"/>
          <w:color w:val="000000" w:themeColor="text1"/>
          <w:szCs w:val="21"/>
          <w:highlight w:val="none"/>
          <w14:textFill>
            <w14:solidFill>
              <w14:schemeClr w14:val="tx1"/>
            </w14:solidFill>
          </w14:textFill>
        </w:rPr>
        <w:t>。</w:t>
      </w:r>
    </w:p>
    <w:p w14:paraId="393C9CCD">
      <w:pPr>
        <w:autoSpaceDE w:val="0"/>
        <w:autoSpaceDN w:val="0"/>
        <w:adjustRightInd w:val="0"/>
        <w:spacing w:line="360" w:lineRule="auto"/>
        <w:ind w:firstLine="420" w:firstLineChars="20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8.8.2 </w:t>
      </w:r>
      <w:r>
        <w:rPr>
          <w:rFonts w:hint="eastAsia" w:hAnsi="宋体" w:cs="宋体"/>
          <w:color w:val="000000" w:themeColor="text1"/>
          <w:szCs w:val="21"/>
          <w:highlight w:val="none"/>
          <w14:textFill>
            <w14:solidFill>
              <w14:schemeClr w14:val="tx1"/>
            </w14:solidFill>
          </w14:textFill>
        </w:rPr>
        <w:t>发包人提供的施工设备和临时设施</w:t>
      </w:r>
    </w:p>
    <w:p w14:paraId="6CEEAF46">
      <w:pPr>
        <w:autoSpaceDE w:val="0"/>
        <w:autoSpaceDN w:val="0"/>
        <w:adjustRightInd w:val="0"/>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hAnsi="宋体" w:cs="宋体"/>
          <w:color w:val="000000" w:themeColor="text1"/>
          <w:szCs w:val="22"/>
          <w:highlight w:val="none"/>
          <w14:textFill>
            <w14:solidFill>
              <w14:schemeClr w14:val="tx1"/>
            </w14:solidFill>
          </w14:textFill>
        </w:rPr>
        <w:t>发包人提供的施工设备和临时设施：</w:t>
      </w:r>
      <w:r>
        <w:rPr>
          <w:rFonts w:hint="eastAsia" w:ascii="宋体" w:hAnsi="宋体" w:cs="宋体"/>
          <w:b/>
          <w:bCs/>
          <w:color w:val="000000" w:themeColor="text1"/>
          <w:szCs w:val="21"/>
          <w:highlight w:val="none"/>
          <w:u w:val="single"/>
          <w14:textFill>
            <w14:solidFill>
              <w14:schemeClr w14:val="tx1"/>
            </w14:solidFill>
          </w14:textFill>
        </w:rPr>
        <w:t>除专用合同条款另有约定的其他独立承包人和监理人指示的他人提供条件外，承包人运入施工场地的所有施工设备以及在施工场地建设的临时设施仅限于用本合同工程</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s="宋体"/>
          <w:b/>
          <w:bCs/>
          <w:color w:val="000000" w:themeColor="text1"/>
          <w:szCs w:val="21"/>
          <w:highlight w:val="none"/>
          <w:u w:val="single"/>
          <w14:textFill>
            <w14:solidFill>
              <w14:schemeClr w14:val="tx1"/>
            </w14:solidFill>
          </w14:textFill>
        </w:rPr>
        <w:t>塔吊和井架免费提供给发包人监理工程师用于本工程项目相关配套工程</w:t>
      </w:r>
      <w:r>
        <w:rPr>
          <w:rFonts w:hint="eastAsia" w:ascii="宋体" w:hAnsi="宋体" w:cs="宋体"/>
          <w:color w:val="000000" w:themeColor="text1"/>
          <w:szCs w:val="21"/>
          <w:highlight w:val="none"/>
          <w14:textFill>
            <w14:solidFill>
              <w14:schemeClr w14:val="tx1"/>
            </w14:solidFill>
          </w14:textFill>
        </w:rPr>
        <w:t>。</w:t>
      </w:r>
    </w:p>
    <w:p w14:paraId="75FDEBE8">
      <w:pPr>
        <w:autoSpaceDE w:val="0"/>
        <w:autoSpaceDN w:val="0"/>
        <w:adjustRightInd w:val="0"/>
        <w:spacing w:line="360" w:lineRule="auto"/>
        <w:ind w:firstLine="420" w:firstLineChars="200"/>
        <w:jc w:val="left"/>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发包人提供的施工设备和临时设施的运行、维护、拆除、清运费用的承担人：</w:t>
      </w:r>
      <w:r>
        <w:rPr>
          <w:rFonts w:hint="eastAsia" w:ascii="宋体" w:hAnsi="宋体"/>
          <w:color w:val="000000" w:themeColor="text1"/>
          <w:szCs w:val="21"/>
          <w:highlight w:val="none"/>
          <w:u w:val="single"/>
          <w14:textFill>
            <w14:solidFill>
              <w14:schemeClr w14:val="tx1"/>
            </w14:solidFill>
          </w14:textFill>
        </w:rPr>
        <w:t>承包人</w:t>
      </w:r>
      <w:r>
        <w:rPr>
          <w:rFonts w:hint="eastAsia" w:hAnsi="宋体" w:cs="宋体"/>
          <w:color w:val="000000" w:themeColor="text1"/>
          <w:szCs w:val="21"/>
          <w:highlight w:val="none"/>
          <w14:textFill>
            <w14:solidFill>
              <w14:schemeClr w14:val="tx1"/>
            </w14:solidFill>
          </w14:textFill>
        </w:rPr>
        <w:t>。</w:t>
      </w:r>
    </w:p>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p w14:paraId="0778DE72">
      <w:pPr>
        <w:keepNext/>
        <w:keepLines/>
        <w:spacing w:before="60" w:after="60" w:line="413" w:lineRule="auto"/>
        <w:outlineLvl w:val="1"/>
        <w:rPr>
          <w:rFonts w:ascii="Arial" w:hAnsi="Arial" w:eastAsia="黑体"/>
          <w:b/>
          <w:bCs/>
          <w:color w:val="000000" w:themeColor="text1"/>
          <w:sz w:val="32"/>
          <w:szCs w:val="32"/>
          <w:highlight w:val="none"/>
          <w:lang w:val="zh-CN"/>
          <w14:textFill>
            <w14:solidFill>
              <w14:schemeClr w14:val="tx1"/>
            </w14:solidFill>
          </w14:textFill>
        </w:rPr>
      </w:pPr>
      <w:bookmarkStart w:id="544" w:name="_Toc389065302"/>
      <w:bookmarkStart w:id="545" w:name="_Toc407135238"/>
      <w:bookmarkStart w:id="546" w:name="_Toc373227736"/>
      <w:bookmarkStart w:id="547" w:name="_Toc373478383"/>
      <w:bookmarkStart w:id="548" w:name="_Toc78449824"/>
      <w:bookmarkStart w:id="549" w:name="_Toc351203641"/>
      <w:bookmarkStart w:id="550" w:name="_Toc114058875"/>
      <w:r>
        <w:rPr>
          <w:rFonts w:ascii="Arial" w:hAnsi="Arial" w:eastAsia="黑体"/>
          <w:b/>
          <w:bCs/>
          <w:color w:val="000000" w:themeColor="text1"/>
          <w:sz w:val="32"/>
          <w:szCs w:val="32"/>
          <w:highlight w:val="none"/>
          <w:lang w:val="zh-CN"/>
          <w14:textFill>
            <w14:solidFill>
              <w14:schemeClr w14:val="tx1"/>
            </w14:solidFill>
          </w14:textFill>
        </w:rPr>
        <w:t>9</w:t>
      </w:r>
      <w:bookmarkEnd w:id="511"/>
      <w:bookmarkEnd w:id="512"/>
      <w:bookmarkEnd w:id="513"/>
      <w:bookmarkStart w:id="551" w:name="_Toc300934982"/>
      <w:bookmarkStart w:id="552" w:name="_Toc303539139"/>
      <w:bookmarkStart w:id="553" w:name="_Toc312678021"/>
      <w:bookmarkStart w:id="554" w:name="_Toc304295559"/>
      <w:bookmarkStart w:id="555" w:name="_Toc297123533"/>
      <w:bookmarkStart w:id="556" w:name="_Toc312677495"/>
      <w:bookmarkStart w:id="557" w:name="_Toc297216192"/>
      <w:bookmarkStart w:id="558" w:name="_Toc297120473"/>
      <w:bookmarkStart w:id="559" w:name="_Toc296944512"/>
      <w:bookmarkStart w:id="560" w:name="_Toc297048359"/>
      <w:bookmarkStart w:id="561" w:name="_Toc296346674"/>
      <w:bookmarkStart w:id="562" w:name="_Toc296891001"/>
      <w:bookmarkStart w:id="563" w:name="_Toc267251428"/>
      <w:bookmarkStart w:id="564" w:name="_Toc296503173"/>
      <w:bookmarkStart w:id="565" w:name="_Toc292559883"/>
      <w:bookmarkStart w:id="566" w:name="_Toc296891213"/>
      <w:bookmarkStart w:id="567" w:name="_Toc292559378"/>
      <w:bookmarkStart w:id="568" w:name="_Toc267251427"/>
      <w:bookmarkStart w:id="569" w:name="_Toc296347172"/>
      <w:r>
        <w:rPr>
          <w:rFonts w:ascii="Arial" w:hAnsi="Arial" w:eastAsia="黑体"/>
          <w:b/>
          <w:bCs/>
          <w:color w:val="000000" w:themeColor="text1"/>
          <w:sz w:val="32"/>
          <w:szCs w:val="32"/>
          <w:highlight w:val="none"/>
          <w:lang w:val="zh-CN"/>
          <w14:textFill>
            <w14:solidFill>
              <w14:schemeClr w14:val="tx1"/>
            </w14:solidFill>
          </w14:textFill>
        </w:rPr>
        <w:t xml:space="preserve">. </w:t>
      </w:r>
      <w:r>
        <w:rPr>
          <w:rFonts w:hint="eastAsia" w:ascii="Arial" w:hAnsi="Arial" w:eastAsia="黑体" w:cs="黑体"/>
          <w:b/>
          <w:bCs/>
          <w:color w:val="000000" w:themeColor="text1"/>
          <w:sz w:val="32"/>
          <w:szCs w:val="32"/>
          <w:highlight w:val="none"/>
          <w:lang w:val="zh-CN"/>
          <w14:textFill>
            <w14:solidFill>
              <w14:schemeClr w14:val="tx1"/>
            </w14:solidFill>
          </w14:textFill>
        </w:rPr>
        <w:t>试验与检验</w:t>
      </w:r>
      <w:bookmarkEnd w:id="544"/>
      <w:bookmarkEnd w:id="545"/>
      <w:bookmarkEnd w:id="546"/>
      <w:bookmarkEnd w:id="547"/>
      <w:bookmarkEnd w:id="548"/>
      <w:bookmarkEnd w:id="549"/>
      <w:bookmarkEnd w:id="550"/>
    </w:p>
    <w:bookmarkEnd w:id="551"/>
    <w:bookmarkEnd w:id="552"/>
    <w:bookmarkEnd w:id="553"/>
    <w:bookmarkEnd w:id="554"/>
    <w:bookmarkEnd w:id="555"/>
    <w:bookmarkEnd w:id="556"/>
    <w:bookmarkEnd w:id="557"/>
    <w:p w14:paraId="0AE4BFC3">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570" w:name="_Toc373478384"/>
      <w:bookmarkStart w:id="571" w:name="_Toc407135239"/>
      <w:bookmarkStart w:id="572" w:name="_Toc78449825"/>
      <w:bookmarkStart w:id="573" w:name="_Toc114058876"/>
      <w:bookmarkStart w:id="574" w:name="_Toc389065303"/>
      <w:bookmarkStart w:id="575" w:name="_Toc373227737"/>
      <w:r>
        <w:rPr>
          <w:rFonts w:eastAsia="黑体"/>
          <w:b/>
          <w:bCs/>
          <w:color w:val="000000" w:themeColor="text1"/>
          <w:sz w:val="32"/>
          <w:szCs w:val="32"/>
          <w:highlight w:val="none"/>
          <w:lang w:val="zh-CN"/>
          <w14:textFill>
            <w14:solidFill>
              <w14:schemeClr w14:val="tx1"/>
            </w14:solidFill>
          </w14:textFill>
        </w:rPr>
        <w:t>9</w:t>
      </w:r>
      <w:bookmarkStart w:id="576" w:name="_Toc297123534"/>
      <w:bookmarkStart w:id="577" w:name="_Toc312678022"/>
      <w:bookmarkStart w:id="578" w:name="_Toc297216193"/>
      <w:bookmarkStart w:id="579" w:name="_Toc312677496"/>
      <w:bookmarkStart w:id="580" w:name="_Toc300934983"/>
      <w:bookmarkStart w:id="581" w:name="_Toc304295560"/>
      <w:bookmarkStart w:id="582" w:name="_Toc303539140"/>
      <w:r>
        <w:rPr>
          <w:rFonts w:eastAsia="黑体"/>
          <w:b/>
          <w:bCs/>
          <w:color w:val="000000" w:themeColor="text1"/>
          <w:sz w:val="32"/>
          <w:szCs w:val="32"/>
          <w:highlight w:val="none"/>
          <w:lang w:val="zh-CN"/>
          <w14:textFill>
            <w14:solidFill>
              <w14:schemeClr w14:val="tx1"/>
            </w14:solidFill>
          </w14:textFill>
        </w:rPr>
        <w:t xml:space="preserve">.1 </w:t>
      </w:r>
      <w:r>
        <w:rPr>
          <w:rFonts w:hint="eastAsia" w:eastAsia="黑体" w:cs="黑体"/>
          <w:b/>
          <w:bCs/>
          <w:color w:val="000000" w:themeColor="text1"/>
          <w:sz w:val="32"/>
          <w:szCs w:val="32"/>
          <w:highlight w:val="none"/>
          <w:lang w:val="zh-CN"/>
          <w14:textFill>
            <w14:solidFill>
              <w14:schemeClr w14:val="tx1"/>
            </w14:solidFill>
          </w14:textFill>
        </w:rPr>
        <w:t>试验设备与试验人员</w:t>
      </w:r>
      <w:bookmarkEnd w:id="570"/>
      <w:bookmarkEnd w:id="571"/>
      <w:bookmarkEnd w:id="572"/>
      <w:bookmarkEnd w:id="573"/>
      <w:bookmarkEnd w:id="574"/>
      <w:bookmarkEnd w:id="575"/>
    </w:p>
    <w:bookmarkEnd w:id="576"/>
    <w:bookmarkEnd w:id="577"/>
    <w:bookmarkEnd w:id="578"/>
    <w:bookmarkEnd w:id="579"/>
    <w:bookmarkEnd w:id="580"/>
    <w:bookmarkEnd w:id="581"/>
    <w:bookmarkEnd w:id="582"/>
    <w:p w14:paraId="6017D148">
      <w:pPr>
        <w:spacing w:line="360" w:lineRule="auto"/>
        <w:ind w:firstLine="420" w:firstLineChars="20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9</w:t>
      </w:r>
      <w:bookmarkStart w:id="583" w:name="_Toc297216194"/>
      <w:bookmarkStart w:id="584" w:name="_Toc297123535"/>
      <w:bookmarkStart w:id="585" w:name="_Toc312678023"/>
      <w:bookmarkStart w:id="586" w:name="_Toc304295561"/>
      <w:bookmarkStart w:id="587" w:name="_Toc312677497"/>
      <w:bookmarkStart w:id="588" w:name="_Toc303539141"/>
      <w:bookmarkStart w:id="589" w:name="_Toc300934984"/>
      <w:bookmarkStart w:id="590" w:name="_Toc318581174"/>
      <w:r>
        <w:rPr>
          <w:color w:val="000000" w:themeColor="text1"/>
          <w:szCs w:val="21"/>
          <w:highlight w:val="none"/>
          <w14:textFill>
            <w14:solidFill>
              <w14:schemeClr w14:val="tx1"/>
            </w14:solidFill>
          </w14:textFill>
        </w:rPr>
        <w:t xml:space="preserve">.1.2 </w:t>
      </w:r>
      <w:r>
        <w:rPr>
          <w:rFonts w:hint="eastAsia" w:hAnsi="宋体" w:cs="宋体"/>
          <w:color w:val="000000" w:themeColor="text1"/>
          <w:szCs w:val="21"/>
          <w:highlight w:val="none"/>
          <w14:textFill>
            <w14:solidFill>
              <w14:schemeClr w14:val="tx1"/>
            </w14:solidFill>
          </w14:textFill>
        </w:rPr>
        <w:t>试验设备</w:t>
      </w:r>
    </w:p>
    <w:bookmarkEnd w:id="583"/>
    <w:bookmarkEnd w:id="584"/>
    <w:bookmarkEnd w:id="585"/>
    <w:bookmarkEnd w:id="586"/>
    <w:bookmarkEnd w:id="587"/>
    <w:bookmarkEnd w:id="588"/>
    <w:bookmarkEnd w:id="589"/>
    <w:p w14:paraId="13CDACFD">
      <w:pPr>
        <w:spacing w:line="360" w:lineRule="auto"/>
        <w:ind w:firstLine="420" w:firstLineChars="200"/>
        <w:jc w:val="left"/>
        <w:rPr>
          <w:color w:val="000000" w:themeColor="text1"/>
          <w:szCs w:val="21"/>
          <w:highlight w:val="none"/>
          <w:u w:val="single"/>
          <w14:textFill>
            <w14:solidFill>
              <w14:schemeClr w14:val="tx1"/>
            </w14:solidFill>
          </w14:textFill>
        </w:rPr>
      </w:pPr>
      <w:bookmarkStart w:id="591" w:name="_Toc312678024"/>
      <w:bookmarkStart w:id="592" w:name="_Toc297123536"/>
      <w:bookmarkStart w:id="593" w:name="_Toc300934985"/>
      <w:bookmarkStart w:id="594" w:name="_Toc303539142"/>
      <w:bookmarkStart w:id="595" w:name="_Toc312677498"/>
      <w:bookmarkStart w:id="596" w:name="_Toc304295562"/>
      <w:bookmarkStart w:id="597" w:name="_Toc297216195"/>
      <w:r>
        <w:rPr>
          <w:rFonts w:hAnsi="宋体"/>
          <w:color w:val="000000" w:themeColor="text1"/>
          <w:szCs w:val="21"/>
          <w:highlight w:val="none"/>
          <w14:textFill>
            <w14:solidFill>
              <w14:schemeClr w14:val="tx1"/>
            </w14:solidFill>
          </w14:textFill>
        </w:rPr>
        <w:t>施工现场需要配置的试验场所：</w:t>
      </w:r>
      <w:r>
        <w:rPr>
          <w:color w:val="000000" w:themeColor="text1"/>
          <w:szCs w:val="21"/>
          <w:highlight w:val="none"/>
          <w:u w:val="single"/>
          <w14:textFill>
            <w14:solidFill>
              <w14:schemeClr w14:val="tx1"/>
            </w14:solidFill>
          </w14:textFill>
        </w:rPr>
        <w:t xml:space="preserve"> 按有关规定执行，其余均按本合同《通用条款》第 9.1.2款规定执行</w:t>
      </w:r>
      <w:r>
        <w:rPr>
          <w:rFonts w:hAnsi="宋体"/>
          <w:color w:val="000000" w:themeColor="text1"/>
          <w:szCs w:val="21"/>
          <w:highlight w:val="none"/>
          <w14:textFill>
            <w14:solidFill>
              <w14:schemeClr w14:val="tx1"/>
            </w14:solidFill>
          </w14:textFill>
        </w:rPr>
        <w:t>。</w:t>
      </w:r>
    </w:p>
    <w:p w14:paraId="1A3850B9">
      <w:pPr>
        <w:spacing w:line="360" w:lineRule="auto"/>
        <w:ind w:firstLine="420" w:firstLineChars="200"/>
        <w:jc w:val="left"/>
        <w:rPr>
          <w:color w:val="000000" w:themeColor="text1"/>
          <w:szCs w:val="21"/>
          <w:highlight w:val="none"/>
          <w:u w:val="single"/>
          <w14:textFill>
            <w14:solidFill>
              <w14:schemeClr w14:val="tx1"/>
            </w14:solidFill>
          </w14:textFill>
        </w:rPr>
      </w:pPr>
      <w:r>
        <w:rPr>
          <w:rFonts w:hAnsi="宋体"/>
          <w:color w:val="000000" w:themeColor="text1"/>
          <w:szCs w:val="21"/>
          <w:highlight w:val="none"/>
          <w14:textFill>
            <w14:solidFill>
              <w14:schemeClr w14:val="tx1"/>
            </w14:solidFill>
          </w14:textFill>
        </w:rPr>
        <w:t>施工现场需要配备的试验设备：</w:t>
      </w:r>
      <w:r>
        <w:rPr>
          <w:color w:val="000000" w:themeColor="text1"/>
          <w:szCs w:val="21"/>
          <w:highlight w:val="none"/>
          <w:u w:val="single"/>
          <w14:textFill>
            <w14:solidFill>
              <w14:schemeClr w14:val="tx1"/>
            </w14:solidFill>
          </w14:textFill>
        </w:rPr>
        <w:t>按有关规定执行，其余均按本合同《通用条款》第 9.1.2款规定执行</w:t>
      </w:r>
      <w:r>
        <w:rPr>
          <w:rFonts w:hAnsi="宋体"/>
          <w:color w:val="000000" w:themeColor="text1"/>
          <w:szCs w:val="21"/>
          <w:highlight w:val="none"/>
          <w14:textFill>
            <w14:solidFill>
              <w14:schemeClr w14:val="tx1"/>
            </w14:solidFill>
          </w14:textFill>
        </w:rPr>
        <w:t>。</w:t>
      </w:r>
    </w:p>
    <w:p w14:paraId="13DA0F1D">
      <w:pPr>
        <w:spacing w:line="360" w:lineRule="auto"/>
        <w:ind w:firstLine="420" w:firstLineChars="200"/>
        <w:jc w:val="left"/>
        <w:rPr>
          <w:color w:val="000000" w:themeColor="text1"/>
          <w:szCs w:val="22"/>
          <w:highlight w:val="none"/>
          <w:u w:val="single"/>
          <w14:textFill>
            <w14:solidFill>
              <w14:schemeClr w14:val="tx1"/>
            </w14:solidFill>
          </w14:textFill>
        </w:rPr>
      </w:pPr>
      <w:r>
        <w:rPr>
          <w:rFonts w:hAnsi="宋体"/>
          <w:color w:val="000000" w:themeColor="text1"/>
          <w:szCs w:val="21"/>
          <w:highlight w:val="none"/>
          <w14:textFill>
            <w14:solidFill>
              <w14:schemeClr w14:val="tx1"/>
            </w14:solidFill>
          </w14:textFill>
        </w:rPr>
        <w:t>施工现场需要具备的其他试验条件：</w:t>
      </w:r>
      <w:r>
        <w:rPr>
          <w:color w:val="000000" w:themeColor="text1"/>
          <w:szCs w:val="21"/>
          <w:highlight w:val="none"/>
          <w:u w:val="single"/>
          <w14:textFill>
            <w14:solidFill>
              <w14:schemeClr w14:val="tx1"/>
            </w14:solidFill>
          </w14:textFill>
        </w:rPr>
        <w:t>按有关规定执行，其余均按本合同《通用条款》第 9.1.2款规定执行</w:t>
      </w:r>
      <w:r>
        <w:rPr>
          <w:rFonts w:hAnsi="宋体"/>
          <w:color w:val="000000" w:themeColor="text1"/>
          <w:szCs w:val="21"/>
          <w:highlight w:val="none"/>
          <w14:textFill>
            <w14:solidFill>
              <w14:schemeClr w14:val="tx1"/>
            </w14:solidFill>
          </w14:textFill>
        </w:rPr>
        <w:t>。</w:t>
      </w:r>
    </w:p>
    <w:p w14:paraId="4F94C6C6">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598" w:name="_Toc389065304"/>
      <w:bookmarkStart w:id="599" w:name="_Toc114058877"/>
      <w:bookmarkStart w:id="600" w:name="_Toc373478385"/>
      <w:bookmarkStart w:id="601" w:name="_Toc373227738"/>
      <w:bookmarkStart w:id="602" w:name="_Toc78449826"/>
      <w:bookmarkStart w:id="603" w:name="_Toc407135240"/>
      <w:r>
        <w:rPr>
          <w:rFonts w:eastAsia="黑体"/>
          <w:b/>
          <w:bCs/>
          <w:color w:val="000000" w:themeColor="text1"/>
          <w:sz w:val="32"/>
          <w:szCs w:val="32"/>
          <w:highlight w:val="none"/>
          <w:lang w:val="zh-CN"/>
          <w14:textFill>
            <w14:solidFill>
              <w14:schemeClr w14:val="tx1"/>
            </w14:solidFill>
          </w14:textFill>
        </w:rPr>
        <w:t xml:space="preserve">9.4 </w:t>
      </w:r>
      <w:r>
        <w:rPr>
          <w:rFonts w:hint="eastAsia" w:hAnsi="宋体" w:eastAsia="黑体" w:cs="黑体"/>
          <w:b/>
          <w:bCs/>
          <w:color w:val="000000" w:themeColor="text1"/>
          <w:sz w:val="32"/>
          <w:szCs w:val="32"/>
          <w:highlight w:val="none"/>
          <w:lang w:val="zh-CN"/>
          <w14:textFill>
            <w14:solidFill>
              <w14:schemeClr w14:val="tx1"/>
            </w14:solidFill>
          </w14:textFill>
        </w:rPr>
        <w:t>现场工艺试验</w:t>
      </w:r>
      <w:bookmarkEnd w:id="598"/>
      <w:bookmarkEnd w:id="599"/>
      <w:bookmarkEnd w:id="600"/>
      <w:bookmarkEnd w:id="601"/>
      <w:bookmarkEnd w:id="602"/>
      <w:bookmarkEnd w:id="603"/>
    </w:p>
    <w:p w14:paraId="20F38559">
      <w:pPr>
        <w:spacing w:line="360" w:lineRule="auto"/>
        <w:ind w:firstLine="420" w:firstLineChars="200"/>
        <w:jc w:val="left"/>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现场工艺试验的有关约定：</w:t>
      </w:r>
      <w:r>
        <w:rPr>
          <w:rFonts w:hint="eastAsia"/>
          <w:color w:val="000000" w:themeColor="text1"/>
          <w:szCs w:val="21"/>
          <w:highlight w:val="none"/>
          <w:u w:val="single"/>
          <w14:textFill>
            <w14:solidFill>
              <w14:schemeClr w14:val="tx1"/>
            </w14:solidFill>
          </w14:textFill>
        </w:rPr>
        <w:t>按照通用条款执行</w:t>
      </w:r>
      <w:r>
        <w:rPr>
          <w:rFonts w:hint="eastAsia" w:hAnsi="宋体" w:cs="宋体"/>
          <w:color w:val="000000" w:themeColor="text1"/>
          <w:szCs w:val="21"/>
          <w:highlight w:val="none"/>
          <w14:textFill>
            <w14:solidFill>
              <w14:schemeClr w14:val="tx1"/>
            </w14:solidFill>
          </w14:textFill>
        </w:rPr>
        <w:t>。</w:t>
      </w:r>
    </w:p>
    <w:p w14:paraId="5E0AFDBD">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604" w:name="_Toc114058878"/>
      <w:bookmarkStart w:id="605" w:name="_Toc78449827"/>
      <w:bookmarkStart w:id="606" w:name="_Toc407135241"/>
      <w:bookmarkStart w:id="607" w:name="OLE_LINK1"/>
      <w:r>
        <w:rPr>
          <w:rFonts w:eastAsia="黑体"/>
          <w:b/>
          <w:bCs/>
          <w:color w:val="000000" w:themeColor="text1"/>
          <w:sz w:val="32"/>
          <w:szCs w:val="32"/>
          <w:highlight w:val="none"/>
          <w:lang w:val="zh-CN"/>
          <w14:textFill>
            <w14:solidFill>
              <w14:schemeClr w14:val="tx1"/>
            </w14:solidFill>
          </w14:textFill>
        </w:rPr>
        <w:t xml:space="preserve">9.5 </w:t>
      </w:r>
      <w:r>
        <w:rPr>
          <w:rFonts w:hint="eastAsia" w:hAnsi="宋体" w:eastAsia="黑体" w:cs="黑体"/>
          <w:b/>
          <w:bCs/>
          <w:color w:val="000000" w:themeColor="text1"/>
          <w:sz w:val="32"/>
          <w:szCs w:val="32"/>
          <w:highlight w:val="none"/>
          <w:lang w:val="zh-CN"/>
          <w14:textFill>
            <w14:solidFill>
              <w14:schemeClr w14:val="tx1"/>
            </w14:solidFill>
          </w14:textFill>
        </w:rPr>
        <w:t>检验费用</w:t>
      </w:r>
      <w:bookmarkEnd w:id="604"/>
      <w:bookmarkEnd w:id="605"/>
      <w:bookmarkEnd w:id="606"/>
    </w:p>
    <w:p w14:paraId="01EA14D8">
      <w:pPr>
        <w:spacing w:line="360" w:lineRule="auto"/>
        <w:ind w:firstLine="411" w:firstLineChars="196"/>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根据《建设工程质量检测管理办法》（建设部令第</w:t>
      </w:r>
      <w:r>
        <w:rPr>
          <w:color w:val="000000" w:themeColor="text1"/>
          <w:szCs w:val="21"/>
          <w:highlight w:val="none"/>
          <w14:textFill>
            <w14:solidFill>
              <w14:schemeClr w14:val="tx1"/>
            </w14:solidFill>
          </w14:textFill>
        </w:rPr>
        <w:t>141</w:t>
      </w:r>
      <w:r>
        <w:rPr>
          <w:rFonts w:hint="eastAsia" w:hAnsi="宋体" w:cs="宋体"/>
          <w:color w:val="000000" w:themeColor="text1"/>
          <w:szCs w:val="21"/>
          <w:highlight w:val="none"/>
          <w14:textFill>
            <w14:solidFill>
              <w14:schemeClr w14:val="tx1"/>
            </w14:solidFill>
          </w14:textFill>
        </w:rPr>
        <w:t>号）以及《广西壮族自治区建设工程质量检测管理规定》</w:t>
      </w:r>
      <w:r>
        <w:rPr>
          <w:rFonts w:hint="eastAsia" w:cs="宋体"/>
          <w:color w:val="000000" w:themeColor="text1"/>
          <w:szCs w:val="21"/>
          <w:highlight w:val="none"/>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桂建管</w:t>
      </w:r>
      <w:r>
        <w:rPr>
          <w:rFonts w:hint="eastAsia" w:cs="宋体"/>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2013</w:t>
      </w:r>
      <w:r>
        <w:rPr>
          <w:rFonts w:hint="eastAsia" w:cs="宋体"/>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11</w:t>
      </w:r>
      <w:r>
        <w:rPr>
          <w:rFonts w:hint="eastAsia" w:hAnsi="宋体" w:cs="宋体"/>
          <w:color w:val="000000" w:themeColor="text1"/>
          <w:szCs w:val="21"/>
          <w:highlight w:val="none"/>
          <w14:textFill>
            <w14:solidFill>
              <w14:schemeClr w14:val="tx1"/>
            </w14:solidFill>
          </w14:textFill>
        </w:rPr>
        <w:t>号</w:t>
      </w:r>
      <w:r>
        <w:rPr>
          <w:rFonts w:hint="eastAsia" w:cs="宋体"/>
          <w:color w:val="000000" w:themeColor="text1"/>
          <w:szCs w:val="21"/>
          <w:highlight w:val="none"/>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规定，工程质量检测业务由发包人委托有相应资质的检测机构检测。费用从发包人的项目建设经费中支出并直接支付给检测机构，不计入合同价款内。</w:t>
      </w:r>
    </w:p>
    <w:bookmarkEnd w:id="590"/>
    <w:bookmarkEnd w:id="591"/>
    <w:bookmarkEnd w:id="592"/>
    <w:bookmarkEnd w:id="593"/>
    <w:bookmarkEnd w:id="594"/>
    <w:bookmarkEnd w:id="595"/>
    <w:bookmarkEnd w:id="596"/>
    <w:bookmarkEnd w:id="597"/>
    <w:bookmarkEnd w:id="607"/>
    <w:p w14:paraId="097628DB">
      <w:pPr>
        <w:keepNext/>
        <w:keepLines/>
        <w:spacing w:before="60" w:after="60" w:line="413" w:lineRule="auto"/>
        <w:outlineLvl w:val="1"/>
        <w:rPr>
          <w:rFonts w:ascii="Arial" w:hAnsi="Arial" w:eastAsia="黑体"/>
          <w:b/>
          <w:bCs/>
          <w:color w:val="000000" w:themeColor="text1"/>
          <w:sz w:val="32"/>
          <w:szCs w:val="32"/>
          <w:highlight w:val="none"/>
          <w:lang w:val="zh-CN"/>
          <w14:textFill>
            <w14:solidFill>
              <w14:schemeClr w14:val="tx1"/>
            </w14:solidFill>
          </w14:textFill>
        </w:rPr>
      </w:pPr>
      <w:bookmarkStart w:id="608" w:name="_Toc351203642"/>
      <w:bookmarkStart w:id="609" w:name="_Toc373478386"/>
      <w:bookmarkStart w:id="610" w:name="_Toc407135242"/>
      <w:bookmarkStart w:id="611" w:name="_Toc114058879"/>
      <w:bookmarkStart w:id="612" w:name="_Toc373227739"/>
      <w:bookmarkStart w:id="613" w:name="_Toc78449828"/>
      <w:bookmarkStart w:id="614" w:name="_Toc389065305"/>
      <w:r>
        <w:rPr>
          <w:rFonts w:ascii="Arial" w:hAnsi="Arial" w:eastAsia="黑体"/>
          <w:b/>
          <w:bCs/>
          <w:color w:val="000000" w:themeColor="text1"/>
          <w:sz w:val="32"/>
          <w:szCs w:val="32"/>
          <w:highlight w:val="none"/>
          <w:lang w:val="zh-CN"/>
          <w14:textFill>
            <w14:solidFill>
              <w14:schemeClr w14:val="tx1"/>
            </w14:solidFill>
          </w14:textFill>
        </w:rPr>
        <w:t>1</w:t>
      </w:r>
      <w:bookmarkEnd w:id="558"/>
      <w:bookmarkEnd w:id="559"/>
      <w:bookmarkEnd w:id="560"/>
      <w:bookmarkEnd w:id="561"/>
      <w:bookmarkEnd w:id="562"/>
      <w:bookmarkEnd w:id="563"/>
      <w:bookmarkEnd w:id="564"/>
      <w:bookmarkEnd w:id="565"/>
      <w:bookmarkEnd w:id="566"/>
      <w:bookmarkEnd w:id="567"/>
      <w:bookmarkEnd w:id="568"/>
      <w:bookmarkEnd w:id="569"/>
      <w:bookmarkStart w:id="615" w:name="_Toc296891021"/>
      <w:bookmarkStart w:id="616" w:name="_Toc296347192"/>
      <w:bookmarkStart w:id="617" w:name="_Toc297120493"/>
      <w:bookmarkStart w:id="618" w:name="_Toc297123540"/>
      <w:bookmarkStart w:id="619" w:name="_Toc300934989"/>
      <w:bookmarkStart w:id="620" w:name="_Toc303539146"/>
      <w:bookmarkStart w:id="621" w:name="_Toc297216199"/>
      <w:bookmarkStart w:id="622" w:name="_Toc296891233"/>
      <w:bookmarkStart w:id="623" w:name="_Toc292559398"/>
      <w:bookmarkStart w:id="624" w:name="_Toc292559903"/>
      <w:bookmarkStart w:id="625" w:name="_Toc296944532"/>
      <w:bookmarkStart w:id="626" w:name="_Toc297048379"/>
      <w:bookmarkStart w:id="627" w:name="_Toc296346694"/>
      <w:bookmarkStart w:id="628" w:name="_Toc304295566"/>
      <w:bookmarkStart w:id="629" w:name="_Toc296503193"/>
      <w:bookmarkStart w:id="630" w:name="_Toc312678025"/>
      <w:bookmarkStart w:id="631" w:name="_Toc312677499"/>
      <w:bookmarkStart w:id="632" w:name="_Toc267251440"/>
      <w:bookmarkStart w:id="633" w:name="_Toc267251437"/>
      <w:bookmarkStart w:id="634" w:name="_Toc267251435"/>
      <w:bookmarkStart w:id="635" w:name="_Toc267251439"/>
      <w:bookmarkStart w:id="636" w:name="_Toc267251441"/>
      <w:bookmarkStart w:id="637" w:name="_Toc267251433"/>
      <w:bookmarkStart w:id="638" w:name="_Toc267251442"/>
      <w:r>
        <w:rPr>
          <w:rFonts w:ascii="Arial" w:hAnsi="Arial" w:eastAsia="黑体"/>
          <w:b/>
          <w:bCs/>
          <w:color w:val="000000" w:themeColor="text1"/>
          <w:sz w:val="32"/>
          <w:szCs w:val="32"/>
          <w:highlight w:val="none"/>
          <w:lang w:val="zh-CN"/>
          <w14:textFill>
            <w14:solidFill>
              <w14:schemeClr w14:val="tx1"/>
            </w14:solidFill>
          </w14:textFill>
        </w:rPr>
        <w:t xml:space="preserve">0. </w:t>
      </w:r>
      <w:r>
        <w:rPr>
          <w:rFonts w:hint="eastAsia" w:ascii="Arial" w:hAnsi="宋体" w:eastAsia="黑体" w:cs="黑体"/>
          <w:b/>
          <w:bCs/>
          <w:color w:val="000000" w:themeColor="text1"/>
          <w:sz w:val="32"/>
          <w:szCs w:val="32"/>
          <w:highlight w:val="none"/>
          <w:lang w:val="zh-CN"/>
          <w14:textFill>
            <w14:solidFill>
              <w14:schemeClr w14:val="tx1"/>
            </w14:solidFill>
          </w14:textFill>
        </w:rPr>
        <w:t>变更</w:t>
      </w:r>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p>
    <w:bookmarkEnd w:id="630"/>
    <w:bookmarkEnd w:id="631"/>
    <w:p w14:paraId="2B6EDDE3">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639" w:name="_Toc373227740"/>
      <w:bookmarkStart w:id="640" w:name="_Toc407135243"/>
      <w:bookmarkStart w:id="641" w:name="_Toc389065306"/>
      <w:bookmarkStart w:id="642" w:name="_Toc114058880"/>
      <w:bookmarkStart w:id="643" w:name="_Toc78449829"/>
      <w:bookmarkStart w:id="644" w:name="_Toc373478387"/>
      <w:r>
        <w:rPr>
          <w:rFonts w:eastAsia="黑体"/>
          <w:b/>
          <w:bCs/>
          <w:color w:val="000000" w:themeColor="text1"/>
          <w:sz w:val="32"/>
          <w:szCs w:val="32"/>
          <w:highlight w:val="none"/>
          <w:lang w:val="zh-CN"/>
          <w14:textFill>
            <w14:solidFill>
              <w14:schemeClr w14:val="tx1"/>
            </w14:solidFill>
          </w14:textFill>
        </w:rPr>
        <w:t>1</w:t>
      </w:r>
      <w:bookmarkStart w:id="645" w:name="_Toc296347193"/>
      <w:bookmarkStart w:id="646" w:name="_Toc297048380"/>
      <w:bookmarkStart w:id="647" w:name="_Toc296891234"/>
      <w:bookmarkStart w:id="648" w:name="_Toc297120494"/>
      <w:bookmarkStart w:id="649" w:name="_Toc296891022"/>
      <w:bookmarkStart w:id="650" w:name="_Toc296503194"/>
      <w:bookmarkStart w:id="651" w:name="_Toc297216200"/>
      <w:bookmarkStart w:id="652" w:name="_Toc300934990"/>
      <w:bookmarkStart w:id="653" w:name="_Toc297123541"/>
      <w:bookmarkStart w:id="654" w:name="_Toc312678026"/>
      <w:bookmarkStart w:id="655" w:name="_Toc303539147"/>
      <w:bookmarkStart w:id="656" w:name="_Toc292559399"/>
      <w:bookmarkStart w:id="657" w:name="_Toc304295567"/>
      <w:bookmarkStart w:id="658" w:name="_Toc296346695"/>
      <w:bookmarkStart w:id="659" w:name="_Toc296944533"/>
      <w:bookmarkStart w:id="660" w:name="_Toc312677500"/>
      <w:bookmarkStart w:id="661" w:name="_Toc292559904"/>
      <w:r>
        <w:rPr>
          <w:rFonts w:eastAsia="黑体"/>
          <w:b/>
          <w:bCs/>
          <w:color w:val="000000" w:themeColor="text1"/>
          <w:sz w:val="32"/>
          <w:szCs w:val="32"/>
          <w:highlight w:val="none"/>
          <w:lang w:val="zh-CN"/>
          <w14:textFill>
            <w14:solidFill>
              <w14:schemeClr w14:val="tx1"/>
            </w14:solidFill>
          </w14:textFill>
        </w:rPr>
        <w:t xml:space="preserve">0.1 </w:t>
      </w:r>
      <w:r>
        <w:rPr>
          <w:rFonts w:hint="eastAsia" w:hAnsi="宋体" w:eastAsia="黑体" w:cs="黑体"/>
          <w:b/>
          <w:bCs/>
          <w:color w:val="000000" w:themeColor="text1"/>
          <w:sz w:val="32"/>
          <w:szCs w:val="32"/>
          <w:highlight w:val="none"/>
          <w:lang w:val="zh-CN"/>
          <w14:textFill>
            <w14:solidFill>
              <w14:schemeClr w14:val="tx1"/>
            </w14:solidFill>
          </w14:textFill>
        </w:rPr>
        <w:t>变更的范围</w:t>
      </w:r>
      <w:bookmarkEnd w:id="639"/>
      <w:bookmarkEnd w:id="640"/>
      <w:bookmarkEnd w:id="641"/>
      <w:bookmarkEnd w:id="642"/>
      <w:bookmarkEnd w:id="643"/>
      <w:bookmarkEnd w:id="644"/>
    </w:p>
    <w:p w14:paraId="143C5B16">
      <w:pPr>
        <w:spacing w:line="360" w:lineRule="auto"/>
        <w:ind w:firstLine="426"/>
        <w:jc w:val="left"/>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关于变更的范围的约定：</w:t>
      </w:r>
      <w:r>
        <w:rPr>
          <w:rFonts w:hint="eastAsia"/>
          <w:color w:val="000000" w:themeColor="text1"/>
          <w:szCs w:val="21"/>
          <w:highlight w:val="none"/>
          <w:u w:val="single"/>
          <w14:textFill>
            <w14:solidFill>
              <w14:schemeClr w14:val="tx1"/>
            </w14:solidFill>
          </w14:textFill>
        </w:rPr>
        <w:t>按照通用条款执行</w:t>
      </w:r>
      <w:r>
        <w:rPr>
          <w:rFonts w:hint="eastAsia" w:hAnsi="宋体" w:cs="宋体"/>
          <w:color w:val="000000" w:themeColor="text1"/>
          <w:szCs w:val="21"/>
          <w:highlight w:val="none"/>
          <w14:textFill>
            <w14:solidFill>
              <w14:schemeClr w14:val="tx1"/>
            </w14:solidFill>
          </w14:textFill>
        </w:rPr>
        <w:t>。</w:t>
      </w:r>
    </w:p>
    <w:p w14:paraId="296D71A1">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662" w:name="_Toc389065307"/>
      <w:bookmarkStart w:id="663" w:name="_Toc78449830"/>
      <w:bookmarkStart w:id="664" w:name="_Toc407135244"/>
      <w:bookmarkStart w:id="665" w:name="_Toc373227741"/>
      <w:bookmarkStart w:id="666" w:name="_Toc373478388"/>
      <w:bookmarkStart w:id="667" w:name="_Toc114058881"/>
      <w:r>
        <w:rPr>
          <w:rFonts w:eastAsia="黑体"/>
          <w:b/>
          <w:bCs/>
          <w:color w:val="000000" w:themeColor="text1"/>
          <w:sz w:val="32"/>
          <w:szCs w:val="32"/>
          <w:highlight w:val="none"/>
          <w:lang w:val="zh-CN"/>
          <w14:textFill>
            <w14:solidFill>
              <w14:schemeClr w14:val="tx1"/>
            </w14:solidFill>
          </w14:textFill>
        </w:rPr>
        <w:t xml:space="preserve">10.3 </w:t>
      </w:r>
      <w:r>
        <w:rPr>
          <w:rFonts w:hint="eastAsia" w:hAnsi="宋体" w:eastAsia="黑体" w:cs="黑体"/>
          <w:b/>
          <w:bCs/>
          <w:color w:val="000000" w:themeColor="text1"/>
          <w:sz w:val="32"/>
          <w:szCs w:val="32"/>
          <w:highlight w:val="none"/>
          <w:lang w:val="zh-CN"/>
          <w14:textFill>
            <w14:solidFill>
              <w14:schemeClr w14:val="tx1"/>
            </w14:solidFill>
          </w14:textFill>
        </w:rPr>
        <w:t>变更程序</w:t>
      </w:r>
      <w:bookmarkEnd w:id="662"/>
      <w:bookmarkEnd w:id="663"/>
      <w:bookmarkEnd w:id="664"/>
      <w:bookmarkEnd w:id="665"/>
      <w:bookmarkEnd w:id="666"/>
      <w:bookmarkEnd w:id="667"/>
    </w:p>
    <w:p w14:paraId="01503475">
      <w:pPr>
        <w:spacing w:line="360" w:lineRule="auto"/>
        <w:ind w:firstLine="441" w:firstLineChars="21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10.3.1</w:t>
      </w:r>
      <w:r>
        <w:rPr>
          <w:rFonts w:hint="eastAsia"/>
          <w:color w:val="000000" w:themeColor="text1"/>
          <w:szCs w:val="21"/>
          <w:highlight w:val="none"/>
          <w14:textFill>
            <w14:solidFill>
              <w14:schemeClr w14:val="tx1"/>
            </w14:solidFill>
          </w14:textFill>
        </w:rPr>
        <w:t>国有投资项目：</w:t>
      </w:r>
    </w:p>
    <w:p w14:paraId="585B2FA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10.3.1变更的提出</w:t>
      </w:r>
    </w:p>
    <w:p w14:paraId="2731784A">
      <w:pPr>
        <w:spacing w:line="360" w:lineRule="auto"/>
        <w:ind w:firstLine="426"/>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(1）在合同履行过程中，可能发生第10.1 款约定情形的，监理人可向承包人发出变更意向书。变更意向书应说明变更的具体内容和发包人对变更的时间要求，并附必要的图纸和相关资料。变更意向书应要求承包人提交包括拟实施变更工作的计划、措施和竣工时间等内容的实施方案。发包人同意承包人根据变更意向书要求提交的变更实施方案的，由监理人按第10.3.2 项约定发出变更指示。</w:t>
      </w:r>
    </w:p>
    <w:p w14:paraId="6254A40B">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(2）在合同履行过程中，发生第10.1 款约定情形的，监理人应按照第10.3.2  项约定向承包人发出变更指示。</w:t>
      </w:r>
    </w:p>
    <w:p w14:paraId="2AB3D57E">
      <w:pPr>
        <w:spacing w:line="360" w:lineRule="auto"/>
        <w:ind w:firstLine="426"/>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(3）承包人收到监理人按合同约定发出的图纸和文件，经检查认为其中存在第10.1 款约定情形的，可向监理人提出书面变更建议。变更建议应阐明要求变更的依据，并附必要的图纸和说明。监理人收到承包人书面建议后，应与发包人共同研究，确认存在变更的，应在收到承包人书面建议后的14 天内作出变更指示。经研究后不同意作为变更的，应由监理人书面答复承包人。</w:t>
      </w:r>
    </w:p>
    <w:p w14:paraId="17BCF221">
      <w:pPr>
        <w:spacing w:line="360" w:lineRule="auto"/>
        <w:ind w:firstLine="426"/>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(4）若承包人收到监理人的变更意向书后认为难以实施此项变更，应立即通知监理人，说明原因并附详细依据。监理人与承包人和发包人协商后确定撤销、改变或不改变原变更意向书。</w:t>
      </w:r>
    </w:p>
    <w:p w14:paraId="0A18115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10.3.2 变更指示</w:t>
      </w:r>
    </w:p>
    <w:p w14:paraId="295E69B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(l）变更指示只能由监理人发出。</w:t>
      </w:r>
    </w:p>
    <w:p w14:paraId="611EA61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(2）变更指示应说明变更的目的、范围、变更内容以及变更的工程量及其进度和技术要求，并附有关图纸和文件。承包人收到变更指示后，应按变更指示进行变更工作。</w:t>
      </w:r>
    </w:p>
    <w:p w14:paraId="227C9F8E">
      <w:pPr>
        <w:keepNext/>
        <w:keepLines/>
        <w:spacing w:line="360" w:lineRule="auto"/>
        <w:outlineLvl w:val="0"/>
        <w:rPr>
          <w:rFonts w:ascii="宋体" w:hAnsi="宋体" w:eastAsia="黑体"/>
          <w:b/>
          <w:bCs/>
          <w:color w:val="000000" w:themeColor="text1"/>
          <w:kern w:val="44"/>
          <w:szCs w:val="21"/>
          <w:highlight w:val="none"/>
          <w:lang w:val="zh-CN"/>
          <w14:textFill>
            <w14:solidFill>
              <w14:schemeClr w14:val="tx1"/>
            </w14:solidFill>
          </w14:textFill>
        </w:rPr>
      </w:pPr>
      <w:r>
        <w:rPr>
          <w:rFonts w:hint="eastAsia" w:ascii="宋体" w:hAnsi="宋体" w:eastAsia="黑体"/>
          <w:b/>
          <w:bCs/>
          <w:color w:val="000000" w:themeColor="text1"/>
          <w:kern w:val="44"/>
          <w:szCs w:val="21"/>
          <w:highlight w:val="none"/>
          <w:lang w:val="zh-CN"/>
          <w14:textFill>
            <w14:solidFill>
              <w14:schemeClr w14:val="tx1"/>
            </w14:solidFill>
          </w14:textFill>
        </w:rPr>
        <w:t>10.3.3变更执行</w:t>
      </w:r>
    </w:p>
    <w:p w14:paraId="7ED5279C">
      <w:pPr>
        <w:spacing w:line="360" w:lineRule="auto"/>
        <w:ind w:firstLine="422" w:firstLineChars="200"/>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⑴设计变更和工程签证，按《关于加强南宁市政府投资项目初步设计、施工图设计管理的通知》（南建项目[2004]3号）及《关于改进政府投资项目财政监管的通知》（南财投审[2007]66号）办理。属不可抗力（自然灾害、突发事件等）造成变更的，按特事特办原则予以办理。</w:t>
      </w:r>
    </w:p>
    <w:p w14:paraId="2810C1AC">
      <w:pPr>
        <w:spacing w:line="360" w:lineRule="auto"/>
        <w:ind w:firstLine="422" w:firstLineChars="200"/>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⑵ 工程设计变更和签证工程发生后10个工作日内，由承包人将有关变更文件、签证单审批件、工程联系单、预算书等工程资料作为进度款支付、事后抽查和工程结算的主要依据。</w:t>
      </w:r>
    </w:p>
    <w:p w14:paraId="1E42DB3B">
      <w:pPr>
        <w:spacing w:line="360" w:lineRule="auto"/>
        <w:ind w:firstLine="422" w:firstLineChars="200"/>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⑶ 建设单位在实施项目过程中，若发生单价变动，由建设单位、监理单位与施工单位共同商定并签字确认。</w:t>
      </w:r>
    </w:p>
    <w:p w14:paraId="54F3AD44">
      <w:pPr>
        <w:spacing w:line="360" w:lineRule="auto"/>
        <w:ind w:firstLine="422" w:firstLineChars="200"/>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⑷ 发包人在工程设计变更和工程签证过程中必须认真负责、实事求是，不得弄虚作假，凡因上述问题所造成的损失，相应等额扣除建设单位项目管理费或其他财政拨款。</w:t>
      </w:r>
    </w:p>
    <w:p w14:paraId="04C66391">
      <w:pPr>
        <w:spacing w:line="360" w:lineRule="auto"/>
        <w:ind w:firstLine="422" w:firstLineChars="200"/>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（5） 承包人应当在设计变更和工程签证发生后14天内，将调整原因、金额以书面形式向监理人和发包人申报，经监理人和发包人按第（1）（2）（3）（4）（5）条款的要求初步确认调整金额后将其作为追加合同价款，按不高于60%的比例与工程进度款同期支付，调整金额待工程单项结算或结算时，符合必须送财厅审核结算条件的由自治区财政部门最终审定的结算为准。</w:t>
      </w:r>
    </w:p>
    <w:p w14:paraId="42C62274">
      <w:pPr>
        <w:spacing w:line="360" w:lineRule="auto"/>
        <w:ind w:firstLine="422" w:firstLineChars="200"/>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（6）当设计变更和工程签证需要调整合同价款的调整情况发生后，承包人未在上述规定时间内申报的，视为承包人已放弃此项权利。</w:t>
      </w:r>
    </w:p>
    <w:p w14:paraId="6274373C">
      <w:pPr>
        <w:spacing w:line="360" w:lineRule="auto"/>
        <w:ind w:firstLine="422" w:firstLineChars="200"/>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（7）承包人所整理的变更签证资料应含有：工程联系单或变更通知、工程签证单、原始测量记录及现场图片。承包人在原始测量记录上签字的人员应具有承包人的委托，否则原始测量记录无效。</w:t>
      </w:r>
    </w:p>
    <w:p w14:paraId="617D44A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（8）工程变更的其他规定：</w:t>
      </w:r>
    </w:p>
    <w:p w14:paraId="348B099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1)已办理施工图备案并且正在施工的项目不得擅自提高设计标准和安全储备进行工程变</w:t>
      </w:r>
      <w:r>
        <w:rPr>
          <w:rFonts w:hint="eastAsia" w:ascii="宋体" w:hAnsi="宋体"/>
          <w:b/>
          <w:bCs/>
          <w:color w:val="000000" w:themeColor="text1"/>
          <w:szCs w:val="21"/>
          <w:highlight w:val="none"/>
          <w14:textFill>
            <w14:solidFill>
              <w14:schemeClr w14:val="tx1"/>
            </w14:solidFill>
          </w14:textFill>
        </w:rPr>
        <w:t>更</w:t>
      </w:r>
      <w:r>
        <w:rPr>
          <w:rFonts w:hint="eastAsia" w:ascii="宋体" w:hAnsi="宋体"/>
          <w:color w:val="000000" w:themeColor="text1"/>
          <w:szCs w:val="21"/>
          <w:highlight w:val="none"/>
          <w14:textFill>
            <w14:solidFill>
              <w14:schemeClr w14:val="tx1"/>
            </w14:solidFill>
          </w14:textFill>
        </w:rPr>
        <w:t>；</w:t>
      </w:r>
    </w:p>
    <w:p w14:paraId="71D3007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2)因施工组织设计不合理引起的工程变化不得进行工程变更；</w:t>
      </w:r>
    </w:p>
    <w:p w14:paraId="18DE90F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3)由于施工现场排水组织不畅造成的软土处理，积水排放不得进行工程变更；</w:t>
      </w:r>
    </w:p>
    <w:p w14:paraId="3F4B0F2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4)涉及到不平衡报价的工程变量，应对合同单价进行调整，确定合理单价后方能进行工程变量；</w:t>
      </w:r>
    </w:p>
    <w:p w14:paraId="3A95F3F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5)因征地拆迁原因引起的工程变量，需县（区）、开发区（管委会）提供不能按要求完成征地拆迁任务的书面证明材料，并经市政府或其授权的机构同意才能进行工程变量。</w:t>
      </w:r>
    </w:p>
    <w:p w14:paraId="5C9B095D">
      <w:pPr>
        <w:spacing w:line="360" w:lineRule="auto"/>
        <w:ind w:firstLine="420"/>
        <w:rPr>
          <w:rFonts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6)工程项目征地红线范围内施工或检测便道由承包人负责修建，费用由承包人在合同价款中考虑，不得以此进行工程变更；</w:t>
      </w:r>
    </w:p>
    <w:p w14:paraId="70D55FD9">
      <w:pPr>
        <w:spacing w:line="360" w:lineRule="auto"/>
        <w:ind w:firstLine="420"/>
        <w:rPr>
          <w:rFonts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7)采购文件工程量清单中有土石方综合报价的，土石成分比例不得进行工程变更</w:t>
      </w:r>
    </w:p>
    <w:p w14:paraId="07BC2B2D">
      <w:pPr>
        <w:spacing w:line="360" w:lineRule="auto"/>
        <w:ind w:firstLine="420"/>
        <w:rPr>
          <w:rFonts w:ascii="宋体" w:hAnsi="Courier New" w:cs="宋体"/>
          <w:color w:val="000000" w:themeColor="text1"/>
          <w:kern w:val="0"/>
          <w:sz w:val="20"/>
          <w:szCs w:val="20"/>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8)成交后，桩基的成孔方式、施工工艺、施工方案等不得进行工程变更；</w:t>
      </w:r>
    </w:p>
    <w:p w14:paraId="58055BBF">
      <w:pPr>
        <w:spacing w:line="360" w:lineRule="auto"/>
        <w:ind w:firstLine="420" w:firstLineChars="200"/>
        <w:jc w:val="left"/>
        <w:rPr>
          <w:bCs/>
          <w:color w:val="000000" w:themeColor="text1"/>
          <w:szCs w:val="21"/>
          <w:highlight w:val="none"/>
          <w14:textFill>
            <w14:solidFill>
              <w14:schemeClr w14:val="tx1"/>
            </w14:solidFill>
          </w14:textFill>
        </w:rPr>
      </w:pPr>
      <w:r>
        <w:rPr>
          <w:bCs/>
          <w:color w:val="000000" w:themeColor="text1"/>
          <w:szCs w:val="21"/>
          <w:highlight w:val="none"/>
          <w14:textFill>
            <w14:solidFill>
              <w14:schemeClr w14:val="tx1"/>
            </w14:solidFill>
          </w14:textFill>
        </w:rPr>
        <w:t>10.3.</w:t>
      </w:r>
      <w:r>
        <w:rPr>
          <w:rFonts w:hint="eastAsia"/>
          <w:bCs/>
          <w:color w:val="000000" w:themeColor="text1"/>
          <w:szCs w:val="21"/>
          <w:highlight w:val="none"/>
          <w14:textFill>
            <w14:solidFill>
              <w14:schemeClr w14:val="tx1"/>
            </w14:solidFill>
          </w14:textFill>
        </w:rPr>
        <w:t xml:space="preserve">4 </w:t>
      </w:r>
      <w:r>
        <w:rPr>
          <w:bCs/>
          <w:color w:val="000000" w:themeColor="text1"/>
          <w:szCs w:val="21"/>
          <w:highlight w:val="none"/>
          <w14:textFill>
            <w14:solidFill>
              <w14:schemeClr w14:val="tx1"/>
            </w14:solidFill>
          </w14:textFill>
        </w:rPr>
        <w:t xml:space="preserve">非国有投资项目： </w:t>
      </w:r>
      <w:r>
        <w:rPr>
          <w:rFonts w:hint="eastAsia"/>
          <w:bCs/>
          <w:color w:val="000000" w:themeColor="text1"/>
          <w:szCs w:val="21"/>
          <w:highlight w:val="none"/>
          <w:u w:val="single"/>
          <w14:textFill>
            <w14:solidFill>
              <w14:schemeClr w14:val="tx1"/>
            </w14:solidFill>
          </w14:textFill>
        </w:rPr>
        <w:t>/</w:t>
      </w:r>
      <w:r>
        <w:rPr>
          <w:rFonts w:hAnsi="宋体"/>
          <w:bCs/>
          <w:color w:val="000000" w:themeColor="text1"/>
          <w:szCs w:val="21"/>
          <w:highlight w:val="none"/>
          <w14:textFill>
            <w14:solidFill>
              <w14:schemeClr w14:val="tx1"/>
            </w14:solidFill>
          </w14:textFill>
        </w:rPr>
        <w:t>。</w:t>
      </w:r>
    </w:p>
    <w:p w14:paraId="28BDC603">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668" w:name="_Toc389065308"/>
      <w:bookmarkStart w:id="669" w:name="_Toc78449831"/>
      <w:bookmarkStart w:id="670" w:name="_Toc373227742"/>
      <w:bookmarkStart w:id="671" w:name="_Toc407135245"/>
      <w:bookmarkStart w:id="672" w:name="_Toc373478389"/>
      <w:bookmarkStart w:id="673" w:name="_Toc114058882"/>
      <w:r>
        <w:rPr>
          <w:rFonts w:eastAsia="黑体"/>
          <w:b/>
          <w:bCs/>
          <w:color w:val="000000" w:themeColor="text1"/>
          <w:sz w:val="32"/>
          <w:szCs w:val="32"/>
          <w:highlight w:val="none"/>
          <w:lang w:val="zh-CN"/>
          <w14:textFill>
            <w14:solidFill>
              <w14:schemeClr w14:val="tx1"/>
            </w14:solidFill>
          </w14:textFill>
        </w:rPr>
        <w:t xml:space="preserve">10.4 </w:t>
      </w:r>
      <w:r>
        <w:rPr>
          <w:rFonts w:hint="eastAsia" w:hAnsi="宋体" w:eastAsia="黑体" w:cs="黑体"/>
          <w:b/>
          <w:bCs/>
          <w:color w:val="000000" w:themeColor="text1"/>
          <w:sz w:val="32"/>
          <w:szCs w:val="32"/>
          <w:highlight w:val="none"/>
          <w:lang w:val="zh-CN"/>
          <w14:textFill>
            <w14:solidFill>
              <w14:schemeClr w14:val="tx1"/>
            </w14:solidFill>
          </w14:textFill>
        </w:rPr>
        <w:t>变更估价</w:t>
      </w:r>
      <w:bookmarkEnd w:id="668"/>
      <w:bookmarkEnd w:id="669"/>
      <w:bookmarkEnd w:id="670"/>
      <w:bookmarkEnd w:id="671"/>
      <w:bookmarkEnd w:id="672"/>
      <w:bookmarkEnd w:id="673"/>
    </w:p>
    <w:p w14:paraId="0512A2CA">
      <w:pPr>
        <w:spacing w:line="360" w:lineRule="auto"/>
        <w:ind w:firstLine="420" w:firstLineChars="20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10.4.1 </w:t>
      </w:r>
      <w:r>
        <w:rPr>
          <w:rFonts w:hint="eastAsia" w:hAnsi="宋体" w:cs="宋体"/>
          <w:color w:val="000000" w:themeColor="text1"/>
          <w:szCs w:val="21"/>
          <w:highlight w:val="none"/>
          <w14:textFill>
            <w14:solidFill>
              <w14:schemeClr w14:val="tx1"/>
            </w14:solidFill>
          </w14:textFill>
        </w:rPr>
        <w:t>变更估价原则</w:t>
      </w:r>
    </w:p>
    <w:p w14:paraId="3E6D0A08">
      <w:pPr>
        <w:spacing w:line="360" w:lineRule="auto"/>
        <w:ind w:firstLine="420" w:firstLineChars="200"/>
        <w:jc w:val="left"/>
        <w:rPr>
          <w:rFonts w:hAnsi="宋体"/>
          <w:color w:val="000000" w:themeColor="text1"/>
          <w:szCs w:val="22"/>
          <w:highlight w:val="none"/>
          <w14:textFill>
            <w14:solidFill>
              <w14:schemeClr w14:val="tx1"/>
            </w14:solidFill>
          </w14:textFill>
        </w:rPr>
      </w:pPr>
      <w:bookmarkStart w:id="674" w:name="_Toc251051742"/>
      <w:r>
        <w:rPr>
          <w:rFonts w:hint="eastAsia" w:hAnsi="宋体" w:cs="宋体"/>
          <w:color w:val="000000" w:themeColor="text1"/>
          <w:szCs w:val="22"/>
          <w:highlight w:val="none"/>
          <w14:textFill>
            <w14:solidFill>
              <w14:schemeClr w14:val="tx1"/>
            </w14:solidFill>
          </w14:textFill>
        </w:rPr>
        <w:t>关于变更估价的约定</w:t>
      </w:r>
      <w:r>
        <w:rPr>
          <w:color w:val="000000" w:themeColor="text1"/>
          <w:szCs w:val="22"/>
          <w:highlight w:val="none"/>
          <w14:textFill>
            <w14:solidFill>
              <w14:schemeClr w14:val="tx1"/>
            </w14:solidFill>
          </w14:textFill>
        </w:rPr>
        <w:t xml:space="preserve">: </w:t>
      </w:r>
      <w:r>
        <w:rPr>
          <w:rFonts w:hint="eastAsia" w:hAnsi="宋体" w:cs="宋体"/>
          <w:color w:val="000000" w:themeColor="text1"/>
          <w:szCs w:val="22"/>
          <w:highlight w:val="none"/>
          <w:u w:val="single"/>
          <w14:textFill>
            <w14:solidFill>
              <w14:schemeClr w14:val="tx1"/>
            </w14:solidFill>
          </w14:textFill>
        </w:rPr>
        <w:t>工程变更合同价款按下列方法进行：（</w:t>
      </w:r>
      <w:r>
        <w:rPr>
          <w:color w:val="000000" w:themeColor="text1"/>
          <w:szCs w:val="22"/>
          <w:highlight w:val="none"/>
          <w:u w:val="single"/>
          <w14:textFill>
            <w14:solidFill>
              <w14:schemeClr w14:val="tx1"/>
            </w14:solidFill>
          </w14:textFill>
        </w:rPr>
        <w:t>1</w:t>
      </w:r>
      <w:r>
        <w:rPr>
          <w:rFonts w:hint="eastAsia" w:hAnsi="宋体" w:cs="宋体"/>
          <w:color w:val="000000" w:themeColor="text1"/>
          <w:szCs w:val="22"/>
          <w:highlight w:val="none"/>
          <w:u w:val="single"/>
          <w14:textFill>
            <w14:solidFill>
              <w14:schemeClr w14:val="tx1"/>
            </w14:solidFill>
          </w14:textFill>
        </w:rPr>
        <w:t>）合同中已有相同清单项目的，按合同该清单项目价格进行计算；（</w:t>
      </w:r>
      <w:r>
        <w:rPr>
          <w:color w:val="000000" w:themeColor="text1"/>
          <w:szCs w:val="22"/>
          <w:highlight w:val="none"/>
          <w:u w:val="single"/>
          <w14:textFill>
            <w14:solidFill>
              <w14:schemeClr w14:val="tx1"/>
            </w14:solidFill>
          </w14:textFill>
        </w:rPr>
        <w:t>2</w:t>
      </w:r>
      <w:r>
        <w:rPr>
          <w:rFonts w:hint="eastAsia" w:hAnsi="宋体" w:cs="宋体"/>
          <w:color w:val="000000" w:themeColor="text1"/>
          <w:szCs w:val="22"/>
          <w:highlight w:val="none"/>
          <w:u w:val="single"/>
          <w14:textFill>
            <w14:solidFill>
              <w14:schemeClr w14:val="tx1"/>
            </w14:solidFill>
          </w14:textFill>
        </w:rPr>
        <w:t>）合同中只有类似清单项目的，参照该类似清单项目价格进行计算；（</w:t>
      </w:r>
      <w:r>
        <w:rPr>
          <w:color w:val="000000" w:themeColor="text1"/>
          <w:szCs w:val="22"/>
          <w:highlight w:val="none"/>
          <w:u w:val="single"/>
          <w14:textFill>
            <w14:solidFill>
              <w14:schemeClr w14:val="tx1"/>
            </w14:solidFill>
          </w14:textFill>
        </w:rPr>
        <w:t>3</w:t>
      </w:r>
      <w:r>
        <w:rPr>
          <w:rFonts w:hint="eastAsia" w:hAnsi="宋体" w:cs="宋体"/>
          <w:color w:val="000000" w:themeColor="text1"/>
          <w:szCs w:val="22"/>
          <w:highlight w:val="none"/>
          <w:u w:val="single"/>
          <w14:textFill>
            <w14:solidFill>
              <w14:schemeClr w14:val="tx1"/>
            </w14:solidFill>
          </w14:textFill>
        </w:rPr>
        <w:t>）合同中没有适用或类似清单项目的价格计算方法：有定额的套定额，并（</w:t>
      </w:r>
      <w:r>
        <w:rPr>
          <w:rFonts w:hint="eastAsia" w:ascii="MS Mincho" w:hAnsi="MS Mincho" w:eastAsia="MS Mincho" w:cs="MS Mincho"/>
          <w:color w:val="000000" w:themeColor="text1"/>
          <w:szCs w:val="22"/>
          <w:highlight w:val="none"/>
          <w14:textFill>
            <w14:solidFill>
              <w14:schemeClr w14:val="tx1"/>
            </w14:solidFill>
          </w14:textFill>
        </w:rPr>
        <w:t>☑</w:t>
      </w:r>
      <w:r>
        <w:rPr>
          <w:rFonts w:hint="eastAsia" w:hAnsi="宋体" w:cs="宋体"/>
          <w:color w:val="000000" w:themeColor="text1"/>
          <w:szCs w:val="22"/>
          <w:highlight w:val="none"/>
          <w:u w:val="single"/>
          <w14:textFill>
            <w14:solidFill>
              <w14:schemeClr w14:val="tx1"/>
            </w14:solidFill>
          </w14:textFill>
        </w:rPr>
        <w:t>乘以下浮系数</w:t>
      </w:r>
      <w:r>
        <w:rPr>
          <w:rFonts w:hint="eastAsia"/>
          <w:color w:val="000000" w:themeColor="text1"/>
          <w:szCs w:val="21"/>
          <w:highlight w:val="none"/>
          <w:u w:val="single"/>
          <w14:textFill>
            <w14:solidFill>
              <w14:schemeClr w14:val="tx1"/>
            </w14:solidFill>
          </w14:textFill>
        </w:rPr>
        <w:t>=成交价</w:t>
      </w:r>
      <w:r>
        <w:rPr>
          <w:color w:val="000000" w:themeColor="text1"/>
          <w:szCs w:val="21"/>
          <w:highlight w:val="none"/>
          <w:u w:val="single"/>
          <w14:textFill>
            <w14:solidFill>
              <w14:schemeClr w14:val="tx1"/>
            </w14:solidFill>
          </w14:textFill>
        </w:rPr>
        <w:t>/</w:t>
      </w:r>
      <w:r>
        <w:rPr>
          <w:rFonts w:hint="eastAsia"/>
          <w:color w:val="000000" w:themeColor="text1"/>
          <w:szCs w:val="21"/>
          <w:highlight w:val="none"/>
          <w:u w:val="single"/>
          <w14:textFill>
            <w14:solidFill>
              <w14:schemeClr w14:val="tx1"/>
            </w14:solidFill>
          </w14:textFill>
        </w:rPr>
        <w:t>经审定的工程招标控制价</w:t>
      </w:r>
      <w:r>
        <w:rPr>
          <w:color w:val="000000" w:themeColor="text1"/>
          <w:szCs w:val="22"/>
          <w:highlight w:val="none"/>
          <w:u w:val="single"/>
          <w14:textFill>
            <w14:solidFill>
              <w14:schemeClr w14:val="tx1"/>
            </w14:solidFill>
          </w14:textFill>
        </w:rPr>
        <w:t>%</w:t>
      </w:r>
      <w:r>
        <w:rPr>
          <w:rFonts w:hint="eastAsia" w:cs="宋体"/>
          <w:color w:val="000000" w:themeColor="text1"/>
          <w:szCs w:val="22"/>
          <w:highlight w:val="none"/>
          <w:u w:val="single"/>
          <w14:textFill>
            <w14:solidFill>
              <w14:schemeClr w14:val="tx1"/>
            </w14:solidFill>
          </w14:textFill>
        </w:rPr>
        <w:t>，</w:t>
      </w:r>
      <w:r>
        <w:rPr>
          <w:rFonts w:hint="eastAsia" w:ascii="宋体" w:hAnsi="MS Mincho" w:cs="MS Mincho"/>
          <w:color w:val="000000" w:themeColor="text1"/>
          <w:szCs w:val="21"/>
          <w:highlight w:val="none"/>
          <w14:textFill>
            <w14:solidFill>
              <w14:schemeClr w14:val="tx1"/>
            </w14:solidFill>
          </w14:textFill>
        </w:rPr>
        <w:t>□</w:t>
      </w:r>
      <w:r>
        <w:rPr>
          <w:rFonts w:hint="eastAsia" w:hAnsi="宋体" w:cs="宋体"/>
          <w:color w:val="000000" w:themeColor="text1"/>
          <w:szCs w:val="22"/>
          <w:highlight w:val="none"/>
          <w:u w:val="single"/>
          <w14:textFill>
            <w14:solidFill>
              <w14:schemeClr w14:val="tx1"/>
            </w14:solidFill>
          </w14:textFill>
        </w:rPr>
        <w:t>不乘下浮系数）计算，其中：材料设备价格按施工期间的《</w:t>
      </w:r>
      <w:r>
        <w:rPr>
          <w:rFonts w:hint="eastAsia"/>
          <w:color w:val="000000" w:themeColor="text1"/>
          <w:szCs w:val="22"/>
          <w:highlight w:val="none"/>
          <w:u w:val="single"/>
          <w14:textFill>
            <w14:solidFill>
              <w14:schemeClr w14:val="tx1"/>
            </w14:solidFill>
          </w14:textFill>
        </w:rPr>
        <w:t>南宁</w:t>
      </w:r>
      <w:r>
        <w:rPr>
          <w:rFonts w:hint="eastAsia" w:hAnsi="宋体" w:cs="宋体"/>
          <w:color w:val="000000" w:themeColor="text1"/>
          <w:szCs w:val="22"/>
          <w:highlight w:val="none"/>
          <w:u w:val="single"/>
          <w14:textFill>
            <w14:solidFill>
              <w14:schemeClr w14:val="tx1"/>
            </w14:solidFill>
          </w14:textFill>
        </w:rPr>
        <w:t>市建设工程造价信息》相应信息价的</w:t>
      </w:r>
      <w:r>
        <w:rPr>
          <w:rFonts w:hint="eastAsia"/>
          <w:color w:val="000000" w:themeColor="text1"/>
          <w:highlight w:val="none"/>
          <w:u w:val="single"/>
          <w14:textFill>
            <w14:solidFill>
              <w14:schemeClr w14:val="tx1"/>
            </w14:solidFill>
          </w14:textFill>
        </w:rPr>
        <w:t>算术</w:t>
      </w:r>
      <w:r>
        <w:rPr>
          <w:rFonts w:hint="eastAsia" w:hAnsi="宋体" w:cs="宋体"/>
          <w:color w:val="000000" w:themeColor="text1"/>
          <w:szCs w:val="22"/>
          <w:highlight w:val="none"/>
          <w:u w:val="single"/>
          <w14:textFill>
            <w14:solidFill>
              <w14:schemeClr w14:val="tx1"/>
            </w14:solidFill>
          </w14:textFill>
        </w:rPr>
        <w:t>平均值计算，《</w:t>
      </w:r>
      <w:r>
        <w:rPr>
          <w:rFonts w:hint="eastAsia"/>
          <w:color w:val="000000" w:themeColor="text1"/>
          <w:szCs w:val="22"/>
          <w:highlight w:val="none"/>
          <w:u w:val="single"/>
          <w14:textFill>
            <w14:solidFill>
              <w14:schemeClr w14:val="tx1"/>
            </w14:solidFill>
          </w14:textFill>
        </w:rPr>
        <w:t>南宁</w:t>
      </w:r>
      <w:r>
        <w:rPr>
          <w:rFonts w:hint="eastAsia" w:hAnsi="宋体" w:cs="宋体"/>
          <w:color w:val="000000" w:themeColor="text1"/>
          <w:szCs w:val="22"/>
          <w:highlight w:val="none"/>
          <w:u w:val="single"/>
          <w14:textFill>
            <w14:solidFill>
              <w14:schemeClr w14:val="tx1"/>
            </w14:solidFill>
          </w14:textFill>
        </w:rPr>
        <w:t>市建设工程造价信息》没有相应信息价的，由建设单位、施工单位、监理单位或造价咨询单位根据市场行情协商确定；无定额可套的，由建设单位、施工单位、监理单位或造价咨询单位根据市场行情协商确定包含除税金以外所有费用的税前综合价格</w:t>
      </w:r>
      <w:r>
        <w:rPr>
          <w:rFonts w:hint="eastAsia" w:hAnsi="宋体" w:cs="宋体"/>
          <w:color w:val="000000" w:themeColor="text1"/>
          <w:szCs w:val="22"/>
          <w:highlight w:val="none"/>
          <w14:textFill>
            <w14:solidFill>
              <w14:schemeClr w14:val="tx1"/>
            </w14:solidFill>
          </w14:textFill>
        </w:rPr>
        <w:t>。以上约定同时适用于招标工程量清单缺项以及工程量清单项目特征与图纸不符时的价款确定。</w:t>
      </w:r>
      <w:r>
        <w:rPr>
          <w:rFonts w:hAnsi="宋体"/>
          <w:bCs/>
          <w:color w:val="000000" w:themeColor="text1"/>
          <w:szCs w:val="21"/>
          <w:highlight w:val="none"/>
          <w:u w:val="single"/>
          <w14:textFill>
            <w14:solidFill>
              <w14:schemeClr w14:val="tx1"/>
            </w14:solidFill>
          </w14:textFill>
        </w:rPr>
        <w:t>对于</w:t>
      </w:r>
      <w:r>
        <w:rPr>
          <w:rFonts w:hint="eastAsia" w:hAnsi="宋体"/>
          <w:bCs/>
          <w:color w:val="000000" w:themeColor="text1"/>
          <w:szCs w:val="21"/>
          <w:highlight w:val="none"/>
          <w:u w:val="single"/>
          <w14:textFill>
            <w14:solidFill>
              <w14:schemeClr w14:val="tx1"/>
            </w14:solidFill>
          </w14:textFill>
        </w:rPr>
        <w:t>政府及</w:t>
      </w:r>
      <w:r>
        <w:rPr>
          <w:rFonts w:hAnsi="宋体"/>
          <w:bCs/>
          <w:color w:val="000000" w:themeColor="text1"/>
          <w:szCs w:val="21"/>
          <w:highlight w:val="none"/>
          <w:u w:val="single"/>
          <w14:textFill>
            <w14:solidFill>
              <w14:schemeClr w14:val="tx1"/>
            </w14:solidFill>
          </w14:textFill>
        </w:rPr>
        <w:t>国有资</w:t>
      </w:r>
      <w:r>
        <w:rPr>
          <w:rFonts w:hint="eastAsia" w:hAnsi="宋体"/>
          <w:bCs/>
          <w:color w:val="000000" w:themeColor="text1"/>
          <w:szCs w:val="21"/>
          <w:highlight w:val="none"/>
          <w:u w:val="single"/>
          <w14:textFill>
            <w14:solidFill>
              <w14:schemeClr w14:val="tx1"/>
            </w14:solidFill>
          </w14:textFill>
        </w:rPr>
        <w:t>金</w:t>
      </w:r>
      <w:r>
        <w:rPr>
          <w:rFonts w:hAnsi="宋体"/>
          <w:bCs/>
          <w:color w:val="000000" w:themeColor="text1"/>
          <w:szCs w:val="21"/>
          <w:highlight w:val="none"/>
          <w:u w:val="single"/>
          <w14:textFill>
            <w14:solidFill>
              <w14:schemeClr w14:val="tx1"/>
            </w14:solidFill>
          </w14:textFill>
        </w:rPr>
        <w:t>投资的项目，新增项目的单价必须经</w:t>
      </w:r>
      <w:r>
        <w:rPr>
          <w:rFonts w:hint="eastAsia" w:hAnsi="宋体"/>
          <w:bCs/>
          <w:color w:val="000000" w:themeColor="text1"/>
          <w:szCs w:val="21"/>
          <w:highlight w:val="none"/>
          <w:u w:val="single"/>
          <w14:textFill>
            <w14:solidFill>
              <w14:schemeClr w14:val="tx1"/>
            </w14:solidFill>
          </w14:textFill>
        </w:rPr>
        <w:t xml:space="preserve">发包人 </w:t>
      </w:r>
      <w:r>
        <w:rPr>
          <w:rFonts w:hAnsi="宋体"/>
          <w:bCs/>
          <w:color w:val="000000" w:themeColor="text1"/>
          <w:szCs w:val="21"/>
          <w:highlight w:val="none"/>
          <w:u w:val="single"/>
          <w14:textFill>
            <w14:solidFill>
              <w14:schemeClr w14:val="tx1"/>
            </w14:solidFill>
          </w14:textFill>
        </w:rPr>
        <w:t>审定</w:t>
      </w:r>
      <w:bookmarkEnd w:id="674"/>
      <w:r>
        <w:rPr>
          <w:rFonts w:hAnsi="宋体"/>
          <w:bCs/>
          <w:color w:val="000000" w:themeColor="text1"/>
          <w:szCs w:val="21"/>
          <w:highlight w:val="none"/>
          <w:u w:val="single"/>
          <w14:textFill>
            <w14:solidFill>
              <w14:schemeClr w14:val="tx1"/>
            </w14:solidFill>
          </w14:textFill>
        </w:rPr>
        <w:t>。</w:t>
      </w:r>
    </w:p>
    <w:p w14:paraId="46FB097A">
      <w:pPr>
        <w:spacing w:line="360" w:lineRule="auto"/>
        <w:ind w:firstLine="420" w:firstLineChars="200"/>
        <w:jc w:val="left"/>
        <w:rPr>
          <w:rFonts w:cs="宋体"/>
          <w:color w:val="000000" w:themeColor="text1"/>
          <w:szCs w:val="21"/>
          <w:highlight w:val="none"/>
          <w:u w:val="single"/>
          <w14:textFill>
            <w14:solidFill>
              <w14:schemeClr w14:val="tx1"/>
            </w14:solidFill>
          </w14:textFill>
        </w:rPr>
      </w:pPr>
      <w:r>
        <w:rPr>
          <w:rFonts w:hint="eastAsia"/>
          <w:color w:val="000000" w:themeColor="text1"/>
          <w:szCs w:val="21"/>
          <w:highlight w:val="none"/>
          <w:u w:val="single"/>
          <w14:textFill>
            <w14:solidFill>
              <w14:schemeClr w14:val="tx1"/>
            </w14:solidFill>
          </w14:textFill>
        </w:rPr>
        <w:t>工程变更导致实际完成的变更工程量与已标价清单或预算书中列明的该项目工程量有偏差时，其综合单价的确定按专用条款“1.13工程量清单错误的修正”执行。</w:t>
      </w:r>
    </w:p>
    <w:p w14:paraId="4791B6FD">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675" w:name="_Toc389065309"/>
      <w:bookmarkStart w:id="676" w:name="_Toc114058883"/>
      <w:bookmarkStart w:id="677" w:name="_Toc373227743"/>
      <w:bookmarkStart w:id="678" w:name="_Toc407135246"/>
      <w:bookmarkStart w:id="679" w:name="_Toc373478390"/>
      <w:bookmarkStart w:id="680" w:name="_Toc78449832"/>
      <w:r>
        <w:rPr>
          <w:rFonts w:eastAsia="黑体"/>
          <w:b/>
          <w:bCs/>
          <w:color w:val="000000" w:themeColor="text1"/>
          <w:sz w:val="32"/>
          <w:szCs w:val="32"/>
          <w:highlight w:val="none"/>
          <w:lang w:val="zh-CN"/>
          <w14:textFill>
            <w14:solidFill>
              <w14:schemeClr w14:val="tx1"/>
            </w14:solidFill>
          </w14:textFill>
        </w:rPr>
        <w:t>1</w:t>
      </w:r>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Start w:id="681" w:name="_Toc297048383"/>
      <w:bookmarkStart w:id="682" w:name="_Toc296891237"/>
      <w:bookmarkStart w:id="683" w:name="_Toc297120497"/>
      <w:bookmarkStart w:id="684" w:name="_Toc296891025"/>
      <w:bookmarkStart w:id="685" w:name="_Toc296346698"/>
      <w:bookmarkStart w:id="686" w:name="_Toc303539150"/>
      <w:bookmarkStart w:id="687" w:name="_Toc297123544"/>
      <w:bookmarkStart w:id="688" w:name="_Toc296347196"/>
      <w:bookmarkStart w:id="689" w:name="_Toc296944536"/>
      <w:bookmarkStart w:id="690" w:name="_Toc297216203"/>
      <w:bookmarkStart w:id="691" w:name="_Toc292559907"/>
      <w:bookmarkStart w:id="692" w:name="_Toc292559402"/>
      <w:bookmarkStart w:id="693" w:name="_Toc300934993"/>
      <w:bookmarkStart w:id="694" w:name="_Toc296503197"/>
      <w:bookmarkStart w:id="695" w:name="_Toc312677503"/>
      <w:bookmarkStart w:id="696" w:name="_Toc312678029"/>
      <w:bookmarkStart w:id="697" w:name="_Toc304295570"/>
      <w:r>
        <w:rPr>
          <w:rFonts w:eastAsia="黑体"/>
          <w:b/>
          <w:bCs/>
          <w:color w:val="000000" w:themeColor="text1"/>
          <w:sz w:val="32"/>
          <w:szCs w:val="32"/>
          <w:highlight w:val="none"/>
          <w:lang w:val="zh-CN"/>
          <w14:textFill>
            <w14:solidFill>
              <w14:schemeClr w14:val="tx1"/>
            </w14:solidFill>
          </w14:textFill>
        </w:rPr>
        <w:t xml:space="preserve">0.5 </w:t>
      </w:r>
      <w:r>
        <w:rPr>
          <w:rFonts w:hint="eastAsia" w:eastAsia="黑体" w:cs="黑体"/>
          <w:b/>
          <w:bCs/>
          <w:color w:val="000000" w:themeColor="text1"/>
          <w:sz w:val="32"/>
          <w:szCs w:val="32"/>
          <w:highlight w:val="none"/>
          <w:lang w:val="zh-CN"/>
          <w14:textFill>
            <w14:solidFill>
              <w14:schemeClr w14:val="tx1"/>
            </w14:solidFill>
          </w14:textFill>
        </w:rPr>
        <w:t>承</w:t>
      </w:r>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Start w:id="698" w:name="_Toc296503203"/>
      <w:bookmarkStart w:id="699" w:name="_Toc297048389"/>
      <w:bookmarkStart w:id="700" w:name="_Toc296944542"/>
      <w:bookmarkStart w:id="701" w:name="_Toc300934994"/>
      <w:bookmarkStart w:id="702" w:name="_Toc296346704"/>
      <w:bookmarkStart w:id="703" w:name="_Toc297216204"/>
      <w:bookmarkStart w:id="704" w:name="_Toc303539151"/>
      <w:bookmarkStart w:id="705" w:name="_Toc297120503"/>
      <w:bookmarkStart w:id="706" w:name="_Toc297123545"/>
      <w:bookmarkStart w:id="707" w:name="_Toc292559408"/>
      <w:bookmarkStart w:id="708" w:name="_Toc296347202"/>
      <w:bookmarkStart w:id="709" w:name="_Toc292559913"/>
      <w:bookmarkStart w:id="710" w:name="_Toc296891243"/>
      <w:bookmarkStart w:id="711" w:name="_Toc296891031"/>
      <w:r>
        <w:rPr>
          <w:rFonts w:hint="eastAsia" w:eastAsia="黑体" w:cs="黑体"/>
          <w:b/>
          <w:bCs/>
          <w:color w:val="000000" w:themeColor="text1"/>
          <w:sz w:val="32"/>
          <w:szCs w:val="32"/>
          <w:highlight w:val="none"/>
          <w:lang w:val="zh-CN"/>
          <w14:textFill>
            <w14:solidFill>
              <w14:schemeClr w14:val="tx1"/>
            </w14:solidFill>
          </w14:textFill>
        </w:rPr>
        <w:t>包人的合理化建议</w:t>
      </w:r>
      <w:bookmarkEnd w:id="675"/>
      <w:bookmarkEnd w:id="676"/>
      <w:bookmarkEnd w:id="677"/>
      <w:bookmarkEnd w:id="678"/>
      <w:bookmarkEnd w:id="679"/>
      <w:bookmarkEnd w:id="680"/>
    </w:p>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p w14:paraId="58DF1AA1">
      <w:pPr>
        <w:spacing w:line="360" w:lineRule="auto"/>
        <w:ind w:firstLine="420" w:firstLineChars="200"/>
        <w:jc w:val="left"/>
        <w:rPr>
          <w:color w:val="000000" w:themeColor="text1"/>
          <w:szCs w:val="21"/>
          <w:highlight w:val="none"/>
          <w14:textFill>
            <w14:solidFill>
              <w14:schemeClr w14:val="tx1"/>
            </w14:solidFill>
          </w14:textFill>
        </w:rPr>
      </w:pPr>
      <w:bookmarkStart w:id="712" w:name="_Toc297123546"/>
      <w:bookmarkStart w:id="713" w:name="_Toc297216205"/>
      <w:bookmarkStart w:id="714" w:name="_Toc304295571"/>
      <w:bookmarkStart w:id="715" w:name="_Toc292559914"/>
      <w:bookmarkStart w:id="716" w:name="_Toc296346705"/>
      <w:bookmarkStart w:id="717" w:name="_Toc297120504"/>
      <w:bookmarkStart w:id="718" w:name="_Toc296347203"/>
      <w:bookmarkStart w:id="719" w:name="_Toc296944543"/>
      <w:bookmarkStart w:id="720" w:name="_Toc296891032"/>
      <w:bookmarkStart w:id="721" w:name="_Toc303539152"/>
      <w:bookmarkStart w:id="722" w:name="_Toc318581175"/>
      <w:bookmarkStart w:id="723" w:name="_Toc312678030"/>
      <w:bookmarkStart w:id="724" w:name="_Toc300934995"/>
      <w:bookmarkStart w:id="725" w:name="_Toc312677504"/>
      <w:bookmarkStart w:id="726" w:name="_Toc297048390"/>
      <w:bookmarkStart w:id="727" w:name="_Toc292559409"/>
      <w:bookmarkStart w:id="728" w:name="_Toc296891244"/>
      <w:bookmarkStart w:id="729" w:name="_Toc296503204"/>
      <w:r>
        <w:rPr>
          <w:rFonts w:hAnsi="宋体"/>
          <w:color w:val="000000" w:themeColor="text1"/>
          <w:szCs w:val="21"/>
          <w:highlight w:val="none"/>
          <w14:textFill>
            <w14:solidFill>
              <w14:schemeClr w14:val="tx1"/>
            </w14:solidFill>
          </w14:textFill>
        </w:rPr>
        <w:t>监理人审查承包人合理化建议的期限：</w:t>
      </w:r>
      <w:r>
        <w:rPr>
          <w:rFonts w:hint="eastAsia" w:ascii="宋体" w:hAnsi="宋体" w:cs="宋体"/>
          <w:color w:val="000000" w:themeColor="text1"/>
          <w:szCs w:val="21"/>
          <w:highlight w:val="none"/>
          <w:u w:val="single"/>
          <w14:textFill>
            <w14:solidFill>
              <w14:schemeClr w14:val="tx1"/>
            </w14:solidFill>
          </w14:textFill>
        </w:rPr>
        <w:t>监理人应在收到承包人提交的合理化建议后7天内审查完毕并报送发包人，发现其中存在技术上的缺陷，应通知承包人修改</w:t>
      </w:r>
      <w:r>
        <w:rPr>
          <w:rFonts w:hAnsi="宋体"/>
          <w:color w:val="000000" w:themeColor="text1"/>
          <w:szCs w:val="21"/>
          <w:highlight w:val="none"/>
          <w14:textFill>
            <w14:solidFill>
              <w14:schemeClr w14:val="tx1"/>
            </w14:solidFill>
          </w14:textFill>
        </w:rPr>
        <w:t>。</w:t>
      </w:r>
    </w:p>
    <w:p w14:paraId="18F2CB4A">
      <w:pPr>
        <w:spacing w:line="360" w:lineRule="auto"/>
        <w:ind w:firstLine="420" w:firstLineChars="200"/>
        <w:jc w:val="left"/>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发包人审批承包人合理化建议的期限：</w:t>
      </w:r>
      <w:r>
        <w:rPr>
          <w:rFonts w:hint="eastAsia" w:ascii="宋体" w:hAnsi="宋体" w:cs="宋体"/>
          <w:color w:val="000000" w:themeColor="text1"/>
          <w:szCs w:val="21"/>
          <w:highlight w:val="none"/>
          <w:u w:val="single"/>
          <w14:textFill>
            <w14:solidFill>
              <w14:schemeClr w14:val="tx1"/>
            </w14:solidFill>
          </w14:textFill>
        </w:rPr>
        <w:t>发包人应在收到监理人报送的合理化建议后15日审批完毕</w:t>
      </w:r>
      <w:r>
        <w:rPr>
          <w:rFonts w:hAnsi="宋体"/>
          <w:color w:val="000000" w:themeColor="text1"/>
          <w:szCs w:val="21"/>
          <w:highlight w:val="none"/>
          <w14:textFill>
            <w14:solidFill>
              <w14:schemeClr w14:val="tx1"/>
            </w14:solidFill>
          </w14:textFill>
        </w:rPr>
        <w:t>。</w:t>
      </w:r>
    </w:p>
    <w:p w14:paraId="34F339F7">
      <w:pPr>
        <w:spacing w:line="360" w:lineRule="auto"/>
        <w:ind w:firstLine="420" w:firstLineChars="200"/>
        <w:jc w:val="left"/>
        <w:rPr>
          <w:color w:val="000000" w:themeColor="text1"/>
          <w:szCs w:val="21"/>
          <w:highlight w:val="none"/>
          <w:u w:val="single"/>
          <w14:textFill>
            <w14:solidFill>
              <w14:schemeClr w14:val="tx1"/>
            </w14:solidFill>
          </w14:textFill>
        </w:rPr>
      </w:pPr>
      <w:r>
        <w:rPr>
          <w:rFonts w:hAnsi="宋体"/>
          <w:color w:val="000000" w:themeColor="text1"/>
          <w:szCs w:val="21"/>
          <w:highlight w:val="none"/>
          <w14:textFill>
            <w14:solidFill>
              <w14:schemeClr w14:val="tx1"/>
            </w14:solidFill>
          </w14:textFill>
        </w:rPr>
        <w:t>承包人提出的合理化建议降低了合同价格或者提高了工程经济效益的奖励的方法和金额为：</w:t>
      </w:r>
      <w:r>
        <w:rPr>
          <w:rFonts w:hint="eastAsia"/>
          <w:color w:val="000000" w:themeColor="text1"/>
          <w:szCs w:val="21"/>
          <w:highlight w:val="none"/>
          <w:u w:val="single"/>
          <w14:textFill>
            <w14:solidFill>
              <w14:schemeClr w14:val="tx1"/>
            </w14:solidFill>
          </w14:textFill>
        </w:rPr>
        <w:t xml:space="preserve">无 </w:t>
      </w:r>
      <w:r>
        <w:rPr>
          <w:rFonts w:hint="eastAsia" w:hAnsi="宋体" w:cs="宋体"/>
          <w:color w:val="000000" w:themeColor="text1"/>
          <w:szCs w:val="21"/>
          <w:highlight w:val="none"/>
          <w14:textFill>
            <w14:solidFill>
              <w14:schemeClr w14:val="tx1"/>
            </w14:solidFill>
          </w14:textFill>
        </w:rPr>
        <w:t>。</w:t>
      </w:r>
    </w:p>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p w14:paraId="0532AFFE">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730" w:name="_Toc389065310"/>
      <w:bookmarkStart w:id="731" w:name="_Toc114058884"/>
      <w:bookmarkStart w:id="732" w:name="_Toc373227744"/>
      <w:bookmarkStart w:id="733" w:name="_Toc407135247"/>
      <w:bookmarkStart w:id="734" w:name="_Toc373478391"/>
      <w:bookmarkStart w:id="735" w:name="_Toc78449833"/>
      <w:r>
        <w:rPr>
          <w:rFonts w:eastAsia="黑体"/>
          <w:b/>
          <w:bCs/>
          <w:color w:val="000000" w:themeColor="text1"/>
          <w:sz w:val="32"/>
          <w:szCs w:val="32"/>
          <w:highlight w:val="none"/>
          <w:lang w:val="zh-CN"/>
          <w14:textFill>
            <w14:solidFill>
              <w14:schemeClr w14:val="tx1"/>
            </w14:solidFill>
          </w14:textFill>
        </w:rPr>
        <w:t>1</w:t>
      </w:r>
      <w:bookmarkStart w:id="736" w:name="_Toc296891027"/>
      <w:bookmarkStart w:id="737" w:name="_Toc292559909"/>
      <w:bookmarkStart w:id="738" w:name="_Toc297048385"/>
      <w:bookmarkStart w:id="739" w:name="_Toc312678033"/>
      <w:bookmarkStart w:id="740" w:name="_Toc312677507"/>
      <w:bookmarkStart w:id="741" w:name="_Toc292559404"/>
      <w:bookmarkStart w:id="742" w:name="_Toc296944538"/>
      <w:bookmarkStart w:id="743" w:name="_Toc303539154"/>
      <w:bookmarkStart w:id="744" w:name="_Toc304295574"/>
      <w:bookmarkStart w:id="745" w:name="_Toc296891239"/>
      <w:bookmarkStart w:id="746" w:name="_Toc296346700"/>
      <w:bookmarkStart w:id="747" w:name="_Toc296347198"/>
      <w:bookmarkStart w:id="748" w:name="_Toc296503199"/>
      <w:bookmarkStart w:id="749" w:name="_Toc297120499"/>
      <w:bookmarkStart w:id="750" w:name="_Toc297216207"/>
      <w:bookmarkStart w:id="751" w:name="_Toc300934997"/>
      <w:bookmarkStart w:id="752" w:name="_Toc297123548"/>
      <w:r>
        <w:rPr>
          <w:rFonts w:eastAsia="黑体"/>
          <w:b/>
          <w:bCs/>
          <w:color w:val="000000" w:themeColor="text1"/>
          <w:sz w:val="32"/>
          <w:szCs w:val="32"/>
          <w:highlight w:val="none"/>
          <w:lang w:val="zh-CN"/>
          <w14:textFill>
            <w14:solidFill>
              <w14:schemeClr w14:val="tx1"/>
            </w14:solidFill>
          </w14:textFill>
        </w:rPr>
        <w:t xml:space="preserve">0.7 </w:t>
      </w:r>
      <w:r>
        <w:rPr>
          <w:rFonts w:hint="eastAsia" w:hAnsi="宋体" w:eastAsia="黑体" w:cs="黑体"/>
          <w:b/>
          <w:bCs/>
          <w:color w:val="000000" w:themeColor="text1"/>
          <w:sz w:val="32"/>
          <w:szCs w:val="32"/>
          <w:highlight w:val="none"/>
          <w:lang w:val="zh-CN"/>
          <w14:textFill>
            <w14:solidFill>
              <w14:schemeClr w14:val="tx1"/>
            </w14:solidFill>
          </w14:textFill>
        </w:rPr>
        <w:t>暂估价</w:t>
      </w:r>
      <w:bookmarkEnd w:id="730"/>
      <w:bookmarkEnd w:id="731"/>
      <w:bookmarkEnd w:id="732"/>
      <w:bookmarkEnd w:id="733"/>
      <w:bookmarkEnd w:id="734"/>
      <w:bookmarkEnd w:id="735"/>
    </w:p>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p w14:paraId="73D1C1BF">
      <w:pPr>
        <w:spacing w:line="360" w:lineRule="auto"/>
        <w:ind w:firstLine="420" w:firstLineChars="200"/>
        <w:jc w:val="left"/>
        <w:rPr>
          <w:color w:val="000000" w:themeColor="text1"/>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暂</w:t>
      </w:r>
      <w:bookmarkStart w:id="753" w:name="_Toc312677508"/>
      <w:bookmarkStart w:id="754" w:name="_Toc318581176"/>
      <w:bookmarkStart w:id="755" w:name="_Toc312678034"/>
      <w:r>
        <w:rPr>
          <w:rFonts w:hint="eastAsia" w:hAnsi="宋体" w:cs="宋体"/>
          <w:color w:val="000000" w:themeColor="text1"/>
          <w:kern w:val="0"/>
          <w:szCs w:val="21"/>
          <w:highlight w:val="none"/>
          <w14:textFill>
            <w14:solidFill>
              <w14:schemeClr w14:val="tx1"/>
            </w14:solidFill>
          </w14:textFill>
        </w:rPr>
        <w:t>估价材料和工程设备的明细详见已标价工程量清单《</w:t>
      </w:r>
      <w:r>
        <w:rPr>
          <w:rFonts w:hint="eastAsia" w:cs="宋体"/>
          <w:color w:val="000000" w:themeColor="text1"/>
          <w:szCs w:val="21"/>
          <w:highlight w:val="none"/>
          <w14:textFill>
            <w14:solidFill>
              <w14:schemeClr w14:val="tx1"/>
            </w14:solidFill>
          </w14:textFill>
        </w:rPr>
        <w:t>材料（工程设备）暂估价格及调整表》</w:t>
      </w:r>
      <w:r>
        <w:rPr>
          <w:rFonts w:hint="eastAsia" w:hAnsi="宋体" w:cs="宋体"/>
          <w:color w:val="000000" w:themeColor="text1"/>
          <w:kern w:val="0"/>
          <w:szCs w:val="21"/>
          <w:highlight w:val="none"/>
          <w14:textFill>
            <w14:solidFill>
              <w14:schemeClr w14:val="tx1"/>
            </w14:solidFill>
          </w14:textFill>
        </w:rPr>
        <w:t>（表</w:t>
      </w:r>
      <w:r>
        <w:rPr>
          <w:rFonts w:hAnsi="宋体"/>
          <w:color w:val="000000" w:themeColor="text1"/>
          <w:kern w:val="0"/>
          <w:szCs w:val="21"/>
          <w:highlight w:val="none"/>
          <w14:textFill>
            <w14:solidFill>
              <w14:schemeClr w14:val="tx1"/>
            </w14:solidFill>
          </w14:textFill>
        </w:rPr>
        <w:t>12-2</w:t>
      </w:r>
      <w:r>
        <w:rPr>
          <w:rFonts w:hint="eastAsia" w:hAnsi="宋体" w:cs="宋体"/>
          <w:color w:val="000000" w:themeColor="text1"/>
          <w:kern w:val="0"/>
          <w:szCs w:val="21"/>
          <w:highlight w:val="none"/>
          <w14:textFill>
            <w14:solidFill>
              <w14:schemeClr w14:val="tx1"/>
            </w14:solidFill>
          </w14:textFill>
        </w:rPr>
        <w:t>）和《</w:t>
      </w:r>
      <w:r>
        <w:rPr>
          <w:rFonts w:hint="eastAsia" w:cs="宋体"/>
          <w:color w:val="000000" w:themeColor="text1"/>
          <w:szCs w:val="21"/>
          <w:highlight w:val="none"/>
          <w14:textFill>
            <w14:solidFill>
              <w14:schemeClr w14:val="tx1"/>
            </w14:solidFill>
          </w14:textFill>
        </w:rPr>
        <w:t>专业工程暂估价表》（</w:t>
      </w:r>
      <w:r>
        <w:rPr>
          <w:rFonts w:hint="eastAsia" w:hAnsi="宋体" w:cs="宋体"/>
          <w:color w:val="000000" w:themeColor="text1"/>
          <w:kern w:val="0"/>
          <w:szCs w:val="21"/>
          <w:highlight w:val="none"/>
          <w14:textFill>
            <w14:solidFill>
              <w14:schemeClr w14:val="tx1"/>
            </w14:solidFill>
          </w14:textFill>
        </w:rPr>
        <w:t>表</w:t>
      </w:r>
      <w:r>
        <w:rPr>
          <w:rFonts w:hAnsi="宋体"/>
          <w:color w:val="000000" w:themeColor="text1"/>
          <w:kern w:val="0"/>
          <w:szCs w:val="21"/>
          <w:highlight w:val="none"/>
          <w14:textFill>
            <w14:solidFill>
              <w14:schemeClr w14:val="tx1"/>
            </w14:solidFill>
          </w14:textFill>
        </w:rPr>
        <w:t>12-3</w:t>
      </w:r>
      <w:r>
        <w:rPr>
          <w:rFonts w:hint="eastAsia" w:hAnsi="宋体" w:cs="宋体"/>
          <w:color w:val="000000" w:themeColor="text1"/>
          <w:kern w:val="0"/>
          <w:szCs w:val="21"/>
          <w:highlight w:val="none"/>
          <w14:textFill>
            <w14:solidFill>
              <w14:schemeClr w14:val="tx1"/>
            </w14:solidFill>
          </w14:textFill>
        </w:rPr>
        <w:t>）。</w:t>
      </w:r>
    </w:p>
    <w:bookmarkEnd w:id="753"/>
    <w:bookmarkEnd w:id="754"/>
    <w:bookmarkEnd w:id="755"/>
    <w:p w14:paraId="34A1DB5C">
      <w:pPr>
        <w:spacing w:line="360" w:lineRule="auto"/>
        <w:ind w:firstLine="420" w:firstLineChars="20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w:t>
      </w:r>
      <w:bookmarkStart w:id="756" w:name="_Toc318581177"/>
      <w:bookmarkStart w:id="757" w:name="_Toc312678035"/>
      <w:bookmarkStart w:id="758" w:name="_Toc312677509"/>
      <w:r>
        <w:rPr>
          <w:color w:val="000000" w:themeColor="text1"/>
          <w:szCs w:val="21"/>
          <w:highlight w:val="none"/>
          <w14:textFill>
            <w14:solidFill>
              <w14:schemeClr w14:val="tx1"/>
            </w14:solidFill>
          </w14:textFill>
        </w:rPr>
        <w:t xml:space="preserve">0.7.1 </w:t>
      </w:r>
      <w:r>
        <w:rPr>
          <w:rFonts w:hint="eastAsia" w:hAnsi="宋体" w:cs="宋体"/>
          <w:color w:val="000000" w:themeColor="text1"/>
          <w:szCs w:val="21"/>
          <w:highlight w:val="none"/>
          <w14:textFill>
            <w14:solidFill>
              <w14:schemeClr w14:val="tx1"/>
            </w14:solidFill>
          </w14:textFill>
        </w:rPr>
        <w:t>依法必须招标的暂估价项目</w:t>
      </w:r>
    </w:p>
    <w:bookmarkEnd w:id="756"/>
    <w:bookmarkEnd w:id="757"/>
    <w:bookmarkEnd w:id="758"/>
    <w:p w14:paraId="587A383F">
      <w:pPr>
        <w:spacing w:line="360" w:lineRule="auto"/>
        <w:ind w:firstLine="420" w:firstLineChars="200"/>
        <w:jc w:val="left"/>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对于依法必须招标的暂估价项目的确认和批准采取第</w:t>
      </w:r>
      <w:r>
        <w:rPr>
          <w:rFonts w:hint="eastAsia"/>
          <w:color w:val="000000" w:themeColor="text1"/>
          <w:szCs w:val="21"/>
          <w:highlight w:val="none"/>
          <w:u w:val="single"/>
          <w14:textFill>
            <w14:solidFill>
              <w14:schemeClr w14:val="tx1"/>
            </w14:solidFill>
          </w14:textFill>
        </w:rPr>
        <w:t>1</w:t>
      </w:r>
      <w:r>
        <w:rPr>
          <w:rFonts w:hint="eastAsia" w:hAnsi="宋体" w:cs="宋体"/>
          <w:color w:val="000000" w:themeColor="text1"/>
          <w:szCs w:val="21"/>
          <w:highlight w:val="none"/>
          <w14:textFill>
            <w14:solidFill>
              <w14:schemeClr w14:val="tx1"/>
            </w14:solidFill>
          </w14:textFill>
        </w:rPr>
        <w:t>种方式确定。</w:t>
      </w:r>
    </w:p>
    <w:p w14:paraId="065B5D82">
      <w:pPr>
        <w:spacing w:line="360" w:lineRule="auto"/>
        <w:ind w:firstLine="420" w:firstLineChars="20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10.7.2 </w:t>
      </w:r>
      <w:r>
        <w:rPr>
          <w:rFonts w:hint="eastAsia" w:hAnsi="宋体" w:cs="宋体"/>
          <w:color w:val="000000" w:themeColor="text1"/>
          <w:szCs w:val="21"/>
          <w:highlight w:val="none"/>
          <w14:textFill>
            <w14:solidFill>
              <w14:schemeClr w14:val="tx1"/>
            </w14:solidFill>
          </w14:textFill>
        </w:rPr>
        <w:t>不属于依法必须招标的暂估价项目</w:t>
      </w:r>
    </w:p>
    <w:p w14:paraId="6AFD7328">
      <w:pPr>
        <w:spacing w:line="360" w:lineRule="auto"/>
        <w:ind w:firstLine="420" w:firstLineChars="200"/>
        <w:jc w:val="left"/>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对于不属于依法必须招标的暂估价项目的确认和批准采取第</w:t>
      </w:r>
      <w:r>
        <w:rPr>
          <w:rFonts w:hint="eastAsia"/>
          <w:color w:val="000000" w:themeColor="text1"/>
          <w:szCs w:val="21"/>
          <w:highlight w:val="none"/>
          <w:u w:val="single"/>
          <w14:textFill>
            <w14:solidFill>
              <w14:schemeClr w14:val="tx1"/>
            </w14:solidFill>
          </w14:textFill>
        </w:rPr>
        <w:t>1</w:t>
      </w:r>
      <w:r>
        <w:rPr>
          <w:rFonts w:hint="eastAsia" w:hAnsi="宋体" w:cs="宋体"/>
          <w:color w:val="000000" w:themeColor="text1"/>
          <w:szCs w:val="21"/>
          <w:highlight w:val="none"/>
          <w14:textFill>
            <w14:solidFill>
              <w14:schemeClr w14:val="tx1"/>
            </w14:solidFill>
          </w14:textFill>
        </w:rPr>
        <w:t>种方式确定。</w:t>
      </w:r>
    </w:p>
    <w:p w14:paraId="146FC460">
      <w:pPr>
        <w:spacing w:line="360" w:lineRule="auto"/>
        <w:ind w:firstLine="420" w:firstLineChars="200"/>
        <w:jc w:val="left"/>
        <w:rPr>
          <w:color w:val="000000" w:themeColor="text1"/>
          <w:kern w:val="0"/>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第</w:t>
      </w:r>
      <w:r>
        <w:rPr>
          <w:color w:val="000000" w:themeColor="text1"/>
          <w:szCs w:val="21"/>
          <w:highlight w:val="none"/>
          <w14:textFill>
            <w14:solidFill>
              <w14:schemeClr w14:val="tx1"/>
            </w14:solidFill>
          </w14:textFill>
        </w:rPr>
        <w:t>3</w:t>
      </w:r>
      <w:r>
        <w:rPr>
          <w:rFonts w:hint="eastAsia" w:hAnsi="宋体" w:cs="宋体"/>
          <w:color w:val="000000" w:themeColor="text1"/>
          <w:szCs w:val="21"/>
          <w:highlight w:val="none"/>
          <w14:textFill>
            <w14:solidFill>
              <w14:schemeClr w14:val="tx1"/>
            </w14:solidFill>
          </w14:textFill>
        </w:rPr>
        <w:t>种方式：</w:t>
      </w:r>
      <w:r>
        <w:rPr>
          <w:rFonts w:hint="eastAsia" w:hAnsi="宋体" w:cs="宋体"/>
          <w:color w:val="000000" w:themeColor="text1"/>
          <w:kern w:val="0"/>
          <w:szCs w:val="21"/>
          <w:highlight w:val="none"/>
          <w14:textFill>
            <w14:solidFill>
              <w14:schemeClr w14:val="tx1"/>
            </w14:solidFill>
          </w14:textFill>
        </w:rPr>
        <w:t>承包人直接实施的暂估价项目</w:t>
      </w:r>
    </w:p>
    <w:p w14:paraId="08D4A2C7">
      <w:pPr>
        <w:spacing w:line="360" w:lineRule="auto"/>
        <w:ind w:firstLine="420" w:firstLineChars="200"/>
        <w:jc w:val="left"/>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承包人直接实施的暂估价项目的约定：</w:t>
      </w:r>
      <w:r>
        <w:rPr>
          <w:rFonts w:hint="eastAsia"/>
          <w:color w:val="000000" w:themeColor="text1"/>
          <w:szCs w:val="21"/>
          <w:highlight w:val="none"/>
          <w:u w:val="single"/>
          <w14:textFill>
            <w14:solidFill>
              <w14:schemeClr w14:val="tx1"/>
            </w14:solidFill>
          </w14:textFill>
        </w:rPr>
        <w:t>无</w:t>
      </w:r>
      <w:r>
        <w:rPr>
          <w:rFonts w:hint="eastAsia" w:hAnsi="宋体" w:cs="宋体"/>
          <w:color w:val="000000" w:themeColor="text1"/>
          <w:szCs w:val="21"/>
          <w:highlight w:val="none"/>
          <w14:textFill>
            <w14:solidFill>
              <w14:schemeClr w14:val="tx1"/>
            </w14:solidFill>
          </w14:textFill>
        </w:rPr>
        <w:t>。</w:t>
      </w:r>
    </w:p>
    <w:p w14:paraId="16140DEC">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759" w:name="_Toc373227745"/>
      <w:bookmarkStart w:id="760" w:name="_Toc114058885"/>
      <w:bookmarkStart w:id="761" w:name="_Toc407135248"/>
      <w:bookmarkStart w:id="762" w:name="_Toc389065311"/>
      <w:bookmarkStart w:id="763" w:name="_Toc373478392"/>
      <w:bookmarkStart w:id="764" w:name="_Toc78449834"/>
      <w:r>
        <w:rPr>
          <w:rFonts w:eastAsia="黑体"/>
          <w:b/>
          <w:bCs/>
          <w:color w:val="000000" w:themeColor="text1"/>
          <w:sz w:val="32"/>
          <w:szCs w:val="32"/>
          <w:highlight w:val="none"/>
          <w:lang w:val="zh-CN"/>
          <w14:textFill>
            <w14:solidFill>
              <w14:schemeClr w14:val="tx1"/>
            </w14:solidFill>
          </w14:textFill>
        </w:rPr>
        <w:t xml:space="preserve">10.8 </w:t>
      </w:r>
      <w:r>
        <w:rPr>
          <w:rFonts w:hint="eastAsia" w:hAnsi="宋体" w:eastAsia="黑体" w:cs="黑体"/>
          <w:b/>
          <w:bCs/>
          <w:color w:val="000000" w:themeColor="text1"/>
          <w:sz w:val="32"/>
          <w:szCs w:val="32"/>
          <w:highlight w:val="none"/>
          <w:lang w:val="zh-CN"/>
          <w14:textFill>
            <w14:solidFill>
              <w14:schemeClr w14:val="tx1"/>
            </w14:solidFill>
          </w14:textFill>
        </w:rPr>
        <w:t>暂列金额</w:t>
      </w:r>
      <w:bookmarkEnd w:id="759"/>
      <w:bookmarkEnd w:id="760"/>
      <w:bookmarkEnd w:id="761"/>
      <w:bookmarkEnd w:id="762"/>
      <w:bookmarkEnd w:id="763"/>
      <w:bookmarkEnd w:id="764"/>
    </w:p>
    <w:p w14:paraId="63D8AB5F">
      <w:pPr>
        <w:autoSpaceDE w:val="0"/>
        <w:autoSpaceDN w:val="0"/>
        <w:adjustRightInd w:val="0"/>
        <w:spacing w:line="360" w:lineRule="auto"/>
        <w:ind w:firstLine="420" w:firstLineChars="200"/>
        <w:jc w:val="left"/>
        <w:rPr>
          <w:color w:val="000000" w:themeColor="text1"/>
          <w:szCs w:val="21"/>
          <w:highlight w:val="none"/>
          <w:u w:val="singl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合同当事人关于暂列金额使用的约定：</w:t>
      </w:r>
      <w:r>
        <w:rPr>
          <w:rFonts w:hint="eastAsia"/>
          <w:color w:val="000000" w:themeColor="text1"/>
          <w:szCs w:val="21"/>
          <w:highlight w:val="none"/>
          <w:u w:val="single"/>
          <w14:textFill>
            <w14:solidFill>
              <w14:schemeClr w14:val="tx1"/>
            </w14:solidFill>
          </w14:textFill>
        </w:rPr>
        <w:t>无</w:t>
      </w:r>
      <w:r>
        <w:rPr>
          <w:rFonts w:hint="eastAsia" w:hAnsi="宋体" w:cs="宋体"/>
          <w:color w:val="000000" w:themeColor="text1"/>
          <w:kern w:val="0"/>
          <w:szCs w:val="21"/>
          <w:highlight w:val="none"/>
          <w14:textFill>
            <w14:solidFill>
              <w14:schemeClr w14:val="tx1"/>
            </w14:solidFill>
          </w14:textFill>
        </w:rPr>
        <w:t>。</w:t>
      </w:r>
    </w:p>
    <w:p w14:paraId="3CC4FF85">
      <w:pPr>
        <w:keepNext/>
        <w:keepLines/>
        <w:numPr>
          <w:ilvl w:val="0"/>
          <w:numId w:val="18"/>
        </w:numPr>
        <w:spacing w:before="60" w:after="60" w:line="413" w:lineRule="auto"/>
        <w:outlineLvl w:val="1"/>
        <w:rPr>
          <w:rFonts w:ascii="Arial" w:hAnsi="Arial" w:eastAsia="黑体"/>
          <w:b/>
          <w:bCs/>
          <w:color w:val="000000" w:themeColor="text1"/>
          <w:sz w:val="32"/>
          <w:szCs w:val="32"/>
          <w:highlight w:val="none"/>
          <w:lang w:val="zh-CN"/>
          <w14:textFill>
            <w14:solidFill>
              <w14:schemeClr w14:val="tx1"/>
            </w14:solidFill>
          </w14:textFill>
        </w:rPr>
      </w:pPr>
      <w:bookmarkStart w:id="765" w:name="_Toc407135249"/>
      <w:bookmarkStart w:id="766" w:name="_Toc389065312"/>
      <w:bookmarkStart w:id="767" w:name="_Toc351203643"/>
      <w:bookmarkStart w:id="768" w:name="_Toc78449835"/>
      <w:bookmarkStart w:id="769" w:name="_Toc114058886"/>
      <w:bookmarkStart w:id="770" w:name="_Toc373478393"/>
      <w:bookmarkStart w:id="771" w:name="_Toc373227746"/>
      <w:r>
        <w:rPr>
          <w:rFonts w:hint="eastAsia" w:ascii="Arial" w:hAnsi="宋体" w:eastAsia="黑体" w:cs="黑体"/>
          <w:b/>
          <w:bCs/>
          <w:color w:val="000000" w:themeColor="text1"/>
          <w:sz w:val="32"/>
          <w:szCs w:val="32"/>
          <w:highlight w:val="none"/>
          <w:lang w:val="zh-CN"/>
          <w14:textFill>
            <w14:solidFill>
              <w14:schemeClr w14:val="tx1"/>
            </w14:solidFill>
          </w14:textFill>
        </w:rPr>
        <w:t>价格调整</w:t>
      </w:r>
      <w:bookmarkEnd w:id="765"/>
      <w:bookmarkEnd w:id="766"/>
      <w:bookmarkEnd w:id="767"/>
      <w:bookmarkEnd w:id="768"/>
      <w:bookmarkEnd w:id="769"/>
      <w:bookmarkEnd w:id="770"/>
      <w:bookmarkEnd w:id="771"/>
    </w:p>
    <w:p w14:paraId="3B7C65B8">
      <w:pPr>
        <w:spacing w:line="360" w:lineRule="auto"/>
        <w:ind w:firstLine="420" w:firstLineChars="200"/>
        <w:jc w:val="left"/>
        <w:rPr>
          <w:rFonts w:hAnsi="宋体"/>
          <w:color w:val="000000" w:themeColor="text1"/>
          <w:kern w:val="0"/>
          <w:szCs w:val="21"/>
          <w:highlight w:val="none"/>
          <w14:textFill>
            <w14:solidFill>
              <w14:schemeClr w14:val="tx1"/>
            </w14:solidFill>
          </w14:textFill>
        </w:rPr>
      </w:pPr>
      <w:r>
        <w:rPr>
          <w:rFonts w:hint="eastAsia" w:hAnsi="宋体"/>
          <w:color w:val="000000" w:themeColor="text1"/>
          <w:kern w:val="0"/>
          <w:szCs w:val="21"/>
          <w:highlight w:val="none"/>
          <w14:textFill>
            <w14:solidFill>
              <w14:schemeClr w14:val="tx1"/>
            </w14:solidFill>
          </w14:textFill>
        </w:rPr>
        <w:t>①法律变化引起的调整；</w:t>
      </w:r>
    </w:p>
    <w:p w14:paraId="451620E0">
      <w:pPr>
        <w:spacing w:line="360" w:lineRule="auto"/>
        <w:ind w:firstLine="420" w:firstLineChars="200"/>
        <w:jc w:val="left"/>
        <w:rPr>
          <w:rFonts w:hAnsi="宋体"/>
          <w:color w:val="000000" w:themeColor="text1"/>
          <w:kern w:val="0"/>
          <w:szCs w:val="21"/>
          <w:highlight w:val="none"/>
          <w14:textFill>
            <w14:solidFill>
              <w14:schemeClr w14:val="tx1"/>
            </w14:solidFill>
          </w14:textFill>
        </w:rPr>
      </w:pPr>
      <w:r>
        <w:rPr>
          <w:rFonts w:hint="eastAsia" w:hAnsi="宋体"/>
          <w:color w:val="000000" w:themeColor="text1"/>
          <w:kern w:val="0"/>
          <w:szCs w:val="21"/>
          <w:highlight w:val="none"/>
          <w14:textFill>
            <w14:solidFill>
              <w14:schemeClr w14:val="tx1"/>
            </w14:solidFill>
          </w14:textFill>
        </w:rPr>
        <w:t>②工程变更、项目特征不符、工程量清单缺项、工程量偏差引起的调整；</w:t>
      </w:r>
    </w:p>
    <w:p w14:paraId="3869AFEE">
      <w:pPr>
        <w:spacing w:line="360" w:lineRule="auto"/>
        <w:ind w:firstLine="420" w:firstLineChars="200"/>
        <w:jc w:val="left"/>
        <w:rPr>
          <w:rFonts w:hAnsi="宋体"/>
          <w:color w:val="000000" w:themeColor="text1"/>
          <w:kern w:val="0"/>
          <w:szCs w:val="21"/>
          <w:highlight w:val="none"/>
          <w14:textFill>
            <w14:solidFill>
              <w14:schemeClr w14:val="tx1"/>
            </w14:solidFill>
          </w14:textFill>
        </w:rPr>
      </w:pPr>
      <w:r>
        <w:rPr>
          <w:rFonts w:hint="eastAsia" w:hAnsi="宋体"/>
          <w:color w:val="000000" w:themeColor="text1"/>
          <w:kern w:val="0"/>
          <w:szCs w:val="21"/>
          <w:highlight w:val="none"/>
          <w14:textFill>
            <w14:solidFill>
              <w14:schemeClr w14:val="tx1"/>
            </w14:solidFill>
          </w14:textFill>
        </w:rPr>
        <w:t>③计日工引起的调整。</w:t>
      </w:r>
    </w:p>
    <w:p w14:paraId="49CAEC46">
      <w:pPr>
        <w:rPr>
          <w:color w:val="000000" w:themeColor="text1"/>
          <w:szCs w:val="21"/>
          <w:highlight w:val="none"/>
          <w14:textFill>
            <w14:solidFill>
              <w14:schemeClr w14:val="tx1"/>
            </w14:solidFill>
          </w14:textFill>
        </w:rPr>
      </w:pPr>
    </w:p>
    <w:p w14:paraId="735EB5E8">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772" w:name="_Toc373478394"/>
      <w:bookmarkStart w:id="773" w:name="_Toc373227747"/>
      <w:bookmarkStart w:id="774" w:name="_Toc389065313"/>
      <w:bookmarkStart w:id="775" w:name="_Toc407135250"/>
      <w:bookmarkStart w:id="776" w:name="_Toc78449836"/>
      <w:bookmarkStart w:id="777" w:name="_Toc114058887"/>
      <w:bookmarkStart w:id="778" w:name="_Toc292559911"/>
      <w:bookmarkStart w:id="779" w:name="_Toc300935000"/>
      <w:bookmarkStart w:id="780" w:name="_Toc296503201"/>
      <w:bookmarkStart w:id="781" w:name="_Toc296891029"/>
      <w:bookmarkStart w:id="782" w:name="_Toc292559406"/>
      <w:bookmarkStart w:id="783" w:name="_Toc296346702"/>
      <w:bookmarkStart w:id="784" w:name="_Toc296944540"/>
      <w:bookmarkStart w:id="785" w:name="_Toc296891241"/>
      <w:bookmarkStart w:id="786" w:name="_Toc304295577"/>
      <w:bookmarkStart w:id="787" w:name="_Toc296347200"/>
      <w:bookmarkStart w:id="788" w:name="_Toc297048387"/>
      <w:bookmarkStart w:id="789" w:name="_Toc303539157"/>
      <w:bookmarkStart w:id="790" w:name="_Toc297123550"/>
      <w:bookmarkStart w:id="791" w:name="_Toc297120501"/>
      <w:bookmarkStart w:id="792" w:name="_Toc297216209"/>
      <w:bookmarkStart w:id="793" w:name="_Toc312678039"/>
      <w:r>
        <w:rPr>
          <w:rFonts w:eastAsia="黑体"/>
          <w:b/>
          <w:bCs/>
          <w:color w:val="000000" w:themeColor="text1"/>
          <w:sz w:val="32"/>
          <w:szCs w:val="32"/>
          <w:highlight w:val="none"/>
          <w:lang w:val="zh-CN"/>
          <w14:textFill>
            <w14:solidFill>
              <w14:schemeClr w14:val="tx1"/>
            </w14:solidFill>
          </w14:textFill>
        </w:rPr>
        <w:t xml:space="preserve">11.1 </w:t>
      </w:r>
      <w:r>
        <w:rPr>
          <w:rFonts w:hint="eastAsia" w:eastAsia="黑体" w:cs="黑体"/>
          <w:b/>
          <w:bCs/>
          <w:color w:val="000000" w:themeColor="text1"/>
          <w:sz w:val="32"/>
          <w:szCs w:val="32"/>
          <w:highlight w:val="none"/>
          <w:lang w:val="zh-CN"/>
          <w14:textFill>
            <w14:solidFill>
              <w14:schemeClr w14:val="tx1"/>
            </w14:solidFill>
          </w14:textFill>
        </w:rPr>
        <w:t>市场价格波动引起的调整</w:t>
      </w:r>
      <w:bookmarkEnd w:id="772"/>
      <w:bookmarkEnd w:id="773"/>
      <w:bookmarkEnd w:id="774"/>
      <w:bookmarkEnd w:id="775"/>
      <w:bookmarkEnd w:id="776"/>
      <w:bookmarkEnd w:id="777"/>
    </w:p>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p w14:paraId="42BD549D">
      <w:pPr>
        <w:spacing w:line="360" w:lineRule="auto"/>
        <w:ind w:firstLine="420" w:firstLineChars="200"/>
        <w:jc w:val="left"/>
        <w:rPr>
          <w:color w:val="000000" w:themeColor="text1"/>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市场价格波动是否调整合同价格的约定：</w:t>
      </w:r>
      <w:r>
        <w:rPr>
          <w:rFonts w:hint="eastAsia"/>
          <w:color w:val="000000" w:themeColor="text1"/>
          <w:szCs w:val="21"/>
          <w:highlight w:val="none"/>
          <w:u w:val="single"/>
          <w14:textFill>
            <w14:solidFill>
              <w14:schemeClr w14:val="tx1"/>
            </w14:solidFill>
          </w14:textFill>
        </w:rPr>
        <w:t>否</w:t>
      </w:r>
      <w:r>
        <w:rPr>
          <w:rFonts w:hint="eastAsia" w:hAnsi="宋体" w:cs="宋体"/>
          <w:color w:val="000000" w:themeColor="text1"/>
          <w:szCs w:val="21"/>
          <w:highlight w:val="none"/>
          <w14:textFill>
            <w14:solidFill>
              <w14:schemeClr w14:val="tx1"/>
            </w14:solidFill>
          </w14:textFill>
        </w:rPr>
        <w:t>。</w:t>
      </w:r>
    </w:p>
    <w:p w14:paraId="3E494E18">
      <w:pPr>
        <w:spacing w:line="360" w:lineRule="auto"/>
        <w:ind w:firstLine="420" w:firstLineChars="200"/>
        <w:jc w:val="left"/>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因市场价格波动调整合同价格，采用以下第</w:t>
      </w:r>
      <w:r>
        <w:rPr>
          <w:rFonts w:hint="eastAsia"/>
          <w:color w:val="000000" w:themeColor="text1"/>
          <w:szCs w:val="21"/>
          <w:highlight w:val="none"/>
          <w:u w:val="single"/>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种方式对合同价格进行调整：</w:t>
      </w:r>
    </w:p>
    <w:p w14:paraId="11F297ED">
      <w:pPr>
        <w:spacing w:line="360" w:lineRule="auto"/>
        <w:ind w:firstLine="420" w:firstLineChars="200"/>
        <w:jc w:val="left"/>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第</w:t>
      </w:r>
      <w:r>
        <w:rPr>
          <w:color w:val="000000" w:themeColor="text1"/>
          <w:szCs w:val="21"/>
          <w:highlight w:val="none"/>
          <w14:textFill>
            <w14:solidFill>
              <w14:schemeClr w14:val="tx1"/>
            </w14:solidFill>
          </w14:textFill>
        </w:rPr>
        <w:t>1</w:t>
      </w:r>
      <w:r>
        <w:rPr>
          <w:rFonts w:hint="eastAsia" w:hAnsi="宋体" w:cs="宋体"/>
          <w:color w:val="000000" w:themeColor="text1"/>
          <w:szCs w:val="21"/>
          <w:highlight w:val="none"/>
          <w14:textFill>
            <w14:solidFill>
              <w14:schemeClr w14:val="tx1"/>
            </w14:solidFill>
          </w14:textFill>
        </w:rPr>
        <w:t>种方式：采用价格指数进行价格调整。</w:t>
      </w:r>
    </w:p>
    <w:p w14:paraId="3FEEFB07">
      <w:pPr>
        <w:spacing w:line="360" w:lineRule="auto"/>
        <w:ind w:firstLine="420" w:firstLineChars="200"/>
        <w:jc w:val="left"/>
        <w:rPr>
          <w:color w:val="000000" w:themeColor="text1"/>
          <w:szCs w:val="21"/>
          <w:highlight w:val="none"/>
          <w:u w:val="singl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关于各可调因子、定值和变值权重，以及基本价格指数及其来源的约定：；</w:t>
      </w:r>
    </w:p>
    <w:p w14:paraId="1ADE73F3">
      <w:pPr>
        <w:spacing w:line="360" w:lineRule="auto"/>
        <w:ind w:firstLine="420" w:firstLineChars="200"/>
        <w:jc w:val="left"/>
        <w:rPr>
          <w:rFonts w:hAnsi="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第</w:t>
      </w:r>
      <w:r>
        <w:rPr>
          <w:color w:val="000000" w:themeColor="text1"/>
          <w:szCs w:val="21"/>
          <w:highlight w:val="none"/>
          <w14:textFill>
            <w14:solidFill>
              <w14:schemeClr w14:val="tx1"/>
            </w14:solidFill>
          </w14:textFill>
        </w:rPr>
        <w:t>2</w:t>
      </w:r>
      <w:r>
        <w:rPr>
          <w:rFonts w:hint="eastAsia" w:hAnsi="宋体" w:cs="宋体"/>
          <w:color w:val="000000" w:themeColor="text1"/>
          <w:szCs w:val="21"/>
          <w:highlight w:val="none"/>
          <w14:textFill>
            <w14:solidFill>
              <w14:schemeClr w14:val="tx1"/>
            </w14:solidFill>
          </w14:textFill>
        </w:rPr>
        <w:t>种方式：采用造价信息进行价格调整。</w:t>
      </w:r>
    </w:p>
    <w:p w14:paraId="0FDF22B7">
      <w:pPr>
        <w:spacing w:line="360" w:lineRule="auto"/>
        <w:ind w:firstLine="420" w:firstLineChars="200"/>
        <w:jc w:val="left"/>
        <w:rPr>
          <w:rFonts w:hAnsi="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1</w:t>
      </w:r>
      <w:r>
        <w:rPr>
          <w:rFonts w:hint="eastAsia" w:hAnsi="宋体" w:cs="宋体"/>
          <w:color w:val="000000" w:themeColor="text1"/>
          <w:szCs w:val="21"/>
          <w:highlight w:val="none"/>
          <w14:textFill>
            <w14:solidFill>
              <w14:schemeClr w14:val="tx1"/>
            </w14:solidFill>
          </w14:textFill>
        </w:rPr>
        <w:t>）允许调整主要材料和</w:t>
      </w:r>
      <w:r>
        <w:rPr>
          <w:rFonts w:hAnsi="宋体" w:cs="宋体"/>
          <w:color w:val="000000" w:themeColor="text1"/>
          <w:szCs w:val="21"/>
          <w:highlight w:val="none"/>
          <w14:textFill>
            <w14:solidFill>
              <w14:schemeClr w14:val="tx1"/>
            </w14:solidFill>
          </w14:textFill>
        </w:rPr>
        <w:t>工程</w:t>
      </w:r>
      <w:r>
        <w:rPr>
          <w:rFonts w:hint="eastAsia" w:hAnsi="宋体" w:cs="宋体"/>
          <w:color w:val="000000" w:themeColor="text1"/>
          <w:szCs w:val="21"/>
          <w:highlight w:val="none"/>
          <w14:textFill>
            <w14:solidFill>
              <w14:schemeClr w14:val="tx1"/>
            </w14:solidFill>
          </w14:textFill>
        </w:rPr>
        <w:t>设备、基期价格、风险系数、竞标报价详见《</w:t>
      </w:r>
      <w:r>
        <w:rPr>
          <w:rFonts w:hAnsi="宋体" w:cs="宋体"/>
          <w:color w:val="000000" w:themeColor="text1"/>
          <w:szCs w:val="21"/>
          <w:highlight w:val="none"/>
          <w14:textFill>
            <w14:solidFill>
              <w14:schemeClr w14:val="tx1"/>
            </w14:solidFill>
          </w14:textFill>
        </w:rPr>
        <w:t>允许调整</w:t>
      </w:r>
      <w:r>
        <w:rPr>
          <w:rFonts w:hint="eastAsia" w:hAnsi="宋体" w:cs="宋体"/>
          <w:color w:val="000000" w:themeColor="text1"/>
          <w:szCs w:val="21"/>
          <w:highlight w:val="none"/>
          <w14:textFill>
            <w14:solidFill>
              <w14:schemeClr w14:val="tx1"/>
            </w14:solidFill>
          </w14:textFill>
        </w:rPr>
        <w:t>主要材料和</w:t>
      </w:r>
      <w:r>
        <w:rPr>
          <w:rFonts w:hAnsi="宋体" w:cs="宋体"/>
          <w:color w:val="000000" w:themeColor="text1"/>
          <w:szCs w:val="21"/>
          <w:highlight w:val="none"/>
          <w14:textFill>
            <w14:solidFill>
              <w14:schemeClr w14:val="tx1"/>
            </w14:solidFill>
          </w14:textFill>
        </w:rPr>
        <w:t>工程</w:t>
      </w:r>
      <w:r>
        <w:rPr>
          <w:rFonts w:hint="eastAsia" w:hAnsi="宋体" w:cs="宋体"/>
          <w:color w:val="000000" w:themeColor="text1"/>
          <w:szCs w:val="21"/>
          <w:highlight w:val="none"/>
          <w14:textFill>
            <w14:solidFill>
              <w14:schemeClr w14:val="tx1"/>
            </w14:solidFill>
          </w14:textFill>
        </w:rPr>
        <w:t>设备一览表》</w:t>
      </w:r>
      <w:r>
        <w:rPr>
          <w:rFonts w:hint="eastAsia" w:ascii="宋体" w:hAnsi="宋体"/>
          <w:color w:val="000000" w:themeColor="text1"/>
          <w:kern w:val="0"/>
          <w:sz w:val="20"/>
          <w:szCs w:val="21"/>
          <w:highlight w:val="none"/>
          <w14:textFill>
            <w14:solidFill>
              <w14:schemeClr w14:val="tx1"/>
            </w14:solidFill>
          </w14:textFill>
        </w:rPr>
        <w:t>（表</w:t>
      </w:r>
      <w:r>
        <w:rPr>
          <w:rFonts w:ascii="宋体" w:hAnsi="宋体"/>
          <w:color w:val="000000" w:themeColor="text1"/>
          <w:kern w:val="0"/>
          <w:sz w:val="20"/>
          <w:szCs w:val="21"/>
          <w:highlight w:val="none"/>
          <w14:textFill>
            <w14:solidFill>
              <w14:schemeClr w14:val="tx1"/>
            </w14:solidFill>
          </w14:textFill>
        </w:rPr>
        <w:t>-22</w:t>
      </w:r>
      <w:r>
        <w:rPr>
          <w:rFonts w:hint="eastAsia" w:ascii="宋体" w:hAnsi="宋体"/>
          <w:color w:val="000000" w:themeColor="text1"/>
          <w:kern w:val="0"/>
          <w:sz w:val="20"/>
          <w:szCs w:val="21"/>
          <w:highlight w:val="none"/>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,价</w:t>
      </w:r>
      <w:r>
        <w:rPr>
          <w:rFonts w:hAnsi="宋体" w:cs="宋体"/>
          <w:color w:val="000000" w:themeColor="text1"/>
          <w:szCs w:val="21"/>
          <w:highlight w:val="none"/>
          <w14:textFill>
            <w14:solidFill>
              <w14:schemeClr w14:val="tx1"/>
            </w14:solidFill>
          </w14:textFill>
        </w:rPr>
        <w:t>差</w:t>
      </w:r>
      <w:r>
        <w:rPr>
          <w:rFonts w:hint="eastAsia" w:ascii="Calibri" w:hAnsi="宋体" w:cs="宋体"/>
          <w:color w:val="000000" w:themeColor="text1"/>
          <w:szCs w:val="21"/>
          <w:highlight w:val="none"/>
          <w14:textFill>
            <w14:solidFill>
              <w14:schemeClr w14:val="tx1"/>
            </w14:solidFill>
          </w14:textFill>
        </w:rPr>
        <w:t>调整部分仅计算税金，除此表列明的材料、设备外，其余材料设备价差原则上不予调整。</w:t>
      </w:r>
    </w:p>
    <w:p w14:paraId="68DAECC3">
      <w:pPr>
        <w:spacing w:line="360" w:lineRule="auto"/>
        <w:ind w:firstLine="420" w:firstLineChars="200"/>
        <w:jc w:val="left"/>
        <w:rPr>
          <w:rFonts w:hAnsi="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2</w:t>
      </w:r>
      <w:r>
        <w:rPr>
          <w:rFonts w:hint="eastAsia" w:hAnsi="宋体" w:cs="宋体"/>
          <w:color w:val="000000" w:themeColor="text1"/>
          <w:szCs w:val="21"/>
          <w:highlight w:val="none"/>
          <w14:textFill>
            <w14:solidFill>
              <w14:schemeClr w14:val="tx1"/>
            </w14:solidFill>
          </w14:textFill>
        </w:rPr>
        <w:t>）主要材料和</w:t>
      </w:r>
      <w:r>
        <w:rPr>
          <w:rFonts w:hAnsi="宋体" w:cs="宋体"/>
          <w:color w:val="000000" w:themeColor="text1"/>
          <w:szCs w:val="21"/>
          <w:highlight w:val="none"/>
          <w14:textFill>
            <w14:solidFill>
              <w14:schemeClr w14:val="tx1"/>
            </w14:solidFill>
          </w14:textFill>
        </w:rPr>
        <w:t>工程</w:t>
      </w:r>
      <w:r>
        <w:rPr>
          <w:rFonts w:hint="eastAsia" w:hAnsi="宋体" w:cs="宋体"/>
          <w:color w:val="000000" w:themeColor="text1"/>
          <w:szCs w:val="21"/>
          <w:highlight w:val="none"/>
          <w14:textFill>
            <w14:solidFill>
              <w14:schemeClr w14:val="tx1"/>
            </w14:solidFill>
          </w14:textFill>
        </w:rPr>
        <w:t>设备确认价：</w:t>
      </w:r>
    </w:p>
    <w:p w14:paraId="1C425523">
      <w:pPr>
        <w:spacing w:line="360" w:lineRule="auto"/>
        <w:ind w:firstLine="420" w:firstLineChars="200"/>
        <w:jc w:val="left"/>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按施工期间《南宁市建设工程造价信息》材料信息价的加权平均价计算，信息价没有的按通用条款规定确定。</w:t>
      </w:r>
    </w:p>
    <w:p w14:paraId="24792564">
      <w:pPr>
        <w:spacing w:line="360" w:lineRule="auto"/>
        <w:ind w:firstLine="420" w:firstLineChars="200"/>
        <w:jc w:val="left"/>
        <w:rPr>
          <w:rFonts w:hAnsi="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3</w:t>
      </w:r>
      <w:r>
        <w:rPr>
          <w:rFonts w:hint="eastAsia" w:hAnsi="宋体" w:cs="宋体"/>
          <w:color w:val="000000" w:themeColor="text1"/>
          <w:szCs w:val="21"/>
          <w:highlight w:val="none"/>
          <w14:textFill>
            <w14:solidFill>
              <w14:schemeClr w14:val="tx1"/>
            </w14:solidFill>
          </w14:textFill>
        </w:rPr>
        <w:t>）价差计算方法：</w:t>
      </w:r>
    </w:p>
    <w:p w14:paraId="34ABD63C">
      <w:pPr>
        <w:spacing w:line="360" w:lineRule="auto"/>
        <w:ind w:firstLine="420" w:firstLineChars="200"/>
        <w:jc w:val="left"/>
        <w:rPr>
          <w:rFonts w:hAnsi="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①《</w:t>
      </w:r>
      <w:r>
        <w:rPr>
          <w:rFonts w:hAnsi="宋体" w:cs="宋体"/>
          <w:color w:val="000000" w:themeColor="text1"/>
          <w:szCs w:val="21"/>
          <w:highlight w:val="none"/>
          <w14:textFill>
            <w14:solidFill>
              <w14:schemeClr w14:val="tx1"/>
            </w14:solidFill>
          </w14:textFill>
        </w:rPr>
        <w:t>允许调整</w:t>
      </w:r>
      <w:r>
        <w:rPr>
          <w:rFonts w:hint="eastAsia" w:hAnsi="宋体" w:cs="宋体"/>
          <w:color w:val="000000" w:themeColor="text1"/>
          <w:szCs w:val="21"/>
          <w:highlight w:val="none"/>
          <w14:textFill>
            <w14:solidFill>
              <w14:schemeClr w14:val="tx1"/>
            </w14:solidFill>
          </w14:textFill>
        </w:rPr>
        <w:t>主要材料和工程设备一览表》中载明的材料和设备竞标报价低于基准价格的：合同履行期间材料和设备单价涨幅以基准价格为基础超过约定的风险范围时，或材料和设备单价跌幅以竞标报价为基础超过约定的风险范围时，对其超过部分进行价差调整，价差计算公式：价格上涨价差=确认价-基准价*（1+风险系数），价格下跌价差=确认价-竞标报价*（1+风险系数）。</w:t>
      </w:r>
    </w:p>
    <w:p w14:paraId="3C5B8406">
      <w:pPr>
        <w:spacing w:line="360" w:lineRule="auto"/>
        <w:ind w:firstLine="420" w:firstLineChars="200"/>
        <w:jc w:val="left"/>
        <w:rPr>
          <w:rFonts w:hAnsi="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②承包人在《</w:t>
      </w:r>
      <w:r>
        <w:rPr>
          <w:rFonts w:hAnsi="宋体" w:cs="宋体"/>
          <w:color w:val="000000" w:themeColor="text1"/>
          <w:szCs w:val="21"/>
          <w:highlight w:val="none"/>
          <w14:textFill>
            <w14:solidFill>
              <w14:schemeClr w14:val="tx1"/>
            </w14:solidFill>
          </w14:textFill>
        </w:rPr>
        <w:t>允许调整</w:t>
      </w:r>
      <w:r>
        <w:rPr>
          <w:rFonts w:hint="eastAsia" w:hAnsi="宋体" w:cs="宋体"/>
          <w:color w:val="000000" w:themeColor="text1"/>
          <w:szCs w:val="21"/>
          <w:highlight w:val="none"/>
          <w14:textFill>
            <w14:solidFill>
              <w14:schemeClr w14:val="tx1"/>
            </w14:solidFill>
          </w14:textFill>
        </w:rPr>
        <w:t>主要材料和工程设备一览表》中载明的材料和设备竞标报价高于基准价格的：合同履行期间材料和设备单价跌幅以基准价格为基础超过约定的风险范围时，或材料和设备单价涨幅以竞标报价为基础超过约定的风险范围时，对其超过部分进行价差调整。价差计算公式：价格上涨价差=确认价-竞标报价*（1+风险系数），价格下跌价差=确认价-基准价*（1+风险系数。）</w:t>
      </w:r>
    </w:p>
    <w:p w14:paraId="4D6C84D0">
      <w:pPr>
        <w:spacing w:line="360" w:lineRule="auto"/>
        <w:ind w:firstLine="420" w:firstLineChars="200"/>
        <w:jc w:val="left"/>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③承包人在《</w:t>
      </w:r>
      <w:r>
        <w:rPr>
          <w:rFonts w:hAnsi="宋体" w:cs="宋体"/>
          <w:color w:val="000000" w:themeColor="text1"/>
          <w:szCs w:val="21"/>
          <w:highlight w:val="none"/>
          <w14:textFill>
            <w14:solidFill>
              <w14:schemeClr w14:val="tx1"/>
            </w14:solidFill>
          </w14:textFill>
        </w:rPr>
        <w:t>允许调整</w:t>
      </w:r>
      <w:r>
        <w:rPr>
          <w:rFonts w:hint="eastAsia" w:hAnsi="宋体" w:cs="宋体"/>
          <w:color w:val="000000" w:themeColor="text1"/>
          <w:szCs w:val="21"/>
          <w:highlight w:val="none"/>
          <w14:textFill>
            <w14:solidFill>
              <w14:schemeClr w14:val="tx1"/>
            </w14:solidFill>
          </w14:textFill>
        </w:rPr>
        <w:t>主要材料和工程设备一览表》中载明的材料和设备单价等于基准单价的：合同履行期间材料和设备单价涨跌幅以基准单价为基础超过约定的风险范围时，对其超过部分进行价差调整。价差计算公式：上涨或下跌价差=确认价-基准单价*（1+风险系数））</w:t>
      </w:r>
    </w:p>
    <w:p w14:paraId="4EE0EDB1">
      <w:pPr>
        <w:spacing w:line="360" w:lineRule="auto"/>
        <w:ind w:firstLine="645"/>
        <w:jc w:val="left"/>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第</w:t>
      </w:r>
      <w:r>
        <w:rPr>
          <w:rFonts w:hAnsi="宋体"/>
          <w:color w:val="000000" w:themeColor="text1"/>
          <w:szCs w:val="21"/>
          <w:highlight w:val="none"/>
          <w14:textFill>
            <w14:solidFill>
              <w14:schemeClr w14:val="tx1"/>
            </w14:solidFill>
          </w14:textFill>
        </w:rPr>
        <w:t>3</w:t>
      </w:r>
      <w:r>
        <w:rPr>
          <w:rFonts w:hint="eastAsia" w:hAnsi="宋体" w:cs="宋体"/>
          <w:color w:val="000000" w:themeColor="text1"/>
          <w:szCs w:val="21"/>
          <w:highlight w:val="none"/>
          <w14:textFill>
            <w14:solidFill>
              <w14:schemeClr w14:val="tx1"/>
            </w14:solidFill>
          </w14:textFill>
        </w:rPr>
        <w:t>种方式：</w:t>
      </w:r>
      <w:r>
        <w:rPr>
          <w:rFonts w:hint="eastAsia" w:hAnsi="宋体"/>
          <w:color w:val="000000" w:themeColor="text1"/>
          <w:szCs w:val="21"/>
          <w:highlight w:val="none"/>
          <w:u w:val="single"/>
          <w14:textFill>
            <w14:solidFill>
              <w14:schemeClr w14:val="tx1"/>
            </w14:solidFill>
          </w14:textFill>
        </w:rPr>
        <w:t>除有政策性文件要求调整的材料外，其余材料设备一律不给调整</w:t>
      </w:r>
      <w:r>
        <w:rPr>
          <w:rFonts w:hint="eastAsia" w:cs="宋体"/>
          <w:color w:val="000000" w:themeColor="text1"/>
          <w:szCs w:val="21"/>
          <w:highlight w:val="none"/>
          <w14:textFill>
            <w14:solidFill>
              <w14:schemeClr w14:val="tx1"/>
            </w14:solidFill>
          </w14:textFill>
        </w:rPr>
        <w:t>。</w:t>
      </w:r>
    </w:p>
    <w:bookmarkEnd w:id="632"/>
    <w:bookmarkEnd w:id="633"/>
    <w:bookmarkEnd w:id="634"/>
    <w:bookmarkEnd w:id="635"/>
    <w:bookmarkEnd w:id="636"/>
    <w:bookmarkEnd w:id="637"/>
    <w:p w14:paraId="62DC73FB">
      <w:pPr>
        <w:keepNext/>
        <w:keepLines/>
        <w:spacing w:before="60" w:after="60" w:line="413" w:lineRule="auto"/>
        <w:outlineLvl w:val="1"/>
        <w:rPr>
          <w:rFonts w:ascii="Arial" w:hAnsi="Arial" w:eastAsia="黑体"/>
          <w:b/>
          <w:bCs/>
          <w:color w:val="000000" w:themeColor="text1"/>
          <w:sz w:val="32"/>
          <w:szCs w:val="32"/>
          <w:highlight w:val="none"/>
          <w:lang w:val="zh-CN"/>
          <w14:textFill>
            <w14:solidFill>
              <w14:schemeClr w14:val="tx1"/>
            </w14:solidFill>
          </w14:textFill>
        </w:rPr>
      </w:pPr>
      <w:bookmarkStart w:id="794" w:name="_Toc296891245"/>
      <w:bookmarkStart w:id="795" w:name="_Toc296503205"/>
      <w:bookmarkStart w:id="796" w:name="_Toc296347204"/>
      <w:bookmarkStart w:id="797" w:name="_Toc297048391"/>
      <w:bookmarkStart w:id="798" w:name="_Toc296346706"/>
      <w:bookmarkStart w:id="799" w:name="_Toc292559915"/>
      <w:bookmarkStart w:id="800" w:name="_Toc296944544"/>
      <w:bookmarkStart w:id="801" w:name="_Toc296891033"/>
      <w:bookmarkStart w:id="802" w:name="_Toc297120505"/>
      <w:bookmarkStart w:id="803" w:name="_Toc292559410"/>
      <w:bookmarkStart w:id="804" w:name="_Toc373478395"/>
      <w:bookmarkStart w:id="805" w:name="_Toc407135251"/>
      <w:bookmarkStart w:id="806" w:name="_Toc78449837"/>
      <w:bookmarkStart w:id="807" w:name="_Toc351203644"/>
      <w:bookmarkStart w:id="808" w:name="_Toc373227748"/>
      <w:bookmarkStart w:id="809" w:name="_Toc114058888"/>
      <w:bookmarkStart w:id="810" w:name="_Toc297216211"/>
      <w:bookmarkStart w:id="811" w:name="_Toc297123552"/>
      <w:bookmarkStart w:id="812" w:name="_Toc303539159"/>
      <w:bookmarkStart w:id="813" w:name="_Toc304295579"/>
      <w:bookmarkStart w:id="814" w:name="_Toc312678040"/>
      <w:bookmarkStart w:id="815" w:name="_Toc300935002"/>
      <w:r>
        <w:rPr>
          <w:rFonts w:ascii="Arial" w:hAnsi="Arial" w:eastAsia="黑体"/>
          <w:b/>
          <w:bCs/>
          <w:color w:val="000000" w:themeColor="text1"/>
          <w:sz w:val="32"/>
          <w:szCs w:val="32"/>
          <w:highlight w:val="none"/>
          <w:lang w:val="zh-CN"/>
          <w14:textFill>
            <w14:solidFill>
              <w14:schemeClr w14:val="tx1"/>
            </w14:solidFill>
          </w14:textFill>
        </w:rPr>
        <w:t xml:space="preserve">12. </w:t>
      </w:r>
      <w:bookmarkEnd w:id="794"/>
      <w:bookmarkEnd w:id="795"/>
      <w:bookmarkEnd w:id="796"/>
      <w:bookmarkEnd w:id="797"/>
      <w:bookmarkEnd w:id="798"/>
      <w:bookmarkEnd w:id="799"/>
      <w:bookmarkEnd w:id="800"/>
      <w:bookmarkEnd w:id="801"/>
      <w:bookmarkEnd w:id="802"/>
      <w:bookmarkEnd w:id="803"/>
      <w:r>
        <w:rPr>
          <w:rFonts w:hint="eastAsia" w:ascii="Arial" w:hAnsi="Arial" w:eastAsia="黑体" w:cs="黑体"/>
          <w:b/>
          <w:bCs/>
          <w:color w:val="000000" w:themeColor="text1"/>
          <w:sz w:val="32"/>
          <w:szCs w:val="32"/>
          <w:highlight w:val="none"/>
          <w:lang w:val="zh-CN"/>
          <w14:textFill>
            <w14:solidFill>
              <w14:schemeClr w14:val="tx1"/>
            </w14:solidFill>
          </w14:textFill>
        </w:rPr>
        <w:t>合同价格、计量与支付</w:t>
      </w:r>
      <w:bookmarkEnd w:id="804"/>
      <w:bookmarkEnd w:id="805"/>
      <w:bookmarkEnd w:id="806"/>
      <w:bookmarkEnd w:id="807"/>
      <w:bookmarkEnd w:id="808"/>
      <w:bookmarkEnd w:id="809"/>
    </w:p>
    <w:bookmarkEnd w:id="810"/>
    <w:bookmarkEnd w:id="811"/>
    <w:bookmarkEnd w:id="812"/>
    <w:bookmarkEnd w:id="813"/>
    <w:bookmarkEnd w:id="814"/>
    <w:bookmarkEnd w:id="815"/>
    <w:p w14:paraId="4466F113">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816" w:name="_Toc292559916"/>
      <w:bookmarkStart w:id="817" w:name="_Toc292559411"/>
      <w:bookmarkStart w:id="818" w:name="_Toc267251461"/>
      <w:bookmarkStart w:id="819" w:name="_Toc296891034"/>
      <w:bookmarkStart w:id="820" w:name="_Toc296347205"/>
      <w:bookmarkStart w:id="821" w:name="_Toc296944545"/>
      <w:bookmarkStart w:id="822" w:name="_Toc297120506"/>
      <w:bookmarkStart w:id="823" w:name="_Toc296346707"/>
      <w:bookmarkStart w:id="824" w:name="_Toc297048392"/>
      <w:bookmarkStart w:id="825" w:name="_Toc296503206"/>
      <w:bookmarkStart w:id="826" w:name="_Toc296891246"/>
      <w:bookmarkStart w:id="827" w:name="_Toc389065314"/>
      <w:bookmarkStart w:id="828" w:name="_Toc373227749"/>
      <w:bookmarkStart w:id="829" w:name="_Toc407135252"/>
      <w:bookmarkStart w:id="830" w:name="_Toc114058889"/>
      <w:bookmarkStart w:id="831" w:name="_Toc373478396"/>
      <w:bookmarkStart w:id="832" w:name="_Toc78449838"/>
      <w:bookmarkStart w:id="833" w:name="_Toc300935003"/>
      <w:bookmarkStart w:id="834" w:name="_Toc303539160"/>
      <w:bookmarkStart w:id="835" w:name="_Toc297123553"/>
      <w:bookmarkStart w:id="836" w:name="_Toc304295580"/>
      <w:bookmarkStart w:id="837" w:name="_Toc297216212"/>
      <w:bookmarkStart w:id="838" w:name="_Toc312678041"/>
      <w:r>
        <w:rPr>
          <w:rFonts w:eastAsia="黑体"/>
          <w:b/>
          <w:bCs/>
          <w:color w:val="000000" w:themeColor="text1"/>
          <w:sz w:val="32"/>
          <w:szCs w:val="32"/>
          <w:highlight w:val="none"/>
          <w:lang w:val="zh-CN"/>
          <w14:textFill>
            <w14:solidFill>
              <w14:schemeClr w14:val="tx1"/>
            </w14:solidFill>
          </w14:textFill>
        </w:rPr>
        <w:t xml:space="preserve">12.1 </w:t>
      </w:r>
      <w:r>
        <w:rPr>
          <w:rFonts w:hint="eastAsia" w:hAnsi="宋体" w:eastAsia="黑体" w:cs="黑体"/>
          <w:b/>
          <w:bCs/>
          <w:color w:val="000000" w:themeColor="text1"/>
          <w:sz w:val="32"/>
          <w:szCs w:val="32"/>
          <w:highlight w:val="none"/>
          <w:lang w:val="zh-CN"/>
          <w14:textFill>
            <w14:solidFill>
              <w14:schemeClr w14:val="tx1"/>
            </w14:solidFill>
          </w14:textFill>
        </w:rPr>
        <w:t>合</w:t>
      </w:r>
      <w:bookmarkEnd w:id="816"/>
      <w:bookmarkEnd w:id="817"/>
      <w:bookmarkEnd w:id="818"/>
      <w:r>
        <w:rPr>
          <w:rFonts w:hint="eastAsia" w:hAnsi="宋体" w:eastAsia="黑体" w:cs="黑体"/>
          <w:b/>
          <w:bCs/>
          <w:color w:val="000000" w:themeColor="text1"/>
          <w:sz w:val="32"/>
          <w:szCs w:val="32"/>
          <w:highlight w:val="none"/>
          <w:lang w:val="zh-CN"/>
          <w14:textFill>
            <w14:solidFill>
              <w14:schemeClr w14:val="tx1"/>
            </w14:solidFill>
          </w14:textFill>
        </w:rPr>
        <w:t>同价</w:t>
      </w:r>
      <w:bookmarkEnd w:id="819"/>
      <w:bookmarkEnd w:id="820"/>
      <w:bookmarkEnd w:id="821"/>
      <w:bookmarkEnd w:id="822"/>
      <w:bookmarkEnd w:id="823"/>
      <w:bookmarkEnd w:id="824"/>
      <w:bookmarkEnd w:id="825"/>
      <w:bookmarkEnd w:id="826"/>
      <w:r>
        <w:rPr>
          <w:rFonts w:hint="eastAsia" w:hAnsi="宋体" w:eastAsia="黑体" w:cs="黑体"/>
          <w:b/>
          <w:bCs/>
          <w:color w:val="000000" w:themeColor="text1"/>
          <w:sz w:val="32"/>
          <w:szCs w:val="32"/>
          <w:highlight w:val="none"/>
          <w:lang w:val="zh-CN"/>
          <w14:textFill>
            <w14:solidFill>
              <w14:schemeClr w14:val="tx1"/>
            </w14:solidFill>
          </w14:textFill>
        </w:rPr>
        <w:t>格形式</w:t>
      </w:r>
      <w:bookmarkEnd w:id="827"/>
      <w:bookmarkEnd w:id="828"/>
      <w:bookmarkEnd w:id="829"/>
      <w:bookmarkEnd w:id="830"/>
      <w:bookmarkEnd w:id="831"/>
      <w:bookmarkEnd w:id="832"/>
    </w:p>
    <w:bookmarkEnd w:id="833"/>
    <w:bookmarkEnd w:id="834"/>
    <w:bookmarkEnd w:id="835"/>
    <w:bookmarkEnd w:id="836"/>
    <w:bookmarkEnd w:id="837"/>
    <w:bookmarkEnd w:id="838"/>
    <w:p w14:paraId="40BC96DF">
      <w:pPr>
        <w:spacing w:line="360" w:lineRule="auto"/>
        <w:ind w:firstLine="420" w:firstLineChars="200"/>
        <w:jc w:val="left"/>
        <w:rPr>
          <w:rFonts w:hAnsi="宋体"/>
          <w:color w:val="000000" w:themeColor="text1"/>
          <w:szCs w:val="21"/>
          <w:highlight w:val="none"/>
          <w14:textFill>
            <w14:solidFill>
              <w14:schemeClr w14:val="tx1"/>
            </w14:solidFill>
          </w14:textFill>
        </w:rPr>
      </w:pPr>
      <w:bookmarkStart w:id="839" w:name="_Toc389065315"/>
      <w:bookmarkStart w:id="840" w:name="_Toc373227750"/>
      <w:bookmarkStart w:id="841" w:name="_Toc373478397"/>
      <w:bookmarkStart w:id="842" w:name="_Toc312678042"/>
      <w:bookmarkStart w:id="843" w:name="_Toc304295581"/>
      <w:bookmarkStart w:id="844" w:name="_Toc297216213"/>
      <w:bookmarkStart w:id="845" w:name="_Toc300935004"/>
      <w:bookmarkStart w:id="846" w:name="_Toc303539161"/>
      <w:bookmarkStart w:id="847" w:name="_Toc297123554"/>
      <w:bookmarkStart w:id="848" w:name="_Toc296346708"/>
      <w:bookmarkStart w:id="849" w:name="_Toc296891247"/>
      <w:bookmarkStart w:id="850" w:name="_Toc297048393"/>
      <w:bookmarkStart w:id="851" w:name="_Toc292559917"/>
      <w:bookmarkStart w:id="852" w:name="_Toc296503207"/>
      <w:bookmarkStart w:id="853" w:name="_Toc292559412"/>
      <w:bookmarkStart w:id="854" w:name="_Toc296891035"/>
      <w:bookmarkStart w:id="855" w:name="_Toc297120507"/>
      <w:bookmarkStart w:id="856" w:name="_Toc296944546"/>
      <w:bookmarkStart w:id="857" w:name="_Toc296347206"/>
      <w:r>
        <w:rPr>
          <w:rFonts w:hint="eastAsia" w:hAnsi="宋体"/>
          <w:color w:val="000000" w:themeColor="text1"/>
          <w:szCs w:val="21"/>
          <w:highlight w:val="none"/>
          <w14:textFill>
            <w14:solidFill>
              <w14:schemeClr w14:val="tx1"/>
            </w14:solidFill>
          </w14:textFill>
        </w:rPr>
        <w:t>本工程采用</w:t>
      </w:r>
      <w:r>
        <w:rPr>
          <w:rFonts w:hint="eastAsia" w:hAnsi="宋体"/>
          <w:color w:val="000000" w:themeColor="text1"/>
          <w:szCs w:val="21"/>
          <w:highlight w:val="none"/>
          <w:u w:val="single"/>
          <w14:textFill>
            <w14:solidFill>
              <w14:schemeClr w14:val="tx1"/>
            </w14:solidFill>
          </w14:textFill>
        </w:rPr>
        <w:t xml:space="preserve">       （1）       </w:t>
      </w:r>
      <w:r>
        <w:rPr>
          <w:rFonts w:hint="eastAsia" w:hAnsi="宋体"/>
          <w:color w:val="000000" w:themeColor="text1"/>
          <w:szCs w:val="21"/>
          <w:highlight w:val="none"/>
          <w14:textFill>
            <w14:solidFill>
              <w14:schemeClr w14:val="tx1"/>
            </w14:solidFill>
          </w14:textFill>
        </w:rPr>
        <w:t>合同价格形式</w:t>
      </w:r>
      <w:r>
        <w:rPr>
          <w:rFonts w:hint="eastAsia" w:hAnsi="宋体" w:cs="宋体"/>
          <w:color w:val="000000" w:themeColor="text1"/>
          <w:szCs w:val="22"/>
          <w:highlight w:val="none"/>
          <w14:textFill>
            <w14:solidFill>
              <w14:schemeClr w14:val="tx1"/>
            </w14:solidFill>
          </w14:textFill>
        </w:rPr>
        <w:t>，合同价格包含增值税，本工程计价时采用的增值税计税方法为：</w:t>
      </w:r>
      <w:r>
        <w:rPr>
          <w:rFonts w:hint="eastAsia" w:ascii="MS Mincho" w:hAnsi="MS Mincho" w:eastAsia="MS Mincho" w:cs="MS Mincho"/>
          <w:color w:val="000000" w:themeColor="text1"/>
          <w:szCs w:val="22"/>
          <w:highlight w:val="none"/>
          <w14:textFill>
            <w14:solidFill>
              <w14:schemeClr w14:val="tx1"/>
            </w14:solidFill>
          </w14:textFill>
        </w:rPr>
        <w:t>☑</w:t>
      </w:r>
      <w:r>
        <w:rPr>
          <w:rFonts w:hint="eastAsia" w:hAnsi="宋体" w:cs="宋体"/>
          <w:color w:val="000000" w:themeColor="text1"/>
          <w:szCs w:val="22"/>
          <w:highlight w:val="none"/>
          <w14:textFill>
            <w14:solidFill>
              <w14:schemeClr w14:val="tx1"/>
            </w14:solidFill>
          </w14:textFill>
        </w:rPr>
        <w:t xml:space="preserve">一般计税法   </w:t>
      </w:r>
      <w:r>
        <w:rPr>
          <w:rFonts w:hint="eastAsia" w:ascii="宋体" w:hAnsi="宋体" w:cs="宋体"/>
          <w:color w:val="000000" w:themeColor="text1"/>
          <w:szCs w:val="22"/>
          <w:highlight w:val="none"/>
          <w14:textFill>
            <w14:solidFill>
              <w14:schemeClr w14:val="tx1"/>
            </w14:solidFill>
          </w14:textFill>
        </w:rPr>
        <w:t>□</w:t>
      </w:r>
      <w:r>
        <w:rPr>
          <w:rFonts w:hint="eastAsia" w:hAnsi="宋体" w:cs="宋体"/>
          <w:color w:val="000000" w:themeColor="text1"/>
          <w:szCs w:val="22"/>
          <w:highlight w:val="none"/>
          <w14:textFill>
            <w14:solidFill>
              <w14:schemeClr w14:val="tx1"/>
            </w14:solidFill>
          </w14:textFill>
        </w:rPr>
        <w:t>简易计税法</w:t>
      </w:r>
      <w:r>
        <w:rPr>
          <w:rFonts w:hint="eastAsia" w:hAnsi="宋体"/>
          <w:color w:val="000000" w:themeColor="text1"/>
          <w:szCs w:val="21"/>
          <w:highlight w:val="none"/>
          <w14:textFill>
            <w14:solidFill>
              <w14:schemeClr w14:val="tx1"/>
            </w14:solidFill>
          </w14:textFill>
        </w:rPr>
        <w:t>。</w:t>
      </w:r>
    </w:p>
    <w:p w14:paraId="469626B2">
      <w:pPr>
        <w:spacing w:line="360" w:lineRule="auto"/>
        <w:ind w:firstLine="420" w:firstLineChars="200"/>
        <w:jc w:val="left"/>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1</w:t>
      </w:r>
      <w:r>
        <w:rPr>
          <w:rFonts w:hint="eastAsia" w:hAnsi="宋体"/>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单价合同。</w:t>
      </w:r>
    </w:p>
    <w:p w14:paraId="24232872">
      <w:pPr>
        <w:spacing w:line="360" w:lineRule="auto"/>
        <w:ind w:firstLine="420" w:firstLineChars="200"/>
        <w:jc w:val="left"/>
        <w:rPr>
          <w:rFonts w:hAnsi="宋体" w:cs="宋体"/>
          <w:color w:val="000000" w:themeColor="text1"/>
          <w:szCs w:val="22"/>
          <w:highlight w:val="none"/>
          <w14:textFill>
            <w14:solidFill>
              <w14:schemeClr w14:val="tx1"/>
            </w14:solidFill>
          </w14:textFill>
        </w:rPr>
      </w:pPr>
      <w:r>
        <w:rPr>
          <w:rFonts w:hint="eastAsia" w:hAnsi="宋体" w:cs="宋体"/>
          <w:color w:val="000000" w:themeColor="text1"/>
          <w:szCs w:val="22"/>
          <w:highlight w:val="none"/>
          <w14:textFill>
            <w14:solidFill>
              <w14:schemeClr w14:val="tx1"/>
            </w14:solidFill>
          </w14:textFill>
        </w:rPr>
        <w:t>采用综合单价合同方式时，工程量按建设单位、监理单位、</w:t>
      </w:r>
      <w:r>
        <w:rPr>
          <w:rFonts w:hAnsi="宋体" w:cs="宋体"/>
          <w:color w:val="000000" w:themeColor="text1"/>
          <w:szCs w:val="22"/>
          <w:highlight w:val="none"/>
          <w14:textFill>
            <w14:solidFill>
              <w14:schemeClr w14:val="tx1"/>
            </w14:solidFill>
          </w14:textFill>
        </w:rPr>
        <w:t>施工单位三方确认</w:t>
      </w:r>
      <w:r>
        <w:rPr>
          <w:rFonts w:hint="eastAsia" w:hAnsi="宋体" w:cs="宋体"/>
          <w:color w:val="000000" w:themeColor="text1"/>
          <w:szCs w:val="22"/>
          <w:highlight w:val="none"/>
          <w14:textFill>
            <w14:solidFill>
              <w14:schemeClr w14:val="tx1"/>
            </w14:solidFill>
          </w14:textFill>
        </w:rPr>
        <w:t>的与实际相符的竣工图结算。如发现竣工图与实际不符，按不利于施工单位的原则结算。</w:t>
      </w:r>
    </w:p>
    <w:p w14:paraId="2B3C395F">
      <w:pPr>
        <w:spacing w:line="360" w:lineRule="auto"/>
        <w:ind w:firstLine="420" w:firstLineChars="200"/>
        <w:jc w:val="left"/>
        <w:rPr>
          <w:rFonts w:hAnsi="宋体" w:cs="宋体"/>
          <w:color w:val="000000" w:themeColor="text1"/>
          <w:szCs w:val="22"/>
          <w:highlight w:val="none"/>
          <w:u w:val="single"/>
          <w14:textFill>
            <w14:solidFill>
              <w14:schemeClr w14:val="tx1"/>
            </w14:solidFill>
          </w14:textFill>
        </w:rPr>
      </w:pPr>
      <w:r>
        <w:rPr>
          <w:rFonts w:hint="eastAsia" w:hAnsi="宋体" w:cs="宋体"/>
          <w:color w:val="000000" w:themeColor="text1"/>
          <w:szCs w:val="22"/>
          <w:highlight w:val="none"/>
          <w14:textFill>
            <w14:solidFill>
              <w14:schemeClr w14:val="tx1"/>
            </w14:solidFill>
          </w14:textFill>
        </w:rPr>
        <w:t>综合单价包含的风险范围：</w:t>
      </w:r>
      <w:r>
        <w:rPr>
          <w:rFonts w:hint="eastAsia" w:hAnsi="宋体" w:cs="宋体"/>
          <w:color w:val="000000" w:themeColor="text1"/>
          <w:szCs w:val="22"/>
          <w:highlight w:val="none"/>
          <w:u w:val="single"/>
          <w14:textFill>
            <w14:solidFill>
              <w14:schemeClr w14:val="tx1"/>
            </w14:solidFill>
          </w14:textFill>
        </w:rPr>
        <w:t>除工程变更、项目特征不符、工程量清单缺项、工程量偏差、政策性调整约定的材料和设备价格变动风险以外的其他风险因素。</w:t>
      </w:r>
    </w:p>
    <w:p w14:paraId="45B0405B">
      <w:pPr>
        <w:spacing w:line="360" w:lineRule="auto"/>
        <w:ind w:firstLine="422" w:firstLineChars="200"/>
        <w:jc w:val="left"/>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风险费用的计算方法：单价采用固定综合单价，风险费用已综合考虑在单价中。</w:t>
      </w:r>
    </w:p>
    <w:p w14:paraId="09EEA3DC">
      <w:pPr>
        <w:spacing w:line="360" w:lineRule="auto"/>
        <w:ind w:firstLine="420" w:firstLineChars="200"/>
        <w:jc w:val="left"/>
        <w:rPr>
          <w:rFonts w:hAnsi="宋体" w:cs="宋体"/>
          <w:color w:val="000000" w:themeColor="text1"/>
          <w:szCs w:val="22"/>
          <w:highlight w:val="none"/>
          <w14:textFill>
            <w14:solidFill>
              <w14:schemeClr w14:val="tx1"/>
            </w14:solidFill>
          </w14:textFill>
        </w:rPr>
      </w:pPr>
      <w:r>
        <w:rPr>
          <w:rFonts w:hint="eastAsia" w:hAnsi="宋体" w:cs="宋体"/>
          <w:color w:val="000000" w:themeColor="text1"/>
          <w:szCs w:val="22"/>
          <w:highlight w:val="none"/>
          <w14:textFill>
            <w14:solidFill>
              <w14:schemeClr w14:val="tx1"/>
            </w14:solidFill>
          </w14:textFill>
        </w:rPr>
        <w:t>风险范围以外合同价格的调整方法：</w:t>
      </w:r>
    </w:p>
    <w:p w14:paraId="0F6773B1">
      <w:pPr>
        <w:spacing w:line="360" w:lineRule="auto"/>
        <w:ind w:firstLine="420" w:firstLineChars="200"/>
        <w:jc w:val="left"/>
        <w:rPr>
          <w:rFonts w:ascii="宋体" w:hAnsi="宋体" w:cs="宋体"/>
          <w:b/>
          <w:bCs/>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①</w:t>
      </w:r>
      <w:r>
        <w:rPr>
          <w:rFonts w:hint="eastAsia" w:ascii="宋体" w:hAnsi="宋体" w:cs="宋体"/>
          <w:b/>
          <w:bCs/>
          <w:color w:val="000000" w:themeColor="text1"/>
          <w:szCs w:val="21"/>
          <w:highlight w:val="none"/>
          <w14:textFill>
            <w14:solidFill>
              <w14:schemeClr w14:val="tx1"/>
            </w14:solidFill>
          </w14:textFill>
        </w:rPr>
        <w:t>本合同实施期间因工程变更、项目特征不符、工程量清单缺项引起工程项目、工程量变化的，其工程量按实际发生并监理工程师及发包人确认，变更合同价款按下列方法进行：工程量清单中有相同细目的按供应商竞标时的成交单价进行结算，工程量清单中有类似细目的参考类似成交单价结算；工程量清单中没有适用或类似于变更工程的价格，则有定额的套定额计算，执行本采购文件工程计价参考依据，并乘以下浮系数（成交价</w:t>
      </w:r>
      <w:r>
        <w:rPr>
          <w:rFonts w:hint="eastAsia" w:cs="宋体"/>
          <w:b/>
          <w:bCs/>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经审定的工程招标控制价）结算，其中材料价格有信息价的按施工期间信息价的算术平均价计取，无信息价的由发包人、监理单位及承包人根据市场价格协商议定；新增项目无定额可套的，由发包人、监理单位及承包人根据市场协商确定；新增结算单价</w:t>
      </w:r>
      <w:r>
        <w:rPr>
          <w:rFonts w:hint="eastAsia" w:cs="宋体"/>
          <w:b/>
          <w:bCs/>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综合单价×（成交价</w:t>
      </w:r>
      <w:r>
        <w:rPr>
          <w:rFonts w:hint="eastAsia" w:cs="宋体"/>
          <w:b/>
          <w:bCs/>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经审定的工程招标控制价）。</w:t>
      </w:r>
    </w:p>
    <w:p w14:paraId="72188962">
      <w:pPr>
        <w:spacing w:line="360" w:lineRule="auto"/>
        <w:ind w:firstLine="422" w:firstLineChars="200"/>
        <w:jc w:val="left"/>
        <w:rPr>
          <w:rFonts w:ascii="宋体" w:hAnsi="宋体" w:cs="宋体"/>
          <w:b/>
          <w:bCs/>
          <w:color w:val="000000" w:themeColor="text1"/>
          <w:szCs w:val="21"/>
          <w:highlight w:val="none"/>
          <w14:textFill>
            <w14:solidFill>
              <w14:schemeClr w14:val="tx1"/>
            </w14:solidFill>
          </w14:textFill>
        </w:rPr>
      </w:pPr>
      <w:r>
        <w:rPr>
          <w:rFonts w:hint="eastAsia" w:hAnsi="宋体" w:cs="宋体"/>
          <w:b/>
          <w:bCs/>
          <w:color w:val="000000" w:themeColor="text1"/>
          <w:szCs w:val="21"/>
          <w:highlight w:val="none"/>
          <w14:textFill>
            <w14:solidFill>
              <w14:schemeClr w14:val="tx1"/>
            </w14:solidFill>
          </w14:textFill>
        </w:rPr>
        <w:t>②工程量偏差：</w:t>
      </w:r>
      <w:r>
        <w:rPr>
          <w:rFonts w:hint="eastAsia" w:ascii="宋体" w:hAnsi="宋体" w:cs="宋体"/>
          <w:b/>
          <w:bCs/>
          <w:color w:val="000000" w:themeColor="text1"/>
          <w:szCs w:val="21"/>
          <w:highlight w:val="none"/>
          <w14:textFill>
            <w14:solidFill>
              <w14:schemeClr w14:val="tx1"/>
            </w14:solidFill>
          </w14:textFill>
        </w:rPr>
        <w:t>如果承包人实际完成工程量与招标工程量偏差超过</w:t>
      </w:r>
      <w:r>
        <w:rPr>
          <w:rFonts w:hint="eastAsia" w:cs="宋体"/>
          <w:b/>
          <w:bCs/>
          <w:color w:val="000000" w:themeColor="text1"/>
          <w:szCs w:val="21"/>
          <w:highlight w:val="none"/>
          <w14:textFill>
            <w14:solidFill>
              <w14:schemeClr w14:val="tx1"/>
            </w14:solidFill>
          </w14:textFill>
        </w:rPr>
        <w:t>15%</w:t>
      </w:r>
      <w:r>
        <w:rPr>
          <w:rFonts w:hint="eastAsia" w:ascii="宋体" w:hAnsi="宋体" w:cs="宋体"/>
          <w:b/>
          <w:bCs/>
          <w:color w:val="000000" w:themeColor="text1"/>
          <w:szCs w:val="21"/>
          <w:highlight w:val="none"/>
          <w14:textFill>
            <w14:solidFill>
              <w14:schemeClr w14:val="tx1"/>
            </w14:solidFill>
          </w14:textFill>
        </w:rPr>
        <w:t>以上且该单项造价超过合同总价</w:t>
      </w:r>
      <w:r>
        <w:rPr>
          <w:rFonts w:hint="eastAsia" w:cs="宋体"/>
          <w:b/>
          <w:bCs/>
          <w:color w:val="000000" w:themeColor="text1"/>
          <w:szCs w:val="21"/>
          <w:highlight w:val="none"/>
          <w14:textFill>
            <w14:solidFill>
              <w14:schemeClr w14:val="tx1"/>
            </w14:solidFill>
          </w14:textFill>
        </w:rPr>
        <w:t>1%</w:t>
      </w:r>
      <w:r>
        <w:rPr>
          <w:rFonts w:hint="eastAsia" w:ascii="宋体" w:hAnsi="宋体" w:cs="宋体"/>
          <w:b/>
          <w:bCs/>
          <w:color w:val="000000" w:themeColor="text1"/>
          <w:szCs w:val="21"/>
          <w:highlight w:val="none"/>
          <w14:textFill>
            <w14:solidFill>
              <w14:schemeClr w14:val="tx1"/>
            </w14:solidFill>
          </w14:textFill>
        </w:rPr>
        <w:t>以上的，则超过</w:t>
      </w:r>
      <w:r>
        <w:rPr>
          <w:rFonts w:hint="eastAsia" w:cs="宋体"/>
          <w:b/>
          <w:bCs/>
          <w:color w:val="000000" w:themeColor="text1"/>
          <w:szCs w:val="21"/>
          <w:highlight w:val="none"/>
          <w14:textFill>
            <w14:solidFill>
              <w14:schemeClr w14:val="tx1"/>
            </w14:solidFill>
          </w14:textFill>
        </w:rPr>
        <w:t>15%</w:t>
      </w:r>
      <w:r>
        <w:rPr>
          <w:rFonts w:hint="eastAsia" w:ascii="宋体" w:hAnsi="宋体" w:cs="宋体"/>
          <w:b/>
          <w:bCs/>
          <w:color w:val="000000" w:themeColor="text1"/>
          <w:szCs w:val="21"/>
          <w:highlight w:val="none"/>
          <w14:textFill>
            <w14:solidFill>
              <w14:schemeClr w14:val="tx1"/>
            </w14:solidFill>
          </w14:textFill>
        </w:rPr>
        <w:t>以上增加部分工程量或减少后剩余部分工程量的综合单价按以下方法计算：有定额的套定额计算，执行本采购文件工程计价参考依据，并乘以下浮系数（成交价</w:t>
      </w:r>
      <w:r>
        <w:rPr>
          <w:rFonts w:hint="eastAsia" w:cs="宋体"/>
          <w:b/>
          <w:bCs/>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经审定的工程招标控制价）结算，其中材料价格有信息价的按施工期间信息价的算术平均价计取，无信息价的由发包人、监理单位及承包人根据市场价格协商议定。</w:t>
      </w:r>
    </w:p>
    <w:p w14:paraId="5D71E1A9">
      <w:pPr>
        <w:spacing w:line="360" w:lineRule="auto"/>
        <w:ind w:firstLine="422" w:firstLineChars="200"/>
        <w:jc w:val="left"/>
        <w:rPr>
          <w:rFonts w:hAnsi="宋体" w:cs="宋体"/>
          <w:color w:val="000000" w:themeColor="text1"/>
          <w:szCs w:val="21"/>
          <w:highlight w:val="none"/>
          <w14:textFill>
            <w14:solidFill>
              <w14:schemeClr w14:val="tx1"/>
            </w14:solidFill>
          </w14:textFill>
        </w:rPr>
      </w:pPr>
      <w:r>
        <w:rPr>
          <w:rFonts w:hint="eastAsia" w:hAnsi="宋体" w:cs="宋体"/>
          <w:b/>
          <w:bCs/>
          <w:color w:val="000000" w:themeColor="text1"/>
          <w:szCs w:val="21"/>
          <w:highlight w:val="none"/>
          <w14:textFill>
            <w14:solidFill>
              <w14:schemeClr w14:val="tx1"/>
            </w14:solidFill>
          </w14:textFill>
        </w:rPr>
        <w:t>③政策性调整：</w:t>
      </w:r>
      <w:r>
        <w:rPr>
          <w:rFonts w:hint="eastAsia" w:ascii="仿宋_GB2312" w:hAnsi="宋体"/>
          <w:color w:val="000000" w:themeColor="text1"/>
          <w:szCs w:val="21"/>
          <w:highlight w:val="none"/>
          <w14:textFill>
            <w14:solidFill>
              <w14:schemeClr w14:val="tx1"/>
            </w14:solidFill>
          </w14:textFill>
        </w:rPr>
        <w:t>按自治区</w:t>
      </w:r>
      <w:r>
        <w:rPr>
          <w:rFonts w:hint="eastAsia" w:ascii="仿宋_GB2312" w:hAnsi="宋体"/>
          <w:color w:val="000000" w:themeColor="text1"/>
          <w:szCs w:val="21"/>
          <w:highlight w:val="none"/>
          <w:lang w:eastAsia="zh-CN"/>
          <w14:textFill>
            <w14:solidFill>
              <w14:schemeClr w14:val="tx1"/>
            </w14:solidFill>
          </w14:textFill>
        </w:rPr>
        <w:t>住房和城乡建设厅</w:t>
      </w:r>
      <w:r>
        <w:rPr>
          <w:rFonts w:hint="eastAsia" w:ascii="仿宋_GB2312" w:hAnsi="宋体"/>
          <w:color w:val="000000" w:themeColor="text1"/>
          <w:szCs w:val="21"/>
          <w:highlight w:val="none"/>
          <w14:textFill>
            <w14:solidFill>
              <w14:schemeClr w14:val="tx1"/>
            </w14:solidFill>
          </w14:textFill>
        </w:rPr>
        <w:t>或工程所在地住房城乡建设主管部门颁布的文件执行</w:t>
      </w:r>
      <w:r>
        <w:rPr>
          <w:rFonts w:hint="eastAsia" w:hAnsi="宋体" w:cs="宋体"/>
          <w:color w:val="000000" w:themeColor="text1"/>
          <w:szCs w:val="21"/>
          <w:highlight w:val="none"/>
          <w14:textFill>
            <w14:solidFill>
              <w14:schemeClr w14:val="tx1"/>
            </w14:solidFill>
          </w14:textFill>
        </w:rPr>
        <w:t>。</w:t>
      </w:r>
    </w:p>
    <w:p w14:paraId="3CDF5DE0">
      <w:pPr>
        <w:spacing w:line="360" w:lineRule="auto"/>
        <w:ind w:firstLine="422" w:firstLineChars="200"/>
        <w:jc w:val="left"/>
        <w:rPr>
          <w:rFonts w:ascii="宋体" w:hAnsi="宋体" w:cs="宋体"/>
          <w:b/>
          <w:bCs/>
          <w:color w:val="000000" w:themeColor="text1"/>
          <w:szCs w:val="21"/>
          <w:highlight w:val="none"/>
          <w14:textFill>
            <w14:solidFill>
              <w14:schemeClr w14:val="tx1"/>
            </w14:solidFill>
          </w14:textFill>
        </w:rPr>
      </w:pPr>
      <w:r>
        <w:rPr>
          <w:rFonts w:hint="eastAsia" w:hAnsi="宋体" w:cs="宋体"/>
          <w:b/>
          <w:bCs/>
          <w:color w:val="000000" w:themeColor="text1"/>
          <w:szCs w:val="21"/>
          <w:highlight w:val="none"/>
          <w14:textFill>
            <w14:solidFill>
              <w14:schemeClr w14:val="tx1"/>
            </w14:solidFill>
          </w14:textFill>
        </w:rPr>
        <w:t>④材料及设备价格风险：</w:t>
      </w:r>
      <w:r>
        <w:rPr>
          <w:rFonts w:hint="eastAsia" w:ascii="宋体" w:hAnsi="宋体" w:cs="宋体"/>
          <w:b/>
          <w:bCs/>
          <w:color w:val="000000" w:themeColor="text1"/>
          <w:szCs w:val="21"/>
          <w:highlight w:val="none"/>
          <w14:textFill>
            <w14:solidFill>
              <w14:schemeClr w14:val="tx1"/>
            </w14:solidFill>
          </w14:textFill>
        </w:rPr>
        <w:t>无</w:t>
      </w:r>
    </w:p>
    <w:p w14:paraId="45846218">
      <w:pPr>
        <w:spacing w:line="360" w:lineRule="auto"/>
        <w:ind w:firstLine="422" w:firstLineChars="200"/>
        <w:jc w:val="left"/>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材料及设备风险的约定：无</w:t>
      </w:r>
    </w:p>
    <w:p w14:paraId="11F33639">
      <w:pPr>
        <w:spacing w:line="360" w:lineRule="auto"/>
        <w:ind w:firstLine="422" w:firstLineChars="200"/>
        <w:jc w:val="left"/>
        <w:rPr>
          <w:rFonts w:ascii="宋体" w:hAnsi="宋体" w:cs="宋体"/>
          <w:b/>
          <w:bCs/>
          <w:color w:val="000000" w:themeColor="text1"/>
          <w:szCs w:val="21"/>
          <w:highlight w:val="none"/>
          <w14:textFill>
            <w14:solidFill>
              <w14:schemeClr w14:val="tx1"/>
            </w14:solidFill>
          </w14:textFill>
        </w:rPr>
      </w:pPr>
      <w:r>
        <w:rPr>
          <w:rFonts w:hint="eastAsia" w:hAnsi="宋体" w:cs="宋体"/>
          <w:b/>
          <w:bCs/>
          <w:color w:val="000000" w:themeColor="text1"/>
          <w:szCs w:val="21"/>
          <w:highlight w:val="none"/>
          <w14:textFill>
            <w14:solidFill>
              <w14:schemeClr w14:val="tx1"/>
            </w14:solidFill>
          </w14:textFill>
        </w:rPr>
        <w:t>⑤其它：</w:t>
      </w:r>
      <w:r>
        <w:rPr>
          <w:rFonts w:hint="eastAsia" w:ascii="宋体" w:hAnsi="宋体" w:cs="宋体"/>
          <w:b/>
          <w:bCs/>
          <w:color w:val="000000" w:themeColor="text1"/>
          <w:szCs w:val="21"/>
          <w:highlight w:val="none"/>
          <w14:textFill>
            <w14:solidFill>
              <w14:schemeClr w14:val="tx1"/>
            </w14:solidFill>
          </w14:textFill>
        </w:rPr>
        <w:t>措施项目费调整原则按《</w:t>
      </w:r>
      <w:r>
        <w:rPr>
          <w:rFonts w:hint="eastAsia" w:cs="宋体"/>
          <w:b/>
          <w:bCs/>
          <w:color w:val="000000" w:themeColor="text1"/>
          <w:szCs w:val="21"/>
          <w:highlight w:val="none"/>
          <w14:textFill>
            <w14:solidFill>
              <w14:schemeClr w14:val="tx1"/>
            </w14:solidFill>
          </w14:textFill>
        </w:rPr>
        <w:t>(GB50500-2013)</w:t>
      </w:r>
      <w:r>
        <w:rPr>
          <w:rFonts w:hint="eastAsia" w:ascii="宋体" w:hAnsi="宋体" w:cs="宋体"/>
          <w:b/>
          <w:bCs/>
          <w:color w:val="000000" w:themeColor="text1"/>
          <w:szCs w:val="21"/>
          <w:highlight w:val="none"/>
          <w14:textFill>
            <w14:solidFill>
              <w14:schemeClr w14:val="tx1"/>
            </w14:solidFill>
          </w14:textFill>
        </w:rPr>
        <w:t>建设工程工程量清单计价规范</w:t>
      </w:r>
      <w:r>
        <w:rPr>
          <w:rFonts w:hint="eastAsia" w:cs="宋体"/>
          <w:b/>
          <w:bCs/>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广西壮族自治区实施细则》第</w:t>
      </w:r>
      <w:r>
        <w:rPr>
          <w:rFonts w:hint="eastAsia" w:cs="宋体"/>
          <w:b/>
          <w:bCs/>
          <w:color w:val="000000" w:themeColor="text1"/>
          <w:szCs w:val="21"/>
          <w:highlight w:val="none"/>
          <w14:textFill>
            <w14:solidFill>
              <w14:schemeClr w14:val="tx1"/>
            </w14:solidFill>
          </w14:textFill>
        </w:rPr>
        <w:t>9.3.2</w:t>
      </w:r>
      <w:r>
        <w:rPr>
          <w:rFonts w:hint="eastAsia" w:ascii="宋体" w:hAnsi="宋体" w:cs="宋体"/>
          <w:b/>
          <w:bCs/>
          <w:color w:val="000000" w:themeColor="text1"/>
          <w:szCs w:val="21"/>
          <w:highlight w:val="none"/>
          <w14:textFill>
            <w14:solidFill>
              <w14:schemeClr w14:val="tx1"/>
            </w14:solidFill>
          </w14:textFill>
        </w:rPr>
        <w:t>款执行。无约定的参照我区现行《建设工程工程量清单计价规范》相关规定执行。</w:t>
      </w:r>
    </w:p>
    <w:p w14:paraId="75580CF3">
      <w:pPr>
        <w:spacing w:line="360" w:lineRule="auto"/>
        <w:ind w:firstLine="420" w:firstLineChars="200"/>
        <w:jc w:val="left"/>
        <w:rPr>
          <w:rFonts w:hAnsi="宋体"/>
          <w:color w:val="000000" w:themeColor="text1"/>
          <w:szCs w:val="21"/>
          <w:highlight w:val="none"/>
          <w14:textFill>
            <w14:solidFill>
              <w14:schemeClr w14:val="tx1"/>
            </w14:solidFill>
          </w14:textFill>
        </w:rPr>
      </w:pPr>
    </w:p>
    <w:p w14:paraId="346657A2">
      <w:pPr>
        <w:spacing w:line="360" w:lineRule="auto"/>
        <w:ind w:firstLine="420" w:firstLineChars="200"/>
        <w:jc w:val="left"/>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2</w:t>
      </w:r>
      <w:r>
        <w:rPr>
          <w:rFonts w:hint="eastAsia" w:hAnsi="宋体"/>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总价合同。</w:t>
      </w:r>
    </w:p>
    <w:p w14:paraId="34ADFCF6">
      <w:pPr>
        <w:spacing w:line="360" w:lineRule="auto"/>
        <w:ind w:firstLine="420" w:firstLineChars="200"/>
        <w:jc w:val="left"/>
        <w:rPr>
          <w:rFonts w:hAnsi="宋体"/>
          <w:color w:val="000000" w:themeColor="text1"/>
          <w:szCs w:val="22"/>
          <w:highlight w:val="none"/>
          <w14:textFill>
            <w14:solidFill>
              <w14:schemeClr w14:val="tx1"/>
            </w14:solidFill>
          </w14:textFill>
        </w:rPr>
      </w:pPr>
      <w:r>
        <w:rPr>
          <w:rFonts w:hint="eastAsia" w:hAnsi="宋体" w:cs="宋体"/>
          <w:color w:val="000000" w:themeColor="text1"/>
          <w:szCs w:val="22"/>
          <w:highlight w:val="none"/>
          <w14:textFill>
            <w14:solidFill>
              <w14:schemeClr w14:val="tx1"/>
            </w14:solidFill>
          </w14:textFill>
        </w:rPr>
        <w:t>总价包含的风险范围：包含除工程变更、政策性调整、</w:t>
      </w:r>
      <w:r>
        <w:rPr>
          <w:rFonts w:hint="eastAsia" w:hAnsi="宋体" w:cs="宋体"/>
          <w:color w:val="000000" w:themeColor="text1"/>
          <w:szCs w:val="22"/>
          <w:highlight w:val="none"/>
          <w:u w:val="single"/>
          <w14:textFill>
            <w14:solidFill>
              <w14:schemeClr w14:val="tx1"/>
            </w14:solidFill>
          </w14:textFill>
        </w:rPr>
        <w:t>本工程《承包人提供主要材料和设备一览表》中约定的材料和设备价格变动风险以外的其他风险。除工程变更外，结算时不再对招标施工图对应的工程量重新计量</w:t>
      </w:r>
      <w:r>
        <w:rPr>
          <w:rFonts w:hint="eastAsia" w:hAnsi="宋体" w:cs="宋体"/>
          <w:color w:val="000000" w:themeColor="text1"/>
          <w:szCs w:val="22"/>
          <w:highlight w:val="none"/>
          <w14:textFill>
            <w14:solidFill>
              <w14:schemeClr w14:val="tx1"/>
            </w14:solidFill>
          </w14:textFill>
        </w:rPr>
        <w:t>。</w:t>
      </w:r>
    </w:p>
    <w:p w14:paraId="1FB69C73">
      <w:pPr>
        <w:spacing w:line="360" w:lineRule="auto"/>
        <w:ind w:firstLine="420" w:firstLineChars="200"/>
        <w:jc w:val="left"/>
        <w:rPr>
          <w:rFonts w:cs="宋体"/>
          <w:color w:val="000000" w:themeColor="text1"/>
          <w:szCs w:val="22"/>
          <w:highlight w:val="none"/>
          <w14:textFill>
            <w14:solidFill>
              <w14:schemeClr w14:val="tx1"/>
            </w14:solidFill>
          </w14:textFill>
        </w:rPr>
      </w:pPr>
      <w:r>
        <w:rPr>
          <w:rFonts w:hint="eastAsia" w:cs="宋体"/>
          <w:color w:val="000000" w:themeColor="text1"/>
          <w:szCs w:val="22"/>
          <w:highlight w:val="none"/>
          <w14:textFill>
            <w14:solidFill>
              <w14:schemeClr w14:val="tx1"/>
            </w14:solidFill>
          </w14:textFill>
        </w:rPr>
        <w:t>风险范围以外合同价格的调整方法：</w:t>
      </w:r>
    </w:p>
    <w:p w14:paraId="1B8B5A10">
      <w:pPr>
        <w:spacing w:line="360" w:lineRule="auto"/>
        <w:ind w:firstLine="420" w:firstLineChars="200"/>
        <w:jc w:val="left"/>
        <w:rPr>
          <w:rFonts w:hAnsi="宋体" w:cs="宋体"/>
          <w:color w:val="000000" w:themeColor="text1"/>
          <w:szCs w:val="22"/>
          <w:highlight w:val="none"/>
          <w14:textFill>
            <w14:solidFill>
              <w14:schemeClr w14:val="tx1"/>
            </w14:solidFill>
          </w14:textFill>
        </w:rPr>
      </w:pPr>
      <w:r>
        <w:rPr>
          <w:rFonts w:hint="eastAsia" w:hAnsi="宋体" w:cs="宋体"/>
          <w:color w:val="000000" w:themeColor="text1"/>
          <w:szCs w:val="22"/>
          <w:highlight w:val="none"/>
          <w14:textFill>
            <w14:solidFill>
              <w14:schemeClr w14:val="tx1"/>
            </w14:solidFill>
          </w14:textFill>
        </w:rPr>
        <w:t>①工程变更：按</w:t>
      </w:r>
      <w:r>
        <w:rPr>
          <w:rFonts w:hAnsi="宋体" w:cs="宋体"/>
          <w:color w:val="000000" w:themeColor="text1"/>
          <w:szCs w:val="22"/>
          <w:highlight w:val="none"/>
          <w14:textFill>
            <w14:solidFill>
              <w14:schemeClr w14:val="tx1"/>
            </w14:solidFill>
          </w14:textFill>
        </w:rPr>
        <w:t>10.4.1</w:t>
      </w:r>
      <w:r>
        <w:rPr>
          <w:rFonts w:hint="eastAsia" w:hAnsi="宋体" w:cs="宋体"/>
          <w:color w:val="000000" w:themeColor="text1"/>
          <w:szCs w:val="22"/>
          <w:highlight w:val="none"/>
          <w14:textFill>
            <w14:solidFill>
              <w14:schemeClr w14:val="tx1"/>
            </w14:solidFill>
          </w14:textFill>
        </w:rPr>
        <w:t>变更估价原则的约定调整。</w:t>
      </w:r>
    </w:p>
    <w:p w14:paraId="42971283">
      <w:pPr>
        <w:spacing w:line="360" w:lineRule="auto"/>
        <w:ind w:firstLine="420" w:firstLineChars="200"/>
        <w:jc w:val="left"/>
        <w:rPr>
          <w:rFonts w:hAnsi="宋体" w:cs="宋体"/>
          <w:color w:val="000000" w:themeColor="text1"/>
          <w:szCs w:val="22"/>
          <w:highlight w:val="none"/>
          <w14:textFill>
            <w14:solidFill>
              <w14:schemeClr w14:val="tx1"/>
            </w14:solidFill>
          </w14:textFill>
        </w:rPr>
      </w:pPr>
      <w:r>
        <w:rPr>
          <w:rFonts w:hint="eastAsia" w:hAnsi="宋体" w:cs="宋体"/>
          <w:color w:val="000000" w:themeColor="text1"/>
          <w:szCs w:val="22"/>
          <w:highlight w:val="none"/>
          <w14:textFill>
            <w14:solidFill>
              <w14:schemeClr w14:val="tx1"/>
            </w14:solidFill>
          </w14:textFill>
        </w:rPr>
        <w:t>②政策性调整：</w:t>
      </w:r>
      <w:r>
        <w:rPr>
          <w:rFonts w:hint="eastAsia" w:ascii="仿宋_GB2312" w:hAnsi="宋体"/>
          <w:color w:val="000000" w:themeColor="text1"/>
          <w:szCs w:val="22"/>
          <w:highlight w:val="none"/>
          <w14:textFill>
            <w14:solidFill>
              <w14:schemeClr w14:val="tx1"/>
            </w14:solidFill>
          </w14:textFill>
        </w:rPr>
        <w:t>按自治区</w:t>
      </w:r>
      <w:r>
        <w:rPr>
          <w:rFonts w:hint="eastAsia" w:ascii="仿宋_GB2312" w:hAnsi="宋体"/>
          <w:color w:val="000000" w:themeColor="text1"/>
          <w:szCs w:val="22"/>
          <w:highlight w:val="none"/>
          <w:lang w:eastAsia="zh-CN"/>
          <w14:textFill>
            <w14:solidFill>
              <w14:schemeClr w14:val="tx1"/>
            </w14:solidFill>
          </w14:textFill>
        </w:rPr>
        <w:t>住房和城乡建设厅</w:t>
      </w:r>
      <w:r>
        <w:rPr>
          <w:rFonts w:hint="eastAsia" w:ascii="仿宋_GB2312" w:hAnsi="宋体"/>
          <w:color w:val="000000" w:themeColor="text1"/>
          <w:szCs w:val="22"/>
          <w:highlight w:val="none"/>
          <w14:textFill>
            <w14:solidFill>
              <w14:schemeClr w14:val="tx1"/>
            </w14:solidFill>
          </w14:textFill>
        </w:rPr>
        <w:t>或工程所在地住房城乡建设主管部门颁布的文件执行</w:t>
      </w:r>
      <w:r>
        <w:rPr>
          <w:rFonts w:hint="eastAsia" w:hAnsi="宋体" w:cs="宋体"/>
          <w:color w:val="000000" w:themeColor="text1"/>
          <w:szCs w:val="22"/>
          <w:highlight w:val="none"/>
          <w14:textFill>
            <w14:solidFill>
              <w14:schemeClr w14:val="tx1"/>
            </w14:solidFill>
          </w14:textFill>
        </w:rPr>
        <w:t>。</w:t>
      </w:r>
    </w:p>
    <w:p w14:paraId="4C3B2814">
      <w:pPr>
        <w:spacing w:line="360" w:lineRule="auto"/>
        <w:ind w:firstLine="420" w:firstLineChars="200"/>
        <w:jc w:val="left"/>
        <w:rPr>
          <w:rFonts w:hAnsi="宋体" w:cs="宋体"/>
          <w:color w:val="000000" w:themeColor="text1"/>
          <w:szCs w:val="22"/>
          <w:highlight w:val="none"/>
          <w14:textFill>
            <w14:solidFill>
              <w14:schemeClr w14:val="tx1"/>
            </w14:solidFill>
          </w14:textFill>
        </w:rPr>
      </w:pPr>
      <w:r>
        <w:rPr>
          <w:rFonts w:hint="eastAsia" w:hAnsi="宋体" w:cs="宋体"/>
          <w:color w:val="000000" w:themeColor="text1"/>
          <w:szCs w:val="22"/>
          <w:highlight w:val="none"/>
          <w14:textFill>
            <w14:solidFill>
              <w14:schemeClr w14:val="tx1"/>
            </w14:solidFill>
          </w14:textFill>
        </w:rPr>
        <w:t>③材料价格风险：按</w:t>
      </w:r>
      <w:r>
        <w:rPr>
          <w:rFonts w:hAnsi="宋体" w:cs="宋体"/>
          <w:color w:val="000000" w:themeColor="text1"/>
          <w:szCs w:val="22"/>
          <w:highlight w:val="none"/>
          <w14:textFill>
            <w14:solidFill>
              <w14:schemeClr w14:val="tx1"/>
            </w14:solidFill>
          </w14:textFill>
        </w:rPr>
        <w:t>11.1</w:t>
      </w:r>
      <w:r>
        <w:rPr>
          <w:rFonts w:hint="eastAsia" w:hAnsi="宋体" w:cs="宋体"/>
          <w:color w:val="000000" w:themeColor="text1"/>
          <w:szCs w:val="22"/>
          <w:highlight w:val="none"/>
          <w14:textFill>
            <w14:solidFill>
              <w14:schemeClr w14:val="tx1"/>
            </w14:solidFill>
          </w14:textFill>
        </w:rPr>
        <w:t>的约定调整。</w:t>
      </w:r>
    </w:p>
    <w:p w14:paraId="0190DA87">
      <w:pPr>
        <w:spacing w:line="360" w:lineRule="auto"/>
        <w:ind w:firstLine="420" w:firstLineChars="200"/>
        <w:jc w:val="left"/>
        <w:rPr>
          <w:rFonts w:hAnsi="宋体"/>
          <w:color w:val="000000" w:themeColor="text1"/>
          <w:szCs w:val="22"/>
          <w:highlight w:val="none"/>
          <w14:textFill>
            <w14:solidFill>
              <w14:schemeClr w14:val="tx1"/>
            </w14:solidFill>
          </w14:textFill>
        </w:rPr>
      </w:pPr>
      <w:r>
        <w:rPr>
          <w:rFonts w:hAnsi="宋体" w:cs="宋体"/>
          <w:color w:val="000000" w:themeColor="text1"/>
          <w:szCs w:val="22"/>
          <w:highlight w:val="none"/>
          <w14:textFill>
            <w14:solidFill>
              <w14:schemeClr w14:val="tx1"/>
            </w14:solidFill>
          </w14:textFill>
        </w:rPr>
        <w:fldChar w:fldCharType="begin"/>
      </w:r>
      <w:r>
        <w:rPr>
          <w:rFonts w:hint="eastAsia" w:hAnsi="宋体" w:cs="宋体"/>
          <w:color w:val="000000" w:themeColor="text1"/>
          <w:szCs w:val="22"/>
          <w:highlight w:val="none"/>
          <w14:textFill>
            <w14:solidFill>
              <w14:schemeClr w14:val="tx1"/>
            </w14:solidFill>
          </w14:textFill>
        </w:rPr>
        <w:instrText xml:space="preserve">= 4 \* GB3</w:instrText>
      </w:r>
      <w:r>
        <w:rPr>
          <w:rFonts w:hAnsi="宋体" w:cs="宋体"/>
          <w:color w:val="000000" w:themeColor="text1"/>
          <w:szCs w:val="22"/>
          <w:highlight w:val="none"/>
          <w14:textFill>
            <w14:solidFill>
              <w14:schemeClr w14:val="tx1"/>
            </w14:solidFill>
          </w14:textFill>
        </w:rPr>
        <w:fldChar w:fldCharType="separate"/>
      </w:r>
      <w:r>
        <w:rPr>
          <w:rFonts w:hint="eastAsia" w:hAnsi="宋体" w:cs="宋体"/>
          <w:color w:val="000000" w:themeColor="text1"/>
          <w:szCs w:val="22"/>
          <w:highlight w:val="none"/>
          <w14:textFill>
            <w14:solidFill>
              <w14:schemeClr w14:val="tx1"/>
            </w14:solidFill>
          </w14:textFill>
        </w:rPr>
        <w:t>4</w:t>
      </w:r>
      <w:r>
        <w:rPr>
          <w:rFonts w:hAnsi="宋体" w:cs="宋体"/>
          <w:color w:val="000000" w:themeColor="text1"/>
          <w:szCs w:val="22"/>
          <w:highlight w:val="none"/>
          <w14:textFill>
            <w14:solidFill>
              <w14:schemeClr w14:val="tx1"/>
            </w14:solidFill>
          </w14:textFill>
        </w:rPr>
        <w:fldChar w:fldCharType="end"/>
      </w:r>
      <w:r>
        <w:rPr>
          <w:rFonts w:hint="eastAsia" w:hAnsi="宋体" w:cs="宋体"/>
          <w:color w:val="000000" w:themeColor="text1"/>
          <w:szCs w:val="22"/>
          <w:highlight w:val="none"/>
          <w14:textFill>
            <w14:solidFill>
              <w14:schemeClr w14:val="tx1"/>
            </w14:solidFill>
          </w14:textFill>
        </w:rPr>
        <w:t>其它：。</w:t>
      </w:r>
    </w:p>
    <w:p w14:paraId="2F4AB125">
      <w:pPr>
        <w:spacing w:line="360" w:lineRule="auto"/>
        <w:ind w:firstLine="420" w:firstLineChars="200"/>
        <w:jc w:val="left"/>
        <w:rPr>
          <w:color w:val="000000" w:themeColor="text1"/>
          <w:szCs w:val="22"/>
          <w:highlight w:val="none"/>
          <w14:textFill>
            <w14:solidFill>
              <w14:schemeClr w14:val="tx1"/>
            </w14:solidFill>
          </w14:textFill>
        </w:rPr>
      </w:pPr>
      <w:r>
        <w:rPr>
          <w:rFonts w:hint="eastAsia"/>
          <w:color w:val="000000" w:themeColor="text1"/>
          <w:szCs w:val="22"/>
          <w:highlight w:val="none"/>
          <w14:textFill>
            <w14:solidFill>
              <w14:schemeClr w14:val="tx1"/>
            </w14:solidFill>
          </w14:textFill>
        </w:rPr>
        <w:t>（</w:t>
      </w:r>
      <w:r>
        <w:rPr>
          <w:color w:val="000000" w:themeColor="text1"/>
          <w:szCs w:val="22"/>
          <w:highlight w:val="none"/>
          <w14:textFill>
            <w14:solidFill>
              <w14:schemeClr w14:val="tx1"/>
            </w14:solidFill>
          </w14:textFill>
        </w:rPr>
        <w:t>3</w:t>
      </w:r>
      <w:r>
        <w:rPr>
          <w:rFonts w:hint="eastAsia"/>
          <w:color w:val="000000" w:themeColor="text1"/>
          <w:szCs w:val="22"/>
          <w:highlight w:val="none"/>
          <w14:textFill>
            <w14:solidFill>
              <w14:schemeClr w14:val="tx1"/>
            </w14:solidFill>
          </w14:textFill>
        </w:rPr>
        <w:t>）</w:t>
      </w:r>
      <w:r>
        <w:rPr>
          <w:color w:val="000000" w:themeColor="text1"/>
          <w:szCs w:val="22"/>
          <w:highlight w:val="none"/>
          <w14:textFill>
            <w14:solidFill>
              <w14:schemeClr w14:val="tx1"/>
            </w14:solidFill>
          </w14:textFill>
        </w:rPr>
        <w:t>其他价格方式：。</w:t>
      </w:r>
    </w:p>
    <w:p w14:paraId="25522C80">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858" w:name="_Toc78449839"/>
      <w:bookmarkStart w:id="859" w:name="_Toc407135253"/>
      <w:bookmarkStart w:id="860" w:name="_Toc114058890"/>
      <w:r>
        <w:rPr>
          <w:rFonts w:eastAsia="黑体"/>
          <w:b/>
          <w:bCs/>
          <w:color w:val="000000" w:themeColor="text1"/>
          <w:sz w:val="32"/>
          <w:szCs w:val="32"/>
          <w:highlight w:val="none"/>
          <w:lang w:val="zh-CN"/>
          <w14:textFill>
            <w14:solidFill>
              <w14:schemeClr w14:val="tx1"/>
            </w14:solidFill>
          </w14:textFill>
        </w:rPr>
        <w:t xml:space="preserve">12.2 </w:t>
      </w:r>
      <w:r>
        <w:rPr>
          <w:rFonts w:hint="eastAsia" w:hAnsi="宋体" w:eastAsia="黑体" w:cs="黑体"/>
          <w:b/>
          <w:bCs/>
          <w:color w:val="000000" w:themeColor="text1"/>
          <w:sz w:val="32"/>
          <w:szCs w:val="32"/>
          <w:highlight w:val="none"/>
          <w:lang w:val="zh-CN"/>
          <w14:textFill>
            <w14:solidFill>
              <w14:schemeClr w14:val="tx1"/>
            </w14:solidFill>
          </w14:textFill>
        </w:rPr>
        <w:t>预付款</w:t>
      </w:r>
      <w:bookmarkEnd w:id="839"/>
      <w:bookmarkEnd w:id="840"/>
      <w:bookmarkEnd w:id="841"/>
      <w:bookmarkEnd w:id="858"/>
      <w:bookmarkEnd w:id="859"/>
      <w:bookmarkEnd w:id="860"/>
    </w:p>
    <w:bookmarkEnd w:id="842"/>
    <w:bookmarkEnd w:id="843"/>
    <w:bookmarkEnd w:id="844"/>
    <w:bookmarkEnd w:id="845"/>
    <w:bookmarkEnd w:id="846"/>
    <w:bookmarkEnd w:id="847"/>
    <w:p w14:paraId="3017E8DC">
      <w:pPr>
        <w:spacing w:line="360" w:lineRule="auto"/>
        <w:ind w:firstLine="420" w:firstLineChars="20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12.2.1 </w:t>
      </w:r>
      <w:r>
        <w:rPr>
          <w:rFonts w:hint="eastAsia" w:hAnsi="宋体" w:cs="宋体"/>
          <w:color w:val="000000" w:themeColor="text1"/>
          <w:szCs w:val="21"/>
          <w:highlight w:val="none"/>
          <w14:textFill>
            <w14:solidFill>
              <w14:schemeClr w14:val="tx1"/>
            </w14:solidFill>
          </w14:textFill>
        </w:rPr>
        <w:t>预付款的支付</w:t>
      </w:r>
    </w:p>
    <w:p w14:paraId="1205831E">
      <w:pPr>
        <w:spacing w:line="360" w:lineRule="auto"/>
        <w:ind w:firstLine="420" w:firstLineChars="200"/>
        <w:jc w:val="left"/>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预付款支付比例或金额：</w:t>
      </w:r>
      <w:r>
        <w:rPr>
          <w:rFonts w:hint="eastAsia"/>
          <w:color w:val="000000" w:themeColor="text1"/>
          <w:szCs w:val="21"/>
          <w:highlight w:val="none"/>
          <w:u w:val="single"/>
          <w14:textFill>
            <w14:solidFill>
              <w14:schemeClr w14:val="tx1"/>
            </w14:solidFill>
          </w14:textFill>
        </w:rPr>
        <w:t xml:space="preserve"> 合同价款的30%</w:t>
      </w:r>
      <w:r>
        <w:rPr>
          <w:color w:val="000000" w:themeColor="text1"/>
          <w:szCs w:val="21"/>
          <w:highlight w:val="none"/>
          <w:u w:val="single"/>
          <w14:textFill>
            <w14:solidFill>
              <w14:schemeClr w14:val="tx1"/>
            </w14:solidFill>
          </w14:textFill>
        </w:rPr>
        <w:t xml:space="preserve">  </w:t>
      </w:r>
      <w:r>
        <w:rPr>
          <w:rFonts w:hint="eastAsia" w:hAnsi="宋体" w:cs="宋体"/>
          <w:color w:val="000000" w:themeColor="text1"/>
          <w:szCs w:val="21"/>
          <w:highlight w:val="none"/>
          <w14:textFill>
            <w14:solidFill>
              <w14:schemeClr w14:val="tx1"/>
            </w14:solidFill>
          </w14:textFill>
        </w:rPr>
        <w:t>。</w:t>
      </w:r>
    </w:p>
    <w:p w14:paraId="770FECCD">
      <w:pPr>
        <w:spacing w:line="360" w:lineRule="auto"/>
        <w:ind w:firstLine="420" w:firstLineChars="200"/>
        <w:jc w:val="left"/>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预付款支付期限：</w:t>
      </w:r>
      <w:r>
        <w:rPr>
          <w:rFonts w:hint="eastAsia"/>
          <w:color w:val="000000" w:themeColor="text1"/>
          <w:szCs w:val="21"/>
          <w:highlight w:val="none"/>
          <w:u w:val="single"/>
          <w14:textFill>
            <w14:solidFill>
              <w14:schemeClr w14:val="tx1"/>
            </w14:solidFill>
          </w14:textFill>
        </w:rPr>
        <w:t xml:space="preserve"> </w:t>
      </w:r>
      <w:r>
        <w:rPr>
          <w:color w:val="auto"/>
          <w:szCs w:val="21"/>
          <w:highlight w:val="none"/>
          <w:u w:val="single"/>
        </w:rPr>
        <w:t>合同签订后</w:t>
      </w:r>
      <w:r>
        <w:rPr>
          <w:rFonts w:hint="eastAsia"/>
          <w:color w:val="auto"/>
          <w:szCs w:val="21"/>
          <w:highlight w:val="none"/>
          <w:u w:val="single"/>
          <w:lang w:val="en-US" w:eastAsia="zh-CN"/>
        </w:rPr>
        <w:t>30</w:t>
      </w:r>
      <w:r>
        <w:rPr>
          <w:color w:val="auto"/>
          <w:szCs w:val="21"/>
          <w:highlight w:val="none"/>
          <w:u w:val="single"/>
        </w:rPr>
        <w:t>个工作日内支付</w:t>
      </w:r>
      <w:r>
        <w:rPr>
          <w:color w:val="000000" w:themeColor="text1"/>
          <w:szCs w:val="21"/>
          <w:highlight w:val="none"/>
          <w:u w:val="single"/>
          <w14:textFill>
            <w14:solidFill>
              <w14:schemeClr w14:val="tx1"/>
            </w14:solidFill>
          </w14:textFill>
        </w:rPr>
        <w:t xml:space="preserve"> </w:t>
      </w:r>
      <w:r>
        <w:rPr>
          <w:rFonts w:hint="eastAsia" w:hAnsi="宋体" w:cs="宋体"/>
          <w:color w:val="000000" w:themeColor="text1"/>
          <w:szCs w:val="21"/>
          <w:highlight w:val="none"/>
          <w14:textFill>
            <w14:solidFill>
              <w14:schemeClr w14:val="tx1"/>
            </w14:solidFill>
          </w14:textFill>
        </w:rPr>
        <w:t>。</w:t>
      </w:r>
    </w:p>
    <w:p w14:paraId="3E8D6756">
      <w:pPr>
        <w:spacing w:line="360" w:lineRule="auto"/>
        <w:ind w:firstLine="420" w:firstLineChars="200"/>
        <w:jc w:val="left"/>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预付款扣回的方式：</w:t>
      </w:r>
      <w:r>
        <w:rPr>
          <w:rFonts w:hint="eastAsia"/>
          <w:color w:val="000000" w:themeColor="text1"/>
          <w:szCs w:val="21"/>
          <w:highlight w:val="none"/>
          <w:u w:val="single"/>
          <w14:textFill>
            <w14:solidFill>
              <w14:schemeClr w14:val="tx1"/>
            </w14:solidFill>
          </w14:textFill>
        </w:rPr>
        <w:t>采购人预付签约合同价款的30%给成交供应商作为本工程的施工备料款。此预付款在项目工程进度款中一次性扣回</w:t>
      </w:r>
      <w:r>
        <w:rPr>
          <w:rFonts w:hint="eastAsia" w:hAnsi="宋体" w:cs="宋体"/>
          <w:color w:val="000000" w:themeColor="text1"/>
          <w:szCs w:val="21"/>
          <w:highlight w:val="none"/>
          <w14:textFill>
            <w14:solidFill>
              <w14:schemeClr w14:val="tx1"/>
            </w14:solidFill>
          </w14:textFill>
        </w:rPr>
        <w:t>。</w:t>
      </w:r>
    </w:p>
    <w:p w14:paraId="538E8119">
      <w:pPr>
        <w:spacing w:line="360" w:lineRule="auto"/>
        <w:ind w:firstLine="420" w:firstLineChars="20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12.2.2 </w:t>
      </w:r>
      <w:r>
        <w:rPr>
          <w:rFonts w:hint="eastAsia" w:hAnsi="宋体" w:cs="宋体"/>
          <w:color w:val="000000" w:themeColor="text1"/>
          <w:szCs w:val="21"/>
          <w:highlight w:val="none"/>
          <w14:textFill>
            <w14:solidFill>
              <w14:schemeClr w14:val="tx1"/>
            </w14:solidFill>
          </w14:textFill>
        </w:rPr>
        <w:t>预付款担保</w:t>
      </w:r>
    </w:p>
    <w:p w14:paraId="0782D394">
      <w:pPr>
        <w:spacing w:line="360" w:lineRule="auto"/>
        <w:ind w:firstLine="420" w:firstLineChars="200"/>
        <w:jc w:val="left"/>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承包人提交预付款担保的期限：</w:t>
      </w:r>
      <w:r>
        <w:rPr>
          <w:rFonts w:hint="eastAsia"/>
          <w:color w:val="000000" w:themeColor="text1"/>
          <w:szCs w:val="21"/>
          <w:highlight w:val="none"/>
          <w:u w:val="single"/>
          <w:lang w:val="en-US" w:eastAsia="zh-CN"/>
          <w14:textFill>
            <w14:solidFill>
              <w14:schemeClr w14:val="tx1"/>
            </w14:solidFill>
          </w14:textFill>
        </w:rPr>
        <w:t xml:space="preserve">   无    </w:t>
      </w:r>
      <w:r>
        <w:rPr>
          <w:rFonts w:hint="eastAsia" w:hAnsi="宋体" w:cs="宋体"/>
          <w:color w:val="000000" w:themeColor="text1"/>
          <w:szCs w:val="21"/>
          <w:highlight w:val="none"/>
          <w14:textFill>
            <w14:solidFill>
              <w14:schemeClr w14:val="tx1"/>
            </w14:solidFill>
          </w14:textFill>
        </w:rPr>
        <w:t>。</w:t>
      </w:r>
    </w:p>
    <w:p w14:paraId="2959F50E">
      <w:pPr>
        <w:spacing w:line="360" w:lineRule="auto"/>
        <w:ind w:firstLine="420" w:firstLineChars="200"/>
        <w:jc w:val="left"/>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预付款担保的形式为：</w:t>
      </w:r>
      <w:r>
        <w:rPr>
          <w:rFonts w:hint="eastAsia"/>
          <w:color w:val="000000" w:themeColor="text1"/>
          <w:szCs w:val="21"/>
          <w:highlight w:val="none"/>
          <w:u w:val="single"/>
          <w:lang w:val="en-US" w:eastAsia="zh-CN"/>
          <w14:textFill>
            <w14:solidFill>
              <w14:schemeClr w14:val="tx1"/>
            </w14:solidFill>
          </w14:textFill>
        </w:rPr>
        <w:t xml:space="preserve">   无    </w:t>
      </w:r>
      <w:r>
        <w:rPr>
          <w:rFonts w:hint="eastAsia" w:hAnsi="宋体" w:cs="宋体"/>
          <w:color w:val="000000" w:themeColor="text1"/>
          <w:szCs w:val="21"/>
          <w:highlight w:val="none"/>
          <w14:textFill>
            <w14:solidFill>
              <w14:schemeClr w14:val="tx1"/>
            </w14:solidFill>
          </w14:textFill>
        </w:rPr>
        <w:t>。</w:t>
      </w:r>
    </w:p>
    <w:p w14:paraId="2EBC0614">
      <w:pPr>
        <w:spacing w:line="360" w:lineRule="auto"/>
        <w:ind w:firstLine="420" w:firstLineChars="200"/>
        <w:jc w:val="left"/>
        <w:rPr>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预付款担保格式见合同附件8。预付款支付申请（核准）表见合同附件10</w:t>
      </w:r>
    </w:p>
    <w:bookmarkEnd w:id="848"/>
    <w:bookmarkEnd w:id="849"/>
    <w:bookmarkEnd w:id="850"/>
    <w:bookmarkEnd w:id="851"/>
    <w:bookmarkEnd w:id="852"/>
    <w:bookmarkEnd w:id="853"/>
    <w:bookmarkEnd w:id="854"/>
    <w:bookmarkEnd w:id="855"/>
    <w:bookmarkEnd w:id="856"/>
    <w:bookmarkEnd w:id="857"/>
    <w:p w14:paraId="7CB35CB0">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861" w:name="_Toc389065316"/>
      <w:bookmarkStart w:id="862" w:name="_Toc78449840"/>
      <w:bookmarkStart w:id="863" w:name="_Toc407135254"/>
      <w:bookmarkStart w:id="864" w:name="_Toc373478398"/>
      <w:bookmarkStart w:id="865" w:name="_Toc114058891"/>
      <w:bookmarkStart w:id="866" w:name="_Toc373227751"/>
      <w:r>
        <w:rPr>
          <w:rFonts w:eastAsia="黑体"/>
          <w:b/>
          <w:bCs/>
          <w:color w:val="000000" w:themeColor="text1"/>
          <w:sz w:val="32"/>
          <w:szCs w:val="32"/>
          <w:highlight w:val="none"/>
          <w:lang w:val="zh-CN"/>
          <w14:textFill>
            <w14:solidFill>
              <w14:schemeClr w14:val="tx1"/>
            </w14:solidFill>
          </w14:textFill>
        </w:rPr>
        <w:t xml:space="preserve">12.3 </w:t>
      </w:r>
      <w:r>
        <w:rPr>
          <w:rFonts w:hint="eastAsia" w:hAnsi="宋体" w:eastAsia="黑体" w:cs="黑体"/>
          <w:b/>
          <w:bCs/>
          <w:color w:val="000000" w:themeColor="text1"/>
          <w:sz w:val="32"/>
          <w:szCs w:val="32"/>
          <w:highlight w:val="none"/>
          <w:lang w:val="zh-CN"/>
          <w14:textFill>
            <w14:solidFill>
              <w14:schemeClr w14:val="tx1"/>
            </w14:solidFill>
          </w14:textFill>
        </w:rPr>
        <w:t>计量</w:t>
      </w:r>
      <w:bookmarkEnd w:id="861"/>
      <w:bookmarkEnd w:id="862"/>
      <w:bookmarkEnd w:id="863"/>
      <w:bookmarkEnd w:id="864"/>
      <w:bookmarkEnd w:id="865"/>
      <w:bookmarkEnd w:id="866"/>
    </w:p>
    <w:p w14:paraId="1DE6B27B">
      <w:pPr>
        <w:spacing w:line="360" w:lineRule="auto"/>
        <w:ind w:firstLine="420" w:firstLineChars="20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12.3.1 </w:t>
      </w:r>
      <w:r>
        <w:rPr>
          <w:rFonts w:hint="eastAsia" w:hAnsi="宋体" w:cs="宋体"/>
          <w:color w:val="000000" w:themeColor="text1"/>
          <w:szCs w:val="21"/>
          <w:highlight w:val="none"/>
          <w14:textFill>
            <w14:solidFill>
              <w14:schemeClr w14:val="tx1"/>
            </w14:solidFill>
          </w14:textFill>
        </w:rPr>
        <w:t>计量原则</w:t>
      </w:r>
    </w:p>
    <w:p w14:paraId="50E2265E">
      <w:pPr>
        <w:spacing w:line="360" w:lineRule="auto"/>
        <w:ind w:firstLine="420" w:firstLineChars="200"/>
        <w:jc w:val="left"/>
        <w:rPr>
          <w:rFonts w:ascii="宋体" w:hAnsi="宋体"/>
          <w:color w:val="000000" w:themeColor="text1"/>
          <w:highlight w:val="none"/>
          <w:u w:val="singl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工程量计算规则：</w:t>
      </w:r>
      <w:r>
        <w:rPr>
          <w:rFonts w:hint="eastAsia" w:hAnsi="宋体" w:cs="宋体"/>
          <w:color w:val="000000" w:themeColor="text1"/>
          <w:szCs w:val="21"/>
          <w:highlight w:val="none"/>
          <w:u w:val="single"/>
          <w14:textFill>
            <w14:solidFill>
              <w14:schemeClr w14:val="tx1"/>
            </w14:solidFill>
          </w14:textFill>
        </w:rPr>
        <w:t>工程的计量均以《建设工程工程量清单计价规范》（</w:t>
      </w:r>
      <w:r>
        <w:rPr>
          <w:color w:val="000000" w:themeColor="text1"/>
          <w:szCs w:val="21"/>
          <w:highlight w:val="none"/>
          <w:u w:val="single"/>
          <w14:textFill>
            <w14:solidFill>
              <w14:schemeClr w14:val="tx1"/>
            </w14:solidFill>
          </w14:textFill>
        </w:rPr>
        <w:t>GB50500</w:t>
      </w:r>
      <w:r>
        <w:rPr>
          <w:rFonts w:hint="eastAsia" w:hAnsi="宋体" w:cs="宋体"/>
          <w:color w:val="000000" w:themeColor="text1"/>
          <w:szCs w:val="21"/>
          <w:highlight w:val="none"/>
          <w:u w:val="single"/>
          <w14:textFill>
            <w14:solidFill>
              <w14:schemeClr w14:val="tx1"/>
            </w14:solidFill>
          </w14:textFill>
        </w:rPr>
        <w:t>－</w:t>
      </w:r>
      <w:r>
        <w:rPr>
          <w:color w:val="000000" w:themeColor="text1"/>
          <w:szCs w:val="21"/>
          <w:highlight w:val="none"/>
          <w:u w:val="single"/>
          <w14:textFill>
            <w14:solidFill>
              <w14:schemeClr w14:val="tx1"/>
            </w14:solidFill>
          </w14:textFill>
        </w:rPr>
        <w:t>2013</w:t>
      </w:r>
      <w:r>
        <w:rPr>
          <w:rFonts w:hint="eastAsia" w:hAnsi="宋体" w:cs="宋体"/>
          <w:color w:val="000000" w:themeColor="text1"/>
          <w:szCs w:val="21"/>
          <w:highlight w:val="none"/>
          <w:u w:val="single"/>
          <w14:textFill>
            <w14:solidFill>
              <w14:schemeClr w14:val="tx1"/>
            </w14:solidFill>
          </w14:textFill>
        </w:rPr>
        <w:t>）及广西壮族自治区实施细则、《建设工程工程量清单计算规范》（</w:t>
      </w:r>
      <w:r>
        <w:rPr>
          <w:color w:val="000000" w:themeColor="text1"/>
          <w:szCs w:val="21"/>
          <w:highlight w:val="none"/>
          <w:u w:val="single"/>
          <w14:textFill>
            <w14:solidFill>
              <w14:schemeClr w14:val="tx1"/>
            </w14:solidFill>
          </w14:textFill>
        </w:rPr>
        <w:t>GB50854~50862</w:t>
      </w:r>
      <w:r>
        <w:rPr>
          <w:rFonts w:hint="eastAsia" w:hAnsi="宋体" w:cs="宋体"/>
          <w:color w:val="000000" w:themeColor="text1"/>
          <w:szCs w:val="21"/>
          <w:highlight w:val="none"/>
          <w:u w:val="single"/>
          <w14:textFill>
            <w14:solidFill>
              <w14:schemeClr w14:val="tx1"/>
            </w14:solidFill>
          </w14:textFill>
        </w:rPr>
        <w:t>－</w:t>
      </w:r>
      <w:r>
        <w:rPr>
          <w:color w:val="000000" w:themeColor="text1"/>
          <w:szCs w:val="21"/>
          <w:highlight w:val="none"/>
          <w:u w:val="single"/>
          <w14:textFill>
            <w14:solidFill>
              <w14:schemeClr w14:val="tx1"/>
            </w14:solidFill>
          </w14:textFill>
        </w:rPr>
        <w:t>2013</w:t>
      </w:r>
      <w:r>
        <w:rPr>
          <w:rFonts w:hint="eastAsia" w:hAnsi="宋体" w:cs="宋体"/>
          <w:color w:val="000000" w:themeColor="text1"/>
          <w:szCs w:val="21"/>
          <w:highlight w:val="none"/>
          <w:u w:val="single"/>
          <w14:textFill>
            <w14:solidFill>
              <w14:schemeClr w14:val="tx1"/>
            </w14:solidFill>
          </w14:textFill>
        </w:rPr>
        <w:t>）及广西实施细则、本工程补充项目清单为准。</w:t>
      </w:r>
      <w:r>
        <w:rPr>
          <w:rFonts w:hint="eastAsia" w:ascii="宋体" w:hAnsi="宋体"/>
          <w:b/>
          <w:bCs/>
          <w:color w:val="000000" w:themeColor="text1"/>
          <w:highlight w:val="none"/>
          <w:u w:val="single"/>
          <w14:textFill>
            <w14:solidFill>
              <w14:schemeClr w14:val="tx1"/>
            </w14:solidFill>
          </w14:textFill>
        </w:rPr>
        <w:t>如有不明之处，应以造价管理部门指定的计量方法为准。</w:t>
      </w:r>
      <w:r>
        <w:rPr>
          <w:rFonts w:hint="eastAsia" w:ascii="宋体" w:hAnsi="宋体"/>
          <w:color w:val="000000" w:themeColor="text1"/>
          <w:highlight w:val="none"/>
          <w:u w:val="single"/>
          <w14:textFill>
            <w14:solidFill>
              <w14:schemeClr w14:val="tx1"/>
            </w14:solidFill>
          </w14:textFill>
        </w:rPr>
        <w:t>除合同另有约定外，承包人实际完成的工程量按约定的工程量计算规则和有合同约束力的图纸进行计量。</w:t>
      </w:r>
    </w:p>
    <w:p w14:paraId="2CD639D3">
      <w:pPr>
        <w:spacing w:line="360" w:lineRule="auto"/>
        <w:ind w:firstLine="420" w:firstLineChars="200"/>
        <w:jc w:val="left"/>
        <w:rPr>
          <w:color w:val="000000" w:themeColor="text1"/>
          <w:szCs w:val="21"/>
          <w:highlight w:val="none"/>
          <w14:textFill>
            <w14:solidFill>
              <w14:schemeClr w14:val="tx1"/>
            </w14:solidFill>
          </w14:textFill>
        </w:rPr>
      </w:pPr>
    </w:p>
    <w:p w14:paraId="03D641AB">
      <w:pPr>
        <w:spacing w:line="360" w:lineRule="auto"/>
        <w:ind w:firstLine="420" w:firstLineChars="20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12.3.2 </w:t>
      </w:r>
      <w:r>
        <w:rPr>
          <w:rFonts w:hint="eastAsia" w:hAnsi="宋体" w:cs="宋体"/>
          <w:color w:val="000000" w:themeColor="text1"/>
          <w:szCs w:val="21"/>
          <w:highlight w:val="none"/>
          <w14:textFill>
            <w14:solidFill>
              <w14:schemeClr w14:val="tx1"/>
            </w14:solidFill>
          </w14:textFill>
        </w:rPr>
        <w:t>计量周期</w:t>
      </w:r>
    </w:p>
    <w:p w14:paraId="389B3B06">
      <w:pPr>
        <w:spacing w:line="360" w:lineRule="auto"/>
        <w:ind w:firstLine="420" w:firstLineChars="200"/>
        <w:jc w:val="left"/>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关于计量周期的约定：按预付款和进度款支付节点的约定进行支付。</w:t>
      </w:r>
    </w:p>
    <w:p w14:paraId="00B14358">
      <w:pPr>
        <w:spacing w:line="360" w:lineRule="auto"/>
        <w:ind w:firstLine="420" w:firstLineChars="200"/>
        <w:jc w:val="left"/>
        <w:outlineLvl w:val="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12.3.3 </w:t>
      </w:r>
      <w:r>
        <w:rPr>
          <w:rFonts w:hint="eastAsia" w:hAnsi="宋体" w:cs="宋体"/>
          <w:color w:val="000000" w:themeColor="text1"/>
          <w:szCs w:val="21"/>
          <w:highlight w:val="none"/>
          <w14:textFill>
            <w14:solidFill>
              <w14:schemeClr w14:val="tx1"/>
            </w14:solidFill>
          </w14:textFill>
        </w:rPr>
        <w:t>单价合同的计量</w:t>
      </w:r>
    </w:p>
    <w:p w14:paraId="698B2D08">
      <w:pPr>
        <w:spacing w:line="360" w:lineRule="auto"/>
        <w:ind w:firstLine="420" w:firstLineChars="200"/>
        <w:jc w:val="left"/>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关于单价合同计量的约定：</w:t>
      </w:r>
    </w:p>
    <w:p w14:paraId="3C1D8CA7">
      <w:pPr>
        <w:spacing w:line="360" w:lineRule="auto"/>
        <w:ind w:firstLine="441" w:firstLineChars="21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(1) </w:t>
      </w:r>
      <w:r>
        <w:rPr>
          <w:rFonts w:hint="eastAsia" w:hAnsi="宋体" w:cs="宋体"/>
          <w:color w:val="000000" w:themeColor="text1"/>
          <w:szCs w:val="21"/>
          <w:highlight w:val="none"/>
          <w14:textFill>
            <w14:solidFill>
              <w14:schemeClr w14:val="tx1"/>
            </w14:solidFill>
          </w14:textFill>
        </w:rPr>
        <w:t>工程量清单所列的工程量，不能作为承包人按合同履行其责任依据，实际施工中发生的工程量增加或减少并不影响承包人履行合同的责任，工程结算以完成的实际工程量为准。</w:t>
      </w:r>
    </w:p>
    <w:p w14:paraId="4654B12B">
      <w:pPr>
        <w:spacing w:line="360" w:lineRule="auto"/>
        <w:ind w:firstLine="441" w:firstLineChars="21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(2) </w:t>
      </w:r>
      <w:r>
        <w:rPr>
          <w:rFonts w:hint="eastAsia" w:hAnsi="宋体" w:cs="宋体"/>
          <w:color w:val="000000" w:themeColor="text1"/>
          <w:szCs w:val="21"/>
          <w:highlight w:val="none"/>
          <w14:textFill>
            <w14:solidFill>
              <w14:schemeClr w14:val="tx1"/>
            </w14:solidFill>
          </w14:textFill>
        </w:rPr>
        <w:t>除另有规定外，工程师应按照合同通过计量来核实确定已完成的工程量和价款，承包人应得到该价款扣除保留金后的金额。当工程师要对已完工的工程量进行计量时，应适时地通知承包人参加。</w:t>
      </w:r>
    </w:p>
    <w:p w14:paraId="2BF4338F">
      <w:pPr>
        <w:spacing w:line="360" w:lineRule="auto"/>
        <w:ind w:firstLine="420" w:firstLineChars="20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12.3.4 </w:t>
      </w:r>
      <w:r>
        <w:rPr>
          <w:rFonts w:hint="eastAsia" w:hAnsi="宋体" w:cs="宋体"/>
          <w:color w:val="000000" w:themeColor="text1"/>
          <w:szCs w:val="21"/>
          <w:highlight w:val="none"/>
          <w14:textFill>
            <w14:solidFill>
              <w14:schemeClr w14:val="tx1"/>
            </w14:solidFill>
          </w14:textFill>
        </w:rPr>
        <w:t>总价合同的计量</w:t>
      </w:r>
    </w:p>
    <w:p w14:paraId="0C2A9937">
      <w:pPr>
        <w:spacing w:line="360" w:lineRule="auto"/>
        <w:ind w:firstLine="420" w:firstLineChars="200"/>
        <w:jc w:val="left"/>
        <w:rPr>
          <w:rFonts w:cs="宋体"/>
          <w:color w:val="000000" w:themeColor="text1"/>
          <w:szCs w:val="21"/>
          <w:highlight w:val="none"/>
          <w14:textFill>
            <w14:solidFill>
              <w14:schemeClr w14:val="tx1"/>
            </w14:solidFill>
          </w14:textFill>
        </w:rPr>
      </w:pPr>
      <w:r>
        <w:rPr>
          <w:rFonts w:hint="eastAsia" w:ascii="Calibri" w:hAnsi="宋体" w:cs="宋体"/>
          <w:color w:val="000000" w:themeColor="text1"/>
          <w:szCs w:val="21"/>
          <w:highlight w:val="none"/>
          <w14:textFill>
            <w14:solidFill>
              <w14:schemeClr w14:val="tx1"/>
            </w14:solidFill>
          </w14:textFill>
        </w:rPr>
        <w:t>（1）总价合同计量约定：</w:t>
      </w:r>
      <w:r>
        <w:rPr>
          <w:rFonts w:hint="eastAsia" w:hAnsi="宋体" w:cs="宋体"/>
          <w:color w:val="000000" w:themeColor="text1"/>
          <w:szCs w:val="21"/>
          <w:highlight w:val="none"/>
          <w14:textFill>
            <w14:solidFill>
              <w14:schemeClr w14:val="tx1"/>
            </w14:solidFill>
          </w14:textFill>
        </w:rPr>
        <w:t>进度款按支付分解表支付</w:t>
      </w:r>
      <w:r>
        <w:rPr>
          <w:rFonts w:hint="eastAsia" w:ascii="宋体" w:hAnsi="宋体" w:cs="宋体"/>
          <w:color w:val="000000" w:themeColor="text1"/>
          <w:kern w:val="0"/>
          <w:szCs w:val="21"/>
          <w:highlight w:val="none"/>
          <w14:textFill>
            <w14:solidFill>
              <w14:schemeClr w14:val="tx1"/>
            </w14:solidFill>
          </w14:textFill>
        </w:rPr>
        <w:t>，</w:t>
      </w:r>
      <w:r>
        <w:rPr>
          <w:rFonts w:hint="eastAsia" w:cs="宋体"/>
          <w:color w:val="000000" w:themeColor="text1"/>
          <w:szCs w:val="21"/>
          <w:highlight w:val="none"/>
          <w14:textFill>
            <w14:solidFill>
              <w14:schemeClr w14:val="tx1"/>
            </w14:solidFill>
          </w14:textFill>
        </w:rPr>
        <w:t>支付分解表在招标完成后签合同之前制定，具体详见本专用合同条款12.4.6。</w:t>
      </w:r>
    </w:p>
    <w:p w14:paraId="28DFE838">
      <w:pPr>
        <w:spacing w:line="360" w:lineRule="auto"/>
        <w:ind w:firstLine="420" w:firstLineChars="20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12.3.6 </w:t>
      </w:r>
      <w:r>
        <w:rPr>
          <w:rFonts w:hint="eastAsia" w:hAnsi="宋体" w:cs="宋体"/>
          <w:color w:val="000000" w:themeColor="text1"/>
          <w:szCs w:val="21"/>
          <w:highlight w:val="none"/>
          <w14:textFill>
            <w14:solidFill>
              <w14:schemeClr w14:val="tx1"/>
            </w14:solidFill>
          </w14:textFill>
        </w:rPr>
        <w:t>其他价格形式合同的计量</w:t>
      </w:r>
    </w:p>
    <w:p w14:paraId="45DC04DD">
      <w:pPr>
        <w:spacing w:line="360" w:lineRule="auto"/>
        <w:ind w:firstLine="420" w:firstLineChars="200"/>
        <w:jc w:val="left"/>
        <w:rPr>
          <w:color w:val="000000" w:themeColor="text1"/>
          <w:szCs w:val="21"/>
          <w:highlight w:val="none"/>
          <w:u w:val="singl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其他价格形式的计量方式和程序：。</w:t>
      </w:r>
    </w:p>
    <w:p w14:paraId="0641DAD5">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867" w:name="_Toc373227752"/>
      <w:bookmarkStart w:id="868" w:name="_Toc407135255"/>
      <w:bookmarkStart w:id="869" w:name="_Toc373478399"/>
      <w:bookmarkStart w:id="870" w:name="_Toc114058892"/>
      <w:bookmarkStart w:id="871" w:name="_Toc389065317"/>
      <w:bookmarkStart w:id="872" w:name="_Toc78449841"/>
      <w:r>
        <w:rPr>
          <w:rFonts w:eastAsia="黑体"/>
          <w:b/>
          <w:bCs/>
          <w:color w:val="000000" w:themeColor="text1"/>
          <w:sz w:val="32"/>
          <w:szCs w:val="32"/>
          <w:highlight w:val="none"/>
          <w:lang w:val="zh-CN"/>
          <w14:textFill>
            <w14:solidFill>
              <w14:schemeClr w14:val="tx1"/>
            </w14:solidFill>
          </w14:textFill>
        </w:rPr>
        <w:t xml:space="preserve">12.4 </w:t>
      </w:r>
      <w:r>
        <w:rPr>
          <w:rFonts w:hint="eastAsia" w:eastAsia="黑体" w:cs="黑体"/>
          <w:b/>
          <w:bCs/>
          <w:color w:val="000000" w:themeColor="text1"/>
          <w:sz w:val="32"/>
          <w:szCs w:val="32"/>
          <w:highlight w:val="none"/>
          <w:lang w:val="zh-CN"/>
          <w14:textFill>
            <w14:solidFill>
              <w14:schemeClr w14:val="tx1"/>
            </w14:solidFill>
          </w14:textFill>
        </w:rPr>
        <w:t>工程进度款支付</w:t>
      </w:r>
      <w:bookmarkEnd w:id="867"/>
      <w:bookmarkEnd w:id="868"/>
      <w:bookmarkEnd w:id="869"/>
      <w:bookmarkEnd w:id="870"/>
      <w:bookmarkEnd w:id="871"/>
      <w:bookmarkEnd w:id="872"/>
    </w:p>
    <w:p w14:paraId="2D96F2B0">
      <w:pPr>
        <w:spacing w:line="360" w:lineRule="auto"/>
        <w:ind w:firstLine="420" w:firstLineChars="200"/>
        <w:jc w:val="left"/>
        <w:rPr>
          <w:color w:val="000000" w:themeColor="text1"/>
          <w:szCs w:val="21"/>
          <w:highlight w:val="none"/>
          <w14:textFill>
            <w14:solidFill>
              <w14:schemeClr w14:val="tx1"/>
            </w14:solidFill>
          </w14:textFill>
        </w:rPr>
      </w:pPr>
      <w:bookmarkStart w:id="873" w:name="_Toc297048397"/>
      <w:bookmarkStart w:id="874" w:name="_Toc303539163"/>
      <w:bookmarkStart w:id="875" w:name="_Toc300935006"/>
      <w:bookmarkStart w:id="876" w:name="_Toc297120511"/>
      <w:bookmarkStart w:id="877" w:name="_Toc296503211"/>
      <w:bookmarkStart w:id="878" w:name="_Toc297216215"/>
      <w:bookmarkStart w:id="879" w:name="_Toc296346712"/>
      <w:bookmarkStart w:id="880" w:name="_Toc297123556"/>
      <w:bookmarkStart w:id="881" w:name="_Toc292559921"/>
      <w:bookmarkStart w:id="882" w:name="_Toc296944550"/>
      <w:bookmarkStart w:id="883" w:name="_Toc296891039"/>
      <w:bookmarkStart w:id="884" w:name="_Toc296347210"/>
      <w:bookmarkStart w:id="885" w:name="_Toc292559416"/>
      <w:bookmarkStart w:id="886" w:name="_Toc296891251"/>
      <w:r>
        <w:rPr>
          <w:color w:val="000000" w:themeColor="text1"/>
          <w:szCs w:val="21"/>
          <w:highlight w:val="none"/>
          <w14:textFill>
            <w14:solidFill>
              <w14:schemeClr w14:val="tx1"/>
            </w14:solidFill>
          </w14:textFill>
        </w:rPr>
        <w:t xml:space="preserve">12.4.1 </w:t>
      </w:r>
      <w:r>
        <w:rPr>
          <w:rFonts w:hAnsi="宋体"/>
          <w:color w:val="000000" w:themeColor="text1"/>
          <w:szCs w:val="21"/>
          <w:highlight w:val="none"/>
          <w14:textFill>
            <w14:solidFill>
              <w14:schemeClr w14:val="tx1"/>
            </w14:solidFill>
          </w14:textFill>
        </w:rPr>
        <w:t>付款周期</w:t>
      </w:r>
    </w:p>
    <w:p w14:paraId="2550C70C">
      <w:pPr>
        <w:spacing w:line="360" w:lineRule="auto"/>
        <w:ind w:firstLine="420" w:firstLineChars="200"/>
        <w:rPr>
          <w:rFonts w:ascii="宋体" w:hAnsi="宋体" w:cs="宋体"/>
          <w:bCs/>
          <w:color w:val="000000" w:themeColor="text1"/>
          <w:szCs w:val="21"/>
          <w:highlight w:val="none"/>
          <w:u w:val="single"/>
          <w14:textFill>
            <w14:solidFill>
              <w14:schemeClr w14:val="tx1"/>
            </w14:solidFill>
          </w14:textFill>
        </w:rPr>
      </w:pPr>
      <w:r>
        <w:rPr>
          <w:rFonts w:hint="eastAsia" w:ascii="宋体" w:hAnsi="宋体" w:cs="宋体"/>
          <w:bCs/>
          <w:color w:val="000000" w:themeColor="text1"/>
          <w:szCs w:val="21"/>
          <w:highlight w:val="none"/>
          <w:u w:val="single"/>
          <w14:textFill>
            <w14:solidFill>
              <w14:schemeClr w14:val="tx1"/>
            </w14:solidFill>
          </w14:textFill>
        </w:rPr>
        <w:t>关于付款的约定：</w:t>
      </w:r>
    </w:p>
    <w:p w14:paraId="62315A17">
      <w:pPr>
        <w:spacing w:line="360" w:lineRule="auto"/>
        <w:ind w:firstLine="420" w:firstLineChars="200"/>
        <w:rPr>
          <w:rFonts w:ascii="宋体" w:hAnsi="宋体" w:cs="宋体"/>
          <w:bCs/>
          <w:color w:val="000000" w:themeColor="text1"/>
          <w:szCs w:val="21"/>
          <w:highlight w:val="none"/>
          <w:u w:val="single"/>
          <w14:textFill>
            <w14:solidFill>
              <w14:schemeClr w14:val="tx1"/>
            </w14:solidFill>
          </w14:textFill>
        </w:rPr>
      </w:pPr>
      <w:r>
        <w:rPr>
          <w:rFonts w:hint="eastAsia" w:ascii="宋体" w:hAnsi="宋体" w:cs="宋体"/>
          <w:bCs/>
          <w:color w:val="000000" w:themeColor="text1"/>
          <w:szCs w:val="21"/>
          <w:highlight w:val="none"/>
          <w:u w:val="single"/>
          <w14:textFill>
            <w14:solidFill>
              <w14:schemeClr w14:val="tx1"/>
            </w14:solidFill>
          </w14:textFill>
        </w:rPr>
        <w:t>（1）工程进度款按月支付，合同内工程进度款支付额为当月实际已完成工程量价款的90%；合同外新增工程量按实际完成工程量价款的60%支付进度款；</w:t>
      </w:r>
    </w:p>
    <w:p w14:paraId="400BC6DA">
      <w:pPr>
        <w:spacing w:line="360" w:lineRule="auto"/>
        <w:ind w:firstLine="420" w:firstLineChars="200"/>
        <w:rPr>
          <w:rFonts w:hAnsi="宋体" w:cs="宋体"/>
          <w:bCs/>
          <w:color w:val="000000" w:themeColor="text1"/>
          <w:szCs w:val="21"/>
          <w:highlight w:val="none"/>
          <w:u w:val="single"/>
          <w14:textFill>
            <w14:solidFill>
              <w14:schemeClr w14:val="tx1"/>
            </w14:solidFill>
          </w14:textFill>
        </w:rPr>
      </w:pPr>
      <w:r>
        <w:rPr>
          <w:rFonts w:hint="eastAsia" w:ascii="宋体" w:hAnsi="宋体" w:cs="宋体"/>
          <w:bCs/>
          <w:color w:val="000000" w:themeColor="text1"/>
          <w:szCs w:val="21"/>
          <w:highlight w:val="none"/>
          <w:u w:val="single"/>
          <w14:textFill>
            <w14:solidFill>
              <w14:schemeClr w14:val="tx1"/>
            </w14:solidFill>
          </w14:textFill>
        </w:rPr>
        <w:t>（2）工程竣工验收合格</w:t>
      </w:r>
      <w:r>
        <w:rPr>
          <w:rFonts w:hint="eastAsia" w:ascii="宋体" w:hAnsi="宋体" w:cs="宋体"/>
          <w:bCs/>
          <w:color w:val="000000" w:themeColor="text1"/>
          <w:szCs w:val="21"/>
          <w:highlight w:val="none"/>
          <w:u w:val="single"/>
          <w:lang w:eastAsia="zh-CN"/>
          <w14:textFill>
            <w14:solidFill>
              <w14:schemeClr w14:val="tx1"/>
            </w14:solidFill>
          </w14:textFill>
        </w:rPr>
        <w:t>，</w:t>
      </w:r>
      <w:r>
        <w:rPr>
          <w:rFonts w:hint="eastAsia" w:ascii="宋体" w:hAnsi="宋体" w:cs="宋体"/>
          <w:bCs/>
          <w:color w:val="000000" w:themeColor="text1"/>
          <w:szCs w:val="21"/>
          <w:highlight w:val="none"/>
          <w:u w:val="single"/>
          <w14:textFill>
            <w14:solidFill>
              <w14:schemeClr w14:val="tx1"/>
            </w14:solidFill>
          </w14:textFill>
        </w:rPr>
        <w:t>经第三方工程结算审计审定后，工程款支付至结算总价的97%，预留结算总价的3%为质量保证金，缺陷责任期结束后，成交供应商提交请款材料经审查合格后</w:t>
      </w:r>
      <w:r>
        <w:rPr>
          <w:rFonts w:hint="eastAsia" w:ascii="宋体" w:hAnsi="宋体" w:cs="宋体"/>
          <w:bCs/>
          <w:color w:val="000000" w:themeColor="text1"/>
          <w:szCs w:val="21"/>
          <w:highlight w:val="none"/>
          <w:u w:val="single"/>
          <w:lang w:val="en-US" w:eastAsia="zh-CN"/>
          <w14:textFill>
            <w14:solidFill>
              <w14:schemeClr w14:val="tx1"/>
            </w14:solidFill>
          </w14:textFill>
        </w:rPr>
        <w:t>30</w:t>
      </w:r>
      <w:r>
        <w:rPr>
          <w:rFonts w:hint="eastAsia" w:ascii="宋体" w:hAnsi="宋体" w:cs="宋体"/>
          <w:bCs/>
          <w:color w:val="000000" w:themeColor="text1"/>
          <w:szCs w:val="21"/>
          <w:highlight w:val="none"/>
          <w:u w:val="single"/>
          <w14:textFill>
            <w14:solidFill>
              <w14:schemeClr w14:val="tx1"/>
            </w14:solidFill>
          </w14:textFill>
        </w:rPr>
        <w:t>个工作日内支付。</w:t>
      </w:r>
    </w:p>
    <w:p w14:paraId="2EF59285">
      <w:pPr>
        <w:spacing w:line="360" w:lineRule="auto"/>
        <w:ind w:firstLine="420" w:firstLineChars="20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12.4.2 </w:t>
      </w:r>
      <w:r>
        <w:rPr>
          <w:rFonts w:hAnsi="宋体"/>
          <w:color w:val="000000" w:themeColor="text1"/>
          <w:szCs w:val="21"/>
          <w:highlight w:val="none"/>
          <w14:textFill>
            <w14:solidFill>
              <w14:schemeClr w14:val="tx1"/>
            </w14:solidFill>
          </w14:textFill>
        </w:rPr>
        <w:t>进度付款申请单的编制</w:t>
      </w:r>
    </w:p>
    <w:p w14:paraId="52E8CFC7">
      <w:pPr>
        <w:spacing w:line="360" w:lineRule="auto"/>
        <w:ind w:firstLine="420" w:firstLineChars="200"/>
        <w:jc w:val="left"/>
        <w:rPr>
          <w:color w:val="000000" w:themeColor="text1"/>
          <w:szCs w:val="21"/>
          <w:highlight w:val="none"/>
          <w:u w:val="single"/>
          <w14:textFill>
            <w14:solidFill>
              <w14:schemeClr w14:val="tx1"/>
            </w14:solidFill>
          </w14:textFill>
        </w:rPr>
      </w:pPr>
      <w:r>
        <w:rPr>
          <w:rFonts w:hAnsi="宋体"/>
          <w:color w:val="000000" w:themeColor="text1"/>
          <w:szCs w:val="21"/>
          <w:highlight w:val="none"/>
          <w14:textFill>
            <w14:solidFill>
              <w14:schemeClr w14:val="tx1"/>
            </w14:solidFill>
          </w14:textFill>
        </w:rPr>
        <w:t>关于进度付款申请单编制的约定：</w:t>
      </w:r>
      <w:r>
        <w:rPr>
          <w:rFonts w:hint="eastAsia"/>
          <w:color w:val="000000" w:themeColor="text1"/>
          <w:szCs w:val="21"/>
          <w:highlight w:val="none"/>
          <w:u w:val="single"/>
          <w14:textFill>
            <w14:solidFill>
              <w14:schemeClr w14:val="tx1"/>
            </w14:solidFill>
          </w14:textFill>
        </w:rPr>
        <w:t>按发包人提供的工程款进度付款申请材料格式和内容填报</w:t>
      </w:r>
      <w:r>
        <w:rPr>
          <w:rFonts w:hAnsi="宋体"/>
          <w:color w:val="000000" w:themeColor="text1"/>
          <w:szCs w:val="21"/>
          <w:highlight w:val="none"/>
          <w14:textFill>
            <w14:solidFill>
              <w14:schemeClr w14:val="tx1"/>
            </w14:solidFill>
          </w14:textFill>
        </w:rPr>
        <w:t>。</w:t>
      </w:r>
    </w:p>
    <w:p w14:paraId="0D278A77">
      <w:pPr>
        <w:spacing w:line="360" w:lineRule="auto"/>
        <w:ind w:firstLine="420" w:firstLineChars="20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w:t>
      </w:r>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r>
        <w:rPr>
          <w:color w:val="000000" w:themeColor="text1"/>
          <w:szCs w:val="21"/>
          <w:highlight w:val="none"/>
          <w14:textFill>
            <w14:solidFill>
              <w14:schemeClr w14:val="tx1"/>
            </w14:solidFill>
          </w14:textFill>
        </w:rPr>
        <w:t xml:space="preserve">2.4.3 </w:t>
      </w:r>
      <w:r>
        <w:rPr>
          <w:rFonts w:hAnsi="宋体"/>
          <w:color w:val="000000" w:themeColor="text1"/>
          <w:szCs w:val="21"/>
          <w:highlight w:val="none"/>
          <w14:textFill>
            <w14:solidFill>
              <w14:schemeClr w14:val="tx1"/>
            </w14:solidFill>
          </w14:textFill>
        </w:rPr>
        <w:t>进度付款申请单的提交</w:t>
      </w:r>
    </w:p>
    <w:p w14:paraId="569EFA69">
      <w:pPr>
        <w:spacing w:line="360" w:lineRule="auto"/>
        <w:ind w:firstLine="420" w:firstLineChars="200"/>
        <w:jc w:val="left"/>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1</w:t>
      </w:r>
      <w:r>
        <w:rPr>
          <w:rFonts w:hAnsi="宋体"/>
          <w:color w:val="000000" w:themeColor="text1"/>
          <w:szCs w:val="21"/>
          <w:highlight w:val="none"/>
          <w14:textFill>
            <w14:solidFill>
              <w14:schemeClr w14:val="tx1"/>
            </w14:solidFill>
          </w14:textFill>
        </w:rPr>
        <w:t>）单价合同进度付款申请单提交的约定：</w:t>
      </w:r>
      <w:r>
        <w:rPr>
          <w:rFonts w:hint="eastAsia" w:hAnsi="宋体"/>
          <w:bCs/>
          <w:color w:val="000000" w:themeColor="text1"/>
          <w:szCs w:val="21"/>
          <w:highlight w:val="none"/>
          <w:u w:val="single"/>
          <w14:textFill>
            <w14:solidFill>
              <w14:schemeClr w14:val="tx1"/>
            </w14:solidFill>
          </w14:textFill>
        </w:rPr>
        <w:t>申请工程进度款时，承包人应配合发包人提供以下资料</w:t>
      </w:r>
      <w:r>
        <w:rPr>
          <w:rFonts w:hint="eastAsia"/>
          <w:bCs/>
          <w:color w:val="000000" w:themeColor="text1"/>
          <w:szCs w:val="21"/>
          <w:highlight w:val="none"/>
          <w:u w:val="single"/>
          <w14:textFill>
            <w14:solidFill>
              <w14:schemeClr w14:val="tx1"/>
            </w14:solidFill>
          </w14:textFill>
        </w:rPr>
        <w:t>①《工程用款支付证书》；②已完工程量计算书；③监理审核计算书；④其他需要补充说明的材料；⑤若乙方账户变动，则须提交账户变更信息</w:t>
      </w:r>
      <w:r>
        <w:rPr>
          <w:rFonts w:hAnsi="宋体"/>
          <w:color w:val="000000" w:themeColor="text1"/>
          <w:szCs w:val="21"/>
          <w:highlight w:val="none"/>
          <w14:textFill>
            <w14:solidFill>
              <w14:schemeClr w14:val="tx1"/>
            </w14:solidFill>
          </w14:textFill>
        </w:rPr>
        <w:t>。</w:t>
      </w:r>
    </w:p>
    <w:p w14:paraId="3D1061DA">
      <w:pPr>
        <w:spacing w:line="360" w:lineRule="auto"/>
        <w:ind w:firstLine="420" w:firstLineChars="200"/>
        <w:jc w:val="left"/>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2</w:t>
      </w:r>
      <w:r>
        <w:rPr>
          <w:rFonts w:hAnsi="宋体"/>
          <w:color w:val="000000" w:themeColor="text1"/>
          <w:szCs w:val="21"/>
          <w:highlight w:val="none"/>
          <w14:textFill>
            <w14:solidFill>
              <w14:schemeClr w14:val="tx1"/>
            </w14:solidFill>
          </w14:textFill>
        </w:rPr>
        <w:t>）总价合同进度付款申请单提交的约定：</w:t>
      </w:r>
      <w:r>
        <w:rPr>
          <w:rFonts w:hint="eastAsia"/>
          <w:color w:val="000000" w:themeColor="text1"/>
          <w:szCs w:val="21"/>
          <w:highlight w:val="none"/>
          <w:u w:val="single"/>
          <w14:textFill>
            <w14:solidFill>
              <w14:schemeClr w14:val="tx1"/>
            </w14:solidFill>
          </w14:textFill>
        </w:rPr>
        <w:t>/</w:t>
      </w:r>
      <w:r>
        <w:rPr>
          <w:rFonts w:hAnsi="宋体"/>
          <w:color w:val="000000" w:themeColor="text1"/>
          <w:szCs w:val="21"/>
          <w:highlight w:val="none"/>
          <w14:textFill>
            <w14:solidFill>
              <w14:schemeClr w14:val="tx1"/>
            </w14:solidFill>
          </w14:textFill>
        </w:rPr>
        <w:t>。</w:t>
      </w:r>
    </w:p>
    <w:p w14:paraId="2E04462B">
      <w:pPr>
        <w:spacing w:line="360" w:lineRule="auto"/>
        <w:ind w:firstLine="420" w:firstLineChars="200"/>
        <w:jc w:val="left"/>
        <w:rPr>
          <w:color w:val="000000" w:themeColor="text1"/>
          <w:szCs w:val="21"/>
          <w:highlight w:val="none"/>
          <w:u w:val="single"/>
          <w14:textFill>
            <w14:solidFill>
              <w14:schemeClr w14:val="tx1"/>
            </w14:solidFill>
          </w14:textFill>
        </w:rPr>
      </w:pPr>
      <w:r>
        <w:rPr>
          <w:rFonts w:hAnsi="宋体"/>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3</w:t>
      </w:r>
      <w:r>
        <w:rPr>
          <w:rFonts w:hAnsi="宋体"/>
          <w:color w:val="000000" w:themeColor="text1"/>
          <w:szCs w:val="21"/>
          <w:highlight w:val="none"/>
          <w14:textFill>
            <w14:solidFill>
              <w14:schemeClr w14:val="tx1"/>
            </w14:solidFill>
          </w14:textFill>
        </w:rPr>
        <w:t>）其他价格形式合同进度付款申请单提交的约定：。</w:t>
      </w:r>
    </w:p>
    <w:p w14:paraId="0A239BD7">
      <w:pPr>
        <w:spacing w:line="360" w:lineRule="auto"/>
        <w:ind w:firstLine="420" w:firstLineChars="20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12.4.4 </w:t>
      </w:r>
      <w:r>
        <w:rPr>
          <w:rFonts w:hAnsi="宋体"/>
          <w:color w:val="000000" w:themeColor="text1"/>
          <w:szCs w:val="21"/>
          <w:highlight w:val="none"/>
          <w14:textFill>
            <w14:solidFill>
              <w14:schemeClr w14:val="tx1"/>
            </w14:solidFill>
          </w14:textFill>
        </w:rPr>
        <w:t>进度款审核和支付</w:t>
      </w:r>
    </w:p>
    <w:p w14:paraId="633D3205">
      <w:pPr>
        <w:spacing w:line="360" w:lineRule="auto"/>
        <w:ind w:firstLine="420" w:firstLineChars="200"/>
        <w:jc w:val="left"/>
        <w:rPr>
          <w:color w:val="000000" w:themeColor="text1"/>
          <w:szCs w:val="21"/>
          <w:highlight w:val="none"/>
          <w:u w:val="single"/>
          <w14:textFill>
            <w14:solidFill>
              <w14:schemeClr w14:val="tx1"/>
            </w14:solidFill>
          </w14:textFill>
        </w:rPr>
      </w:pPr>
      <w:r>
        <w:rPr>
          <w:rFonts w:hAnsi="宋体"/>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1</w:t>
      </w:r>
      <w:r>
        <w:rPr>
          <w:rFonts w:hAnsi="宋体"/>
          <w:color w:val="000000" w:themeColor="text1"/>
          <w:szCs w:val="21"/>
          <w:highlight w:val="none"/>
          <w14:textFill>
            <w14:solidFill>
              <w14:schemeClr w14:val="tx1"/>
            </w14:solidFill>
          </w14:textFill>
        </w:rPr>
        <w:t>）监理人审查并报送发包人的期限：</w:t>
      </w:r>
      <w:r>
        <w:rPr>
          <w:rFonts w:hint="eastAsia"/>
          <w:color w:val="000000" w:themeColor="text1"/>
          <w:szCs w:val="21"/>
          <w:highlight w:val="none"/>
          <w:u w:val="single"/>
          <w14:textFill>
            <w14:solidFill>
              <w14:schemeClr w14:val="tx1"/>
            </w14:solidFill>
          </w14:textFill>
        </w:rPr>
        <w:t>每月25日送达发包人</w:t>
      </w:r>
      <w:r>
        <w:rPr>
          <w:rFonts w:hAnsi="宋体"/>
          <w:color w:val="000000" w:themeColor="text1"/>
          <w:szCs w:val="21"/>
          <w:highlight w:val="none"/>
          <w14:textFill>
            <w14:solidFill>
              <w14:schemeClr w14:val="tx1"/>
            </w14:solidFill>
          </w14:textFill>
        </w:rPr>
        <w:t>。</w:t>
      </w:r>
    </w:p>
    <w:p w14:paraId="6C6C2826">
      <w:pPr>
        <w:spacing w:line="360" w:lineRule="auto"/>
        <w:ind w:firstLine="420" w:firstLineChars="200"/>
        <w:jc w:val="left"/>
        <w:rPr>
          <w:color w:val="000000" w:themeColor="text1"/>
          <w:szCs w:val="21"/>
          <w:highlight w:val="none"/>
          <w14:textFill>
            <w14:solidFill>
              <w14:schemeClr w14:val="tx1"/>
            </w14:solidFill>
          </w14:textFill>
        </w:rPr>
      </w:pPr>
      <w:r>
        <w:rPr>
          <w:rFonts w:ascii="Calibri" w:hAnsi="宋体"/>
          <w:color w:val="000000" w:themeColor="text1"/>
          <w:szCs w:val="21"/>
          <w:highlight w:val="none"/>
          <w14:textFill>
            <w14:solidFill>
              <w14:schemeClr w14:val="tx1"/>
            </w14:solidFill>
          </w14:textFill>
        </w:rPr>
        <w:t>（</w:t>
      </w:r>
      <w:r>
        <w:rPr>
          <w:rFonts w:ascii="Calibri" w:hAnsi="Calibri"/>
          <w:color w:val="000000" w:themeColor="text1"/>
          <w:szCs w:val="21"/>
          <w:highlight w:val="none"/>
          <w14:textFill>
            <w14:solidFill>
              <w14:schemeClr w14:val="tx1"/>
            </w14:solidFill>
          </w14:textFill>
        </w:rPr>
        <w:t>2</w:t>
      </w:r>
      <w:r>
        <w:rPr>
          <w:rFonts w:ascii="Calibri" w:hAnsi="宋体"/>
          <w:color w:val="000000" w:themeColor="text1"/>
          <w:szCs w:val="21"/>
          <w:highlight w:val="none"/>
          <w14:textFill>
            <w14:solidFill>
              <w14:schemeClr w14:val="tx1"/>
            </w14:solidFill>
          </w14:textFill>
        </w:rPr>
        <w:t>）发包人支付进度款的期限：</w:t>
      </w:r>
      <w:r>
        <w:rPr>
          <w:rFonts w:hint="eastAsia" w:ascii="宋体" w:hAnsi="宋体" w:cs="宋体"/>
          <w:color w:val="000000" w:themeColor="text1"/>
          <w:szCs w:val="21"/>
          <w:highlight w:val="none"/>
          <w:u w:val="single"/>
          <w14:textFill>
            <w14:solidFill>
              <w14:schemeClr w14:val="tx1"/>
            </w14:solidFill>
          </w14:textFill>
        </w:rPr>
        <w:t>发包人按月完成审批并签发进度款支付证书，进度款的支付按本专用条款12.4.1的约定支付</w:t>
      </w:r>
      <w:r>
        <w:rPr>
          <w:rFonts w:hint="eastAsia" w:ascii="宋体" w:hAnsi="宋体" w:cs="宋体"/>
          <w:color w:val="000000" w:themeColor="text1"/>
          <w:szCs w:val="21"/>
          <w:highlight w:val="none"/>
          <w14:textFill>
            <w14:solidFill>
              <w14:schemeClr w14:val="tx1"/>
            </w14:solidFill>
          </w14:textFill>
        </w:rPr>
        <w:t>。</w:t>
      </w:r>
    </w:p>
    <w:p w14:paraId="5300B2CC">
      <w:pPr>
        <w:spacing w:line="360" w:lineRule="auto"/>
        <w:ind w:firstLine="525" w:firstLineChars="250"/>
        <w:jc w:val="left"/>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发包人逾期支付进度款的违约金的计算方式：</w:t>
      </w:r>
      <w:r>
        <w:rPr>
          <w:rFonts w:hint="eastAsia"/>
          <w:color w:val="000000" w:themeColor="text1"/>
          <w:szCs w:val="21"/>
          <w:highlight w:val="none"/>
          <w:u w:val="single"/>
          <w14:textFill>
            <w14:solidFill>
              <w14:schemeClr w14:val="tx1"/>
            </w14:solidFill>
          </w14:textFill>
        </w:rPr>
        <w:t>无</w:t>
      </w:r>
      <w:r>
        <w:rPr>
          <w:rFonts w:hAnsi="宋体"/>
          <w:color w:val="000000" w:themeColor="text1"/>
          <w:szCs w:val="21"/>
          <w:highlight w:val="none"/>
          <w14:textFill>
            <w14:solidFill>
              <w14:schemeClr w14:val="tx1"/>
            </w14:solidFill>
          </w14:textFill>
        </w:rPr>
        <w:t>。</w:t>
      </w:r>
    </w:p>
    <w:p w14:paraId="24B5CD78">
      <w:pPr>
        <w:spacing w:line="360" w:lineRule="auto"/>
        <w:ind w:firstLine="525" w:firstLineChars="250"/>
        <w:jc w:val="left"/>
        <w:rPr>
          <w:rFonts w:hAnsi="宋体"/>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进度款支付方式：</w:t>
      </w:r>
      <w:r>
        <w:rPr>
          <w:rFonts w:hAnsi="宋体"/>
          <w:color w:val="000000" w:themeColor="text1"/>
          <w:szCs w:val="21"/>
          <w:highlight w:val="none"/>
          <w:u w:val="single"/>
          <w14:textFill>
            <w14:solidFill>
              <w14:schemeClr w14:val="tx1"/>
            </w14:solidFill>
          </w14:textFill>
        </w:rPr>
        <w:t>银行转账</w:t>
      </w:r>
      <w:r>
        <w:rPr>
          <w:rFonts w:hAnsi="宋体"/>
          <w:color w:val="000000" w:themeColor="text1"/>
          <w:szCs w:val="21"/>
          <w:highlight w:val="none"/>
          <w14:textFill>
            <w14:solidFill>
              <w14:schemeClr w14:val="tx1"/>
            </w14:solidFill>
          </w14:textFill>
        </w:rPr>
        <w:t>。</w:t>
      </w:r>
      <w:r>
        <w:rPr>
          <w:rFonts w:hint="eastAsia" w:hAnsi="宋体"/>
          <w:color w:val="000000" w:themeColor="text1"/>
          <w:szCs w:val="21"/>
          <w:highlight w:val="none"/>
          <w14:textFill>
            <w14:solidFill>
              <w14:schemeClr w14:val="tx1"/>
            </w14:solidFill>
          </w14:textFill>
        </w:rPr>
        <w:t>承包人申请进度款之前需提供合法合规的本次申请款项额度的发票。</w:t>
      </w:r>
    </w:p>
    <w:p w14:paraId="08CB6FA7">
      <w:pPr>
        <w:spacing w:line="360" w:lineRule="auto"/>
        <w:ind w:firstLine="525" w:firstLineChars="250"/>
        <w:jc w:val="left"/>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（3） 农民工工资支付</w:t>
      </w:r>
    </w:p>
    <w:p w14:paraId="4642199A">
      <w:pPr>
        <w:spacing w:line="360" w:lineRule="auto"/>
        <w:ind w:firstLine="525" w:firstLineChars="250"/>
        <w:jc w:val="left"/>
        <w:rPr>
          <w:rFonts w:hAnsi="宋体" w:cs="宋体"/>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按南宁市相关要求执行。</w:t>
      </w:r>
    </w:p>
    <w:p w14:paraId="458108AD">
      <w:pPr>
        <w:spacing w:line="360" w:lineRule="auto"/>
        <w:ind w:firstLine="525" w:firstLineChars="250"/>
        <w:jc w:val="left"/>
        <w:rPr>
          <w:rFonts w:hAnsi="宋体"/>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12.4.6 </w:t>
      </w:r>
      <w:r>
        <w:rPr>
          <w:rFonts w:hint="eastAsia" w:hAnsi="宋体" w:cs="宋体"/>
          <w:color w:val="000000" w:themeColor="text1"/>
          <w:szCs w:val="21"/>
          <w:highlight w:val="none"/>
          <w14:textFill>
            <w14:solidFill>
              <w14:schemeClr w14:val="tx1"/>
            </w14:solidFill>
          </w14:textFill>
        </w:rPr>
        <w:t>支付分解表的编制</w:t>
      </w:r>
    </w:p>
    <w:p w14:paraId="2934E428">
      <w:pPr>
        <w:spacing w:line="360" w:lineRule="auto"/>
        <w:ind w:firstLine="525" w:firstLineChars="250"/>
        <w:jc w:val="left"/>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1</w:t>
      </w:r>
      <w:r>
        <w:rPr>
          <w:rFonts w:hint="eastAsia"/>
          <w:color w:val="000000" w:themeColor="text1"/>
          <w:szCs w:val="21"/>
          <w:highlight w:val="none"/>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总价合同支付分解表的编制与审批：</w:t>
      </w:r>
      <w:r>
        <w:rPr>
          <w:rFonts w:hint="eastAsia"/>
          <w:color w:val="000000" w:themeColor="text1"/>
          <w:szCs w:val="21"/>
          <w:highlight w:val="none"/>
          <w:u w:val="single"/>
          <w14:textFill>
            <w14:solidFill>
              <w14:schemeClr w14:val="tx1"/>
            </w14:solidFill>
          </w14:textFill>
        </w:rPr>
        <w:t>总价合同支付分分解表在招标完成后由发包人和承包人共同编制，发包人审批，并作为本合同内容，具体详见合同附件14。</w:t>
      </w:r>
    </w:p>
    <w:p w14:paraId="2110FB3B">
      <w:pPr>
        <w:spacing w:line="360" w:lineRule="auto"/>
        <w:ind w:firstLine="525" w:firstLineChars="250"/>
        <w:jc w:val="left"/>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（2）</w:t>
      </w:r>
      <w:r>
        <w:rPr>
          <w:rFonts w:hint="eastAsia" w:hAnsi="宋体" w:cs="宋体"/>
          <w:color w:val="000000" w:themeColor="text1"/>
          <w:szCs w:val="21"/>
          <w:highlight w:val="none"/>
          <w14:textFill>
            <w14:solidFill>
              <w14:schemeClr w14:val="tx1"/>
            </w14:solidFill>
          </w14:textFill>
        </w:rPr>
        <w:t>单价合同的总价项目支付分解表的编制与审批：总价项目不采用支付分解表的方式计算，而按《建设工程工程量清单计价规范（</w:t>
      </w:r>
      <w:r>
        <w:rPr>
          <w:rFonts w:hAnsi="宋体"/>
          <w:color w:val="000000" w:themeColor="text1"/>
          <w:szCs w:val="21"/>
          <w:highlight w:val="none"/>
          <w14:textFill>
            <w14:solidFill>
              <w14:schemeClr w14:val="tx1"/>
            </w14:solidFill>
          </w14:textFill>
        </w:rPr>
        <w:t>GB50500-2013</w:t>
      </w:r>
      <w:r>
        <w:rPr>
          <w:rFonts w:hint="eastAsia" w:hAnsi="宋体" w:cs="宋体"/>
          <w:color w:val="000000" w:themeColor="text1"/>
          <w:szCs w:val="21"/>
          <w:highlight w:val="none"/>
          <w14:textFill>
            <w14:solidFill>
              <w14:schemeClr w14:val="tx1"/>
            </w14:solidFill>
          </w14:textFill>
        </w:rPr>
        <w:t>）广西壮族自治区实施细则》的规定执行。</w:t>
      </w:r>
    </w:p>
    <w:bookmarkEnd w:id="638"/>
    <w:p w14:paraId="4022C9B7">
      <w:pPr>
        <w:keepNext/>
        <w:keepLines/>
        <w:spacing w:before="60" w:after="60" w:line="413" w:lineRule="auto"/>
        <w:outlineLvl w:val="1"/>
        <w:rPr>
          <w:rFonts w:ascii="Arial" w:hAnsi="Arial" w:eastAsia="黑体"/>
          <w:b/>
          <w:bCs/>
          <w:color w:val="000000" w:themeColor="text1"/>
          <w:sz w:val="32"/>
          <w:szCs w:val="32"/>
          <w:highlight w:val="none"/>
          <w:lang w:val="zh-CN"/>
          <w14:textFill>
            <w14:solidFill>
              <w14:schemeClr w14:val="tx1"/>
            </w14:solidFill>
          </w14:textFill>
        </w:rPr>
      </w:pPr>
      <w:bookmarkStart w:id="887" w:name="_Toc407135256"/>
      <w:bookmarkStart w:id="888" w:name="_Toc114058893"/>
      <w:bookmarkStart w:id="889" w:name="_Toc351203645"/>
      <w:bookmarkStart w:id="890" w:name="_Toc389065318"/>
      <w:bookmarkStart w:id="891" w:name="_Toc373478400"/>
      <w:bookmarkStart w:id="892" w:name="_Toc373227753"/>
      <w:bookmarkStart w:id="893" w:name="_Toc78449842"/>
      <w:bookmarkStart w:id="894" w:name="_Toc312678053"/>
      <w:bookmarkStart w:id="895" w:name="_Toc296891047"/>
      <w:bookmarkStart w:id="896" w:name="_Toc304295593"/>
      <w:bookmarkStart w:id="897" w:name="_Toc297048405"/>
      <w:bookmarkStart w:id="898" w:name="_Toc303539172"/>
      <w:bookmarkStart w:id="899" w:name="_Toc296944558"/>
      <w:bookmarkStart w:id="900" w:name="_Toc296347218"/>
      <w:bookmarkStart w:id="901" w:name="_Toc296503219"/>
      <w:bookmarkStart w:id="902" w:name="_Toc297216223"/>
      <w:bookmarkStart w:id="903" w:name="_Toc292559929"/>
      <w:bookmarkStart w:id="904" w:name="_Toc297120519"/>
      <w:bookmarkStart w:id="905" w:name="_Toc296891259"/>
      <w:bookmarkStart w:id="906" w:name="_Toc296346720"/>
      <w:bookmarkStart w:id="907" w:name="_Toc300935015"/>
      <w:bookmarkStart w:id="908" w:name="_Toc292559424"/>
      <w:bookmarkStart w:id="909" w:name="_Toc297123564"/>
      <w:r>
        <w:rPr>
          <w:rFonts w:ascii="Arial" w:hAnsi="Arial" w:eastAsia="黑体"/>
          <w:b/>
          <w:bCs/>
          <w:color w:val="000000" w:themeColor="text1"/>
          <w:sz w:val="32"/>
          <w:szCs w:val="32"/>
          <w:highlight w:val="none"/>
          <w:lang w:val="zh-CN"/>
          <w14:textFill>
            <w14:solidFill>
              <w14:schemeClr w14:val="tx1"/>
            </w14:solidFill>
          </w14:textFill>
        </w:rPr>
        <w:t xml:space="preserve">13. </w:t>
      </w:r>
      <w:r>
        <w:rPr>
          <w:rFonts w:hint="eastAsia" w:ascii="Arial" w:hAnsi="Arial" w:eastAsia="黑体" w:cs="黑体"/>
          <w:b/>
          <w:bCs/>
          <w:color w:val="000000" w:themeColor="text1"/>
          <w:sz w:val="32"/>
          <w:szCs w:val="32"/>
          <w:highlight w:val="none"/>
          <w:lang w:val="zh-CN"/>
          <w14:textFill>
            <w14:solidFill>
              <w14:schemeClr w14:val="tx1"/>
            </w14:solidFill>
          </w14:textFill>
        </w:rPr>
        <w:t>验收和工程试车</w:t>
      </w:r>
      <w:bookmarkEnd w:id="887"/>
      <w:bookmarkEnd w:id="888"/>
      <w:bookmarkEnd w:id="889"/>
      <w:bookmarkEnd w:id="890"/>
      <w:bookmarkEnd w:id="891"/>
      <w:bookmarkEnd w:id="892"/>
      <w:bookmarkEnd w:id="893"/>
    </w:p>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p w14:paraId="199698D3">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910" w:name="_Toc389065319"/>
      <w:bookmarkStart w:id="911" w:name="_Toc114058894"/>
      <w:bookmarkStart w:id="912" w:name="_Toc407135257"/>
      <w:bookmarkStart w:id="913" w:name="_Toc373478401"/>
      <w:bookmarkStart w:id="914" w:name="_Toc373227754"/>
      <w:bookmarkStart w:id="915" w:name="_Toc78449843"/>
      <w:r>
        <w:rPr>
          <w:rFonts w:eastAsia="黑体"/>
          <w:b/>
          <w:bCs/>
          <w:color w:val="000000" w:themeColor="text1"/>
          <w:sz w:val="32"/>
          <w:szCs w:val="32"/>
          <w:highlight w:val="none"/>
          <w:lang w:val="zh-CN"/>
          <w14:textFill>
            <w14:solidFill>
              <w14:schemeClr w14:val="tx1"/>
            </w14:solidFill>
          </w14:textFill>
        </w:rPr>
        <w:t xml:space="preserve">13.1 </w:t>
      </w:r>
      <w:r>
        <w:rPr>
          <w:rFonts w:hint="eastAsia" w:eastAsia="黑体" w:cs="黑体"/>
          <w:b/>
          <w:bCs/>
          <w:color w:val="000000" w:themeColor="text1"/>
          <w:sz w:val="32"/>
          <w:szCs w:val="32"/>
          <w:highlight w:val="none"/>
          <w:lang w:val="zh-CN"/>
          <w14:textFill>
            <w14:solidFill>
              <w14:schemeClr w14:val="tx1"/>
            </w14:solidFill>
          </w14:textFill>
        </w:rPr>
        <w:t>分部分项工程验收</w:t>
      </w:r>
      <w:bookmarkEnd w:id="910"/>
      <w:bookmarkEnd w:id="911"/>
      <w:bookmarkEnd w:id="912"/>
      <w:bookmarkEnd w:id="913"/>
      <w:bookmarkEnd w:id="914"/>
      <w:bookmarkEnd w:id="915"/>
    </w:p>
    <w:p w14:paraId="0081324D">
      <w:pPr>
        <w:spacing w:line="360" w:lineRule="auto"/>
        <w:ind w:firstLine="420" w:firstLineChars="20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13.1.2</w:t>
      </w:r>
      <w:r>
        <w:rPr>
          <w:rFonts w:hint="eastAsia" w:hAnsi="宋体" w:cs="宋体"/>
          <w:color w:val="000000" w:themeColor="text1"/>
          <w:szCs w:val="21"/>
          <w:highlight w:val="none"/>
          <w14:textFill>
            <w14:solidFill>
              <w14:schemeClr w14:val="tx1"/>
            </w14:solidFill>
          </w14:textFill>
        </w:rPr>
        <w:t>监理人不能按时进行验收时，应提前</w:t>
      </w:r>
      <w:r>
        <w:rPr>
          <w:rFonts w:hint="eastAsia"/>
          <w:color w:val="000000" w:themeColor="text1"/>
          <w:szCs w:val="21"/>
          <w:highlight w:val="none"/>
          <w:u w:val="single"/>
          <w14:textFill>
            <w14:solidFill>
              <w14:schemeClr w14:val="tx1"/>
            </w14:solidFill>
          </w14:textFill>
        </w:rPr>
        <w:t>24</w:t>
      </w:r>
      <w:r>
        <w:rPr>
          <w:rFonts w:hint="eastAsia" w:hAnsi="宋体" w:cs="宋体"/>
          <w:color w:val="000000" w:themeColor="text1"/>
          <w:szCs w:val="21"/>
          <w:highlight w:val="none"/>
          <w14:textFill>
            <w14:solidFill>
              <w14:schemeClr w14:val="tx1"/>
            </w14:solidFill>
          </w14:textFill>
        </w:rPr>
        <w:t>小时提交书面延期要求。</w:t>
      </w:r>
    </w:p>
    <w:p w14:paraId="4BC1AE40">
      <w:pPr>
        <w:spacing w:line="360" w:lineRule="auto"/>
        <w:ind w:firstLine="420" w:firstLineChars="200"/>
        <w:jc w:val="left"/>
        <w:rPr>
          <w:b/>
          <w:bCs/>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关于延期最长不得超过：</w:t>
      </w:r>
      <w:r>
        <w:rPr>
          <w:rFonts w:hint="eastAsia"/>
          <w:color w:val="000000" w:themeColor="text1"/>
          <w:szCs w:val="21"/>
          <w:highlight w:val="none"/>
          <w:u w:val="single"/>
          <w14:textFill>
            <w14:solidFill>
              <w14:schemeClr w14:val="tx1"/>
            </w14:solidFill>
          </w14:textFill>
        </w:rPr>
        <w:t>48</w:t>
      </w:r>
      <w:r>
        <w:rPr>
          <w:rFonts w:hint="eastAsia" w:hAnsi="宋体" w:cs="宋体"/>
          <w:color w:val="000000" w:themeColor="text1"/>
          <w:szCs w:val="21"/>
          <w:highlight w:val="none"/>
          <w14:textFill>
            <w14:solidFill>
              <w14:schemeClr w14:val="tx1"/>
            </w14:solidFill>
          </w14:textFill>
        </w:rPr>
        <w:t>小时。</w:t>
      </w:r>
    </w:p>
    <w:p w14:paraId="758E436D">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916" w:name="_Toc407135258"/>
      <w:bookmarkStart w:id="917" w:name="_Toc389065320"/>
      <w:bookmarkStart w:id="918" w:name="_Toc373478402"/>
      <w:bookmarkStart w:id="919" w:name="_Toc373227755"/>
      <w:bookmarkStart w:id="920" w:name="_Toc114058895"/>
      <w:bookmarkStart w:id="921" w:name="_Toc78449844"/>
      <w:bookmarkStart w:id="922" w:name="_Toc312678056"/>
      <w:bookmarkStart w:id="923" w:name="_Toc296346724"/>
      <w:bookmarkStart w:id="924" w:name="_Toc292559933"/>
      <w:bookmarkStart w:id="925" w:name="_Toc296944562"/>
      <w:bookmarkStart w:id="926" w:name="_Toc296347222"/>
      <w:bookmarkStart w:id="927" w:name="_Toc297123565"/>
      <w:bookmarkStart w:id="928" w:name="_Toc296891263"/>
      <w:bookmarkStart w:id="929" w:name="_Toc300935016"/>
      <w:bookmarkStart w:id="930" w:name="_Toc292559428"/>
      <w:bookmarkStart w:id="931" w:name="_Toc303539173"/>
      <w:bookmarkStart w:id="932" w:name="_Toc297120523"/>
      <w:bookmarkStart w:id="933" w:name="_Toc297048409"/>
      <w:bookmarkStart w:id="934" w:name="_Toc296503223"/>
      <w:bookmarkStart w:id="935" w:name="_Toc296891051"/>
      <w:bookmarkStart w:id="936" w:name="_Toc304295596"/>
      <w:bookmarkStart w:id="937" w:name="_Toc297216224"/>
      <w:bookmarkStart w:id="938" w:name="_Toc267251475"/>
      <w:bookmarkStart w:id="939" w:name="_Toc267251472"/>
      <w:bookmarkStart w:id="940" w:name="_Toc267251476"/>
      <w:bookmarkStart w:id="941" w:name="_Toc267251471"/>
      <w:bookmarkStart w:id="942" w:name="_Toc267251473"/>
      <w:bookmarkStart w:id="943" w:name="_Toc267251470"/>
      <w:bookmarkStart w:id="944" w:name="_Toc267251474"/>
      <w:r>
        <w:rPr>
          <w:rFonts w:eastAsia="黑体"/>
          <w:b/>
          <w:bCs/>
          <w:color w:val="000000" w:themeColor="text1"/>
          <w:sz w:val="32"/>
          <w:szCs w:val="32"/>
          <w:highlight w:val="none"/>
          <w:lang w:val="zh-CN"/>
          <w14:textFill>
            <w14:solidFill>
              <w14:schemeClr w14:val="tx1"/>
            </w14:solidFill>
          </w14:textFill>
        </w:rPr>
        <w:t xml:space="preserve">13.2 </w:t>
      </w:r>
      <w:r>
        <w:rPr>
          <w:rFonts w:hint="eastAsia" w:hAnsi="宋体" w:eastAsia="黑体" w:cs="黑体"/>
          <w:b/>
          <w:bCs/>
          <w:color w:val="000000" w:themeColor="text1"/>
          <w:sz w:val="32"/>
          <w:szCs w:val="32"/>
          <w:highlight w:val="none"/>
          <w:lang w:val="zh-CN"/>
          <w14:textFill>
            <w14:solidFill>
              <w14:schemeClr w14:val="tx1"/>
            </w14:solidFill>
          </w14:textFill>
        </w:rPr>
        <w:t>竣工验收</w:t>
      </w:r>
      <w:bookmarkEnd w:id="916"/>
      <w:bookmarkEnd w:id="917"/>
      <w:bookmarkEnd w:id="918"/>
      <w:bookmarkEnd w:id="919"/>
      <w:bookmarkEnd w:id="920"/>
      <w:bookmarkEnd w:id="921"/>
    </w:p>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p w14:paraId="0873EAF8">
      <w:pPr>
        <w:spacing w:line="360" w:lineRule="auto"/>
        <w:ind w:firstLine="420" w:firstLineChars="200"/>
        <w:jc w:val="left"/>
        <w:rPr>
          <w:color w:val="000000" w:themeColor="text1"/>
          <w:szCs w:val="21"/>
          <w:highlight w:val="none"/>
          <w14:textFill>
            <w14:solidFill>
              <w14:schemeClr w14:val="tx1"/>
            </w14:solidFill>
          </w14:textFill>
        </w:rPr>
      </w:pPr>
      <w:bookmarkStart w:id="945" w:name="_Toc280868704"/>
      <w:bookmarkStart w:id="946" w:name="_Toc280868705"/>
      <w:bookmarkStart w:id="947" w:name="_Toc280868706"/>
      <w:bookmarkStart w:id="948" w:name="_Toc280868707"/>
      <w:bookmarkStart w:id="949" w:name="_Toc280868708"/>
      <w:bookmarkStart w:id="950" w:name="_Toc280868709"/>
      <w:r>
        <w:rPr>
          <w:color w:val="000000" w:themeColor="text1"/>
          <w:szCs w:val="21"/>
          <w:highlight w:val="none"/>
          <w14:textFill>
            <w14:solidFill>
              <w14:schemeClr w14:val="tx1"/>
            </w14:solidFill>
          </w14:textFill>
        </w:rPr>
        <w:t>13.2.1</w:t>
      </w:r>
      <w:r>
        <w:rPr>
          <w:rFonts w:hint="eastAsia" w:hAnsi="宋体" w:cs="宋体"/>
          <w:color w:val="000000" w:themeColor="text1"/>
          <w:szCs w:val="21"/>
          <w:highlight w:val="none"/>
          <w14:textFill>
            <w14:solidFill>
              <w14:schemeClr w14:val="tx1"/>
            </w14:solidFill>
          </w14:textFill>
        </w:rPr>
        <w:t>竣工验收条件</w:t>
      </w:r>
    </w:p>
    <w:p w14:paraId="286FE601">
      <w:pPr>
        <w:spacing w:line="360" w:lineRule="auto"/>
        <w:ind w:firstLine="420" w:firstLineChars="200"/>
        <w:rPr>
          <w:color w:val="000000" w:themeColor="text1"/>
          <w:szCs w:val="21"/>
          <w:highlight w:val="none"/>
          <w14:textFill>
            <w14:solidFill>
              <w14:schemeClr w14:val="tx1"/>
            </w14:solidFill>
          </w14:textFill>
        </w:rPr>
      </w:pPr>
      <w:r>
        <w:rPr>
          <w:rFonts w:hint="eastAsia" w:cs="宋体"/>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3</w:t>
      </w:r>
      <w:r>
        <w:rPr>
          <w:rFonts w:hint="eastAsia" w:cs="宋体"/>
          <w:color w:val="000000" w:themeColor="text1"/>
          <w:szCs w:val="21"/>
          <w:highlight w:val="none"/>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承包人负责整理和提交的竣工验收资料应当符合工程所在地建设行政主管部门和</w:t>
      </w:r>
      <w:r>
        <w:rPr>
          <w:color w:val="000000" w:themeColor="text1"/>
          <w:szCs w:val="21"/>
          <w:highlight w:val="none"/>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或</w:t>
      </w:r>
      <w:r>
        <w:rPr>
          <w:color w:val="000000" w:themeColor="text1"/>
          <w:szCs w:val="21"/>
          <w:highlight w:val="none"/>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城市建设档案管理机构有关施工资料的要求，具体内容包括：</w:t>
      </w:r>
      <w:r>
        <w:rPr>
          <w:color w:val="000000" w:themeColor="text1"/>
          <w:szCs w:val="21"/>
          <w:highlight w:val="none"/>
          <w:u w:val="single"/>
          <w14:textFill>
            <w14:solidFill>
              <w14:schemeClr w14:val="tx1"/>
            </w14:solidFill>
          </w14:textFill>
        </w:rPr>
        <w:t>施工技术管理资料、工程质量保证资料、工程质量竣工验收记录、竣工图</w:t>
      </w:r>
      <w:r>
        <w:rPr>
          <w:rFonts w:hint="eastAsia"/>
          <w:color w:val="000000" w:themeColor="text1"/>
          <w:szCs w:val="21"/>
          <w:highlight w:val="none"/>
          <w:u w:val="single"/>
          <w:lang w:eastAsia="zh-CN"/>
          <w14:textFill>
            <w14:solidFill>
              <w14:schemeClr w14:val="tx1"/>
            </w14:solidFill>
          </w14:textFill>
        </w:rPr>
        <w:t>、项目验收时供应商必须将本项目送检，并取得质量鉴定报告（中国田协认可的第三方权威检测机构出具的具有CMA标志的质量鉴定报告）</w:t>
      </w:r>
      <w:r>
        <w:rPr>
          <w:rFonts w:hint="eastAsia" w:hAnsi="宋体" w:cs="宋体"/>
          <w:color w:val="000000" w:themeColor="text1"/>
          <w:szCs w:val="21"/>
          <w:highlight w:val="none"/>
          <w14:textFill>
            <w14:solidFill>
              <w14:schemeClr w14:val="tx1"/>
            </w14:solidFill>
          </w14:textFill>
        </w:rPr>
        <w:t>。</w:t>
      </w:r>
    </w:p>
    <w:p w14:paraId="45F4AEB6">
      <w:pPr>
        <w:spacing w:line="360" w:lineRule="auto"/>
        <w:ind w:firstLine="420" w:firstLineChars="200"/>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竣工验收资料的份数：</w:t>
      </w:r>
      <w:r>
        <w:rPr>
          <w:rFonts w:hint="eastAsia"/>
          <w:color w:val="000000" w:themeColor="text1"/>
          <w:szCs w:val="21"/>
          <w:highlight w:val="none"/>
          <w:u w:val="single"/>
          <w14:textFill>
            <w14:solidFill>
              <w14:schemeClr w14:val="tx1"/>
            </w14:solidFill>
          </w14:textFill>
        </w:rPr>
        <w:t>一式陆份及竣工验收报告</w:t>
      </w:r>
      <w:r>
        <w:rPr>
          <w:rFonts w:hint="eastAsia" w:hAnsi="宋体" w:cs="宋体"/>
          <w:color w:val="000000" w:themeColor="text1"/>
          <w:szCs w:val="21"/>
          <w:highlight w:val="none"/>
          <w14:textFill>
            <w14:solidFill>
              <w14:schemeClr w14:val="tx1"/>
            </w14:solidFill>
          </w14:textFill>
        </w:rPr>
        <w:t>。</w:t>
      </w:r>
    </w:p>
    <w:p w14:paraId="54C8B049">
      <w:pPr>
        <w:spacing w:line="360" w:lineRule="auto"/>
        <w:ind w:firstLine="420" w:firstLineChars="200"/>
        <w:jc w:val="left"/>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承包人提供竣工图的约定：</w:t>
      </w:r>
      <w:r>
        <w:rPr>
          <w:rFonts w:hint="eastAsia" w:hAnsi="宋体" w:cs="宋体"/>
          <w:color w:val="000000" w:themeColor="text1"/>
          <w:szCs w:val="21"/>
          <w:highlight w:val="none"/>
          <w:u w:val="single"/>
          <w14:textFill>
            <w14:solidFill>
              <w14:schemeClr w14:val="tx1"/>
            </w14:solidFill>
          </w14:textFill>
        </w:rPr>
        <w:t>竣工验收正式通过后</w:t>
      </w:r>
      <w:r>
        <w:rPr>
          <w:color w:val="000000" w:themeColor="text1"/>
          <w:szCs w:val="21"/>
          <w:highlight w:val="none"/>
          <w:u w:val="single"/>
          <w14:textFill>
            <w14:solidFill>
              <w14:schemeClr w14:val="tx1"/>
            </w14:solidFill>
          </w14:textFill>
        </w:rPr>
        <w:t>5</w:t>
      </w:r>
      <w:r>
        <w:rPr>
          <w:rFonts w:hint="eastAsia" w:hAnsi="宋体" w:cs="宋体"/>
          <w:color w:val="000000" w:themeColor="text1"/>
          <w:szCs w:val="21"/>
          <w:highlight w:val="none"/>
          <w:u w:val="single"/>
          <w14:textFill>
            <w14:solidFill>
              <w14:schemeClr w14:val="tx1"/>
            </w14:solidFill>
          </w14:textFill>
        </w:rPr>
        <w:t>天（工程造价在</w:t>
      </w:r>
      <w:r>
        <w:rPr>
          <w:color w:val="000000" w:themeColor="text1"/>
          <w:szCs w:val="21"/>
          <w:highlight w:val="none"/>
          <w:u w:val="single"/>
          <w14:textFill>
            <w14:solidFill>
              <w14:schemeClr w14:val="tx1"/>
            </w14:solidFill>
          </w14:textFill>
        </w:rPr>
        <w:t>500</w:t>
      </w:r>
      <w:r>
        <w:rPr>
          <w:rFonts w:hint="eastAsia" w:hAnsi="宋体" w:cs="宋体"/>
          <w:color w:val="000000" w:themeColor="text1"/>
          <w:szCs w:val="21"/>
          <w:highlight w:val="none"/>
          <w:u w:val="single"/>
          <w14:textFill>
            <w14:solidFill>
              <w14:schemeClr w14:val="tx1"/>
            </w14:solidFill>
          </w14:textFill>
        </w:rPr>
        <w:t>万元以下含</w:t>
      </w:r>
      <w:r>
        <w:rPr>
          <w:color w:val="000000" w:themeColor="text1"/>
          <w:szCs w:val="21"/>
          <w:highlight w:val="none"/>
          <w:u w:val="single"/>
          <w14:textFill>
            <w14:solidFill>
              <w14:schemeClr w14:val="tx1"/>
            </w14:solidFill>
          </w14:textFill>
        </w:rPr>
        <w:t>500</w:t>
      </w:r>
      <w:r>
        <w:rPr>
          <w:rFonts w:hint="eastAsia" w:hAnsi="宋体" w:cs="宋体"/>
          <w:color w:val="000000" w:themeColor="text1"/>
          <w:szCs w:val="21"/>
          <w:highlight w:val="none"/>
          <w:u w:val="single"/>
          <w14:textFill>
            <w14:solidFill>
              <w14:schemeClr w14:val="tx1"/>
            </w14:solidFill>
          </w14:textFill>
        </w:rPr>
        <w:t>万元）、</w:t>
      </w:r>
      <w:r>
        <w:rPr>
          <w:color w:val="000000" w:themeColor="text1"/>
          <w:szCs w:val="21"/>
          <w:highlight w:val="none"/>
          <w:u w:val="single"/>
          <w14:textFill>
            <w14:solidFill>
              <w14:schemeClr w14:val="tx1"/>
            </w14:solidFill>
          </w14:textFill>
        </w:rPr>
        <w:t>10</w:t>
      </w:r>
      <w:r>
        <w:rPr>
          <w:rFonts w:hint="eastAsia" w:hAnsi="宋体" w:cs="宋体"/>
          <w:color w:val="000000" w:themeColor="text1"/>
          <w:szCs w:val="21"/>
          <w:highlight w:val="none"/>
          <w:u w:val="single"/>
          <w14:textFill>
            <w14:solidFill>
              <w14:schemeClr w14:val="tx1"/>
            </w14:solidFill>
          </w14:textFill>
        </w:rPr>
        <w:t>天（工程造价在</w:t>
      </w:r>
      <w:r>
        <w:rPr>
          <w:color w:val="000000" w:themeColor="text1"/>
          <w:szCs w:val="21"/>
          <w:highlight w:val="none"/>
          <w:u w:val="single"/>
          <w14:textFill>
            <w14:solidFill>
              <w14:schemeClr w14:val="tx1"/>
            </w14:solidFill>
          </w14:textFill>
        </w:rPr>
        <w:t>500</w:t>
      </w:r>
      <w:r>
        <w:rPr>
          <w:rFonts w:hint="eastAsia" w:hAnsi="宋体" w:cs="宋体"/>
          <w:color w:val="000000" w:themeColor="text1"/>
          <w:szCs w:val="21"/>
          <w:highlight w:val="none"/>
          <w:u w:val="single"/>
          <w14:textFill>
            <w14:solidFill>
              <w14:schemeClr w14:val="tx1"/>
            </w14:solidFill>
          </w14:textFill>
        </w:rPr>
        <w:t>万元至</w:t>
      </w:r>
      <w:r>
        <w:rPr>
          <w:color w:val="000000" w:themeColor="text1"/>
          <w:szCs w:val="21"/>
          <w:highlight w:val="none"/>
          <w:u w:val="single"/>
          <w14:textFill>
            <w14:solidFill>
              <w14:schemeClr w14:val="tx1"/>
            </w14:solidFill>
          </w14:textFill>
        </w:rPr>
        <w:t>1000</w:t>
      </w:r>
      <w:r>
        <w:rPr>
          <w:rFonts w:hint="eastAsia" w:hAnsi="宋体" w:cs="宋体"/>
          <w:color w:val="000000" w:themeColor="text1"/>
          <w:szCs w:val="21"/>
          <w:highlight w:val="none"/>
          <w:u w:val="single"/>
          <w14:textFill>
            <w14:solidFill>
              <w14:schemeClr w14:val="tx1"/>
            </w14:solidFill>
          </w14:textFill>
        </w:rPr>
        <w:t>万元之间含</w:t>
      </w:r>
      <w:r>
        <w:rPr>
          <w:color w:val="000000" w:themeColor="text1"/>
          <w:szCs w:val="21"/>
          <w:highlight w:val="none"/>
          <w:u w:val="single"/>
          <w14:textFill>
            <w14:solidFill>
              <w14:schemeClr w14:val="tx1"/>
            </w14:solidFill>
          </w14:textFill>
        </w:rPr>
        <w:t>1000</w:t>
      </w:r>
      <w:r>
        <w:rPr>
          <w:rFonts w:hint="eastAsia" w:hAnsi="宋体" w:cs="宋体"/>
          <w:color w:val="000000" w:themeColor="text1"/>
          <w:szCs w:val="21"/>
          <w:highlight w:val="none"/>
          <w:u w:val="single"/>
          <w14:textFill>
            <w14:solidFill>
              <w14:schemeClr w14:val="tx1"/>
            </w14:solidFill>
          </w14:textFill>
        </w:rPr>
        <w:t>万元）、</w:t>
      </w:r>
      <w:r>
        <w:rPr>
          <w:color w:val="000000" w:themeColor="text1"/>
          <w:szCs w:val="21"/>
          <w:highlight w:val="none"/>
          <w:u w:val="single"/>
          <w14:textFill>
            <w14:solidFill>
              <w14:schemeClr w14:val="tx1"/>
            </w14:solidFill>
          </w14:textFill>
        </w:rPr>
        <w:t>15</w:t>
      </w:r>
      <w:r>
        <w:rPr>
          <w:rFonts w:hint="eastAsia" w:hAnsi="宋体" w:cs="宋体"/>
          <w:color w:val="000000" w:themeColor="text1"/>
          <w:szCs w:val="21"/>
          <w:highlight w:val="none"/>
          <w:u w:val="single"/>
          <w14:textFill>
            <w14:solidFill>
              <w14:schemeClr w14:val="tx1"/>
            </w14:solidFill>
          </w14:textFill>
        </w:rPr>
        <w:t>天（工程造价在</w:t>
      </w:r>
      <w:r>
        <w:rPr>
          <w:color w:val="000000" w:themeColor="text1"/>
          <w:szCs w:val="21"/>
          <w:highlight w:val="none"/>
          <w:u w:val="single"/>
          <w14:textFill>
            <w14:solidFill>
              <w14:schemeClr w14:val="tx1"/>
            </w14:solidFill>
          </w14:textFill>
        </w:rPr>
        <w:t>1000</w:t>
      </w:r>
      <w:r>
        <w:rPr>
          <w:rFonts w:hint="eastAsia" w:hAnsi="宋体" w:cs="宋体"/>
          <w:color w:val="000000" w:themeColor="text1"/>
          <w:szCs w:val="21"/>
          <w:highlight w:val="none"/>
          <w:u w:val="single"/>
          <w14:textFill>
            <w14:solidFill>
              <w14:schemeClr w14:val="tx1"/>
            </w14:solidFill>
          </w14:textFill>
        </w:rPr>
        <w:t>万元以上），提供竣工图的数量分别为</w:t>
      </w:r>
      <w:r>
        <w:rPr>
          <w:color w:val="000000" w:themeColor="text1"/>
          <w:szCs w:val="21"/>
          <w:highlight w:val="none"/>
          <w:u w:val="single"/>
          <w14:textFill>
            <w14:solidFill>
              <w14:schemeClr w14:val="tx1"/>
            </w14:solidFill>
          </w14:textFill>
        </w:rPr>
        <w:t>2</w:t>
      </w:r>
      <w:r>
        <w:rPr>
          <w:rFonts w:hint="eastAsia" w:hAnsi="宋体" w:cs="宋体"/>
          <w:color w:val="000000" w:themeColor="text1"/>
          <w:szCs w:val="21"/>
          <w:highlight w:val="none"/>
          <w:u w:val="single"/>
          <w14:textFill>
            <w14:solidFill>
              <w14:schemeClr w14:val="tx1"/>
            </w14:solidFill>
          </w14:textFill>
        </w:rPr>
        <w:t>套、</w:t>
      </w:r>
      <w:r>
        <w:rPr>
          <w:color w:val="000000" w:themeColor="text1"/>
          <w:szCs w:val="21"/>
          <w:highlight w:val="none"/>
          <w:u w:val="single"/>
          <w14:textFill>
            <w14:solidFill>
              <w14:schemeClr w14:val="tx1"/>
            </w14:solidFill>
          </w14:textFill>
        </w:rPr>
        <w:t>4</w:t>
      </w:r>
      <w:r>
        <w:rPr>
          <w:rFonts w:hint="eastAsia" w:hAnsi="宋体" w:cs="宋体"/>
          <w:color w:val="000000" w:themeColor="text1"/>
          <w:szCs w:val="21"/>
          <w:highlight w:val="none"/>
          <w:u w:val="single"/>
          <w14:textFill>
            <w14:solidFill>
              <w14:schemeClr w14:val="tx1"/>
            </w14:solidFill>
          </w14:textFill>
        </w:rPr>
        <w:t>套、</w:t>
      </w:r>
      <w:r>
        <w:rPr>
          <w:color w:val="000000" w:themeColor="text1"/>
          <w:szCs w:val="21"/>
          <w:highlight w:val="none"/>
          <w:u w:val="single"/>
          <w14:textFill>
            <w14:solidFill>
              <w14:schemeClr w14:val="tx1"/>
            </w14:solidFill>
          </w14:textFill>
        </w:rPr>
        <w:t>6</w:t>
      </w:r>
      <w:r>
        <w:rPr>
          <w:rFonts w:hint="eastAsia" w:hAnsi="宋体" w:cs="宋体"/>
          <w:color w:val="000000" w:themeColor="text1"/>
          <w:szCs w:val="21"/>
          <w:highlight w:val="none"/>
          <w:u w:val="single"/>
          <w14:textFill>
            <w14:solidFill>
              <w14:schemeClr w14:val="tx1"/>
            </w14:solidFill>
          </w14:textFill>
        </w:rPr>
        <w:t>套。</w:t>
      </w:r>
    </w:p>
    <w:p w14:paraId="1E086720">
      <w:pPr>
        <w:spacing w:line="360" w:lineRule="auto"/>
        <w:ind w:firstLine="420" w:firstLineChars="20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13.2.2</w:t>
      </w:r>
      <w:r>
        <w:rPr>
          <w:rFonts w:hint="eastAsia" w:hAnsi="宋体" w:cs="宋体"/>
          <w:color w:val="000000" w:themeColor="text1"/>
          <w:szCs w:val="21"/>
          <w:highlight w:val="none"/>
          <w14:textFill>
            <w14:solidFill>
              <w14:schemeClr w14:val="tx1"/>
            </w14:solidFill>
          </w14:textFill>
        </w:rPr>
        <w:t>竣工验收程序</w:t>
      </w:r>
    </w:p>
    <w:bookmarkEnd w:id="945"/>
    <w:p w14:paraId="26821DAA">
      <w:pPr>
        <w:spacing w:line="440" w:lineRule="exact"/>
        <w:ind w:firstLine="420" w:firstLineChars="200"/>
        <w:rPr>
          <w:rFonts w:hAnsi="宋体" w:cs="宋体"/>
          <w:color w:val="000000" w:themeColor="text1"/>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关于竣工验收程序的约定：</w:t>
      </w:r>
      <w:r>
        <w:rPr>
          <w:rFonts w:hint="eastAsia" w:hAnsi="宋体" w:cs="宋体"/>
          <w:color w:val="000000" w:themeColor="text1"/>
          <w:kern w:val="0"/>
          <w:szCs w:val="21"/>
          <w:highlight w:val="none"/>
          <w:lang w:eastAsia="zh-CN"/>
          <w14:textFill>
            <w14:solidFill>
              <w14:schemeClr w14:val="tx1"/>
            </w14:solidFill>
          </w14:textFill>
        </w:rPr>
        <w:t>（</w:t>
      </w:r>
      <w:r>
        <w:rPr>
          <w:rFonts w:hint="eastAsia" w:hAnsi="宋体" w:cs="宋体"/>
          <w:color w:val="000000" w:themeColor="text1"/>
          <w:kern w:val="0"/>
          <w:szCs w:val="21"/>
          <w:highlight w:val="none"/>
          <w:lang w:val="en-US" w:eastAsia="zh-CN"/>
          <w14:textFill>
            <w14:solidFill>
              <w14:schemeClr w14:val="tx1"/>
            </w14:solidFill>
          </w14:textFill>
        </w:rPr>
        <w:t>1</w:t>
      </w:r>
      <w:r>
        <w:rPr>
          <w:rFonts w:hint="eastAsia" w:hAnsi="宋体" w:cs="宋体"/>
          <w:color w:val="000000" w:themeColor="text1"/>
          <w:kern w:val="0"/>
          <w:szCs w:val="21"/>
          <w:highlight w:val="none"/>
          <w:lang w:eastAsia="zh-CN"/>
          <w14:textFill>
            <w14:solidFill>
              <w14:schemeClr w14:val="tx1"/>
            </w14:solidFill>
          </w14:textFill>
        </w:rPr>
        <w:t>）</w:t>
      </w:r>
      <w:r>
        <w:rPr>
          <w:rFonts w:hint="eastAsia"/>
          <w:color w:val="auto"/>
          <w:szCs w:val="21"/>
          <w:highlight w:val="none"/>
        </w:rPr>
        <w:t>承包人</w:t>
      </w:r>
      <w:r>
        <w:rPr>
          <w:color w:val="auto"/>
          <w:szCs w:val="21"/>
          <w:highlight w:val="none"/>
        </w:rPr>
        <w:t>负责整理和提交的竣工验收资料应当符合工程所在单位和(或)城市建设档案管理机构有关施工资料的要求，具体内容包括：</w:t>
      </w:r>
      <w:r>
        <w:rPr>
          <w:color w:val="auto"/>
          <w:position w:val="-2"/>
          <w:szCs w:val="21"/>
          <w:highlight w:val="none"/>
          <w:u w:val="single"/>
        </w:rPr>
        <w:t>①工程具备竣工验收条件，承包人按工程竣工验收有关规定，15天内向发包人提交符合要求内容装订成册的完整竣工资料及竣工验收报告、工程竣工图；②承包人所提交的竣工资料必须符合《建设工程文件归档整理规范》要求</w:t>
      </w:r>
      <w:r>
        <w:rPr>
          <w:rFonts w:hint="eastAsia" w:hAnsi="宋体" w:cs="宋体"/>
          <w:color w:val="000000" w:themeColor="text1"/>
          <w:szCs w:val="21"/>
          <w:highlight w:val="none"/>
          <w14:textFill>
            <w14:solidFill>
              <w14:schemeClr w14:val="tx1"/>
            </w14:solidFill>
          </w14:textFill>
        </w:rPr>
        <w:t>。</w:t>
      </w:r>
    </w:p>
    <w:p w14:paraId="0480E17A">
      <w:pPr>
        <w:spacing w:line="360" w:lineRule="auto"/>
        <w:ind w:firstLine="420" w:firstLineChars="200"/>
        <w:jc w:val="left"/>
        <w:rPr>
          <w:color w:val="000000" w:themeColor="text1"/>
          <w:szCs w:val="21"/>
          <w:highlight w:val="none"/>
          <w:u w:val="single"/>
          <w14:textFill>
            <w14:solidFill>
              <w14:schemeClr w14:val="tx1"/>
            </w14:solidFill>
          </w14:textFill>
        </w:rPr>
      </w:pPr>
      <w:r>
        <w:rPr>
          <w:rFonts w:hint="eastAsia"/>
          <w:color w:val="000000" w:themeColor="text1"/>
          <w:szCs w:val="21"/>
          <w:highlight w:val="none"/>
          <w:u w:val="single"/>
          <w14:textFill>
            <w14:solidFill>
              <w14:schemeClr w14:val="tx1"/>
            </w14:solidFill>
          </w14:textFill>
        </w:rPr>
        <w:t>（2）发包人收到承包人送交的竣工验收报告后无特殊情况不组织验收，或验收后14天内不提出修改意见，视为竣工验收报告已被认可。</w:t>
      </w:r>
    </w:p>
    <w:p w14:paraId="4F694CFB">
      <w:pPr>
        <w:spacing w:line="360" w:lineRule="auto"/>
        <w:ind w:firstLine="420" w:firstLineChars="200"/>
        <w:jc w:val="left"/>
        <w:rPr>
          <w:color w:val="000000" w:themeColor="text1"/>
          <w:szCs w:val="21"/>
          <w:highlight w:val="none"/>
          <w:u w:val="single"/>
          <w14:textFill>
            <w14:solidFill>
              <w14:schemeClr w14:val="tx1"/>
            </w14:solidFill>
          </w14:textFill>
        </w:rPr>
      </w:pPr>
      <w:r>
        <w:rPr>
          <w:rFonts w:hint="eastAsia"/>
          <w:color w:val="000000" w:themeColor="text1"/>
          <w:szCs w:val="21"/>
          <w:highlight w:val="none"/>
          <w:u w:val="single"/>
          <w14:textFill>
            <w14:solidFill>
              <w14:schemeClr w14:val="tx1"/>
            </w14:solidFill>
          </w14:textFill>
        </w:rPr>
        <w:t>（3）发包人收到承包人竣工验收报告后至组织验收移交前工程保管及一切意外责任仍由承包人负责</w:t>
      </w:r>
      <w:r>
        <w:rPr>
          <w:rFonts w:hAnsi="宋体"/>
          <w:color w:val="000000" w:themeColor="text1"/>
          <w:szCs w:val="21"/>
          <w:highlight w:val="none"/>
          <w14:textFill>
            <w14:solidFill>
              <w14:schemeClr w14:val="tx1"/>
            </w14:solidFill>
          </w14:textFill>
        </w:rPr>
        <w:t>。</w:t>
      </w:r>
    </w:p>
    <w:p w14:paraId="58345688">
      <w:pPr>
        <w:spacing w:line="360" w:lineRule="auto"/>
        <w:ind w:firstLine="420" w:firstLineChars="200"/>
        <w:jc w:val="left"/>
        <w:rPr>
          <w:color w:val="000000" w:themeColor="text1"/>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发包人不按照本项约定组织竣工验收、颁发工程接收证书的违约金的计算方法：</w:t>
      </w:r>
      <w:r>
        <w:rPr>
          <w:rFonts w:hint="eastAsia"/>
          <w:color w:val="000000" w:themeColor="text1"/>
          <w:szCs w:val="21"/>
          <w:highlight w:val="none"/>
          <w:u w:val="single"/>
          <w14:textFill>
            <w14:solidFill>
              <w14:schemeClr w14:val="tx1"/>
            </w14:solidFill>
          </w14:textFill>
        </w:rPr>
        <w:t>无</w:t>
      </w:r>
      <w:r>
        <w:rPr>
          <w:rFonts w:hint="eastAsia" w:hAnsi="宋体" w:cs="宋体"/>
          <w:color w:val="000000" w:themeColor="text1"/>
          <w:szCs w:val="21"/>
          <w:highlight w:val="none"/>
          <w14:textFill>
            <w14:solidFill>
              <w14:schemeClr w14:val="tx1"/>
            </w14:solidFill>
          </w14:textFill>
        </w:rPr>
        <w:t>。</w:t>
      </w:r>
    </w:p>
    <w:bookmarkEnd w:id="946"/>
    <w:p w14:paraId="08D637CC">
      <w:pPr>
        <w:spacing w:line="360" w:lineRule="auto"/>
        <w:ind w:firstLine="420" w:firstLineChars="20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13.2.5</w:t>
      </w:r>
      <w:r>
        <w:rPr>
          <w:rFonts w:hint="eastAsia" w:hAnsi="宋体" w:cs="宋体"/>
          <w:color w:val="000000" w:themeColor="text1"/>
          <w:szCs w:val="21"/>
          <w:highlight w:val="none"/>
          <w14:textFill>
            <w14:solidFill>
              <w14:schemeClr w14:val="tx1"/>
            </w14:solidFill>
          </w14:textFill>
        </w:rPr>
        <w:t>移交、接收全部与部分工程</w:t>
      </w:r>
    </w:p>
    <w:bookmarkEnd w:id="947"/>
    <w:p w14:paraId="156E435B">
      <w:pPr>
        <w:spacing w:line="360" w:lineRule="auto"/>
        <w:ind w:firstLine="420" w:firstLineChars="200"/>
        <w:jc w:val="left"/>
        <w:rPr>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承包人向发包人移交工程的期限：</w:t>
      </w:r>
      <w:r>
        <w:rPr>
          <w:rFonts w:hint="eastAsia" w:hAnsi="宋体"/>
          <w:color w:val="000000" w:themeColor="text1"/>
          <w:kern w:val="0"/>
          <w:szCs w:val="21"/>
          <w:highlight w:val="none"/>
          <w:u w:val="single"/>
          <w14:textFill>
            <w14:solidFill>
              <w14:schemeClr w14:val="tx1"/>
            </w14:solidFill>
          </w14:textFill>
        </w:rPr>
        <w:t>在工程竣工保修期满并对验收发现的问题完成整改后</w:t>
      </w:r>
      <w:r>
        <w:rPr>
          <w:rFonts w:hint="eastAsia" w:hAnsi="宋体" w:cs="宋体"/>
          <w:color w:val="000000" w:themeColor="text1"/>
          <w:szCs w:val="21"/>
          <w:highlight w:val="none"/>
          <w14:textFill>
            <w14:solidFill>
              <w14:schemeClr w14:val="tx1"/>
            </w14:solidFill>
          </w14:textFill>
        </w:rPr>
        <w:t>。</w:t>
      </w:r>
    </w:p>
    <w:p w14:paraId="2DAC25A7">
      <w:pPr>
        <w:spacing w:line="360" w:lineRule="auto"/>
        <w:ind w:firstLine="420" w:firstLineChars="200"/>
        <w:jc w:val="left"/>
        <w:rPr>
          <w:color w:val="000000" w:themeColor="text1"/>
          <w:szCs w:val="21"/>
          <w:highlight w:val="none"/>
          <w:u w:val="singl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发包人未按本合同约定接收全部或部分工程的，违约金的计算方法为：</w:t>
      </w:r>
      <w:r>
        <w:rPr>
          <w:rFonts w:hint="eastAsia"/>
          <w:color w:val="000000" w:themeColor="text1"/>
          <w:szCs w:val="21"/>
          <w:highlight w:val="none"/>
          <w:u w:val="single"/>
          <w14:textFill>
            <w14:solidFill>
              <w14:schemeClr w14:val="tx1"/>
            </w14:solidFill>
          </w14:textFill>
        </w:rPr>
        <w:t>无</w:t>
      </w:r>
      <w:r>
        <w:rPr>
          <w:rFonts w:hint="eastAsia" w:hAnsi="宋体" w:cs="宋体"/>
          <w:color w:val="000000" w:themeColor="text1"/>
          <w:szCs w:val="21"/>
          <w:highlight w:val="none"/>
          <w14:textFill>
            <w14:solidFill>
              <w14:schemeClr w14:val="tx1"/>
            </w14:solidFill>
          </w14:textFill>
        </w:rPr>
        <w:t>。</w:t>
      </w:r>
    </w:p>
    <w:bookmarkEnd w:id="948"/>
    <w:p w14:paraId="6E13B1D5">
      <w:pPr>
        <w:spacing w:line="360" w:lineRule="auto"/>
        <w:ind w:firstLine="420" w:firstLineChars="200"/>
        <w:jc w:val="left"/>
        <w:rPr>
          <w:color w:val="000000" w:themeColor="text1"/>
          <w:szCs w:val="21"/>
          <w:highlight w:val="none"/>
          <w:u w:val="singl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承包人未按时移交工程的，违约金的计算方法为：</w:t>
      </w:r>
      <w:r>
        <w:rPr>
          <w:rFonts w:hint="eastAsia"/>
          <w:color w:val="000000" w:themeColor="text1"/>
          <w:szCs w:val="21"/>
          <w:highlight w:val="none"/>
          <w:u w:val="single"/>
          <w14:textFill>
            <w14:solidFill>
              <w14:schemeClr w14:val="tx1"/>
            </w14:solidFill>
          </w14:textFill>
        </w:rPr>
        <w:t>按专用条款7.5.2执行</w:t>
      </w:r>
      <w:r>
        <w:rPr>
          <w:rFonts w:hint="eastAsia" w:hAnsi="宋体" w:cs="宋体"/>
          <w:color w:val="000000" w:themeColor="text1"/>
          <w:szCs w:val="21"/>
          <w:highlight w:val="none"/>
          <w14:textFill>
            <w14:solidFill>
              <w14:schemeClr w14:val="tx1"/>
            </w14:solidFill>
          </w14:textFill>
        </w:rPr>
        <w:t>。</w:t>
      </w:r>
    </w:p>
    <w:p w14:paraId="100D7E50">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951" w:name="_Toc407135259"/>
      <w:bookmarkStart w:id="952" w:name="_Toc389065321"/>
      <w:bookmarkStart w:id="953" w:name="_Toc114058896"/>
      <w:bookmarkStart w:id="954" w:name="_Toc373227756"/>
      <w:bookmarkStart w:id="955" w:name="_Toc78449845"/>
      <w:bookmarkStart w:id="956" w:name="_Toc373478403"/>
      <w:r>
        <w:rPr>
          <w:rFonts w:eastAsia="黑体"/>
          <w:b/>
          <w:bCs/>
          <w:color w:val="000000" w:themeColor="text1"/>
          <w:sz w:val="32"/>
          <w:szCs w:val="32"/>
          <w:highlight w:val="none"/>
          <w:lang w:val="zh-CN"/>
          <w14:textFill>
            <w14:solidFill>
              <w14:schemeClr w14:val="tx1"/>
            </w14:solidFill>
          </w14:textFill>
        </w:rPr>
        <w:t xml:space="preserve">13.3 </w:t>
      </w:r>
      <w:r>
        <w:rPr>
          <w:rFonts w:hint="eastAsia" w:hAnsi="宋体" w:eastAsia="黑体" w:cs="黑体"/>
          <w:b/>
          <w:bCs/>
          <w:color w:val="000000" w:themeColor="text1"/>
          <w:sz w:val="32"/>
          <w:szCs w:val="32"/>
          <w:highlight w:val="none"/>
          <w:lang w:val="zh-CN"/>
          <w14:textFill>
            <w14:solidFill>
              <w14:schemeClr w14:val="tx1"/>
            </w14:solidFill>
          </w14:textFill>
        </w:rPr>
        <w:t>工程试车</w:t>
      </w:r>
      <w:bookmarkEnd w:id="951"/>
      <w:bookmarkEnd w:id="952"/>
      <w:bookmarkEnd w:id="953"/>
      <w:bookmarkEnd w:id="954"/>
      <w:bookmarkEnd w:id="955"/>
      <w:bookmarkEnd w:id="956"/>
    </w:p>
    <w:bookmarkEnd w:id="949"/>
    <w:p w14:paraId="4F31376E">
      <w:pPr>
        <w:spacing w:line="360" w:lineRule="auto"/>
        <w:ind w:firstLine="420" w:firstLineChars="200"/>
        <w:jc w:val="left"/>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 xml:space="preserve">13.3.1 </w:t>
      </w:r>
      <w:r>
        <w:rPr>
          <w:rFonts w:hint="eastAsia" w:hAnsi="宋体" w:cs="宋体"/>
          <w:color w:val="000000" w:themeColor="text1"/>
          <w:kern w:val="0"/>
          <w:szCs w:val="21"/>
          <w:highlight w:val="none"/>
          <w14:textFill>
            <w14:solidFill>
              <w14:schemeClr w14:val="tx1"/>
            </w14:solidFill>
          </w14:textFill>
        </w:rPr>
        <w:t>试车程序</w:t>
      </w:r>
    </w:p>
    <w:p w14:paraId="5CAD5616">
      <w:pPr>
        <w:spacing w:line="360" w:lineRule="auto"/>
        <w:ind w:firstLine="420" w:firstLineChars="200"/>
        <w:jc w:val="left"/>
        <w:rPr>
          <w:color w:val="000000" w:themeColor="text1"/>
          <w:szCs w:val="21"/>
          <w:highlight w:val="none"/>
          <w:u w:val="single"/>
          <w14:textFill>
            <w14:solidFill>
              <w14:schemeClr w14:val="tx1"/>
            </w14:solidFill>
          </w14:textFill>
        </w:rPr>
      </w:pPr>
      <w:r>
        <w:rPr>
          <w:rFonts w:hAnsi="宋体"/>
          <w:color w:val="000000" w:themeColor="text1"/>
          <w:kern w:val="0"/>
          <w:szCs w:val="21"/>
          <w:highlight w:val="none"/>
          <w14:textFill>
            <w14:solidFill>
              <w14:schemeClr w14:val="tx1"/>
            </w14:solidFill>
          </w14:textFill>
        </w:rPr>
        <w:t>工程试车内容：</w:t>
      </w:r>
      <w:r>
        <w:rPr>
          <w:rFonts w:hint="eastAsia"/>
          <w:color w:val="000000" w:themeColor="text1"/>
          <w:szCs w:val="21"/>
          <w:highlight w:val="none"/>
          <w:u w:val="single"/>
          <w14:textFill>
            <w14:solidFill>
              <w14:schemeClr w14:val="tx1"/>
            </w14:solidFill>
          </w14:textFill>
        </w:rPr>
        <w:t>按通用条款</w:t>
      </w:r>
      <w:r>
        <w:rPr>
          <w:rFonts w:hAnsi="宋体"/>
          <w:color w:val="000000" w:themeColor="text1"/>
          <w:szCs w:val="21"/>
          <w:highlight w:val="none"/>
          <w14:textFill>
            <w14:solidFill>
              <w14:schemeClr w14:val="tx1"/>
            </w14:solidFill>
          </w14:textFill>
        </w:rPr>
        <w:t>。</w:t>
      </w:r>
    </w:p>
    <w:p w14:paraId="1A037151">
      <w:pPr>
        <w:spacing w:line="360" w:lineRule="auto"/>
        <w:ind w:firstLine="420" w:firstLineChars="200"/>
        <w:jc w:val="left"/>
        <w:rPr>
          <w:color w:val="000000" w:themeColor="text1"/>
          <w:kern w:val="0"/>
          <w:szCs w:val="21"/>
          <w:highlight w:val="none"/>
          <w14:textFill>
            <w14:solidFill>
              <w14:schemeClr w14:val="tx1"/>
            </w14:solidFill>
          </w14:textFill>
        </w:rPr>
      </w:pPr>
      <w:r>
        <w:rPr>
          <w:rFonts w:hAnsi="宋体"/>
          <w:color w:val="000000" w:themeColor="text1"/>
          <w:kern w:val="0"/>
          <w:szCs w:val="21"/>
          <w:highlight w:val="none"/>
          <w14:textFill>
            <w14:solidFill>
              <w14:schemeClr w14:val="tx1"/>
            </w14:solidFill>
          </w14:textFill>
        </w:rPr>
        <w:t>（</w:t>
      </w:r>
      <w:r>
        <w:rPr>
          <w:color w:val="000000" w:themeColor="text1"/>
          <w:kern w:val="0"/>
          <w:szCs w:val="21"/>
          <w:highlight w:val="none"/>
          <w14:textFill>
            <w14:solidFill>
              <w14:schemeClr w14:val="tx1"/>
            </w14:solidFill>
          </w14:textFill>
        </w:rPr>
        <w:t>1</w:t>
      </w:r>
      <w:r>
        <w:rPr>
          <w:rFonts w:hAnsi="宋体"/>
          <w:color w:val="000000" w:themeColor="text1"/>
          <w:kern w:val="0"/>
          <w:szCs w:val="21"/>
          <w:highlight w:val="none"/>
          <w14:textFill>
            <w14:solidFill>
              <w14:schemeClr w14:val="tx1"/>
            </w14:solidFill>
          </w14:textFill>
        </w:rPr>
        <w:t>）单机无负荷试车费用由</w:t>
      </w:r>
      <w:r>
        <w:rPr>
          <w:rFonts w:hint="eastAsia"/>
          <w:color w:val="000000" w:themeColor="text1"/>
          <w:szCs w:val="21"/>
          <w:highlight w:val="none"/>
          <w:u w:val="single"/>
          <w14:textFill>
            <w14:solidFill>
              <w14:schemeClr w14:val="tx1"/>
            </w14:solidFill>
          </w14:textFill>
        </w:rPr>
        <w:t>承包人</w:t>
      </w:r>
      <w:r>
        <w:rPr>
          <w:rFonts w:hAnsi="宋体"/>
          <w:color w:val="000000" w:themeColor="text1"/>
          <w:kern w:val="0"/>
          <w:szCs w:val="21"/>
          <w:highlight w:val="none"/>
          <w14:textFill>
            <w14:solidFill>
              <w14:schemeClr w14:val="tx1"/>
            </w14:solidFill>
          </w14:textFill>
        </w:rPr>
        <w:t>承担；</w:t>
      </w:r>
    </w:p>
    <w:p w14:paraId="314CC97B">
      <w:pPr>
        <w:spacing w:line="360" w:lineRule="auto"/>
        <w:ind w:firstLine="420" w:firstLineChars="200"/>
        <w:jc w:val="left"/>
        <w:rPr>
          <w:color w:val="000000" w:themeColor="text1"/>
          <w:kern w:val="0"/>
          <w:szCs w:val="21"/>
          <w:highlight w:val="none"/>
          <w14:textFill>
            <w14:solidFill>
              <w14:schemeClr w14:val="tx1"/>
            </w14:solidFill>
          </w14:textFill>
        </w:rPr>
      </w:pPr>
      <w:r>
        <w:rPr>
          <w:rFonts w:hAnsi="宋体"/>
          <w:color w:val="000000" w:themeColor="text1"/>
          <w:kern w:val="0"/>
          <w:szCs w:val="21"/>
          <w:highlight w:val="none"/>
          <w14:textFill>
            <w14:solidFill>
              <w14:schemeClr w14:val="tx1"/>
            </w14:solidFill>
          </w14:textFill>
        </w:rPr>
        <w:t>（</w:t>
      </w:r>
      <w:r>
        <w:rPr>
          <w:color w:val="000000" w:themeColor="text1"/>
          <w:kern w:val="0"/>
          <w:szCs w:val="21"/>
          <w:highlight w:val="none"/>
          <w14:textFill>
            <w14:solidFill>
              <w14:schemeClr w14:val="tx1"/>
            </w14:solidFill>
          </w14:textFill>
        </w:rPr>
        <w:t>2</w:t>
      </w:r>
      <w:r>
        <w:rPr>
          <w:rFonts w:hAnsi="宋体"/>
          <w:color w:val="000000" w:themeColor="text1"/>
          <w:kern w:val="0"/>
          <w:szCs w:val="21"/>
          <w:highlight w:val="none"/>
          <w14:textFill>
            <w14:solidFill>
              <w14:schemeClr w14:val="tx1"/>
            </w14:solidFill>
          </w14:textFill>
        </w:rPr>
        <w:t>）无负荷联动试车费用由</w:t>
      </w:r>
      <w:r>
        <w:rPr>
          <w:rFonts w:hint="eastAsia"/>
          <w:color w:val="000000" w:themeColor="text1"/>
          <w:szCs w:val="21"/>
          <w:highlight w:val="none"/>
          <w:u w:val="single"/>
          <w14:textFill>
            <w14:solidFill>
              <w14:schemeClr w14:val="tx1"/>
            </w14:solidFill>
          </w14:textFill>
        </w:rPr>
        <w:t>承包人</w:t>
      </w:r>
      <w:r>
        <w:rPr>
          <w:rFonts w:hAnsi="宋体"/>
          <w:color w:val="000000" w:themeColor="text1"/>
          <w:kern w:val="0"/>
          <w:szCs w:val="21"/>
          <w:highlight w:val="none"/>
          <w14:textFill>
            <w14:solidFill>
              <w14:schemeClr w14:val="tx1"/>
            </w14:solidFill>
          </w14:textFill>
        </w:rPr>
        <w:t>承担</w:t>
      </w:r>
      <w:r>
        <w:rPr>
          <w:rFonts w:hint="eastAsia" w:hAnsi="宋体" w:cs="宋体"/>
          <w:color w:val="000000" w:themeColor="text1"/>
          <w:kern w:val="0"/>
          <w:szCs w:val="21"/>
          <w:highlight w:val="none"/>
          <w14:textFill>
            <w14:solidFill>
              <w14:schemeClr w14:val="tx1"/>
            </w14:solidFill>
          </w14:textFill>
        </w:rPr>
        <w:t>。</w:t>
      </w:r>
    </w:p>
    <w:p w14:paraId="2CA62530">
      <w:pPr>
        <w:spacing w:line="360" w:lineRule="auto"/>
        <w:ind w:firstLine="420" w:firstLineChars="200"/>
        <w:jc w:val="left"/>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 xml:space="preserve">13.3.3 </w:t>
      </w:r>
      <w:r>
        <w:rPr>
          <w:rFonts w:hint="eastAsia" w:hAnsi="宋体" w:cs="宋体"/>
          <w:color w:val="000000" w:themeColor="text1"/>
          <w:kern w:val="0"/>
          <w:szCs w:val="21"/>
          <w:highlight w:val="none"/>
          <w14:textFill>
            <w14:solidFill>
              <w14:schemeClr w14:val="tx1"/>
            </w14:solidFill>
          </w14:textFill>
        </w:rPr>
        <w:t>投料试车</w:t>
      </w:r>
    </w:p>
    <w:p w14:paraId="5C74E3CD">
      <w:pPr>
        <w:spacing w:line="360" w:lineRule="auto"/>
        <w:ind w:firstLine="420" w:firstLineChars="200"/>
        <w:jc w:val="left"/>
        <w:rPr>
          <w:color w:val="000000" w:themeColor="text1"/>
          <w:szCs w:val="21"/>
          <w:highlight w:val="none"/>
          <w:u w:val="singl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关于投料试车相关事项的约定：</w:t>
      </w:r>
      <w:r>
        <w:rPr>
          <w:rFonts w:hint="eastAsia"/>
          <w:color w:val="000000" w:themeColor="text1"/>
          <w:szCs w:val="21"/>
          <w:highlight w:val="none"/>
          <w:u w:val="single"/>
          <w14:textFill>
            <w14:solidFill>
              <w14:schemeClr w14:val="tx1"/>
            </w14:solidFill>
          </w14:textFill>
        </w:rPr>
        <w:t>按通用条款</w:t>
      </w:r>
      <w:r>
        <w:rPr>
          <w:rFonts w:hint="eastAsia" w:hAnsi="宋体" w:cs="宋体"/>
          <w:color w:val="000000" w:themeColor="text1"/>
          <w:szCs w:val="21"/>
          <w:highlight w:val="none"/>
          <w14:textFill>
            <w14:solidFill>
              <w14:schemeClr w14:val="tx1"/>
            </w14:solidFill>
          </w14:textFill>
        </w:rPr>
        <w:t>。</w:t>
      </w:r>
    </w:p>
    <w:p w14:paraId="653DA275">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957" w:name="_Toc114058897"/>
      <w:bookmarkStart w:id="958" w:name="_Toc407135260"/>
      <w:bookmarkStart w:id="959" w:name="_Toc389065322"/>
      <w:bookmarkStart w:id="960" w:name="_Toc78449846"/>
      <w:bookmarkStart w:id="961" w:name="_Toc373478404"/>
      <w:bookmarkStart w:id="962" w:name="_Toc373227757"/>
      <w:r>
        <w:rPr>
          <w:rFonts w:eastAsia="黑体"/>
          <w:b/>
          <w:bCs/>
          <w:color w:val="000000" w:themeColor="text1"/>
          <w:sz w:val="32"/>
          <w:szCs w:val="32"/>
          <w:highlight w:val="none"/>
          <w:lang w:val="zh-CN"/>
          <w14:textFill>
            <w14:solidFill>
              <w14:schemeClr w14:val="tx1"/>
            </w14:solidFill>
          </w14:textFill>
        </w:rPr>
        <w:t xml:space="preserve">13.6 </w:t>
      </w:r>
      <w:r>
        <w:rPr>
          <w:rFonts w:hint="eastAsia" w:hAnsi="宋体" w:eastAsia="黑体" w:cs="黑体"/>
          <w:b/>
          <w:bCs/>
          <w:color w:val="000000" w:themeColor="text1"/>
          <w:sz w:val="32"/>
          <w:szCs w:val="32"/>
          <w:highlight w:val="none"/>
          <w:lang w:val="zh-CN"/>
          <w14:textFill>
            <w14:solidFill>
              <w14:schemeClr w14:val="tx1"/>
            </w14:solidFill>
          </w14:textFill>
        </w:rPr>
        <w:t>竣工退场</w:t>
      </w:r>
      <w:bookmarkEnd w:id="957"/>
      <w:bookmarkEnd w:id="958"/>
      <w:bookmarkEnd w:id="959"/>
      <w:bookmarkEnd w:id="960"/>
      <w:bookmarkEnd w:id="961"/>
      <w:bookmarkEnd w:id="962"/>
    </w:p>
    <w:p w14:paraId="53B2A21C">
      <w:pPr>
        <w:spacing w:line="360" w:lineRule="auto"/>
        <w:ind w:firstLine="420" w:firstLineChars="200"/>
        <w:jc w:val="left"/>
        <w:outlineLvl w:val="0"/>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 xml:space="preserve">13.6.1 </w:t>
      </w:r>
      <w:r>
        <w:rPr>
          <w:rFonts w:hint="eastAsia" w:hAnsi="宋体" w:cs="宋体"/>
          <w:color w:val="000000" w:themeColor="text1"/>
          <w:kern w:val="0"/>
          <w:szCs w:val="21"/>
          <w:highlight w:val="none"/>
          <w14:textFill>
            <w14:solidFill>
              <w14:schemeClr w14:val="tx1"/>
            </w14:solidFill>
          </w14:textFill>
        </w:rPr>
        <w:t>竣工退场</w:t>
      </w:r>
    </w:p>
    <w:p w14:paraId="6350989C">
      <w:pPr>
        <w:spacing w:line="360" w:lineRule="auto"/>
        <w:ind w:firstLine="420" w:firstLineChars="200"/>
        <w:jc w:val="left"/>
        <w:rPr>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承包人完成竣工退场的期限：</w:t>
      </w:r>
      <w:r>
        <w:rPr>
          <w:rFonts w:hint="eastAsia" w:ascii="宋体" w:hAnsi="宋体"/>
          <w:color w:val="000000" w:themeColor="text1"/>
          <w:szCs w:val="21"/>
          <w:highlight w:val="none"/>
          <w:u w:val="single"/>
          <w14:textFill>
            <w14:solidFill>
              <w14:schemeClr w14:val="tx1"/>
            </w14:solidFill>
          </w14:textFill>
        </w:rPr>
        <w:t>监理人颁发（出具）工程接收证书后7天内，承包人负责按照通用条</w:t>
      </w:r>
      <w:r>
        <w:rPr>
          <w:rFonts w:hint="eastAsia" w:ascii="宋体" w:hAnsi="宋体"/>
          <w:color w:val="000000" w:themeColor="text1"/>
          <w:szCs w:val="21"/>
          <w:highlight w:val="none"/>
          <w:u w:val="single"/>
          <w:lang w:eastAsia="zh-CN"/>
          <w14:textFill>
            <w14:solidFill>
              <w14:schemeClr w14:val="tx1"/>
            </w14:solidFill>
          </w14:textFill>
        </w:rPr>
        <w:t>款和</w:t>
      </w:r>
      <w:r>
        <w:rPr>
          <w:rFonts w:hint="eastAsia" w:ascii="宋体" w:hAnsi="宋体"/>
          <w:color w:val="000000" w:themeColor="text1"/>
          <w:szCs w:val="21"/>
          <w:highlight w:val="none"/>
          <w:u w:val="single"/>
          <w14:textFill>
            <w14:solidFill>
              <w14:schemeClr w14:val="tx1"/>
            </w14:solidFill>
          </w14:textFill>
        </w:rPr>
        <w:t>本项约定的要求对施工场地进行清理并承担相关费用，直至监理人检验合格为止。承包人的人员逾期</w:t>
      </w:r>
      <w:r>
        <w:rPr>
          <w:rFonts w:hint="eastAsia" w:ascii="宋体" w:hAnsi="宋体"/>
          <w:color w:val="000000" w:themeColor="text1"/>
          <w:szCs w:val="21"/>
          <w:highlight w:val="none"/>
          <w:u w:val="single"/>
          <w:lang w:eastAsia="zh-CN"/>
          <w14:textFill>
            <w14:solidFill>
              <w14:schemeClr w14:val="tx1"/>
            </w14:solidFill>
          </w14:textFill>
        </w:rPr>
        <w:t>撤出</w:t>
      </w:r>
      <w:r>
        <w:rPr>
          <w:rFonts w:hint="eastAsia" w:ascii="宋体" w:hAnsi="宋体"/>
          <w:color w:val="000000" w:themeColor="text1"/>
          <w:szCs w:val="21"/>
          <w:highlight w:val="none"/>
          <w:u w:val="single"/>
          <w14:textFill>
            <w14:solidFill>
              <w14:schemeClr w14:val="tx1"/>
            </w14:solidFill>
          </w14:textFill>
        </w:rPr>
        <w:t>施工场地的，按每人每天500元支付违约金给发包人</w:t>
      </w:r>
      <w:r>
        <w:rPr>
          <w:rFonts w:hint="eastAsia" w:ascii="宋体" w:hAnsi="宋体"/>
          <w:color w:val="000000" w:themeColor="text1"/>
          <w:kern w:val="0"/>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机械设备和其他财产逾期撤离施工现场的，视为承包人放弃所有权，任由发包人处置，处置所得收益归发包人所有</w:t>
      </w:r>
      <w:r>
        <w:rPr>
          <w:rFonts w:hint="eastAsia" w:hAnsi="宋体" w:cs="宋体"/>
          <w:color w:val="000000" w:themeColor="text1"/>
          <w:kern w:val="0"/>
          <w:szCs w:val="21"/>
          <w:highlight w:val="none"/>
          <w14:textFill>
            <w14:solidFill>
              <w14:schemeClr w14:val="tx1"/>
            </w14:solidFill>
          </w14:textFill>
        </w:rPr>
        <w:t>。</w:t>
      </w:r>
    </w:p>
    <w:p w14:paraId="33E70684">
      <w:pPr>
        <w:keepNext/>
        <w:keepLines/>
        <w:spacing w:before="60" w:after="60" w:line="413" w:lineRule="auto"/>
        <w:outlineLvl w:val="1"/>
        <w:rPr>
          <w:rFonts w:ascii="Arial" w:hAnsi="Arial" w:eastAsia="黑体"/>
          <w:b/>
          <w:bCs/>
          <w:color w:val="000000" w:themeColor="text1"/>
          <w:sz w:val="32"/>
          <w:szCs w:val="32"/>
          <w:highlight w:val="none"/>
          <w:lang w:val="zh-CN"/>
          <w14:textFill>
            <w14:solidFill>
              <w14:schemeClr w14:val="tx1"/>
            </w14:solidFill>
          </w14:textFill>
        </w:rPr>
      </w:pPr>
      <w:bookmarkStart w:id="963" w:name="_Toc407135261"/>
      <w:bookmarkStart w:id="964" w:name="_Toc78449847"/>
      <w:bookmarkStart w:id="965" w:name="_Toc114058898"/>
      <w:bookmarkStart w:id="966" w:name="_Toc373227758"/>
      <w:bookmarkStart w:id="967" w:name="_Toc373478405"/>
      <w:bookmarkStart w:id="968" w:name="_Toc351203646"/>
      <w:bookmarkStart w:id="969" w:name="_Toc389065323"/>
      <w:r>
        <w:rPr>
          <w:rFonts w:ascii="Arial" w:hAnsi="Arial" w:eastAsia="黑体"/>
          <w:b/>
          <w:bCs/>
          <w:color w:val="000000" w:themeColor="text1"/>
          <w:sz w:val="32"/>
          <w:szCs w:val="32"/>
          <w:highlight w:val="none"/>
          <w:lang w:val="zh-CN"/>
          <w14:textFill>
            <w14:solidFill>
              <w14:schemeClr w14:val="tx1"/>
            </w14:solidFill>
          </w14:textFill>
        </w:rPr>
        <w:t xml:space="preserve">14. </w:t>
      </w:r>
      <w:r>
        <w:rPr>
          <w:rFonts w:hint="eastAsia" w:ascii="Arial" w:hAnsi="宋体" w:eastAsia="黑体" w:cs="黑体"/>
          <w:b/>
          <w:bCs/>
          <w:color w:val="000000" w:themeColor="text1"/>
          <w:sz w:val="32"/>
          <w:szCs w:val="32"/>
          <w:highlight w:val="none"/>
          <w:lang w:val="zh-CN"/>
          <w14:textFill>
            <w14:solidFill>
              <w14:schemeClr w14:val="tx1"/>
            </w14:solidFill>
          </w14:textFill>
        </w:rPr>
        <w:t>竣工结算</w:t>
      </w:r>
      <w:bookmarkEnd w:id="963"/>
      <w:bookmarkEnd w:id="964"/>
      <w:bookmarkEnd w:id="965"/>
      <w:bookmarkEnd w:id="966"/>
      <w:bookmarkEnd w:id="967"/>
      <w:bookmarkEnd w:id="968"/>
      <w:bookmarkEnd w:id="969"/>
    </w:p>
    <w:p w14:paraId="213849D8">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970" w:name="_Toc373227759"/>
      <w:bookmarkStart w:id="971" w:name="_Toc407135262"/>
      <w:bookmarkStart w:id="972" w:name="_Toc114058899"/>
      <w:bookmarkStart w:id="973" w:name="_Toc78449848"/>
      <w:bookmarkStart w:id="974" w:name="_Toc373478406"/>
      <w:bookmarkStart w:id="975" w:name="_Toc389065324"/>
      <w:r>
        <w:rPr>
          <w:rFonts w:eastAsia="黑体"/>
          <w:b/>
          <w:bCs/>
          <w:color w:val="000000" w:themeColor="text1"/>
          <w:sz w:val="32"/>
          <w:szCs w:val="32"/>
          <w:highlight w:val="none"/>
          <w:lang w:val="zh-CN"/>
          <w14:textFill>
            <w14:solidFill>
              <w14:schemeClr w14:val="tx1"/>
            </w14:solidFill>
          </w14:textFill>
        </w:rPr>
        <w:t xml:space="preserve">14.1 </w:t>
      </w:r>
      <w:r>
        <w:rPr>
          <w:rFonts w:hint="eastAsia" w:hAnsi="宋体" w:eastAsia="黑体" w:cs="黑体"/>
          <w:b/>
          <w:bCs/>
          <w:color w:val="000000" w:themeColor="text1"/>
          <w:sz w:val="32"/>
          <w:szCs w:val="32"/>
          <w:highlight w:val="none"/>
          <w:lang w:val="zh-CN"/>
          <w14:textFill>
            <w14:solidFill>
              <w14:schemeClr w14:val="tx1"/>
            </w14:solidFill>
          </w14:textFill>
        </w:rPr>
        <w:t>竣工付款申请</w:t>
      </w:r>
      <w:bookmarkEnd w:id="970"/>
      <w:bookmarkEnd w:id="971"/>
      <w:bookmarkEnd w:id="972"/>
      <w:bookmarkEnd w:id="973"/>
      <w:bookmarkEnd w:id="974"/>
      <w:bookmarkEnd w:id="975"/>
    </w:p>
    <w:p w14:paraId="135CF34C">
      <w:pPr>
        <w:spacing w:line="360" w:lineRule="auto"/>
        <w:ind w:firstLine="420" w:firstLineChars="200"/>
        <w:jc w:val="left"/>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承包人提交竣工付款申请单的期限：</w:t>
      </w:r>
      <w:r>
        <w:rPr>
          <w:rFonts w:hint="eastAsia"/>
          <w:color w:val="000000" w:themeColor="text1"/>
          <w:szCs w:val="21"/>
          <w:highlight w:val="none"/>
          <w:u w:val="single"/>
          <w14:textFill>
            <w14:solidFill>
              <w14:schemeClr w14:val="tx1"/>
            </w14:solidFill>
          </w14:textFill>
        </w:rPr>
        <w:t>工程竣工验收合格后42天内</w:t>
      </w:r>
      <w:r>
        <w:rPr>
          <w:rFonts w:hint="eastAsia" w:hAnsi="宋体" w:cs="宋体"/>
          <w:color w:val="000000" w:themeColor="text1"/>
          <w:szCs w:val="21"/>
          <w:highlight w:val="none"/>
          <w14:textFill>
            <w14:solidFill>
              <w14:schemeClr w14:val="tx1"/>
            </w14:solidFill>
          </w14:textFill>
        </w:rPr>
        <w:t>。</w:t>
      </w:r>
    </w:p>
    <w:p w14:paraId="3803B89D">
      <w:pPr>
        <w:spacing w:line="400" w:lineRule="exact"/>
        <w:ind w:firstLine="600"/>
        <w:rPr>
          <w:rFonts w:hAnsi="宋体" w:cs="宋体"/>
          <w:color w:val="000000" w:themeColor="text1"/>
          <w:szCs w:val="22"/>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竣工结算申请的资料清单和份数：</w:t>
      </w:r>
      <w:r>
        <w:rPr>
          <w:color w:val="000000" w:themeColor="text1"/>
          <w:szCs w:val="21"/>
          <w:highlight w:val="none"/>
          <w:u w:val="single"/>
          <w14:textFill>
            <w14:solidFill>
              <w14:schemeClr w14:val="tx1"/>
            </w14:solidFill>
          </w14:textFill>
        </w:rPr>
        <w:t>竣工验收资料的份数：</w:t>
      </w:r>
      <w:r>
        <w:rPr>
          <w:rFonts w:hint="eastAsia"/>
          <w:color w:val="000000" w:themeColor="text1"/>
          <w:szCs w:val="21"/>
          <w:highlight w:val="none"/>
          <w:u w:val="single"/>
          <w14:textFill>
            <w14:solidFill>
              <w14:schemeClr w14:val="tx1"/>
            </w14:solidFill>
          </w14:textFill>
        </w:rPr>
        <w:t>承包人应在竣工验收合格后30天内按照建设行政主管部门及发包人的要求提供有关竣工资料（至少包括施工技术管理资料、工程质量保证资料、工程质量竣工验收记录、竣工图），其套数除满足各政府部门存档需要外还需另提供两套原件及完整电子文档一份由发包人存档备用。</w:t>
      </w:r>
    </w:p>
    <w:p w14:paraId="210F5322">
      <w:pPr>
        <w:spacing w:line="360" w:lineRule="auto"/>
        <w:ind w:firstLine="420" w:firstLineChars="200"/>
        <w:jc w:val="left"/>
        <w:rPr>
          <w:rFonts w:ascii="宋体" w:hAnsi="宋体"/>
          <w:color w:val="000000" w:themeColor="text1"/>
          <w:highlight w:val="none"/>
          <w:u w:val="singl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竣工付款申请单应包括的内容：</w:t>
      </w:r>
      <w:bookmarkStart w:id="976" w:name="_Toc376269933"/>
      <w:r>
        <w:rPr>
          <w:rFonts w:hint="eastAsia" w:hAnsi="宋体" w:cs="宋体"/>
          <w:color w:val="000000" w:themeColor="text1"/>
          <w:szCs w:val="21"/>
          <w:highlight w:val="none"/>
          <w14:textFill>
            <w14:solidFill>
              <w14:schemeClr w14:val="tx1"/>
            </w14:solidFill>
          </w14:textFill>
        </w:rPr>
        <w:t>按《通用条款》执行。</w:t>
      </w:r>
      <w:r>
        <w:rPr>
          <w:rFonts w:hint="eastAsia" w:ascii="宋体" w:hAnsi="宋体"/>
          <w:color w:val="000000" w:themeColor="text1"/>
          <w:highlight w:val="none"/>
          <w:u w:val="single"/>
          <w14:textFill>
            <w14:solidFill>
              <w14:schemeClr w14:val="tx1"/>
            </w14:solidFill>
          </w14:textFill>
        </w:rPr>
        <w:t>本工程最终竣工结算需报</w:t>
      </w:r>
      <w:r>
        <w:rPr>
          <w:rFonts w:hint="eastAsia" w:hAnsi="宋体"/>
          <w:color w:val="000000" w:themeColor="text1"/>
          <w:szCs w:val="21"/>
          <w:highlight w:val="none"/>
          <w14:textFill>
            <w14:solidFill>
              <w14:schemeClr w14:val="tx1"/>
            </w14:solidFill>
          </w14:textFill>
        </w:rPr>
        <w:t>业主有关部门</w:t>
      </w:r>
      <w:r>
        <w:rPr>
          <w:rFonts w:hint="eastAsia" w:ascii="宋体" w:hAnsi="宋体"/>
          <w:color w:val="000000" w:themeColor="text1"/>
          <w:highlight w:val="none"/>
          <w:u w:val="single"/>
          <w14:textFill>
            <w14:solidFill>
              <w14:schemeClr w14:val="tx1"/>
            </w14:solidFill>
          </w14:textFill>
        </w:rPr>
        <w:t>审定，承包人所编制的工程竣工资料经</w:t>
      </w:r>
      <w:r>
        <w:rPr>
          <w:rFonts w:hint="eastAsia"/>
          <w:color w:val="000000" w:themeColor="text1"/>
          <w:highlight w:val="none"/>
          <w14:textFill>
            <w14:solidFill>
              <w14:schemeClr w14:val="tx1"/>
            </w14:solidFill>
          </w14:textFill>
        </w:rPr>
        <w:t>监理</w:t>
      </w:r>
      <w:r>
        <w:rPr>
          <w:rFonts w:hint="eastAsia" w:ascii="宋体" w:hAnsi="宋体"/>
          <w:color w:val="000000" w:themeColor="text1"/>
          <w:highlight w:val="none"/>
          <w:u w:val="single"/>
          <w14:textFill>
            <w14:solidFill>
              <w14:schemeClr w14:val="tx1"/>
            </w14:solidFill>
          </w14:textFill>
        </w:rPr>
        <w:t>审核后，送到</w:t>
      </w:r>
      <w:r>
        <w:rPr>
          <w:rFonts w:hint="eastAsia" w:hAnsi="宋体"/>
          <w:color w:val="000000" w:themeColor="text1"/>
          <w:szCs w:val="21"/>
          <w:highlight w:val="none"/>
          <w14:textFill>
            <w14:solidFill>
              <w14:schemeClr w14:val="tx1"/>
            </w14:solidFill>
          </w14:textFill>
        </w:rPr>
        <w:t>业主有关部门</w:t>
      </w:r>
      <w:r>
        <w:rPr>
          <w:rFonts w:hint="eastAsia" w:ascii="宋体" w:hAnsi="宋体"/>
          <w:color w:val="000000" w:themeColor="text1"/>
          <w:highlight w:val="none"/>
          <w:u w:val="single"/>
          <w14:textFill>
            <w14:solidFill>
              <w14:schemeClr w14:val="tx1"/>
            </w14:solidFill>
          </w14:textFill>
        </w:rPr>
        <w:t>之日起，承包人所遗漏的与工程造价有关的资料不再作为结算审核依据，按自动放弃处理。</w:t>
      </w:r>
      <w:bookmarkEnd w:id="976"/>
    </w:p>
    <w:p w14:paraId="29D9210C">
      <w:pPr>
        <w:spacing w:line="360" w:lineRule="auto"/>
        <w:ind w:firstLine="420" w:firstLineChars="200"/>
        <w:jc w:val="left"/>
        <w:rPr>
          <w:color w:val="000000" w:themeColor="text1"/>
          <w:szCs w:val="21"/>
          <w:highlight w:val="none"/>
          <w:u w:val="singl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竣工结算款支付申请（核准）表见合同附件12。</w:t>
      </w:r>
    </w:p>
    <w:p w14:paraId="206BA77A">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977" w:name="_Toc78449849"/>
      <w:bookmarkStart w:id="978" w:name="_Toc373227760"/>
      <w:bookmarkStart w:id="979" w:name="_Toc407135263"/>
      <w:bookmarkStart w:id="980" w:name="_Toc389065325"/>
      <w:bookmarkStart w:id="981" w:name="_Toc373478407"/>
      <w:bookmarkStart w:id="982" w:name="_Toc114058900"/>
      <w:r>
        <w:rPr>
          <w:rFonts w:eastAsia="黑体"/>
          <w:b/>
          <w:bCs/>
          <w:color w:val="000000" w:themeColor="text1"/>
          <w:sz w:val="32"/>
          <w:szCs w:val="32"/>
          <w:highlight w:val="none"/>
          <w:lang w:val="zh-CN"/>
          <w14:textFill>
            <w14:solidFill>
              <w14:schemeClr w14:val="tx1"/>
            </w14:solidFill>
          </w14:textFill>
        </w:rPr>
        <w:t xml:space="preserve">14.2 </w:t>
      </w:r>
      <w:r>
        <w:rPr>
          <w:rFonts w:hint="eastAsia" w:hAnsi="宋体" w:eastAsia="黑体" w:cs="黑体"/>
          <w:b/>
          <w:bCs/>
          <w:color w:val="000000" w:themeColor="text1"/>
          <w:sz w:val="32"/>
          <w:szCs w:val="32"/>
          <w:highlight w:val="none"/>
          <w:lang w:val="zh-CN"/>
          <w14:textFill>
            <w14:solidFill>
              <w14:schemeClr w14:val="tx1"/>
            </w14:solidFill>
          </w14:textFill>
        </w:rPr>
        <w:t>竣工结算审核</w:t>
      </w:r>
      <w:bookmarkEnd w:id="977"/>
      <w:bookmarkEnd w:id="978"/>
      <w:bookmarkEnd w:id="979"/>
      <w:bookmarkEnd w:id="980"/>
      <w:bookmarkEnd w:id="981"/>
      <w:bookmarkEnd w:id="982"/>
    </w:p>
    <w:p w14:paraId="31DBABF0">
      <w:pPr>
        <w:spacing w:line="360" w:lineRule="auto"/>
        <w:ind w:firstLine="420" w:firstLineChars="200"/>
        <w:jc w:val="left"/>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发包人审批竣工付款申请单的期限：</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5ED52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4E65D3FF">
            <w:pPr>
              <w:spacing w:line="360" w:lineRule="auto"/>
              <w:rPr>
                <w:color w:val="000000" w:themeColor="text1"/>
                <w:szCs w:val="21"/>
                <w:highlight w:val="none"/>
                <w14:textFill>
                  <w14:solidFill>
                    <w14:schemeClr w14:val="tx1"/>
                  </w14:solidFill>
                </w14:textFill>
              </w:rPr>
            </w:pPr>
          </w:p>
        </w:tc>
        <w:tc>
          <w:tcPr>
            <w:tcW w:w="2466" w:type="dxa"/>
            <w:vAlign w:val="center"/>
          </w:tcPr>
          <w:p w14:paraId="7C5CEDD1">
            <w:pPr>
              <w:spacing w:line="360" w:lineRule="auto"/>
              <w:ind w:firstLine="27" w:firstLineChars="13"/>
              <w:jc w:val="center"/>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工程竣工结算报告金额</w:t>
            </w:r>
          </w:p>
        </w:tc>
        <w:tc>
          <w:tcPr>
            <w:tcW w:w="5967" w:type="dxa"/>
            <w:vAlign w:val="center"/>
          </w:tcPr>
          <w:p w14:paraId="1A8EF6A1">
            <w:pPr>
              <w:spacing w:line="360" w:lineRule="auto"/>
              <w:ind w:firstLine="441" w:firstLineChars="210"/>
              <w:jc w:val="center"/>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发包人审查时间</w:t>
            </w:r>
          </w:p>
        </w:tc>
      </w:tr>
      <w:tr w14:paraId="5760B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44AB4D4F">
            <w:pPr>
              <w:spacing w:line="360" w:lineRule="auto"/>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w:t>
            </w:r>
          </w:p>
        </w:tc>
        <w:tc>
          <w:tcPr>
            <w:tcW w:w="2466" w:type="dxa"/>
            <w:vAlign w:val="center"/>
          </w:tcPr>
          <w:p w14:paraId="70905E81">
            <w:pPr>
              <w:spacing w:line="360" w:lineRule="auto"/>
              <w:ind w:firstLine="27" w:firstLineChars="13"/>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500</w:t>
            </w:r>
            <w:r>
              <w:rPr>
                <w:rFonts w:hint="eastAsia" w:hAnsi="宋体" w:cs="宋体"/>
                <w:color w:val="000000" w:themeColor="text1"/>
                <w:szCs w:val="21"/>
                <w:highlight w:val="none"/>
                <w14:textFill>
                  <w14:solidFill>
                    <w14:schemeClr w14:val="tx1"/>
                  </w14:solidFill>
                </w14:textFill>
              </w:rPr>
              <w:t>万元以下</w:t>
            </w:r>
          </w:p>
        </w:tc>
        <w:tc>
          <w:tcPr>
            <w:tcW w:w="5967" w:type="dxa"/>
            <w:vAlign w:val="center"/>
          </w:tcPr>
          <w:p w14:paraId="67608767">
            <w:pPr>
              <w:spacing w:line="360" w:lineRule="auto"/>
              <w:ind w:firstLine="441" w:firstLineChars="210"/>
              <w:jc w:val="center"/>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从接到竣工结算报告和完整的竣工结算资料之日起</w:t>
            </w:r>
            <w:r>
              <w:rPr>
                <w:color w:val="000000" w:themeColor="text1"/>
                <w:szCs w:val="21"/>
                <w:highlight w:val="none"/>
                <w14:textFill>
                  <w14:solidFill>
                    <w14:schemeClr w14:val="tx1"/>
                  </w14:solidFill>
                </w14:textFill>
              </w:rPr>
              <w:t>20</w:t>
            </w:r>
            <w:r>
              <w:rPr>
                <w:rFonts w:hint="eastAsia" w:hAnsi="宋体" w:cs="宋体"/>
                <w:color w:val="000000" w:themeColor="text1"/>
                <w:szCs w:val="21"/>
                <w:highlight w:val="none"/>
                <w14:textFill>
                  <w14:solidFill>
                    <w14:schemeClr w14:val="tx1"/>
                  </w14:solidFill>
                </w14:textFill>
              </w:rPr>
              <w:t>天</w:t>
            </w:r>
          </w:p>
        </w:tc>
      </w:tr>
      <w:tr w14:paraId="6CC94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124B2473">
            <w:pPr>
              <w:spacing w:line="360" w:lineRule="auto"/>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w:t>
            </w:r>
          </w:p>
        </w:tc>
        <w:tc>
          <w:tcPr>
            <w:tcW w:w="2466" w:type="dxa"/>
            <w:vAlign w:val="center"/>
          </w:tcPr>
          <w:p w14:paraId="1B3F7928">
            <w:pPr>
              <w:spacing w:line="360" w:lineRule="auto"/>
              <w:ind w:firstLine="27" w:firstLineChars="13"/>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500</w:t>
            </w:r>
            <w:r>
              <w:rPr>
                <w:rFonts w:hint="eastAsia" w:hAnsi="宋体" w:cs="宋体"/>
                <w:color w:val="000000" w:themeColor="text1"/>
                <w:szCs w:val="21"/>
                <w:highlight w:val="none"/>
                <w14:textFill>
                  <w14:solidFill>
                    <w14:schemeClr w14:val="tx1"/>
                  </w14:solidFill>
                </w14:textFill>
              </w:rPr>
              <w:t>万元</w:t>
            </w:r>
            <w:r>
              <w:rPr>
                <w:color w:val="000000" w:themeColor="text1"/>
                <w:szCs w:val="21"/>
                <w:highlight w:val="none"/>
                <w14:textFill>
                  <w14:solidFill>
                    <w14:schemeClr w14:val="tx1"/>
                  </w14:solidFill>
                </w14:textFill>
              </w:rPr>
              <w:t>-2000</w:t>
            </w:r>
            <w:r>
              <w:rPr>
                <w:rFonts w:hint="eastAsia" w:hAnsi="宋体" w:cs="宋体"/>
                <w:color w:val="000000" w:themeColor="text1"/>
                <w:szCs w:val="21"/>
                <w:highlight w:val="none"/>
                <w14:textFill>
                  <w14:solidFill>
                    <w14:schemeClr w14:val="tx1"/>
                  </w14:solidFill>
                </w14:textFill>
              </w:rPr>
              <w:t>万元</w:t>
            </w:r>
          </w:p>
        </w:tc>
        <w:tc>
          <w:tcPr>
            <w:tcW w:w="5967" w:type="dxa"/>
            <w:vAlign w:val="center"/>
          </w:tcPr>
          <w:p w14:paraId="52A204C2">
            <w:pPr>
              <w:spacing w:line="360" w:lineRule="auto"/>
              <w:ind w:firstLine="441" w:firstLineChars="210"/>
              <w:jc w:val="center"/>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从接到竣工结算报告和完整的竣工结算资料之日起</w:t>
            </w:r>
            <w:r>
              <w:rPr>
                <w:color w:val="000000" w:themeColor="text1"/>
                <w:szCs w:val="21"/>
                <w:highlight w:val="none"/>
                <w14:textFill>
                  <w14:solidFill>
                    <w14:schemeClr w14:val="tx1"/>
                  </w14:solidFill>
                </w14:textFill>
              </w:rPr>
              <w:t>30</w:t>
            </w:r>
            <w:r>
              <w:rPr>
                <w:rFonts w:hint="eastAsia" w:hAnsi="宋体" w:cs="宋体"/>
                <w:color w:val="000000" w:themeColor="text1"/>
                <w:szCs w:val="21"/>
                <w:highlight w:val="none"/>
                <w14:textFill>
                  <w14:solidFill>
                    <w14:schemeClr w14:val="tx1"/>
                  </w14:solidFill>
                </w14:textFill>
              </w:rPr>
              <w:t>天</w:t>
            </w:r>
          </w:p>
        </w:tc>
      </w:tr>
      <w:tr w14:paraId="431B6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3F02E66E">
            <w:pPr>
              <w:spacing w:line="360" w:lineRule="auto"/>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3</w:t>
            </w:r>
          </w:p>
        </w:tc>
        <w:tc>
          <w:tcPr>
            <w:tcW w:w="2466" w:type="dxa"/>
            <w:vAlign w:val="center"/>
          </w:tcPr>
          <w:p w14:paraId="7A55DAD7">
            <w:pPr>
              <w:spacing w:line="360" w:lineRule="auto"/>
              <w:ind w:firstLine="27" w:firstLineChars="13"/>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2000</w:t>
            </w:r>
            <w:r>
              <w:rPr>
                <w:rFonts w:hint="eastAsia" w:hAnsi="宋体" w:cs="宋体"/>
                <w:color w:val="000000" w:themeColor="text1"/>
                <w:szCs w:val="21"/>
                <w:highlight w:val="none"/>
                <w14:textFill>
                  <w14:solidFill>
                    <w14:schemeClr w14:val="tx1"/>
                  </w14:solidFill>
                </w14:textFill>
              </w:rPr>
              <w:t>万元</w:t>
            </w:r>
            <w:r>
              <w:rPr>
                <w:color w:val="000000" w:themeColor="text1"/>
                <w:szCs w:val="21"/>
                <w:highlight w:val="none"/>
                <w14:textFill>
                  <w14:solidFill>
                    <w14:schemeClr w14:val="tx1"/>
                  </w14:solidFill>
                </w14:textFill>
              </w:rPr>
              <w:t>-5000</w:t>
            </w:r>
            <w:r>
              <w:rPr>
                <w:rFonts w:hint="eastAsia" w:hAnsi="宋体" w:cs="宋体"/>
                <w:color w:val="000000" w:themeColor="text1"/>
                <w:szCs w:val="21"/>
                <w:highlight w:val="none"/>
                <w14:textFill>
                  <w14:solidFill>
                    <w14:schemeClr w14:val="tx1"/>
                  </w14:solidFill>
                </w14:textFill>
              </w:rPr>
              <w:t>万元</w:t>
            </w:r>
          </w:p>
        </w:tc>
        <w:tc>
          <w:tcPr>
            <w:tcW w:w="5967" w:type="dxa"/>
            <w:vAlign w:val="center"/>
          </w:tcPr>
          <w:p w14:paraId="53BB0706">
            <w:pPr>
              <w:spacing w:line="360" w:lineRule="auto"/>
              <w:ind w:firstLine="441" w:firstLineChars="210"/>
              <w:jc w:val="center"/>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从接到竣工结算报告和完整的竣工结算资料之日起</w:t>
            </w:r>
            <w:r>
              <w:rPr>
                <w:color w:val="000000" w:themeColor="text1"/>
                <w:szCs w:val="21"/>
                <w:highlight w:val="none"/>
                <w14:textFill>
                  <w14:solidFill>
                    <w14:schemeClr w14:val="tx1"/>
                  </w14:solidFill>
                </w14:textFill>
              </w:rPr>
              <w:t>45</w:t>
            </w:r>
            <w:r>
              <w:rPr>
                <w:rFonts w:hint="eastAsia" w:hAnsi="宋体" w:cs="宋体"/>
                <w:color w:val="000000" w:themeColor="text1"/>
                <w:szCs w:val="21"/>
                <w:highlight w:val="none"/>
                <w14:textFill>
                  <w14:solidFill>
                    <w14:schemeClr w14:val="tx1"/>
                  </w14:solidFill>
                </w14:textFill>
              </w:rPr>
              <w:t>天</w:t>
            </w:r>
          </w:p>
        </w:tc>
      </w:tr>
      <w:tr w14:paraId="06690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7EAF6341">
            <w:pPr>
              <w:spacing w:line="360" w:lineRule="auto"/>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4</w:t>
            </w:r>
          </w:p>
        </w:tc>
        <w:tc>
          <w:tcPr>
            <w:tcW w:w="2466" w:type="dxa"/>
            <w:vAlign w:val="center"/>
          </w:tcPr>
          <w:p w14:paraId="1E4DA5D9">
            <w:pPr>
              <w:spacing w:line="360" w:lineRule="auto"/>
              <w:ind w:firstLine="27" w:firstLineChars="13"/>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5000</w:t>
            </w:r>
            <w:r>
              <w:rPr>
                <w:rFonts w:hint="eastAsia" w:hAnsi="宋体" w:cs="宋体"/>
                <w:color w:val="000000" w:themeColor="text1"/>
                <w:szCs w:val="21"/>
                <w:highlight w:val="none"/>
                <w14:textFill>
                  <w14:solidFill>
                    <w14:schemeClr w14:val="tx1"/>
                  </w14:solidFill>
                </w14:textFill>
              </w:rPr>
              <w:t>万元以上</w:t>
            </w:r>
          </w:p>
        </w:tc>
        <w:tc>
          <w:tcPr>
            <w:tcW w:w="5967" w:type="dxa"/>
            <w:vAlign w:val="center"/>
          </w:tcPr>
          <w:p w14:paraId="3BC652A0">
            <w:pPr>
              <w:spacing w:line="360" w:lineRule="auto"/>
              <w:ind w:firstLine="441" w:firstLineChars="210"/>
              <w:jc w:val="center"/>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从接到竣工结算报告和完整的竣工结算资料之日起</w:t>
            </w:r>
            <w:r>
              <w:rPr>
                <w:color w:val="000000" w:themeColor="text1"/>
                <w:szCs w:val="21"/>
                <w:highlight w:val="none"/>
                <w14:textFill>
                  <w14:solidFill>
                    <w14:schemeClr w14:val="tx1"/>
                  </w14:solidFill>
                </w14:textFill>
              </w:rPr>
              <w:t>60</w:t>
            </w:r>
            <w:r>
              <w:rPr>
                <w:rFonts w:hint="eastAsia" w:hAnsi="宋体" w:cs="宋体"/>
                <w:color w:val="000000" w:themeColor="text1"/>
                <w:szCs w:val="21"/>
                <w:highlight w:val="none"/>
                <w14:textFill>
                  <w14:solidFill>
                    <w14:schemeClr w14:val="tx1"/>
                  </w14:solidFill>
                </w14:textFill>
              </w:rPr>
              <w:t>天</w:t>
            </w:r>
          </w:p>
        </w:tc>
      </w:tr>
      <w:tr w14:paraId="563FB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2B09BA2E">
            <w:pPr>
              <w:spacing w:line="360" w:lineRule="auto"/>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5</w:t>
            </w:r>
          </w:p>
        </w:tc>
        <w:tc>
          <w:tcPr>
            <w:tcW w:w="2466" w:type="dxa"/>
            <w:vAlign w:val="center"/>
          </w:tcPr>
          <w:p w14:paraId="618F3188">
            <w:pPr>
              <w:spacing w:line="360" w:lineRule="auto"/>
              <w:ind w:firstLine="27" w:firstLineChars="13"/>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5000万以上每增加</w:t>
            </w:r>
            <w:r>
              <w:rPr>
                <w:color w:val="000000" w:themeColor="text1"/>
                <w:szCs w:val="21"/>
                <w:highlight w:val="none"/>
                <w14:textFill>
                  <w14:solidFill>
                    <w14:schemeClr w14:val="tx1"/>
                  </w14:solidFill>
                </w14:textFill>
              </w:rPr>
              <w:t>0.5</w:t>
            </w:r>
            <w:r>
              <w:rPr>
                <w:rFonts w:hint="eastAsia"/>
                <w:color w:val="000000" w:themeColor="text1"/>
                <w:szCs w:val="21"/>
                <w:highlight w:val="none"/>
                <w14:textFill>
                  <w14:solidFill>
                    <w14:schemeClr w14:val="tx1"/>
                  </w14:solidFill>
                </w14:textFill>
              </w:rPr>
              <w:t>亿(不足0.5亿不增加)</w:t>
            </w:r>
          </w:p>
        </w:tc>
        <w:tc>
          <w:tcPr>
            <w:tcW w:w="5967" w:type="dxa"/>
            <w:vAlign w:val="center"/>
          </w:tcPr>
          <w:p w14:paraId="499DA173">
            <w:pPr>
              <w:spacing w:line="360" w:lineRule="auto"/>
              <w:ind w:firstLine="441" w:firstLineChars="210"/>
              <w:jc w:val="center"/>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增加10天</w:t>
            </w:r>
          </w:p>
        </w:tc>
      </w:tr>
    </w:tbl>
    <w:p w14:paraId="02CF93D7">
      <w:pPr>
        <w:spacing w:line="360" w:lineRule="auto"/>
        <w:ind w:firstLine="420" w:firstLineChars="200"/>
        <w:jc w:val="left"/>
        <w:rPr>
          <w:rFonts w:hAnsi="宋体" w:cs="宋体"/>
          <w:color w:val="000000" w:themeColor="text1"/>
          <w:kern w:val="0"/>
          <w:highlight w:val="none"/>
          <w14:textFill>
            <w14:solidFill>
              <w14:schemeClr w14:val="tx1"/>
            </w14:solidFill>
          </w14:textFill>
        </w:rPr>
      </w:pPr>
      <w:r>
        <w:rPr>
          <w:rFonts w:hint="eastAsia" w:hAnsi="宋体" w:cs="宋体"/>
          <w:color w:val="000000" w:themeColor="text1"/>
          <w:kern w:val="0"/>
          <w:highlight w:val="none"/>
          <w14:textFill>
            <w14:solidFill>
              <w14:schemeClr w14:val="tx1"/>
            </w14:solidFill>
          </w14:textFill>
        </w:rPr>
        <w:t>工程竣工验收合格后，承包人应按约定一次性报送完整的竣工结算资料至发包人，原则上不再接收补充的结算资料。审核过程中，如发包人提出需承包人补充的结算资料，经发包人催促后20天内仍未提供或没有明确答复，发包人可根据现有资料办理结算，审核时间相应顺延。本工程最终结算价以双方签订最终结算书为准或业主聘请的第三方有关造价单位审定为准。</w:t>
      </w:r>
    </w:p>
    <w:p w14:paraId="34335128">
      <w:pPr>
        <w:spacing w:line="360" w:lineRule="auto"/>
        <w:ind w:firstLine="420" w:firstLineChars="200"/>
        <w:jc w:val="left"/>
        <w:rPr>
          <w:rFonts w:hAnsi="宋体"/>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因承包人提供的结算资料不完整而需要补充或承包人不按时对账耽误时间时，审查时间应相应顺延</w:t>
      </w:r>
      <w:r>
        <w:rPr>
          <w:rFonts w:hAnsi="宋体"/>
          <w:color w:val="000000" w:themeColor="text1"/>
          <w:szCs w:val="21"/>
          <w:highlight w:val="none"/>
          <w14:textFill>
            <w14:solidFill>
              <w14:schemeClr w14:val="tx1"/>
            </w14:solidFill>
          </w14:textFill>
        </w:rPr>
        <w:t>。</w:t>
      </w:r>
    </w:p>
    <w:p w14:paraId="2C137B13">
      <w:pPr>
        <w:spacing w:line="400" w:lineRule="exact"/>
        <w:ind w:firstLine="411" w:firstLineChars="196"/>
        <w:rPr>
          <w:rFonts w:hAnsi="宋体"/>
          <w:bCs/>
          <w:color w:val="000000" w:themeColor="text1"/>
          <w:szCs w:val="21"/>
          <w:highlight w:val="none"/>
          <w14:textFill>
            <w14:solidFill>
              <w14:schemeClr w14:val="tx1"/>
            </w14:solidFill>
          </w14:textFill>
        </w:rPr>
      </w:pPr>
      <w:r>
        <w:rPr>
          <w:rFonts w:hint="eastAsia" w:hAnsi="宋体" w:cs="宋体"/>
          <w:color w:val="000000" w:themeColor="text1"/>
          <w:szCs w:val="22"/>
          <w:highlight w:val="none"/>
          <w14:textFill>
            <w14:solidFill>
              <w14:schemeClr w14:val="tx1"/>
            </w14:solidFill>
          </w14:textFill>
        </w:rPr>
        <w:t>竣工</w:t>
      </w:r>
      <w:r>
        <w:rPr>
          <w:rFonts w:hint="eastAsia" w:hAnsi="宋体"/>
          <w:bCs/>
          <w:color w:val="000000" w:themeColor="text1"/>
          <w:szCs w:val="21"/>
          <w:highlight w:val="none"/>
          <w14:textFill>
            <w14:solidFill>
              <w14:schemeClr w14:val="tx1"/>
            </w14:solidFill>
          </w14:textFill>
        </w:rPr>
        <w:t>结算审核约定：</w:t>
      </w:r>
    </w:p>
    <w:p w14:paraId="07A394C6">
      <w:pPr>
        <w:spacing w:line="400" w:lineRule="exact"/>
        <w:ind w:firstLine="411" w:firstLineChars="196"/>
        <w:rPr>
          <w:rFonts w:hAnsi="宋体"/>
          <w:bCs/>
          <w:color w:val="000000" w:themeColor="text1"/>
          <w:szCs w:val="21"/>
          <w:highlight w:val="none"/>
          <w14:textFill>
            <w14:solidFill>
              <w14:schemeClr w14:val="tx1"/>
            </w14:solidFill>
          </w14:textFill>
        </w:rPr>
      </w:pPr>
      <w:r>
        <w:rPr>
          <w:rFonts w:hint="eastAsia" w:hAnsi="宋体"/>
          <w:bCs/>
          <w:color w:val="000000" w:themeColor="text1"/>
          <w:szCs w:val="21"/>
          <w:highlight w:val="none"/>
          <w14:textFill>
            <w14:solidFill>
              <w14:schemeClr w14:val="tx1"/>
            </w14:solidFill>
          </w14:textFill>
        </w:rPr>
        <w:t>国有投资项目：</w:t>
      </w:r>
    </w:p>
    <w:p w14:paraId="42B0C9F4">
      <w:pPr>
        <w:spacing w:line="400" w:lineRule="exact"/>
        <w:ind w:firstLine="411" w:firstLineChars="196"/>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1.自竣工结算完毕之日起</w:t>
      </w:r>
      <w:r>
        <w:rPr>
          <w:rFonts w:hint="eastAsia" w:hAnsi="宋体"/>
          <w:color w:val="000000" w:themeColor="text1"/>
          <w:szCs w:val="21"/>
          <w:highlight w:val="none"/>
          <w14:textFill>
            <w14:solidFill>
              <w14:schemeClr w14:val="tx1"/>
            </w14:solidFill>
          </w14:textFill>
        </w:rPr>
        <w:t xml:space="preserve"> 15  </w:t>
      </w:r>
      <w:r>
        <w:rPr>
          <w:rFonts w:hint="eastAsia" w:hAnsi="宋体" w:cs="宋体"/>
          <w:color w:val="000000" w:themeColor="text1"/>
          <w:szCs w:val="21"/>
          <w:highlight w:val="none"/>
          <w14:textFill>
            <w14:solidFill>
              <w14:schemeClr w14:val="tx1"/>
            </w14:solidFill>
          </w14:textFill>
        </w:rPr>
        <w:t>工作日内，</w:t>
      </w:r>
      <w:r>
        <w:rPr>
          <w:color w:val="000000" w:themeColor="text1"/>
          <w:szCs w:val="21"/>
          <w:highlight w:val="none"/>
          <w14:textFill>
            <w14:solidFill>
              <w14:schemeClr w14:val="tx1"/>
            </w14:solidFill>
          </w14:textFill>
        </w:rPr>
        <w:t>经承包人申请</w:t>
      </w:r>
      <w:r>
        <w:rPr>
          <w:rFonts w:hint="eastAsia" w:hAnsi="宋体" w:cs="宋体"/>
          <w:color w:val="000000" w:themeColor="text1"/>
          <w:szCs w:val="21"/>
          <w:highlight w:val="none"/>
          <w14:textFill>
            <w14:solidFill>
              <w14:schemeClr w14:val="tx1"/>
            </w14:solidFill>
          </w14:textFill>
        </w:rPr>
        <w:t>发包人按审定后的竣工结算价款，通知经办银行向承包人支付结算价款。</w:t>
      </w:r>
    </w:p>
    <w:p w14:paraId="099B3859">
      <w:pPr>
        <w:spacing w:line="400" w:lineRule="exact"/>
        <w:ind w:firstLine="411" w:firstLineChars="196"/>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本工程最终竣工结算达到《自治区本级财政投资评审实施办法》（桂财办【2015】70号）规定的评审范围，需报财政部门审定，承包人所编制的工程竣工资料经发包人审核后，送到财政部门之日起，承包人所遗漏的与工程造价有关的签证不再作为结算审核依据，按自动放弃处理。竣工结算以财政评审意见为准。</w:t>
      </w:r>
    </w:p>
    <w:p w14:paraId="41891F18">
      <w:pPr>
        <w:spacing w:line="400" w:lineRule="exact"/>
        <w:ind w:firstLine="411" w:firstLineChars="196"/>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3.如承包人报送的工程结算总价过高，造成该结算审减率超过6%以上的，则超出6%以上部分的审核费由承包人承担，费用由发包人从承包人工程结算款中扣除。计算公式如下：</w:t>
      </w:r>
    </w:p>
    <w:p w14:paraId="0FF0E128">
      <w:pPr>
        <w:spacing w:line="400" w:lineRule="exact"/>
        <w:ind w:firstLine="411" w:firstLineChars="196"/>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审减率=（送审造价-审定造价）/送审造价*100%；当审减率大于6%时，承包人应承担的审核费=（净审减额-送审额*6%）*3.5%”。</w:t>
      </w:r>
    </w:p>
    <w:p w14:paraId="6AD40052">
      <w:pPr>
        <w:spacing w:line="400" w:lineRule="exact"/>
        <w:ind w:firstLine="411" w:firstLineChars="196"/>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4.工程竣工验收报告经发包人认可后30天内，承包人应向发包人递交竣工验收合格资料及完整的结算资料和报告，双方按照本工程合同约定的价格形式及价款调整办法进行工程竣工结算。</w:t>
      </w:r>
    </w:p>
    <w:p w14:paraId="0AB26816">
      <w:pPr>
        <w:spacing w:line="400" w:lineRule="exact"/>
        <w:ind w:firstLine="411" w:firstLineChars="196"/>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如承包人逾期递交竣工验收合格资料及完整的结算资料和报告，每延误一天,按签约合同价的万分之二计算逾期违约金,违约金直接从结算款中扣除。违约金上限：签约合同价扣除发包人材料价款、暂估专业工程、暂列金额后的百分之二。</w:t>
      </w:r>
    </w:p>
    <w:p w14:paraId="13A0C7F3">
      <w:pPr>
        <w:spacing w:line="400" w:lineRule="exact"/>
        <w:ind w:firstLine="411" w:firstLineChars="196"/>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6.承包人必须提供完整、真实的隐蔽工程原始施工、验收记录。如发现施工单位提供的隐蔽工程资料与实际不符时，按不利于施工单位原则结算。</w:t>
      </w:r>
    </w:p>
    <w:p w14:paraId="65D7AF84">
      <w:pPr>
        <w:spacing w:line="400" w:lineRule="exact"/>
        <w:ind w:firstLine="411" w:firstLineChars="196"/>
        <w:rPr>
          <w:rFonts w:hAnsi="宋体"/>
          <w:bCs/>
          <w:color w:val="000000" w:themeColor="text1"/>
          <w:szCs w:val="21"/>
          <w:highlight w:val="none"/>
          <w14:textFill>
            <w14:solidFill>
              <w14:schemeClr w14:val="tx1"/>
            </w14:solidFill>
          </w14:textFill>
        </w:rPr>
      </w:pPr>
    </w:p>
    <w:p w14:paraId="27E36275">
      <w:pPr>
        <w:spacing w:line="400" w:lineRule="exact"/>
        <w:ind w:firstLine="411" w:firstLineChars="196"/>
        <w:rPr>
          <w:rFonts w:hAnsi="宋体"/>
          <w:bCs/>
          <w:color w:val="000000" w:themeColor="text1"/>
          <w:szCs w:val="21"/>
          <w:highlight w:val="none"/>
          <w:u w:val="single"/>
          <w14:textFill>
            <w14:solidFill>
              <w14:schemeClr w14:val="tx1"/>
            </w14:solidFill>
          </w14:textFill>
        </w:rPr>
      </w:pPr>
      <w:r>
        <w:rPr>
          <w:rFonts w:hint="eastAsia" w:hAnsi="宋体"/>
          <w:bCs/>
          <w:color w:val="000000" w:themeColor="text1"/>
          <w:szCs w:val="21"/>
          <w:highlight w:val="none"/>
          <w14:textFill>
            <w14:solidFill>
              <w14:schemeClr w14:val="tx1"/>
            </w14:solidFill>
          </w14:textFill>
        </w:rPr>
        <w:t>非国有投资项目：</w:t>
      </w:r>
      <w:r>
        <w:rPr>
          <w:rFonts w:hAnsi="宋体"/>
          <w:bCs/>
          <w:color w:val="000000" w:themeColor="text1"/>
          <w:szCs w:val="21"/>
          <w:highlight w:val="none"/>
          <w:u w:val="single"/>
          <w14:textFill>
            <w14:solidFill>
              <w14:schemeClr w14:val="tx1"/>
            </w14:solidFill>
          </w14:textFill>
        </w:rPr>
        <w:t>1</w:t>
      </w:r>
      <w:r>
        <w:rPr>
          <w:rFonts w:hint="eastAsia" w:hAnsi="宋体"/>
          <w:bCs/>
          <w:color w:val="000000" w:themeColor="text1"/>
          <w:szCs w:val="21"/>
          <w:highlight w:val="none"/>
          <w:u w:val="single"/>
          <w14:textFill>
            <w14:solidFill>
              <w14:schemeClr w14:val="tx1"/>
            </w14:solidFill>
          </w14:textFill>
        </w:rPr>
        <w:t>、工程竣工验收报告经发包人认可后天内，承包人向发包人递交竣工验收合格资料及完整的结算资料和报告，双方按照协议书约定的合同价款及专用条款约定的合同价调整内容，进行工程竣工结算。</w:t>
      </w:r>
      <w:r>
        <w:rPr>
          <w:rFonts w:hAnsi="宋体"/>
          <w:bCs/>
          <w:color w:val="000000" w:themeColor="text1"/>
          <w:szCs w:val="21"/>
          <w:highlight w:val="none"/>
          <w:u w:val="single"/>
          <w14:textFill>
            <w14:solidFill>
              <w14:schemeClr w14:val="tx1"/>
            </w14:solidFill>
          </w14:textFill>
        </w:rPr>
        <w:t>2</w:t>
      </w:r>
      <w:r>
        <w:rPr>
          <w:rFonts w:hint="eastAsia" w:hAnsi="宋体"/>
          <w:bCs/>
          <w:color w:val="000000" w:themeColor="text1"/>
          <w:szCs w:val="21"/>
          <w:highlight w:val="none"/>
          <w:u w:val="single"/>
          <w14:textFill>
            <w14:solidFill>
              <w14:schemeClr w14:val="tx1"/>
            </w14:solidFill>
          </w14:textFill>
        </w:rPr>
        <w:t>、发包人收到承包人递交的竣工结算报告及结算资料之日起天内进行审核，给予确认或者提出初审意见。发包人逾期不予审定结算的视为发包人已同意上述竣工结算报告及结算资料，并以此作为最终结算的依据。发包人初审竣工结算完毕之日起天内，按审定后的结算价款，通知经办银行向承包人支付工程竣工结算价款。承包人应根据发包人的需要随时将竣工工程交付发包人。</w:t>
      </w:r>
    </w:p>
    <w:p w14:paraId="63B62A31">
      <w:pPr>
        <w:spacing w:line="400" w:lineRule="exact"/>
        <w:ind w:firstLine="411" w:firstLineChars="196"/>
        <w:rPr>
          <w:rFonts w:hAnsi="宋体"/>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发包人完成竣工付款的期限：</w:t>
      </w:r>
      <w:r>
        <w:rPr>
          <w:rFonts w:hint="eastAsia" w:ascii="宋体" w:hAnsi="宋体"/>
          <w:color w:val="000000" w:themeColor="text1"/>
          <w:szCs w:val="21"/>
          <w:highlight w:val="none"/>
          <w:u w:val="single"/>
          <w14:textFill>
            <w14:solidFill>
              <w14:schemeClr w14:val="tx1"/>
            </w14:solidFill>
          </w14:textFill>
        </w:rPr>
        <w:t>按本专用条款12.4.1的约定支付</w:t>
      </w:r>
      <w:r>
        <w:rPr>
          <w:rFonts w:hAnsi="宋体"/>
          <w:color w:val="000000" w:themeColor="text1"/>
          <w:szCs w:val="21"/>
          <w:highlight w:val="none"/>
          <w14:textFill>
            <w14:solidFill>
              <w14:schemeClr w14:val="tx1"/>
            </w14:solidFill>
          </w14:textFill>
        </w:rPr>
        <w:t>。</w:t>
      </w:r>
    </w:p>
    <w:p w14:paraId="4A13E28B">
      <w:pPr>
        <w:spacing w:line="400" w:lineRule="exact"/>
        <w:ind w:firstLine="411" w:firstLineChars="196"/>
        <w:rPr>
          <w:color w:val="000000" w:themeColor="text1"/>
          <w:szCs w:val="21"/>
          <w:highlight w:val="none"/>
          <w:u w:val="single"/>
          <w14:textFill>
            <w14:solidFill>
              <w14:schemeClr w14:val="tx1"/>
            </w14:solidFill>
          </w14:textFill>
        </w:rPr>
      </w:pPr>
      <w:r>
        <w:rPr>
          <w:rFonts w:hAnsi="宋体"/>
          <w:color w:val="000000" w:themeColor="text1"/>
          <w:szCs w:val="21"/>
          <w:highlight w:val="none"/>
          <w14:textFill>
            <w14:solidFill>
              <w14:schemeClr w14:val="tx1"/>
            </w14:solidFill>
          </w14:textFill>
        </w:rPr>
        <w:t>关于竣工付款证书异议部分复核的方式和程序：</w:t>
      </w:r>
      <w:r>
        <w:rPr>
          <w:rFonts w:hint="eastAsia" w:hAnsi="宋体"/>
          <w:color w:val="000000" w:themeColor="text1"/>
          <w:szCs w:val="21"/>
          <w:highlight w:val="none"/>
          <w:u w:val="single"/>
          <w14:textFill>
            <w14:solidFill>
              <w14:schemeClr w14:val="tx1"/>
            </w14:solidFill>
          </w14:textFill>
        </w:rPr>
        <w:t>执行通用条款</w:t>
      </w:r>
      <w:r>
        <w:rPr>
          <w:rFonts w:hAnsi="宋体"/>
          <w:color w:val="000000" w:themeColor="text1"/>
          <w:szCs w:val="21"/>
          <w:highlight w:val="none"/>
          <w14:textFill>
            <w14:solidFill>
              <w14:schemeClr w14:val="tx1"/>
            </w14:solidFill>
          </w14:textFill>
        </w:rPr>
        <w:t>。</w:t>
      </w:r>
    </w:p>
    <w:p w14:paraId="049F8889">
      <w:pPr>
        <w:spacing w:line="360" w:lineRule="auto"/>
        <w:ind w:firstLine="420" w:firstLineChars="200"/>
        <w:jc w:val="left"/>
        <w:rPr>
          <w:color w:val="000000" w:themeColor="text1"/>
          <w:szCs w:val="21"/>
          <w:highlight w:val="none"/>
          <w:u w:val="single"/>
          <w14:textFill>
            <w14:solidFill>
              <w14:schemeClr w14:val="tx1"/>
            </w14:solidFill>
          </w14:textFill>
        </w:rPr>
      </w:pPr>
    </w:p>
    <w:p w14:paraId="365E80BD">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983" w:name="_Toc114058901"/>
      <w:bookmarkStart w:id="984" w:name="_Toc373227761"/>
      <w:bookmarkStart w:id="985" w:name="_Toc407135264"/>
      <w:bookmarkStart w:id="986" w:name="_Toc78449850"/>
      <w:bookmarkStart w:id="987" w:name="_Toc373478408"/>
      <w:bookmarkStart w:id="988" w:name="_Toc389065326"/>
      <w:r>
        <w:rPr>
          <w:rFonts w:eastAsia="黑体"/>
          <w:b/>
          <w:bCs/>
          <w:color w:val="000000" w:themeColor="text1"/>
          <w:sz w:val="32"/>
          <w:szCs w:val="32"/>
          <w:highlight w:val="none"/>
          <w:lang w:val="zh-CN"/>
          <w14:textFill>
            <w14:solidFill>
              <w14:schemeClr w14:val="tx1"/>
            </w14:solidFill>
          </w14:textFill>
        </w:rPr>
        <w:t xml:space="preserve">14.4 </w:t>
      </w:r>
      <w:r>
        <w:rPr>
          <w:rFonts w:hint="eastAsia" w:hAnsi="宋体" w:eastAsia="黑体" w:cs="黑体"/>
          <w:b/>
          <w:bCs/>
          <w:color w:val="000000" w:themeColor="text1"/>
          <w:sz w:val="32"/>
          <w:szCs w:val="32"/>
          <w:highlight w:val="none"/>
          <w:lang w:val="zh-CN"/>
          <w14:textFill>
            <w14:solidFill>
              <w14:schemeClr w14:val="tx1"/>
            </w14:solidFill>
          </w14:textFill>
        </w:rPr>
        <w:t>最终结清</w:t>
      </w:r>
      <w:bookmarkEnd w:id="983"/>
      <w:bookmarkEnd w:id="984"/>
      <w:bookmarkEnd w:id="985"/>
      <w:bookmarkEnd w:id="986"/>
      <w:bookmarkEnd w:id="987"/>
      <w:bookmarkEnd w:id="988"/>
    </w:p>
    <w:p w14:paraId="711CA005">
      <w:pPr>
        <w:spacing w:line="360" w:lineRule="auto"/>
        <w:ind w:firstLine="420" w:firstLineChars="200"/>
        <w:jc w:val="left"/>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 xml:space="preserve">14.4.1 </w:t>
      </w:r>
      <w:r>
        <w:rPr>
          <w:rFonts w:hint="eastAsia" w:hAnsi="宋体" w:cs="宋体"/>
          <w:color w:val="000000" w:themeColor="text1"/>
          <w:kern w:val="0"/>
          <w:szCs w:val="21"/>
          <w:highlight w:val="none"/>
          <w14:textFill>
            <w14:solidFill>
              <w14:schemeClr w14:val="tx1"/>
            </w14:solidFill>
          </w14:textFill>
        </w:rPr>
        <w:t>最终结清申请单</w:t>
      </w:r>
    </w:p>
    <w:p w14:paraId="77442258">
      <w:pPr>
        <w:spacing w:line="360" w:lineRule="auto"/>
        <w:ind w:firstLine="420" w:firstLineChars="200"/>
        <w:jc w:val="left"/>
        <w:rPr>
          <w:color w:val="000000" w:themeColor="text1"/>
          <w:kern w:val="0"/>
          <w:szCs w:val="21"/>
          <w:highlight w:val="none"/>
          <w14:textFill>
            <w14:solidFill>
              <w14:schemeClr w14:val="tx1"/>
            </w14:solidFill>
          </w14:textFill>
        </w:rPr>
      </w:pPr>
      <w:r>
        <w:rPr>
          <w:rFonts w:hAnsi="宋体"/>
          <w:color w:val="000000" w:themeColor="text1"/>
          <w:kern w:val="0"/>
          <w:szCs w:val="21"/>
          <w:highlight w:val="none"/>
          <w14:textFill>
            <w14:solidFill>
              <w14:schemeClr w14:val="tx1"/>
            </w14:solidFill>
          </w14:textFill>
        </w:rPr>
        <w:t>承包人提交最终结清申请单的份数：</w:t>
      </w:r>
      <w:r>
        <w:rPr>
          <w:rFonts w:hint="eastAsia"/>
          <w:color w:val="000000" w:themeColor="text1"/>
          <w:szCs w:val="21"/>
          <w:highlight w:val="none"/>
          <w:u w:val="single"/>
          <w14:textFill>
            <w14:solidFill>
              <w14:schemeClr w14:val="tx1"/>
            </w14:solidFill>
          </w14:textFill>
        </w:rPr>
        <w:t>一式陆份</w:t>
      </w:r>
      <w:r>
        <w:rPr>
          <w:rFonts w:hAnsi="宋体"/>
          <w:color w:val="000000" w:themeColor="text1"/>
          <w:szCs w:val="21"/>
          <w:highlight w:val="none"/>
          <w14:textFill>
            <w14:solidFill>
              <w14:schemeClr w14:val="tx1"/>
            </w14:solidFill>
          </w14:textFill>
        </w:rPr>
        <w:t>。</w:t>
      </w:r>
    </w:p>
    <w:p w14:paraId="547E05F9">
      <w:pPr>
        <w:spacing w:line="360" w:lineRule="auto"/>
        <w:ind w:firstLine="420" w:firstLineChars="200"/>
        <w:jc w:val="left"/>
        <w:rPr>
          <w:color w:val="000000" w:themeColor="text1"/>
          <w:szCs w:val="21"/>
          <w:highlight w:val="none"/>
          <w14:textFill>
            <w14:solidFill>
              <w14:schemeClr w14:val="tx1"/>
            </w14:solidFill>
          </w14:textFill>
        </w:rPr>
      </w:pPr>
      <w:r>
        <w:rPr>
          <w:rFonts w:hAnsi="宋体"/>
          <w:color w:val="000000" w:themeColor="text1"/>
          <w:kern w:val="0"/>
          <w:szCs w:val="21"/>
          <w:highlight w:val="none"/>
          <w14:textFill>
            <w14:solidFill>
              <w14:schemeClr w14:val="tx1"/>
            </w14:solidFill>
          </w14:textFill>
        </w:rPr>
        <w:t>承包人提交最终结算申请单的期限：</w:t>
      </w:r>
      <w:r>
        <w:rPr>
          <w:rFonts w:hint="eastAsia" w:ascii="宋体" w:hAnsi="宋体"/>
          <w:color w:val="000000" w:themeColor="text1"/>
          <w:szCs w:val="21"/>
          <w:highlight w:val="none"/>
          <w:u w:val="single"/>
          <w14:textFill>
            <w14:solidFill>
              <w14:schemeClr w14:val="tx1"/>
            </w14:solidFill>
          </w14:textFill>
        </w:rPr>
        <w:t>缺陷责任期终止证书签发后14天内</w:t>
      </w:r>
      <w:r>
        <w:rPr>
          <w:rFonts w:hint="eastAsia" w:hAnsi="宋体" w:cs="宋体"/>
          <w:color w:val="000000" w:themeColor="text1"/>
          <w:szCs w:val="21"/>
          <w:highlight w:val="none"/>
          <w14:textFill>
            <w14:solidFill>
              <w14:schemeClr w14:val="tx1"/>
            </w14:solidFill>
          </w14:textFill>
        </w:rPr>
        <w:t>。</w:t>
      </w:r>
    </w:p>
    <w:p w14:paraId="2D9A8226">
      <w:pPr>
        <w:spacing w:line="360" w:lineRule="auto"/>
        <w:ind w:firstLine="420" w:firstLineChars="200"/>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最终结算款支付申请（核准）表见合同附件13。</w:t>
      </w:r>
    </w:p>
    <w:p w14:paraId="05B57C3F">
      <w:pPr>
        <w:spacing w:line="360" w:lineRule="auto"/>
        <w:ind w:firstLine="420" w:firstLineChars="20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14.4.2 </w:t>
      </w:r>
      <w:r>
        <w:rPr>
          <w:rFonts w:hint="eastAsia" w:hAnsi="宋体" w:cs="宋体"/>
          <w:color w:val="000000" w:themeColor="text1"/>
          <w:szCs w:val="21"/>
          <w:highlight w:val="none"/>
          <w14:textFill>
            <w14:solidFill>
              <w14:schemeClr w14:val="tx1"/>
            </w14:solidFill>
          </w14:textFill>
        </w:rPr>
        <w:t>最终结清证书和支付</w:t>
      </w:r>
    </w:p>
    <w:p w14:paraId="461FE8F9">
      <w:pPr>
        <w:spacing w:line="360" w:lineRule="auto"/>
        <w:ind w:firstLine="420" w:firstLineChars="200"/>
        <w:jc w:val="left"/>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1</w:t>
      </w:r>
      <w:r>
        <w:rPr>
          <w:rFonts w:hAnsi="宋体"/>
          <w:color w:val="000000" w:themeColor="text1"/>
          <w:szCs w:val="21"/>
          <w:highlight w:val="none"/>
          <w14:textFill>
            <w14:solidFill>
              <w14:schemeClr w14:val="tx1"/>
            </w14:solidFill>
          </w14:textFill>
        </w:rPr>
        <w:t>）发包人完成最终结清申请单的审批并颁发最终结清证书的期限：</w:t>
      </w:r>
      <w:r>
        <w:rPr>
          <w:rFonts w:hint="eastAsia"/>
          <w:color w:val="000000" w:themeColor="text1"/>
          <w:szCs w:val="21"/>
          <w:highlight w:val="none"/>
          <w:u w:val="single"/>
          <w14:textFill>
            <w14:solidFill>
              <w14:schemeClr w14:val="tx1"/>
            </w14:solidFill>
          </w14:textFill>
        </w:rPr>
        <w:t>收到该申请28天内</w:t>
      </w:r>
      <w:r>
        <w:rPr>
          <w:rFonts w:hAnsi="宋体"/>
          <w:color w:val="000000" w:themeColor="text1"/>
          <w:szCs w:val="21"/>
          <w:highlight w:val="none"/>
          <w14:textFill>
            <w14:solidFill>
              <w14:schemeClr w14:val="tx1"/>
            </w14:solidFill>
          </w14:textFill>
        </w:rPr>
        <w:t>。</w:t>
      </w:r>
    </w:p>
    <w:p w14:paraId="3D663549">
      <w:pPr>
        <w:spacing w:line="360" w:lineRule="auto"/>
        <w:ind w:firstLine="420" w:firstLineChars="200"/>
        <w:jc w:val="left"/>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2</w:t>
      </w:r>
      <w:r>
        <w:rPr>
          <w:rFonts w:hAnsi="宋体"/>
          <w:color w:val="000000" w:themeColor="text1"/>
          <w:szCs w:val="21"/>
          <w:highlight w:val="none"/>
          <w14:textFill>
            <w14:solidFill>
              <w14:schemeClr w14:val="tx1"/>
            </w14:solidFill>
          </w14:textFill>
        </w:rPr>
        <w:t>）发包人完成支付的期限：</w:t>
      </w:r>
      <w:r>
        <w:rPr>
          <w:rFonts w:hint="eastAsia" w:ascii="宋体" w:hAnsi="宋体"/>
          <w:color w:val="000000" w:themeColor="text1"/>
          <w:szCs w:val="21"/>
          <w:highlight w:val="none"/>
          <w:u w:val="single"/>
          <w14:textFill>
            <w14:solidFill>
              <w14:schemeClr w14:val="tx1"/>
            </w14:solidFill>
          </w14:textFill>
        </w:rPr>
        <w:t>按本专用条款12.4.1的约定支付</w:t>
      </w:r>
      <w:r>
        <w:rPr>
          <w:rFonts w:hint="eastAsia" w:hAnsi="宋体" w:cs="宋体"/>
          <w:color w:val="000000" w:themeColor="text1"/>
          <w:szCs w:val="21"/>
          <w:highlight w:val="none"/>
          <w14:textFill>
            <w14:solidFill>
              <w14:schemeClr w14:val="tx1"/>
            </w14:solidFill>
          </w14:textFill>
        </w:rPr>
        <w:t>。</w:t>
      </w:r>
    </w:p>
    <w:bookmarkEnd w:id="938"/>
    <w:bookmarkEnd w:id="939"/>
    <w:bookmarkEnd w:id="940"/>
    <w:bookmarkEnd w:id="941"/>
    <w:bookmarkEnd w:id="942"/>
    <w:bookmarkEnd w:id="943"/>
    <w:bookmarkEnd w:id="944"/>
    <w:bookmarkEnd w:id="950"/>
    <w:p w14:paraId="0DFF3E92">
      <w:pPr>
        <w:keepNext/>
        <w:keepLines/>
        <w:spacing w:before="60" w:after="60" w:line="413" w:lineRule="auto"/>
        <w:outlineLvl w:val="1"/>
        <w:rPr>
          <w:rFonts w:ascii="Arial" w:hAnsi="Arial" w:eastAsia="黑体"/>
          <w:b/>
          <w:bCs/>
          <w:color w:val="000000" w:themeColor="text1"/>
          <w:sz w:val="32"/>
          <w:szCs w:val="32"/>
          <w:highlight w:val="none"/>
          <w:lang w:val="zh-CN"/>
          <w14:textFill>
            <w14:solidFill>
              <w14:schemeClr w14:val="tx1"/>
            </w14:solidFill>
          </w14:textFill>
        </w:rPr>
      </w:pPr>
      <w:bookmarkStart w:id="989" w:name="_Toc389065327"/>
      <w:bookmarkStart w:id="990" w:name="_Toc351203647"/>
      <w:bookmarkStart w:id="991" w:name="_Toc373227762"/>
      <w:bookmarkStart w:id="992" w:name="_Toc78449851"/>
      <w:bookmarkStart w:id="993" w:name="_Toc114058902"/>
      <w:bookmarkStart w:id="994" w:name="_Toc373478409"/>
      <w:bookmarkStart w:id="995" w:name="_Toc407135265"/>
      <w:bookmarkStart w:id="996" w:name="_Toc267251483"/>
      <w:bookmarkStart w:id="997" w:name="_Toc267251484"/>
      <w:bookmarkStart w:id="998" w:name="_Toc267251482"/>
      <w:bookmarkStart w:id="999" w:name="_Toc267251485"/>
      <w:bookmarkStart w:id="1000" w:name="_Toc267251489"/>
      <w:bookmarkStart w:id="1001" w:name="_Toc267251486"/>
      <w:bookmarkStart w:id="1002" w:name="_Toc267251488"/>
      <w:bookmarkStart w:id="1003" w:name="_Toc267251490"/>
      <w:bookmarkStart w:id="1004" w:name="_Toc267251499"/>
      <w:bookmarkStart w:id="1005" w:name="_Toc267251493"/>
      <w:bookmarkStart w:id="1006" w:name="_Toc267251495"/>
      <w:bookmarkStart w:id="1007" w:name="_Toc267251491"/>
      <w:bookmarkStart w:id="1008" w:name="_Toc267251496"/>
      <w:bookmarkStart w:id="1009" w:name="_Toc267251497"/>
      <w:bookmarkStart w:id="1010" w:name="_Toc267251503"/>
      <w:bookmarkStart w:id="1011" w:name="_Toc267251498"/>
      <w:bookmarkStart w:id="1012" w:name="_Toc267251502"/>
      <w:bookmarkStart w:id="1013" w:name="_Toc267251501"/>
      <w:bookmarkStart w:id="1014" w:name="_Toc267251492"/>
      <w:bookmarkStart w:id="1015" w:name="_Toc267251494"/>
      <w:bookmarkStart w:id="1016" w:name="_Toc267251504"/>
      <w:bookmarkStart w:id="1017" w:name="_Toc267251506"/>
      <w:bookmarkStart w:id="1018" w:name="_Toc267251507"/>
      <w:bookmarkStart w:id="1019" w:name="_Toc267251508"/>
      <w:bookmarkStart w:id="1020" w:name="_Toc267251510"/>
      <w:bookmarkStart w:id="1021" w:name="_Toc267251515"/>
      <w:bookmarkStart w:id="1022" w:name="_Toc267251511"/>
      <w:bookmarkStart w:id="1023" w:name="_Toc267251513"/>
      <w:bookmarkStart w:id="1024" w:name="_Toc267251509"/>
      <w:bookmarkStart w:id="1025" w:name="_Toc267251514"/>
      <w:r>
        <w:rPr>
          <w:rFonts w:ascii="Arial" w:hAnsi="Arial" w:eastAsia="黑体"/>
          <w:b/>
          <w:bCs/>
          <w:color w:val="000000" w:themeColor="text1"/>
          <w:sz w:val="32"/>
          <w:szCs w:val="32"/>
          <w:highlight w:val="none"/>
          <w:lang w:val="zh-CN"/>
          <w14:textFill>
            <w14:solidFill>
              <w14:schemeClr w14:val="tx1"/>
            </w14:solidFill>
          </w14:textFill>
        </w:rPr>
        <w:t xml:space="preserve">15. </w:t>
      </w:r>
      <w:r>
        <w:rPr>
          <w:rFonts w:hint="eastAsia" w:ascii="Arial" w:hAnsi="Arial" w:eastAsia="黑体" w:cs="黑体"/>
          <w:b/>
          <w:bCs/>
          <w:color w:val="000000" w:themeColor="text1"/>
          <w:sz w:val="32"/>
          <w:szCs w:val="32"/>
          <w:highlight w:val="none"/>
          <w:lang w:val="zh-CN"/>
          <w14:textFill>
            <w14:solidFill>
              <w14:schemeClr w14:val="tx1"/>
            </w14:solidFill>
          </w14:textFill>
        </w:rPr>
        <w:t>缺陷责任期与保修</w:t>
      </w:r>
      <w:bookmarkEnd w:id="989"/>
      <w:bookmarkEnd w:id="990"/>
      <w:bookmarkEnd w:id="991"/>
      <w:bookmarkEnd w:id="992"/>
      <w:bookmarkEnd w:id="993"/>
      <w:bookmarkEnd w:id="994"/>
      <w:bookmarkEnd w:id="995"/>
    </w:p>
    <w:p w14:paraId="2227CA80">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1026" w:name="_Toc78449852"/>
      <w:bookmarkStart w:id="1027" w:name="_Toc114058903"/>
      <w:bookmarkStart w:id="1028" w:name="_Toc373478410"/>
      <w:bookmarkStart w:id="1029" w:name="_Toc373227763"/>
      <w:bookmarkStart w:id="1030" w:name="_Toc407135266"/>
      <w:bookmarkStart w:id="1031" w:name="_Toc389065328"/>
      <w:r>
        <w:rPr>
          <w:rFonts w:eastAsia="黑体"/>
          <w:b/>
          <w:bCs/>
          <w:color w:val="000000" w:themeColor="text1"/>
          <w:sz w:val="32"/>
          <w:szCs w:val="32"/>
          <w:highlight w:val="none"/>
          <w:lang w:val="zh-CN"/>
          <w14:textFill>
            <w14:solidFill>
              <w14:schemeClr w14:val="tx1"/>
            </w14:solidFill>
          </w14:textFill>
        </w:rPr>
        <w:t xml:space="preserve">15.2 </w:t>
      </w:r>
      <w:r>
        <w:rPr>
          <w:rFonts w:hint="eastAsia" w:hAnsi="宋体" w:eastAsia="黑体" w:cs="黑体"/>
          <w:b/>
          <w:bCs/>
          <w:color w:val="000000" w:themeColor="text1"/>
          <w:sz w:val="32"/>
          <w:szCs w:val="32"/>
          <w:highlight w:val="none"/>
          <w:lang w:val="zh-CN"/>
          <w14:textFill>
            <w14:solidFill>
              <w14:schemeClr w14:val="tx1"/>
            </w14:solidFill>
          </w14:textFill>
        </w:rPr>
        <w:t>缺陷责任期</w:t>
      </w:r>
      <w:bookmarkEnd w:id="996"/>
      <w:bookmarkEnd w:id="1026"/>
      <w:bookmarkEnd w:id="1027"/>
      <w:bookmarkEnd w:id="1028"/>
      <w:bookmarkEnd w:id="1029"/>
      <w:bookmarkEnd w:id="1030"/>
      <w:bookmarkEnd w:id="1031"/>
    </w:p>
    <w:p w14:paraId="787935B2">
      <w:pPr>
        <w:spacing w:line="360" w:lineRule="auto"/>
        <w:ind w:firstLine="420" w:firstLineChars="200"/>
        <w:jc w:val="left"/>
        <w:rPr>
          <w:color w:val="000000" w:themeColor="text1"/>
          <w:szCs w:val="21"/>
          <w:highlight w:val="none"/>
          <w:u w:val="singl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缺陷责任期的具体期限：</w:t>
      </w:r>
      <w:r>
        <w:rPr>
          <w:rFonts w:hint="eastAsia"/>
          <w:color w:val="000000" w:themeColor="text1"/>
          <w:szCs w:val="21"/>
          <w:highlight w:val="none"/>
          <w:u w:val="single"/>
          <w14:textFill>
            <w14:solidFill>
              <w14:schemeClr w14:val="tx1"/>
            </w14:solidFill>
          </w14:textFill>
        </w:rPr>
        <w:t>24个月</w:t>
      </w:r>
      <w:r>
        <w:rPr>
          <w:rFonts w:hint="eastAsia" w:hAnsi="宋体" w:cs="宋体"/>
          <w:color w:val="000000" w:themeColor="text1"/>
          <w:szCs w:val="21"/>
          <w:highlight w:val="none"/>
          <w14:textFill>
            <w14:solidFill>
              <w14:schemeClr w14:val="tx1"/>
            </w14:solidFill>
          </w14:textFill>
        </w:rPr>
        <w:t>。</w:t>
      </w:r>
    </w:p>
    <w:p w14:paraId="60DA2AB7">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1032" w:name="_Toc78449853"/>
      <w:bookmarkStart w:id="1033" w:name="_Toc373227764"/>
      <w:bookmarkStart w:id="1034" w:name="_Toc114058904"/>
      <w:bookmarkStart w:id="1035" w:name="_Toc407135267"/>
      <w:bookmarkStart w:id="1036" w:name="_Toc389065329"/>
      <w:bookmarkStart w:id="1037" w:name="_Toc373478411"/>
      <w:r>
        <w:rPr>
          <w:rFonts w:eastAsia="黑体"/>
          <w:b/>
          <w:bCs/>
          <w:color w:val="000000" w:themeColor="text1"/>
          <w:sz w:val="32"/>
          <w:szCs w:val="32"/>
          <w:highlight w:val="none"/>
          <w:lang w:val="zh-CN"/>
          <w14:textFill>
            <w14:solidFill>
              <w14:schemeClr w14:val="tx1"/>
            </w14:solidFill>
          </w14:textFill>
        </w:rPr>
        <w:t xml:space="preserve">15.3 </w:t>
      </w:r>
      <w:r>
        <w:rPr>
          <w:rFonts w:hint="eastAsia" w:hAnsi="宋体" w:eastAsia="黑体" w:cs="黑体"/>
          <w:b/>
          <w:bCs/>
          <w:color w:val="000000" w:themeColor="text1"/>
          <w:sz w:val="32"/>
          <w:szCs w:val="32"/>
          <w:highlight w:val="none"/>
          <w:lang w:val="zh-CN"/>
          <w14:textFill>
            <w14:solidFill>
              <w14:schemeClr w14:val="tx1"/>
            </w14:solidFill>
          </w14:textFill>
        </w:rPr>
        <w:t>质量保证金</w:t>
      </w:r>
      <w:bookmarkEnd w:id="1032"/>
      <w:bookmarkEnd w:id="1033"/>
      <w:bookmarkEnd w:id="1034"/>
      <w:bookmarkEnd w:id="1035"/>
      <w:bookmarkEnd w:id="1036"/>
      <w:bookmarkEnd w:id="1037"/>
    </w:p>
    <w:p w14:paraId="0D5D3096">
      <w:pPr>
        <w:spacing w:line="360" w:lineRule="auto"/>
        <w:ind w:firstLine="420" w:firstLineChars="200"/>
        <w:jc w:val="left"/>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关于是否扣留质量保证金的约定：</w:t>
      </w:r>
      <w:r>
        <w:rPr>
          <w:rFonts w:hint="eastAsia"/>
          <w:color w:val="000000" w:themeColor="text1"/>
          <w:szCs w:val="21"/>
          <w:highlight w:val="none"/>
          <w:u w:val="single"/>
          <w14:textFill>
            <w14:solidFill>
              <w14:schemeClr w14:val="tx1"/>
            </w14:solidFill>
          </w14:textFill>
        </w:rPr>
        <w:t>是</w:t>
      </w:r>
      <w:r>
        <w:rPr>
          <w:rFonts w:hint="eastAsia" w:hAnsi="宋体" w:cs="宋体"/>
          <w:color w:val="000000" w:themeColor="text1"/>
          <w:szCs w:val="21"/>
          <w:highlight w:val="none"/>
          <w14:textFill>
            <w14:solidFill>
              <w14:schemeClr w14:val="tx1"/>
            </w14:solidFill>
          </w14:textFill>
        </w:rPr>
        <w:t>。</w:t>
      </w:r>
    </w:p>
    <w:p w14:paraId="547AE8E6">
      <w:pPr>
        <w:spacing w:line="360" w:lineRule="auto"/>
        <w:ind w:firstLine="420" w:firstLineChars="200"/>
        <w:jc w:val="left"/>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在工程项目竣工前，承包人按专用合同条款第3.7条提供履约担保的，发包人不得同时预留工程质量保证金。</w:t>
      </w:r>
    </w:p>
    <w:p w14:paraId="4DBF50D0">
      <w:pPr>
        <w:spacing w:line="360" w:lineRule="auto"/>
        <w:ind w:firstLine="420" w:firstLineChars="200"/>
        <w:jc w:val="left"/>
        <w:outlineLvl w:val="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15.3.1 </w:t>
      </w:r>
      <w:r>
        <w:rPr>
          <w:rFonts w:hint="eastAsia" w:hAnsi="宋体" w:cs="宋体"/>
          <w:color w:val="000000" w:themeColor="text1"/>
          <w:szCs w:val="21"/>
          <w:highlight w:val="none"/>
          <w14:textFill>
            <w14:solidFill>
              <w14:schemeClr w14:val="tx1"/>
            </w14:solidFill>
          </w14:textFill>
        </w:rPr>
        <w:t>承包人提供质量保证金的方式</w:t>
      </w:r>
    </w:p>
    <w:p w14:paraId="531DD0A1">
      <w:pPr>
        <w:spacing w:line="360" w:lineRule="auto"/>
        <w:ind w:firstLine="420" w:firstLineChars="200"/>
        <w:jc w:val="left"/>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质量保证金采用以下第</w:t>
      </w:r>
      <w:r>
        <w:rPr>
          <w:rFonts w:hint="eastAsia"/>
          <w:color w:val="000000" w:themeColor="text1"/>
          <w:szCs w:val="21"/>
          <w:highlight w:val="none"/>
          <w:u w:val="single"/>
          <w:lang w:eastAsia="zh-CN"/>
          <w14:textFill>
            <w14:solidFill>
              <w14:schemeClr w14:val="tx1"/>
            </w14:solidFill>
          </w14:textFill>
        </w:rPr>
        <w:t>（</w:t>
      </w:r>
      <w:r>
        <w:rPr>
          <w:rFonts w:hint="eastAsia"/>
          <w:color w:val="000000" w:themeColor="text1"/>
          <w:szCs w:val="21"/>
          <w:highlight w:val="none"/>
          <w:u w:val="single"/>
          <w:lang w:val="en-US" w:eastAsia="zh-CN"/>
          <w14:textFill>
            <w14:solidFill>
              <w14:schemeClr w14:val="tx1"/>
            </w14:solidFill>
          </w14:textFill>
        </w:rPr>
        <w:t>2</w:t>
      </w:r>
      <w:r>
        <w:rPr>
          <w:rFonts w:hint="eastAsia"/>
          <w:color w:val="000000" w:themeColor="text1"/>
          <w:szCs w:val="21"/>
          <w:highlight w:val="none"/>
          <w:u w:val="single"/>
          <w:lang w:eastAsia="zh-CN"/>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种方式：</w:t>
      </w:r>
    </w:p>
    <w:p w14:paraId="418D8717">
      <w:pPr>
        <w:autoSpaceDE w:val="0"/>
        <w:autoSpaceDN w:val="0"/>
        <w:adjustRightInd w:val="0"/>
        <w:spacing w:line="360" w:lineRule="auto"/>
        <w:ind w:firstLine="420" w:firstLineChars="200"/>
        <w:jc w:val="left"/>
        <w:rPr>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w:t>
      </w:r>
      <w:r>
        <w:rPr>
          <w:color w:val="000000" w:themeColor="text1"/>
          <w:kern w:val="0"/>
          <w:szCs w:val="21"/>
          <w:highlight w:val="none"/>
          <w14:textFill>
            <w14:solidFill>
              <w14:schemeClr w14:val="tx1"/>
            </w14:solidFill>
          </w14:textFill>
        </w:rPr>
        <w:t>1</w:t>
      </w:r>
      <w:r>
        <w:rPr>
          <w:rFonts w:hint="eastAsia" w:hAnsi="宋体" w:cs="宋体"/>
          <w:color w:val="000000" w:themeColor="text1"/>
          <w:kern w:val="0"/>
          <w:szCs w:val="21"/>
          <w:highlight w:val="none"/>
          <w14:textFill>
            <w14:solidFill>
              <w14:schemeClr w14:val="tx1"/>
            </w14:solidFill>
          </w14:textFill>
        </w:rPr>
        <w:t>）质量保证金保函</w:t>
      </w:r>
      <w:r>
        <w:rPr>
          <w:rFonts w:hint="eastAsia" w:hAnsi="宋体" w:cs="宋体"/>
          <w:color w:val="000000" w:themeColor="text1"/>
          <w:szCs w:val="21"/>
          <w:highlight w:val="none"/>
          <w14:textFill>
            <w14:solidFill>
              <w14:schemeClr w14:val="tx1"/>
            </w14:solidFill>
          </w14:textFill>
        </w:rPr>
        <w:t>（银行保函、电子保函、保证保险保函、工程担保保函，</w:t>
      </w:r>
      <w:r>
        <w:rPr>
          <w:rFonts w:hint="eastAsia" w:hAnsi="宋体" w:cs="宋体"/>
          <w:color w:val="000000" w:themeColor="text1"/>
          <w:kern w:val="0"/>
          <w:szCs w:val="21"/>
          <w:highlight w:val="none"/>
          <w14:textFill>
            <w14:solidFill>
              <w14:schemeClr w14:val="tx1"/>
            </w14:solidFill>
          </w14:textFill>
        </w:rPr>
        <w:t>工程担保保证人应将出具的保函相关信息录入“广西建筑市场监管云”平台（http://gxjzsc.caihcloud.com），以实现保函查询及验真功能。</w:t>
      </w:r>
      <w:r>
        <w:rPr>
          <w:rFonts w:hint="eastAsia" w:hAnsi="宋体" w:cs="宋体"/>
          <w:color w:val="000000" w:themeColor="text1"/>
          <w:szCs w:val="21"/>
          <w:highlight w:val="none"/>
          <w14:textFill>
            <w14:solidFill>
              <w14:schemeClr w14:val="tx1"/>
            </w14:solidFill>
          </w14:textFill>
        </w:rPr>
        <w:t>）</w:t>
      </w:r>
      <w:r>
        <w:rPr>
          <w:rFonts w:hint="eastAsia" w:hAnsi="宋体" w:cs="宋体"/>
          <w:color w:val="000000" w:themeColor="text1"/>
          <w:kern w:val="0"/>
          <w:szCs w:val="21"/>
          <w:highlight w:val="none"/>
          <w14:textFill>
            <w14:solidFill>
              <w14:schemeClr w14:val="tx1"/>
            </w14:solidFill>
          </w14:textFill>
        </w:rPr>
        <w:t>，保证金额为：；</w:t>
      </w:r>
    </w:p>
    <w:p w14:paraId="64C12BDE">
      <w:pPr>
        <w:autoSpaceDE w:val="0"/>
        <w:autoSpaceDN w:val="0"/>
        <w:adjustRightInd w:val="0"/>
        <w:spacing w:line="360" w:lineRule="auto"/>
        <w:ind w:firstLine="420" w:firstLineChars="200"/>
        <w:jc w:val="left"/>
        <w:rPr>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w:t>
      </w:r>
      <w:r>
        <w:rPr>
          <w:color w:val="000000" w:themeColor="text1"/>
          <w:kern w:val="0"/>
          <w:szCs w:val="21"/>
          <w:highlight w:val="none"/>
          <w14:textFill>
            <w14:solidFill>
              <w14:schemeClr w14:val="tx1"/>
            </w14:solidFill>
          </w14:textFill>
        </w:rPr>
        <w:t>2</w:t>
      </w:r>
      <w:r>
        <w:rPr>
          <w:rFonts w:hint="eastAsia" w:hAnsi="宋体" w:cs="宋体"/>
          <w:color w:val="000000" w:themeColor="text1"/>
          <w:kern w:val="0"/>
          <w:szCs w:val="21"/>
          <w:highlight w:val="none"/>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发包人按工程价款结算总额的</w:t>
      </w:r>
      <w:r>
        <w:rPr>
          <w:rFonts w:hint="eastAsia" w:hAnsi="宋体" w:cs="宋体"/>
          <w:color w:val="000000" w:themeColor="text1"/>
          <w:szCs w:val="21"/>
          <w:highlight w:val="none"/>
          <w:lang w:val="en-US" w:eastAsia="zh-CN"/>
          <w14:textFill>
            <w14:solidFill>
              <w14:schemeClr w14:val="tx1"/>
            </w14:solidFill>
          </w14:textFill>
        </w:rPr>
        <w:t>3</w:t>
      </w:r>
      <w:r>
        <w:rPr>
          <w:color w:val="000000" w:themeColor="text1"/>
          <w:szCs w:val="21"/>
          <w:highlight w:val="none"/>
          <w14:textFill>
            <w14:solidFill>
              <w14:schemeClr w14:val="tx1"/>
            </w14:solidFill>
          </w14:textFill>
        </w:rPr>
        <w:t>%</w:t>
      </w:r>
      <w:r>
        <w:rPr>
          <w:rFonts w:hint="eastAsia" w:cs="宋体"/>
          <w:color w:val="000000" w:themeColor="text1"/>
          <w:szCs w:val="21"/>
          <w:highlight w:val="none"/>
          <w14:textFill>
            <w14:solidFill>
              <w14:schemeClr w14:val="tx1"/>
            </w14:solidFill>
          </w14:textFill>
        </w:rPr>
        <w:t>（不得超过</w:t>
      </w:r>
      <w:r>
        <w:rPr>
          <w:color w:val="000000" w:themeColor="text1"/>
          <w:szCs w:val="21"/>
          <w:highlight w:val="none"/>
          <w14:textFill>
            <w14:solidFill>
              <w14:schemeClr w14:val="tx1"/>
            </w14:solidFill>
          </w14:textFill>
        </w:rPr>
        <w:t>3%</w:t>
      </w:r>
      <w:r>
        <w:rPr>
          <w:rFonts w:hint="eastAsia" w:cs="宋体"/>
          <w:color w:val="000000" w:themeColor="text1"/>
          <w:szCs w:val="21"/>
          <w:highlight w:val="none"/>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预留工程质量保证金，待缺陷责任期满后返还，是否付息及利息计算方式为：</w:t>
      </w:r>
      <w:r>
        <w:rPr>
          <w:rFonts w:hint="eastAsia" w:hAnsi="宋体"/>
          <w:color w:val="000000" w:themeColor="text1"/>
          <w:szCs w:val="21"/>
          <w:highlight w:val="none"/>
          <w:u w:val="single"/>
          <w14:textFill>
            <w14:solidFill>
              <w14:schemeClr w14:val="tx1"/>
            </w14:solidFill>
          </w14:textFill>
        </w:rPr>
        <w:t>不计利息</w:t>
      </w:r>
      <w:r>
        <w:rPr>
          <w:rFonts w:hint="eastAsia" w:hAnsi="宋体" w:cs="宋体"/>
          <w:color w:val="000000" w:themeColor="text1"/>
          <w:kern w:val="0"/>
          <w:szCs w:val="21"/>
          <w:highlight w:val="none"/>
          <w14:textFill>
            <w14:solidFill>
              <w14:schemeClr w14:val="tx1"/>
            </w14:solidFill>
          </w14:textFill>
        </w:rPr>
        <w:t>；</w:t>
      </w:r>
    </w:p>
    <w:p w14:paraId="2A06302F">
      <w:pPr>
        <w:autoSpaceDE w:val="0"/>
        <w:autoSpaceDN w:val="0"/>
        <w:adjustRightInd w:val="0"/>
        <w:spacing w:line="360" w:lineRule="auto"/>
        <w:ind w:firstLine="420" w:firstLineChars="200"/>
        <w:jc w:val="left"/>
        <w:rPr>
          <w:color w:val="000000" w:themeColor="text1"/>
          <w:kern w:val="0"/>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w:t>
      </w:r>
      <w:r>
        <w:rPr>
          <w:color w:val="000000" w:themeColor="text1"/>
          <w:kern w:val="0"/>
          <w:szCs w:val="21"/>
          <w:highlight w:val="none"/>
          <w14:textFill>
            <w14:solidFill>
              <w14:schemeClr w14:val="tx1"/>
            </w14:solidFill>
          </w14:textFill>
        </w:rPr>
        <w:t>3</w:t>
      </w:r>
      <w:r>
        <w:rPr>
          <w:rFonts w:hint="eastAsia" w:hAnsi="宋体" w:cs="宋体"/>
          <w:color w:val="000000" w:themeColor="text1"/>
          <w:kern w:val="0"/>
          <w:szCs w:val="21"/>
          <w:highlight w:val="none"/>
          <w14:textFill>
            <w14:solidFill>
              <w14:schemeClr w14:val="tx1"/>
            </w14:solidFill>
          </w14:textFill>
        </w:rPr>
        <w:t>）其他方式</w:t>
      </w:r>
      <w:r>
        <w:rPr>
          <w:rFonts w:hint="eastAsia" w:cs="宋体"/>
          <w:color w:val="000000" w:themeColor="text1"/>
          <w:kern w:val="0"/>
          <w:szCs w:val="21"/>
          <w:highlight w:val="none"/>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银行转账、电汇或网上支付等形式。</w:t>
      </w:r>
      <w:r>
        <w:rPr>
          <w:rFonts w:hint="eastAsia" w:hAnsi="宋体" w:cs="宋体"/>
          <w:color w:val="000000" w:themeColor="text1"/>
          <w:szCs w:val="21"/>
          <w:highlight w:val="none"/>
          <w:u w:val="single"/>
          <w14:textFill>
            <w14:solidFill>
              <w14:schemeClr w14:val="tx1"/>
            </w14:solidFill>
          </w14:textFill>
        </w:rPr>
        <w:t>结算经</w:t>
      </w:r>
      <w:r>
        <w:rPr>
          <w:rFonts w:hint="eastAsia"/>
          <w:color w:val="000000" w:themeColor="text1"/>
          <w:szCs w:val="21"/>
          <w:highlight w:val="none"/>
          <w:u w:val="single"/>
          <w14:textFill>
            <w14:solidFill>
              <w14:schemeClr w14:val="tx1"/>
            </w14:solidFill>
          </w14:textFill>
        </w:rPr>
        <w:t>发包人</w:t>
      </w:r>
      <w:r>
        <w:rPr>
          <w:rFonts w:hint="eastAsia" w:hAnsi="宋体" w:cs="宋体"/>
          <w:color w:val="000000" w:themeColor="text1"/>
          <w:szCs w:val="21"/>
          <w:highlight w:val="none"/>
          <w:u w:val="single"/>
          <w14:textFill>
            <w14:solidFill>
              <w14:schemeClr w14:val="tx1"/>
            </w14:solidFill>
          </w14:textFill>
        </w:rPr>
        <w:t>审定后，承包人按最终审定结算金额的3%支付工程质量保修金，并开具合法有效的增值税专用发票后14个工作日内，工程款支付至最终审定结算金额的100%（含已支付的）</w:t>
      </w:r>
      <w:r>
        <w:rPr>
          <w:rFonts w:hint="eastAsia" w:ascii="宋体" w:hAnsi="宋体"/>
          <w:color w:val="000000" w:themeColor="text1"/>
          <w:szCs w:val="21"/>
          <w:highlight w:val="none"/>
          <w:u w:val="single"/>
          <w14:textFill>
            <w14:solidFill>
              <w14:schemeClr w14:val="tx1"/>
            </w14:solidFill>
          </w14:textFill>
        </w:rPr>
        <w:t>；</w:t>
      </w:r>
      <w:r>
        <w:rPr>
          <w:rFonts w:hint="eastAsia" w:hAnsi="宋体"/>
          <w:color w:val="000000" w:themeColor="text1"/>
          <w:szCs w:val="21"/>
          <w:highlight w:val="none"/>
          <w:u w:val="single"/>
          <w14:textFill>
            <w14:solidFill>
              <w14:schemeClr w14:val="tx1"/>
            </w14:solidFill>
          </w14:textFill>
        </w:rPr>
        <w:t>在工程竣工质量保修期满2年且验收合格</w:t>
      </w:r>
      <w:r>
        <w:rPr>
          <w:rFonts w:hint="eastAsia"/>
          <w:color w:val="000000" w:themeColor="text1"/>
          <w:szCs w:val="21"/>
          <w:highlight w:val="none"/>
          <w:u w:val="single"/>
          <w14:textFill>
            <w14:solidFill>
              <w14:schemeClr w14:val="tx1"/>
            </w14:solidFill>
          </w14:textFill>
        </w:rPr>
        <w:t>后</w:t>
      </w:r>
      <w:r>
        <w:rPr>
          <w:rFonts w:hint="eastAsia" w:hAnsi="宋体"/>
          <w:color w:val="000000" w:themeColor="text1"/>
          <w:szCs w:val="21"/>
          <w:highlight w:val="none"/>
          <w:u w:val="single"/>
          <w14:textFill>
            <w14:solidFill>
              <w14:schemeClr w14:val="tx1"/>
            </w14:solidFill>
          </w14:textFill>
        </w:rPr>
        <w:t>，</w:t>
      </w:r>
      <w:r>
        <w:rPr>
          <w:rFonts w:hint="eastAsia"/>
          <w:color w:val="000000" w:themeColor="text1"/>
          <w:szCs w:val="21"/>
          <w:highlight w:val="none"/>
          <w:u w:val="single"/>
          <w14:textFill>
            <w14:solidFill>
              <w14:schemeClr w14:val="tx1"/>
            </w14:solidFill>
          </w14:textFill>
        </w:rPr>
        <w:t>并扣除有关应扣除的费用后，</w:t>
      </w:r>
      <w:r>
        <w:rPr>
          <w:rFonts w:hint="eastAsia" w:hAnsi="宋体"/>
          <w:color w:val="000000" w:themeColor="text1"/>
          <w:szCs w:val="21"/>
          <w:highlight w:val="none"/>
          <w:u w:val="single"/>
          <w14:textFill>
            <w14:solidFill>
              <w14:schemeClr w14:val="tx1"/>
            </w14:solidFill>
          </w14:textFill>
        </w:rPr>
        <w:t>将剩余保修金 （不计利息）全额退回承包人</w:t>
      </w:r>
      <w:r>
        <w:rPr>
          <w:rFonts w:hint="eastAsia" w:ascii="宋体" w:hAnsi="宋体"/>
          <w:bCs/>
          <w:color w:val="000000" w:themeColor="text1"/>
          <w:szCs w:val="21"/>
          <w:highlight w:val="none"/>
          <w:u w:val="single"/>
          <w14:textFill>
            <w14:solidFill>
              <w14:schemeClr w14:val="tx1"/>
            </w14:solidFill>
          </w14:textFill>
        </w:rPr>
        <w:t>。</w:t>
      </w:r>
    </w:p>
    <w:p w14:paraId="539C852B">
      <w:pPr>
        <w:spacing w:line="360" w:lineRule="auto"/>
        <w:ind w:firstLine="420" w:firstLineChars="20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15.3.2 </w:t>
      </w:r>
      <w:r>
        <w:rPr>
          <w:rFonts w:hint="eastAsia" w:hAnsi="宋体" w:cs="宋体"/>
          <w:color w:val="000000" w:themeColor="text1"/>
          <w:szCs w:val="21"/>
          <w:highlight w:val="none"/>
          <w14:textFill>
            <w14:solidFill>
              <w14:schemeClr w14:val="tx1"/>
            </w14:solidFill>
          </w14:textFill>
        </w:rPr>
        <w:t>质量保证金的扣留</w:t>
      </w:r>
    </w:p>
    <w:p w14:paraId="2699E125">
      <w:pPr>
        <w:spacing w:line="360" w:lineRule="auto"/>
        <w:ind w:firstLine="420" w:firstLineChars="200"/>
        <w:jc w:val="left"/>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质量保证金的扣留采取以下第</w:t>
      </w:r>
      <w:r>
        <w:rPr>
          <w:rFonts w:hint="eastAsia"/>
          <w:color w:val="000000" w:themeColor="text1"/>
          <w:szCs w:val="21"/>
          <w:highlight w:val="none"/>
          <w:u w:val="single"/>
          <w:lang w:eastAsia="zh-CN"/>
          <w14:textFill>
            <w14:solidFill>
              <w14:schemeClr w14:val="tx1"/>
            </w14:solidFill>
          </w14:textFill>
        </w:rPr>
        <w:t>（</w:t>
      </w:r>
      <w:r>
        <w:rPr>
          <w:rFonts w:hint="eastAsia"/>
          <w:color w:val="000000" w:themeColor="text1"/>
          <w:szCs w:val="21"/>
          <w:highlight w:val="none"/>
          <w:u w:val="single"/>
          <w:lang w:val="en-US" w:eastAsia="zh-CN"/>
          <w14:textFill>
            <w14:solidFill>
              <w14:schemeClr w14:val="tx1"/>
            </w14:solidFill>
          </w14:textFill>
        </w:rPr>
        <w:t>3</w:t>
      </w:r>
      <w:r>
        <w:rPr>
          <w:rFonts w:hint="eastAsia"/>
          <w:color w:val="000000" w:themeColor="text1"/>
          <w:szCs w:val="21"/>
          <w:highlight w:val="none"/>
          <w:u w:val="single"/>
          <w:lang w:eastAsia="zh-CN"/>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种方式：</w:t>
      </w:r>
    </w:p>
    <w:p w14:paraId="621469BD">
      <w:pPr>
        <w:autoSpaceDE w:val="0"/>
        <w:autoSpaceDN w:val="0"/>
        <w:adjustRightInd w:val="0"/>
        <w:spacing w:line="360" w:lineRule="auto"/>
        <w:ind w:firstLine="420" w:firstLineChars="200"/>
        <w:jc w:val="left"/>
        <w:rPr>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w:t>
      </w:r>
      <w:r>
        <w:rPr>
          <w:color w:val="000000" w:themeColor="text1"/>
          <w:kern w:val="0"/>
          <w:szCs w:val="21"/>
          <w:highlight w:val="none"/>
          <w14:textFill>
            <w14:solidFill>
              <w14:schemeClr w14:val="tx1"/>
            </w14:solidFill>
          </w14:textFill>
        </w:rPr>
        <w:t>1</w:t>
      </w:r>
      <w:r>
        <w:rPr>
          <w:rFonts w:hint="eastAsia" w:hAnsi="宋体" w:cs="宋体"/>
          <w:color w:val="000000" w:themeColor="text1"/>
          <w:kern w:val="0"/>
          <w:szCs w:val="21"/>
          <w:highlight w:val="none"/>
          <w14:textFill>
            <w14:solidFill>
              <w14:schemeClr w14:val="tx1"/>
            </w14:solidFill>
          </w14:textFill>
        </w:rPr>
        <w:t>）在</w:t>
      </w:r>
      <w:r>
        <w:rPr>
          <w:rFonts w:hAnsi="宋体" w:cs="宋体"/>
          <w:color w:val="000000" w:themeColor="text1"/>
          <w:kern w:val="0"/>
          <w:szCs w:val="21"/>
          <w:highlight w:val="none"/>
          <w14:textFill>
            <w14:solidFill>
              <w14:schemeClr w14:val="tx1"/>
            </w14:solidFill>
          </w14:textFill>
        </w:rPr>
        <w:t>不缴纳</w:t>
      </w:r>
      <w:r>
        <w:rPr>
          <w:rFonts w:hint="eastAsia" w:hAnsi="宋体" w:cs="宋体"/>
          <w:color w:val="000000" w:themeColor="text1"/>
          <w:kern w:val="0"/>
          <w:szCs w:val="21"/>
          <w:highlight w:val="none"/>
          <w:lang w:eastAsia="zh-CN"/>
          <w14:textFill>
            <w14:solidFill>
              <w14:schemeClr w14:val="tx1"/>
            </w14:solidFill>
          </w14:textFill>
        </w:rPr>
        <w:t>履约</w:t>
      </w:r>
      <w:r>
        <w:rPr>
          <w:rFonts w:hint="eastAsia" w:hAnsi="宋体" w:cs="宋体"/>
          <w:color w:val="000000" w:themeColor="text1"/>
          <w:kern w:val="0"/>
          <w:szCs w:val="21"/>
          <w:highlight w:val="none"/>
          <w14:textFill>
            <w14:solidFill>
              <w14:schemeClr w14:val="tx1"/>
            </w14:solidFill>
          </w14:textFill>
        </w:rPr>
        <w:t>保</w:t>
      </w:r>
      <w:r>
        <w:rPr>
          <w:rFonts w:hAnsi="宋体" w:cs="宋体"/>
          <w:color w:val="000000" w:themeColor="text1"/>
          <w:kern w:val="0"/>
          <w:szCs w:val="21"/>
          <w:highlight w:val="none"/>
          <w14:textFill>
            <w14:solidFill>
              <w14:schemeClr w14:val="tx1"/>
            </w14:solidFill>
          </w14:textFill>
        </w:rPr>
        <w:t>证金情况下</w:t>
      </w:r>
      <w:r>
        <w:rPr>
          <w:rFonts w:hint="eastAsia" w:hAnsi="宋体" w:cs="宋体"/>
          <w:color w:val="000000" w:themeColor="text1"/>
          <w:kern w:val="0"/>
          <w:szCs w:val="21"/>
          <w:highlight w:val="none"/>
          <w14:textFill>
            <w14:solidFill>
              <w14:schemeClr w14:val="tx1"/>
            </w14:solidFill>
          </w14:textFill>
        </w:rPr>
        <w:t>，按支付工程进度款时逐次扣留，质量保证金的计算基数不包括预付款的支付、扣回以及价格调整的金额；</w:t>
      </w:r>
    </w:p>
    <w:p w14:paraId="274EE5C4">
      <w:pPr>
        <w:autoSpaceDE w:val="0"/>
        <w:autoSpaceDN w:val="0"/>
        <w:adjustRightInd w:val="0"/>
        <w:spacing w:line="360" w:lineRule="auto"/>
        <w:ind w:firstLine="420" w:firstLineChars="200"/>
        <w:jc w:val="left"/>
        <w:rPr>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w:t>
      </w:r>
      <w:r>
        <w:rPr>
          <w:color w:val="000000" w:themeColor="text1"/>
          <w:kern w:val="0"/>
          <w:szCs w:val="21"/>
          <w:highlight w:val="none"/>
          <w14:textFill>
            <w14:solidFill>
              <w14:schemeClr w14:val="tx1"/>
            </w14:solidFill>
          </w14:textFill>
        </w:rPr>
        <w:t>2</w:t>
      </w:r>
      <w:r>
        <w:rPr>
          <w:rFonts w:hint="eastAsia" w:hAnsi="宋体" w:cs="宋体"/>
          <w:color w:val="000000" w:themeColor="text1"/>
          <w:kern w:val="0"/>
          <w:szCs w:val="21"/>
          <w:highlight w:val="none"/>
          <w14:textFill>
            <w14:solidFill>
              <w14:schemeClr w14:val="tx1"/>
            </w14:solidFill>
          </w14:textFill>
        </w:rPr>
        <w:t>）工程竣工结算时，一次性扣留质量保证金，</w:t>
      </w:r>
      <w:r>
        <w:rPr>
          <w:rFonts w:hAnsi="宋体" w:cs="宋体"/>
          <w:color w:val="000000" w:themeColor="text1"/>
          <w:kern w:val="0"/>
          <w:szCs w:val="21"/>
          <w:highlight w:val="none"/>
          <w14:textFill>
            <w14:solidFill>
              <w14:schemeClr w14:val="tx1"/>
            </w14:solidFill>
          </w14:textFill>
        </w:rPr>
        <w:t>由承包人以银行保函</w:t>
      </w:r>
      <w:r>
        <w:rPr>
          <w:rFonts w:hint="eastAsia" w:hAnsi="宋体" w:cs="宋体"/>
          <w:color w:val="000000" w:themeColor="text1"/>
          <w:kern w:val="0"/>
          <w:szCs w:val="21"/>
          <w:highlight w:val="none"/>
          <w14:textFill>
            <w14:solidFill>
              <w14:schemeClr w14:val="tx1"/>
            </w14:solidFill>
          </w14:textFill>
        </w:rPr>
        <w:t>、保证保险</w:t>
      </w:r>
      <w:r>
        <w:rPr>
          <w:rFonts w:hAnsi="宋体" w:cs="宋体"/>
          <w:color w:val="000000" w:themeColor="text1"/>
          <w:kern w:val="0"/>
          <w:szCs w:val="21"/>
          <w:highlight w:val="none"/>
          <w14:textFill>
            <w14:solidFill>
              <w14:schemeClr w14:val="tx1"/>
            </w14:solidFill>
          </w14:textFill>
        </w:rPr>
        <w:t>替代预留</w:t>
      </w:r>
      <w:r>
        <w:rPr>
          <w:rFonts w:hint="eastAsia" w:hAnsi="宋体" w:cs="宋体"/>
          <w:color w:val="000000" w:themeColor="text1"/>
          <w:kern w:val="0"/>
          <w:szCs w:val="21"/>
          <w:highlight w:val="none"/>
          <w14:textFill>
            <w14:solidFill>
              <w14:schemeClr w14:val="tx1"/>
            </w14:solidFill>
          </w14:textFill>
        </w:rPr>
        <w:t>质量</w:t>
      </w:r>
      <w:r>
        <w:rPr>
          <w:rFonts w:hAnsi="宋体" w:cs="宋体"/>
          <w:color w:val="000000" w:themeColor="text1"/>
          <w:kern w:val="0"/>
          <w:szCs w:val="21"/>
          <w:highlight w:val="none"/>
          <w14:textFill>
            <w14:solidFill>
              <w14:schemeClr w14:val="tx1"/>
            </w14:solidFill>
          </w14:textFill>
        </w:rPr>
        <w:t>保证金</w:t>
      </w:r>
      <w:r>
        <w:rPr>
          <w:rFonts w:hint="eastAsia" w:hAnsi="宋体" w:cs="宋体"/>
          <w:color w:val="000000" w:themeColor="text1"/>
          <w:kern w:val="0"/>
          <w:szCs w:val="21"/>
          <w:highlight w:val="none"/>
          <w14:textFill>
            <w14:solidFill>
              <w14:schemeClr w14:val="tx1"/>
            </w14:solidFill>
          </w14:textFill>
        </w:rPr>
        <w:t>，</w:t>
      </w:r>
      <w:r>
        <w:rPr>
          <w:rFonts w:hAnsi="宋体" w:cs="宋体"/>
          <w:color w:val="000000" w:themeColor="text1"/>
          <w:kern w:val="0"/>
          <w:szCs w:val="21"/>
          <w:highlight w:val="none"/>
          <w14:textFill>
            <w14:solidFill>
              <w14:schemeClr w14:val="tx1"/>
            </w14:solidFill>
          </w14:textFill>
        </w:rPr>
        <w:t>保函金额不得高</w:t>
      </w:r>
      <w:r>
        <w:rPr>
          <w:rFonts w:hint="eastAsia" w:hAnsi="宋体" w:cs="宋体"/>
          <w:color w:val="000000" w:themeColor="text1"/>
          <w:kern w:val="0"/>
          <w:szCs w:val="21"/>
          <w:highlight w:val="none"/>
          <w14:textFill>
            <w14:solidFill>
              <w14:schemeClr w14:val="tx1"/>
            </w14:solidFill>
          </w14:textFill>
        </w:rPr>
        <w:t>于</w:t>
      </w:r>
      <w:r>
        <w:rPr>
          <w:rFonts w:hAnsi="宋体" w:cs="宋体"/>
          <w:color w:val="000000" w:themeColor="text1"/>
          <w:kern w:val="0"/>
          <w:szCs w:val="21"/>
          <w:highlight w:val="none"/>
          <w14:textFill>
            <w14:solidFill>
              <w14:schemeClr w14:val="tx1"/>
            </w14:solidFill>
          </w14:textFill>
        </w:rPr>
        <w:t>工程价款结算总额的</w:t>
      </w:r>
      <w:r>
        <w:rPr>
          <w:rFonts w:hint="eastAsia" w:hAnsi="宋体" w:cs="宋体"/>
          <w:color w:val="000000" w:themeColor="text1"/>
          <w:kern w:val="0"/>
          <w:szCs w:val="21"/>
          <w:highlight w:val="none"/>
          <w14:textFill>
            <w14:solidFill>
              <w14:schemeClr w14:val="tx1"/>
            </w14:solidFill>
          </w14:textFill>
        </w:rPr>
        <w:t>3</w:t>
      </w:r>
      <w:r>
        <w:rPr>
          <w:rFonts w:hAnsi="宋体" w:cs="宋体"/>
          <w:color w:val="000000" w:themeColor="text1"/>
          <w:kern w:val="0"/>
          <w:szCs w:val="21"/>
          <w:highlight w:val="none"/>
          <w14:textFill>
            <w14:solidFill>
              <w14:schemeClr w14:val="tx1"/>
            </w14:solidFill>
          </w14:textFill>
        </w:rPr>
        <w:t>%</w:t>
      </w:r>
      <w:r>
        <w:rPr>
          <w:rFonts w:hint="eastAsia" w:hAnsi="宋体" w:cs="宋体"/>
          <w:color w:val="000000" w:themeColor="text1"/>
          <w:kern w:val="0"/>
          <w:szCs w:val="21"/>
          <w:highlight w:val="none"/>
          <w14:textFill>
            <w14:solidFill>
              <w14:schemeClr w14:val="tx1"/>
            </w14:solidFill>
          </w14:textFill>
        </w:rPr>
        <w:t>；</w:t>
      </w:r>
    </w:p>
    <w:p w14:paraId="3CC03D55">
      <w:pPr>
        <w:autoSpaceDE w:val="0"/>
        <w:autoSpaceDN w:val="0"/>
        <w:adjustRightInd w:val="0"/>
        <w:spacing w:line="360" w:lineRule="auto"/>
        <w:ind w:firstLine="420" w:firstLineChars="200"/>
        <w:jc w:val="left"/>
        <w:rPr>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w:t>
      </w:r>
      <w:r>
        <w:rPr>
          <w:color w:val="000000" w:themeColor="text1"/>
          <w:kern w:val="0"/>
          <w:szCs w:val="21"/>
          <w:highlight w:val="none"/>
          <w14:textFill>
            <w14:solidFill>
              <w14:schemeClr w14:val="tx1"/>
            </w14:solidFill>
          </w14:textFill>
        </w:rPr>
        <w:t>3</w:t>
      </w:r>
      <w:r>
        <w:rPr>
          <w:rFonts w:hint="eastAsia" w:hAnsi="宋体" w:cs="宋体"/>
          <w:color w:val="000000" w:themeColor="text1"/>
          <w:kern w:val="0"/>
          <w:szCs w:val="21"/>
          <w:highlight w:val="none"/>
          <w14:textFill>
            <w14:solidFill>
              <w14:schemeClr w14:val="tx1"/>
            </w14:solidFill>
          </w14:textFill>
        </w:rPr>
        <w:t>）其他扣留方式</w:t>
      </w:r>
      <w:r>
        <w:rPr>
          <w:rFonts w:hint="eastAsia" w:hAnsi="宋体" w:cs="宋体"/>
          <w:color w:val="000000" w:themeColor="text1"/>
          <w:kern w:val="0"/>
          <w:szCs w:val="21"/>
          <w:highlight w:val="none"/>
          <w:lang w:eastAsia="zh-CN"/>
          <w14:textFill>
            <w14:solidFill>
              <w14:schemeClr w14:val="tx1"/>
            </w14:solidFill>
          </w14:textFill>
        </w:rPr>
        <w:t>：</w:t>
      </w:r>
      <w:r>
        <w:rPr>
          <w:color w:val="000000" w:themeColor="text1"/>
          <w:kern w:val="0"/>
          <w:szCs w:val="21"/>
          <w:highlight w:val="none"/>
          <w14:textFill>
            <w14:solidFill>
              <w14:schemeClr w14:val="tx1"/>
            </w14:solidFill>
          </w14:textFill>
        </w:rPr>
        <w:t>:</w:t>
      </w:r>
      <w:r>
        <w:rPr>
          <w:rFonts w:hint="eastAsia" w:ascii="Times New Roman" w:hAnsi="Times New Roman" w:eastAsia="宋体" w:cs="Times New Roman"/>
          <w:color w:val="auto"/>
          <w:highlight w:val="none"/>
        </w:rPr>
        <w:t>工程竣工验收合格</w:t>
      </w:r>
      <w:r>
        <w:rPr>
          <w:rFonts w:hint="eastAsia" w:ascii="Times New Roman" w:hAnsi="Times New Roman" w:eastAsia="宋体" w:cs="Times New Roman"/>
          <w:color w:val="auto"/>
          <w:highlight w:val="none"/>
          <w:lang w:eastAsia="zh-CN"/>
        </w:rPr>
        <w:t>，</w:t>
      </w:r>
      <w:r>
        <w:rPr>
          <w:rFonts w:hint="eastAsia" w:ascii="宋体" w:hAnsi="宋体" w:eastAsia="宋体" w:cs="宋体"/>
          <w:color w:val="auto"/>
          <w:sz w:val="21"/>
          <w:szCs w:val="21"/>
          <w:highlight w:val="none"/>
          <w:lang w:eastAsia="zh-CN"/>
        </w:rPr>
        <w:t>经第三方工程结算审计审定后，工程款支付至结算总价的97%，预留结算总价的3%为质量保证金，</w:t>
      </w:r>
      <w:r>
        <w:rPr>
          <w:rFonts w:hint="eastAsia" w:ascii="宋体" w:hAnsi="宋体" w:cs="宋体"/>
          <w:color w:val="auto"/>
          <w:highlight w:val="none"/>
        </w:rPr>
        <w:t>工程质量保修金在工程竣工</w:t>
      </w:r>
      <w:r>
        <w:rPr>
          <w:rFonts w:hint="eastAsia" w:ascii="宋体" w:hAnsi="宋体" w:cs="宋体"/>
          <w:color w:val="auto"/>
          <w:highlight w:val="none"/>
          <w:lang w:val="en-US" w:eastAsia="zh-CN"/>
        </w:rPr>
        <w:t>验收合格后，2年</w:t>
      </w:r>
      <w:r>
        <w:rPr>
          <w:rFonts w:hint="eastAsia" w:ascii="宋体" w:hAnsi="宋体" w:cs="宋体"/>
          <w:color w:val="auto"/>
          <w:highlight w:val="none"/>
        </w:rPr>
        <w:t>质量保修期满，并扣除有关应扣除的费用后，30个工作日内将剩余</w:t>
      </w:r>
      <w:r>
        <w:rPr>
          <w:rFonts w:hint="eastAsia" w:ascii="宋体" w:hAnsi="宋体" w:cs="宋体"/>
          <w:color w:val="auto"/>
          <w:highlight w:val="none"/>
          <w:lang w:val="en-US" w:eastAsia="zh-CN"/>
        </w:rPr>
        <w:t>质量保证</w:t>
      </w:r>
      <w:r>
        <w:rPr>
          <w:rFonts w:hint="eastAsia" w:ascii="宋体" w:hAnsi="宋体" w:cs="宋体"/>
          <w:color w:val="auto"/>
          <w:highlight w:val="none"/>
        </w:rPr>
        <w:t>金 （不计利息）全额退回承包人。</w:t>
      </w:r>
      <w:r>
        <w:rPr>
          <w:rFonts w:hint="eastAsia" w:ascii="宋体" w:hAnsi="宋体"/>
          <w:bCs/>
          <w:color w:val="000000" w:themeColor="text1"/>
          <w:szCs w:val="21"/>
          <w:highlight w:val="none"/>
          <w14:textFill>
            <w14:solidFill>
              <w14:schemeClr w14:val="tx1"/>
            </w14:solidFill>
          </w14:textFill>
        </w:rPr>
        <w:t>。</w:t>
      </w:r>
    </w:p>
    <w:p w14:paraId="52599EBA">
      <w:pPr>
        <w:spacing w:line="360" w:lineRule="auto"/>
        <w:ind w:firstLine="420" w:firstLineChars="200"/>
        <w:jc w:val="left"/>
        <w:rPr>
          <w:color w:val="000000" w:themeColor="text1"/>
          <w:kern w:val="0"/>
          <w:szCs w:val="21"/>
          <w:highlight w:val="none"/>
          <w:u w:val="singl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关于质量保证金的补充约定：</w:t>
      </w:r>
      <w:r>
        <w:rPr>
          <w:rFonts w:hint="eastAsia"/>
          <w:color w:val="000000" w:themeColor="text1"/>
          <w:kern w:val="0"/>
          <w:szCs w:val="21"/>
          <w:highlight w:val="none"/>
          <w:u w:val="single"/>
          <w14:textFill>
            <w14:solidFill>
              <w14:schemeClr w14:val="tx1"/>
            </w14:solidFill>
          </w14:textFill>
        </w:rPr>
        <w:t>无</w:t>
      </w:r>
      <w:r>
        <w:rPr>
          <w:rFonts w:hint="eastAsia" w:hAnsi="宋体" w:cs="宋体"/>
          <w:color w:val="000000" w:themeColor="text1"/>
          <w:kern w:val="0"/>
          <w:szCs w:val="21"/>
          <w:highlight w:val="none"/>
          <w14:textFill>
            <w14:solidFill>
              <w14:schemeClr w14:val="tx1"/>
            </w14:solidFill>
          </w14:textFill>
        </w:rPr>
        <w:t>。</w:t>
      </w:r>
    </w:p>
    <w:bookmarkEnd w:id="997"/>
    <w:bookmarkEnd w:id="998"/>
    <w:p w14:paraId="5A777CC8">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1038" w:name="_Toc114058905"/>
      <w:bookmarkStart w:id="1039" w:name="_Toc78449854"/>
      <w:bookmarkStart w:id="1040" w:name="_Toc407135268"/>
      <w:bookmarkStart w:id="1041" w:name="_Toc373478412"/>
      <w:bookmarkStart w:id="1042" w:name="_Toc389065330"/>
      <w:bookmarkStart w:id="1043" w:name="_Toc373227765"/>
      <w:r>
        <w:rPr>
          <w:rFonts w:eastAsia="黑体"/>
          <w:b/>
          <w:bCs/>
          <w:color w:val="000000" w:themeColor="text1"/>
          <w:sz w:val="32"/>
          <w:szCs w:val="32"/>
          <w:highlight w:val="none"/>
          <w:lang w:val="zh-CN"/>
          <w14:textFill>
            <w14:solidFill>
              <w14:schemeClr w14:val="tx1"/>
            </w14:solidFill>
          </w14:textFill>
        </w:rPr>
        <w:t xml:space="preserve">15.4 </w:t>
      </w:r>
      <w:r>
        <w:rPr>
          <w:rFonts w:hint="eastAsia" w:hAnsi="宋体" w:eastAsia="黑体" w:cs="黑体"/>
          <w:b/>
          <w:bCs/>
          <w:color w:val="000000" w:themeColor="text1"/>
          <w:sz w:val="32"/>
          <w:szCs w:val="32"/>
          <w:highlight w:val="none"/>
          <w:lang w:val="zh-CN"/>
          <w14:textFill>
            <w14:solidFill>
              <w14:schemeClr w14:val="tx1"/>
            </w14:solidFill>
          </w14:textFill>
        </w:rPr>
        <w:t>保修</w:t>
      </w:r>
      <w:bookmarkEnd w:id="1038"/>
      <w:bookmarkEnd w:id="1039"/>
      <w:bookmarkEnd w:id="1040"/>
      <w:bookmarkEnd w:id="1041"/>
      <w:bookmarkEnd w:id="1042"/>
      <w:bookmarkEnd w:id="1043"/>
    </w:p>
    <w:bookmarkEnd w:id="999"/>
    <w:p w14:paraId="54E9019D">
      <w:pPr>
        <w:spacing w:line="360" w:lineRule="auto"/>
        <w:ind w:firstLine="409" w:firstLineChars="195"/>
        <w:jc w:val="left"/>
        <w:outlineLvl w:val="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15.4.1 </w:t>
      </w:r>
      <w:r>
        <w:rPr>
          <w:rFonts w:hint="eastAsia" w:hAnsi="宋体" w:cs="宋体"/>
          <w:color w:val="000000" w:themeColor="text1"/>
          <w:szCs w:val="21"/>
          <w:highlight w:val="none"/>
          <w14:textFill>
            <w14:solidFill>
              <w14:schemeClr w14:val="tx1"/>
            </w14:solidFill>
          </w14:textFill>
        </w:rPr>
        <w:t>保修责任</w:t>
      </w:r>
    </w:p>
    <w:p w14:paraId="08418594">
      <w:pPr>
        <w:spacing w:line="360" w:lineRule="auto"/>
        <w:ind w:firstLine="409" w:firstLineChars="195"/>
        <w:jc w:val="left"/>
        <w:rPr>
          <w:rFonts w:hAnsi="宋体"/>
          <w:color w:val="000000" w:themeColor="text1"/>
          <w:kern w:val="0"/>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工程保修期为：</w:t>
      </w:r>
      <w:r>
        <w:rPr>
          <w:rFonts w:hint="eastAsia"/>
          <w:color w:val="000000" w:themeColor="text1"/>
          <w:kern w:val="0"/>
          <w:szCs w:val="21"/>
          <w:highlight w:val="none"/>
          <w:u w:val="single"/>
          <w14:textFill>
            <w14:solidFill>
              <w14:schemeClr w14:val="tx1"/>
            </w14:solidFill>
          </w14:textFill>
        </w:rPr>
        <w:t>工程质量保修范围、期限和责任在工程质量保修书中约定</w:t>
      </w:r>
      <w:r>
        <w:rPr>
          <w:rFonts w:hint="eastAsia" w:hAnsi="宋体" w:cs="宋体"/>
          <w:color w:val="000000" w:themeColor="text1"/>
          <w:kern w:val="0"/>
          <w:szCs w:val="21"/>
          <w:highlight w:val="none"/>
          <w14:textFill>
            <w14:solidFill>
              <w14:schemeClr w14:val="tx1"/>
            </w14:solidFill>
          </w14:textFill>
        </w:rPr>
        <w:t>。</w:t>
      </w:r>
    </w:p>
    <w:p w14:paraId="3FD6ECA1">
      <w:pPr>
        <w:spacing w:line="360" w:lineRule="auto"/>
        <w:ind w:firstLine="409" w:firstLineChars="195"/>
        <w:jc w:val="left"/>
        <w:rPr>
          <w:color w:val="000000" w:themeColor="text1"/>
          <w:kern w:val="0"/>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工程保修书具体内容见合同附件2。</w:t>
      </w:r>
    </w:p>
    <w:p w14:paraId="5360F5A1">
      <w:pPr>
        <w:spacing w:line="360" w:lineRule="auto"/>
        <w:ind w:firstLine="409" w:firstLineChars="195"/>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15.4.3 </w:t>
      </w:r>
      <w:r>
        <w:rPr>
          <w:rFonts w:hint="eastAsia" w:hAnsi="宋体" w:cs="宋体"/>
          <w:color w:val="000000" w:themeColor="text1"/>
          <w:szCs w:val="21"/>
          <w:highlight w:val="none"/>
          <w14:textFill>
            <w14:solidFill>
              <w14:schemeClr w14:val="tx1"/>
            </w14:solidFill>
          </w14:textFill>
        </w:rPr>
        <w:t>修复通知</w:t>
      </w:r>
    </w:p>
    <w:p w14:paraId="6651E584">
      <w:pPr>
        <w:spacing w:line="360" w:lineRule="auto"/>
        <w:ind w:firstLine="409" w:firstLineChars="195"/>
        <w:jc w:val="left"/>
        <w:rPr>
          <w:color w:val="000000" w:themeColor="text1"/>
          <w:kern w:val="0"/>
          <w:szCs w:val="21"/>
          <w:highlight w:val="none"/>
          <w:u w:val="singl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承包人收到保修通知并到达工程现场的合理时间：</w:t>
      </w:r>
      <w:r>
        <w:rPr>
          <w:rFonts w:hint="eastAsia"/>
          <w:color w:val="000000" w:themeColor="text1"/>
          <w:kern w:val="0"/>
          <w:szCs w:val="21"/>
          <w:highlight w:val="none"/>
          <w:u w:val="single"/>
          <w14:textFill>
            <w14:solidFill>
              <w14:schemeClr w14:val="tx1"/>
            </w14:solidFill>
          </w14:textFill>
        </w:rPr>
        <w:t>24小时</w:t>
      </w:r>
      <w:r>
        <w:rPr>
          <w:rFonts w:hint="eastAsia" w:hAnsi="宋体" w:cs="宋体"/>
          <w:color w:val="000000" w:themeColor="text1"/>
          <w:kern w:val="0"/>
          <w:szCs w:val="21"/>
          <w:highlight w:val="none"/>
          <w14:textFill>
            <w14:solidFill>
              <w14:schemeClr w14:val="tx1"/>
            </w14:solidFill>
          </w14:textFill>
        </w:rPr>
        <w:t>。</w:t>
      </w:r>
    </w:p>
    <w:bookmarkEnd w:id="1000"/>
    <w:bookmarkEnd w:id="1001"/>
    <w:bookmarkEnd w:id="1002"/>
    <w:bookmarkEnd w:id="1003"/>
    <w:p w14:paraId="430F62D1">
      <w:pPr>
        <w:keepNext/>
        <w:keepLines/>
        <w:spacing w:before="60" w:after="60" w:line="413" w:lineRule="auto"/>
        <w:outlineLvl w:val="1"/>
        <w:rPr>
          <w:rFonts w:ascii="Arial" w:hAnsi="Arial" w:eastAsia="黑体"/>
          <w:b/>
          <w:bCs/>
          <w:color w:val="000000" w:themeColor="text1"/>
          <w:sz w:val="32"/>
          <w:szCs w:val="32"/>
          <w:highlight w:val="none"/>
          <w:lang w:val="zh-CN"/>
          <w14:textFill>
            <w14:solidFill>
              <w14:schemeClr w14:val="tx1"/>
            </w14:solidFill>
          </w14:textFill>
        </w:rPr>
      </w:pPr>
      <w:bookmarkStart w:id="1044" w:name="_Toc351203648"/>
      <w:bookmarkStart w:id="1045" w:name="_Toc407135269"/>
      <w:bookmarkStart w:id="1046" w:name="_Toc78449855"/>
      <w:bookmarkStart w:id="1047" w:name="_Toc389065331"/>
      <w:bookmarkStart w:id="1048" w:name="_Toc114058906"/>
      <w:bookmarkStart w:id="1049" w:name="_Toc373478413"/>
      <w:bookmarkStart w:id="1050" w:name="_Toc373227766"/>
      <w:bookmarkStart w:id="1051" w:name="_Toc280868717"/>
      <w:bookmarkStart w:id="1052" w:name="_Toc280868718"/>
      <w:r>
        <w:rPr>
          <w:rFonts w:ascii="Arial" w:hAnsi="Arial" w:eastAsia="黑体"/>
          <w:b/>
          <w:bCs/>
          <w:color w:val="000000" w:themeColor="text1"/>
          <w:sz w:val="32"/>
          <w:szCs w:val="32"/>
          <w:highlight w:val="none"/>
          <w:lang w:val="zh-CN"/>
          <w14:textFill>
            <w14:solidFill>
              <w14:schemeClr w14:val="tx1"/>
            </w14:solidFill>
          </w14:textFill>
        </w:rPr>
        <w:t xml:space="preserve">16. </w:t>
      </w:r>
      <w:r>
        <w:rPr>
          <w:rFonts w:hint="eastAsia" w:ascii="Arial" w:hAnsi="宋体" w:eastAsia="黑体" w:cs="黑体"/>
          <w:b/>
          <w:bCs/>
          <w:color w:val="000000" w:themeColor="text1"/>
          <w:sz w:val="32"/>
          <w:szCs w:val="32"/>
          <w:highlight w:val="none"/>
          <w:lang w:val="zh-CN"/>
          <w14:textFill>
            <w14:solidFill>
              <w14:schemeClr w14:val="tx1"/>
            </w14:solidFill>
          </w14:textFill>
        </w:rPr>
        <w:t>违约</w:t>
      </w:r>
      <w:bookmarkEnd w:id="1044"/>
      <w:bookmarkEnd w:id="1045"/>
      <w:bookmarkEnd w:id="1046"/>
      <w:bookmarkEnd w:id="1047"/>
      <w:bookmarkEnd w:id="1048"/>
      <w:bookmarkEnd w:id="1049"/>
      <w:bookmarkEnd w:id="1050"/>
    </w:p>
    <w:p w14:paraId="640425A0">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1053" w:name="_Toc78449856"/>
      <w:bookmarkStart w:id="1054" w:name="_Toc373478414"/>
      <w:bookmarkStart w:id="1055" w:name="_Toc407135270"/>
      <w:bookmarkStart w:id="1056" w:name="_Toc373227767"/>
      <w:bookmarkStart w:id="1057" w:name="_Toc114058907"/>
      <w:bookmarkStart w:id="1058" w:name="_Toc389065332"/>
      <w:r>
        <w:rPr>
          <w:rFonts w:eastAsia="黑体"/>
          <w:b/>
          <w:bCs/>
          <w:color w:val="000000" w:themeColor="text1"/>
          <w:sz w:val="32"/>
          <w:szCs w:val="32"/>
          <w:highlight w:val="none"/>
          <w:lang w:val="zh-CN"/>
          <w14:textFill>
            <w14:solidFill>
              <w14:schemeClr w14:val="tx1"/>
            </w14:solidFill>
          </w14:textFill>
        </w:rPr>
        <w:t xml:space="preserve">16.1 </w:t>
      </w:r>
      <w:r>
        <w:rPr>
          <w:rFonts w:hint="eastAsia" w:hAnsi="宋体" w:eastAsia="黑体" w:cs="黑体"/>
          <w:b/>
          <w:bCs/>
          <w:color w:val="000000" w:themeColor="text1"/>
          <w:sz w:val="32"/>
          <w:szCs w:val="32"/>
          <w:highlight w:val="none"/>
          <w:lang w:val="zh-CN"/>
          <w14:textFill>
            <w14:solidFill>
              <w14:schemeClr w14:val="tx1"/>
            </w14:solidFill>
          </w14:textFill>
        </w:rPr>
        <w:t>发包人违约</w:t>
      </w:r>
      <w:bookmarkEnd w:id="1053"/>
      <w:bookmarkEnd w:id="1054"/>
      <w:bookmarkEnd w:id="1055"/>
      <w:bookmarkEnd w:id="1056"/>
      <w:bookmarkEnd w:id="1057"/>
      <w:bookmarkEnd w:id="1058"/>
    </w:p>
    <w:p w14:paraId="17571D3F">
      <w:pPr>
        <w:spacing w:line="360" w:lineRule="auto"/>
        <w:ind w:firstLine="420" w:firstLineChars="20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16.1.1</w:t>
      </w:r>
      <w:r>
        <w:rPr>
          <w:rFonts w:hAnsi="宋体"/>
          <w:color w:val="000000" w:themeColor="text1"/>
          <w:szCs w:val="21"/>
          <w:highlight w:val="none"/>
          <w14:textFill>
            <w14:solidFill>
              <w14:schemeClr w14:val="tx1"/>
            </w14:solidFill>
          </w14:textFill>
        </w:rPr>
        <w:t>发包人违约的情形</w:t>
      </w:r>
    </w:p>
    <w:p w14:paraId="42432AA6">
      <w:pPr>
        <w:spacing w:line="360" w:lineRule="auto"/>
        <w:ind w:firstLine="420" w:firstLineChars="200"/>
        <w:jc w:val="left"/>
        <w:rPr>
          <w:rFonts w:hAnsi="宋体"/>
          <w:color w:val="000000" w:themeColor="text1"/>
          <w:kern w:val="0"/>
          <w:highlight w:val="none"/>
          <w14:textFill>
            <w14:solidFill>
              <w14:schemeClr w14:val="tx1"/>
            </w14:solidFill>
          </w14:textFill>
        </w:rPr>
      </w:pPr>
      <w:r>
        <w:rPr>
          <w:rFonts w:hAnsi="宋体"/>
          <w:color w:val="000000" w:themeColor="text1"/>
          <w:kern w:val="0"/>
          <w:szCs w:val="21"/>
          <w:highlight w:val="none"/>
          <w14:textFill>
            <w14:solidFill>
              <w14:schemeClr w14:val="tx1"/>
            </w14:solidFill>
          </w14:textFill>
        </w:rPr>
        <w:t>发包人违约的其他情形：</w:t>
      </w:r>
      <w:r>
        <w:rPr>
          <w:rFonts w:hint="eastAsia" w:ascii="宋体" w:hAnsi="宋体"/>
          <w:color w:val="000000" w:themeColor="text1"/>
          <w:kern w:val="0"/>
          <w:highlight w:val="none"/>
          <w:u w:val="single"/>
          <w14:textFill>
            <w14:solidFill>
              <w14:schemeClr w14:val="tx1"/>
            </w14:solidFill>
          </w14:textFill>
        </w:rPr>
        <w:t>（1）未按国家相关规定取得项目所需批文和许可，导致承包人进场施工后被迫暂停施工；（2） 未能按合同约定支付工程款；（3）自行实施被取消的工作或转由他人实施的；（4）提供的材料、工程设备的规格、数量或质量不符合合同约定，或因交货日期延误或交货地点变更等情况的；（5）违反合同约定（如迟延支付工程款等）造成暂停施工的；（6）无正当理由没有在约定期限内发出复工指示；（7）明确表示或者以其行为表明不履行合同主要义务的；（8）未能按照合同约定履行其他义务的</w:t>
      </w:r>
      <w:r>
        <w:rPr>
          <w:rFonts w:hint="eastAsia" w:ascii="宋体" w:hAnsi="宋体"/>
          <w:color w:val="000000" w:themeColor="text1"/>
          <w:kern w:val="0"/>
          <w:highlight w:val="none"/>
          <w14:textFill>
            <w14:solidFill>
              <w14:schemeClr w14:val="tx1"/>
            </w14:solidFill>
          </w14:textFill>
        </w:rPr>
        <w:t>。</w:t>
      </w:r>
    </w:p>
    <w:p w14:paraId="215498E1">
      <w:pPr>
        <w:spacing w:line="360" w:lineRule="auto"/>
        <w:ind w:firstLine="420" w:firstLineChars="200"/>
        <w:jc w:val="left"/>
        <w:rPr>
          <w:rFonts w:hAnsi="宋体"/>
          <w:color w:val="000000" w:themeColor="text1"/>
          <w:kern w:val="0"/>
          <w:szCs w:val="21"/>
          <w:highlight w:val="none"/>
          <w14:textFill>
            <w14:solidFill>
              <w14:schemeClr w14:val="tx1"/>
            </w14:solidFill>
          </w14:textFill>
        </w:rPr>
      </w:pPr>
    </w:p>
    <w:p w14:paraId="70C133AD">
      <w:pPr>
        <w:spacing w:line="360" w:lineRule="auto"/>
        <w:ind w:firstLine="420" w:firstLineChars="200"/>
        <w:jc w:val="left"/>
        <w:outlineLvl w:val="0"/>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 xml:space="preserve">16.1.2 </w:t>
      </w:r>
      <w:r>
        <w:rPr>
          <w:rFonts w:hAnsi="宋体"/>
          <w:color w:val="000000" w:themeColor="text1"/>
          <w:kern w:val="0"/>
          <w:szCs w:val="21"/>
          <w:highlight w:val="none"/>
          <w14:textFill>
            <w14:solidFill>
              <w14:schemeClr w14:val="tx1"/>
            </w14:solidFill>
          </w14:textFill>
        </w:rPr>
        <w:t>发包人违约的责任</w:t>
      </w:r>
    </w:p>
    <w:p w14:paraId="57E37DFE">
      <w:pPr>
        <w:spacing w:line="360" w:lineRule="auto"/>
        <w:ind w:firstLine="420" w:firstLineChars="200"/>
        <w:jc w:val="left"/>
        <w:rPr>
          <w:color w:val="000000" w:themeColor="text1"/>
          <w:kern w:val="0"/>
          <w:szCs w:val="21"/>
          <w:highlight w:val="none"/>
          <w14:textFill>
            <w14:solidFill>
              <w14:schemeClr w14:val="tx1"/>
            </w14:solidFill>
          </w14:textFill>
        </w:rPr>
      </w:pPr>
      <w:r>
        <w:rPr>
          <w:rFonts w:hAnsi="宋体"/>
          <w:color w:val="000000" w:themeColor="text1"/>
          <w:kern w:val="0"/>
          <w:szCs w:val="21"/>
          <w:highlight w:val="none"/>
          <w14:textFill>
            <w14:solidFill>
              <w14:schemeClr w14:val="tx1"/>
            </w14:solidFill>
          </w14:textFill>
        </w:rPr>
        <w:t>发包人违约责任的承担方式和计算方法：</w:t>
      </w:r>
    </w:p>
    <w:p w14:paraId="348D32A5">
      <w:pPr>
        <w:spacing w:line="360" w:lineRule="auto"/>
        <w:ind w:firstLine="420" w:firstLineChars="200"/>
        <w:jc w:val="left"/>
        <w:rPr>
          <w:color w:val="000000" w:themeColor="text1"/>
          <w:kern w:val="0"/>
          <w:szCs w:val="21"/>
          <w:highlight w:val="none"/>
          <w:u w:val="single"/>
          <w14:textFill>
            <w14:solidFill>
              <w14:schemeClr w14:val="tx1"/>
            </w14:solidFill>
          </w14:textFill>
        </w:rPr>
      </w:pPr>
      <w:r>
        <w:rPr>
          <w:rFonts w:hAnsi="宋体"/>
          <w:color w:val="000000" w:themeColor="text1"/>
          <w:kern w:val="0"/>
          <w:szCs w:val="21"/>
          <w:highlight w:val="none"/>
          <w14:textFill>
            <w14:solidFill>
              <w14:schemeClr w14:val="tx1"/>
            </w14:solidFill>
          </w14:textFill>
        </w:rPr>
        <w:t>（</w:t>
      </w:r>
      <w:r>
        <w:rPr>
          <w:color w:val="000000" w:themeColor="text1"/>
          <w:kern w:val="0"/>
          <w:szCs w:val="21"/>
          <w:highlight w:val="none"/>
          <w14:textFill>
            <w14:solidFill>
              <w14:schemeClr w14:val="tx1"/>
            </w14:solidFill>
          </w14:textFill>
        </w:rPr>
        <w:t>1</w:t>
      </w:r>
      <w:r>
        <w:rPr>
          <w:rFonts w:hAnsi="宋体"/>
          <w:color w:val="000000" w:themeColor="text1"/>
          <w:kern w:val="0"/>
          <w:szCs w:val="21"/>
          <w:highlight w:val="none"/>
          <w14:textFill>
            <w14:solidFill>
              <w14:schemeClr w14:val="tx1"/>
            </w14:solidFill>
          </w14:textFill>
        </w:rPr>
        <w:t>）因发包人原因未能在计划开工日期前</w:t>
      </w:r>
      <w:r>
        <w:rPr>
          <w:color w:val="000000" w:themeColor="text1"/>
          <w:kern w:val="0"/>
          <w:szCs w:val="21"/>
          <w:highlight w:val="none"/>
          <w14:textFill>
            <w14:solidFill>
              <w14:schemeClr w14:val="tx1"/>
            </w14:solidFill>
          </w14:textFill>
        </w:rPr>
        <w:t>7</w:t>
      </w:r>
      <w:r>
        <w:rPr>
          <w:rFonts w:hAnsi="宋体"/>
          <w:color w:val="000000" w:themeColor="text1"/>
          <w:kern w:val="0"/>
          <w:szCs w:val="21"/>
          <w:highlight w:val="none"/>
          <w14:textFill>
            <w14:solidFill>
              <w14:schemeClr w14:val="tx1"/>
            </w14:solidFill>
          </w14:textFill>
        </w:rPr>
        <w:t>天内下达开工通知的违约责任：</w:t>
      </w:r>
      <w:r>
        <w:rPr>
          <w:rFonts w:hint="eastAsia"/>
          <w:color w:val="000000" w:themeColor="text1"/>
          <w:kern w:val="0"/>
          <w:szCs w:val="21"/>
          <w:highlight w:val="none"/>
          <w:u w:val="single"/>
          <w14:textFill>
            <w14:solidFill>
              <w14:schemeClr w14:val="tx1"/>
            </w14:solidFill>
          </w14:textFill>
        </w:rPr>
        <w:t>工期</w:t>
      </w:r>
      <w:r>
        <w:rPr>
          <w:color w:val="000000" w:themeColor="text1"/>
          <w:kern w:val="0"/>
          <w:szCs w:val="21"/>
          <w:highlight w:val="none"/>
          <w:u w:val="single"/>
          <w14:textFill>
            <w14:solidFill>
              <w14:schemeClr w14:val="tx1"/>
            </w14:solidFill>
          </w14:textFill>
        </w:rPr>
        <w:t xml:space="preserve">顺延   </w:t>
      </w:r>
      <w:r>
        <w:rPr>
          <w:rFonts w:hAnsi="宋体"/>
          <w:color w:val="000000" w:themeColor="text1"/>
          <w:kern w:val="0"/>
          <w:szCs w:val="21"/>
          <w:highlight w:val="none"/>
          <w14:textFill>
            <w14:solidFill>
              <w14:schemeClr w14:val="tx1"/>
            </w14:solidFill>
          </w14:textFill>
        </w:rPr>
        <w:t>。</w:t>
      </w:r>
    </w:p>
    <w:p w14:paraId="303740AB">
      <w:pPr>
        <w:spacing w:line="360" w:lineRule="auto"/>
        <w:ind w:firstLine="420" w:firstLineChars="200"/>
        <w:jc w:val="left"/>
        <w:rPr>
          <w:rFonts w:ascii="宋体" w:hAnsi="宋体"/>
          <w:color w:val="000000" w:themeColor="text1"/>
          <w:kern w:val="0"/>
          <w:szCs w:val="21"/>
          <w:highlight w:val="none"/>
          <w14:textFill>
            <w14:solidFill>
              <w14:schemeClr w14:val="tx1"/>
            </w14:solidFill>
          </w14:textFill>
        </w:rPr>
      </w:pPr>
      <w:r>
        <w:rPr>
          <w:rFonts w:hAnsi="宋体"/>
          <w:color w:val="000000" w:themeColor="text1"/>
          <w:kern w:val="0"/>
          <w:szCs w:val="21"/>
          <w:highlight w:val="none"/>
          <w14:textFill>
            <w14:solidFill>
              <w14:schemeClr w14:val="tx1"/>
            </w14:solidFill>
          </w14:textFill>
        </w:rPr>
        <w:t>（</w:t>
      </w:r>
      <w:r>
        <w:rPr>
          <w:color w:val="000000" w:themeColor="text1"/>
          <w:kern w:val="0"/>
          <w:szCs w:val="21"/>
          <w:highlight w:val="none"/>
          <w14:textFill>
            <w14:solidFill>
              <w14:schemeClr w14:val="tx1"/>
            </w14:solidFill>
          </w14:textFill>
        </w:rPr>
        <w:t>2</w:t>
      </w:r>
      <w:r>
        <w:rPr>
          <w:rFonts w:hAnsi="宋体"/>
          <w:color w:val="000000" w:themeColor="text1"/>
          <w:kern w:val="0"/>
          <w:szCs w:val="21"/>
          <w:highlight w:val="none"/>
          <w14:textFill>
            <w14:solidFill>
              <w14:schemeClr w14:val="tx1"/>
            </w14:solidFill>
          </w14:textFill>
        </w:rPr>
        <w:t>）因发包人原因未能按合同约定支付合同价款的违约责任：</w:t>
      </w:r>
      <w:r>
        <w:rPr>
          <w:rFonts w:hint="eastAsia" w:ascii="宋体" w:hAnsi="宋体"/>
          <w:b/>
          <w:bCs/>
          <w:color w:val="000000" w:themeColor="text1"/>
          <w:kern w:val="0"/>
          <w:szCs w:val="21"/>
          <w:highlight w:val="none"/>
          <w:u w:val="single"/>
          <w14:textFill>
            <w14:solidFill>
              <w14:schemeClr w14:val="tx1"/>
            </w14:solidFill>
          </w14:textFill>
        </w:rPr>
        <w:t>无</w:t>
      </w:r>
      <w:r>
        <w:rPr>
          <w:rFonts w:hint="eastAsia" w:ascii="宋体" w:hAnsi="宋体"/>
          <w:color w:val="000000" w:themeColor="text1"/>
          <w:kern w:val="0"/>
          <w:szCs w:val="21"/>
          <w:highlight w:val="none"/>
          <w14:textFill>
            <w14:solidFill>
              <w14:schemeClr w14:val="tx1"/>
            </w14:solidFill>
          </w14:textFill>
        </w:rPr>
        <w:t>。</w:t>
      </w:r>
    </w:p>
    <w:p w14:paraId="1B4C41C0">
      <w:pPr>
        <w:spacing w:line="360" w:lineRule="auto"/>
        <w:ind w:firstLine="420" w:firstLineChars="200"/>
        <w:jc w:val="left"/>
        <w:rPr>
          <w:color w:val="000000" w:themeColor="text1"/>
          <w:kern w:val="0"/>
          <w:szCs w:val="21"/>
          <w:highlight w:val="none"/>
          <w14:textFill>
            <w14:solidFill>
              <w14:schemeClr w14:val="tx1"/>
            </w14:solidFill>
          </w14:textFill>
        </w:rPr>
      </w:pPr>
      <w:r>
        <w:rPr>
          <w:rFonts w:hAnsi="宋体"/>
          <w:color w:val="000000" w:themeColor="text1"/>
          <w:kern w:val="0"/>
          <w:szCs w:val="21"/>
          <w:highlight w:val="none"/>
          <w14:textFill>
            <w14:solidFill>
              <w14:schemeClr w14:val="tx1"/>
            </w14:solidFill>
          </w14:textFill>
        </w:rPr>
        <w:t>（</w:t>
      </w:r>
      <w:r>
        <w:rPr>
          <w:color w:val="000000" w:themeColor="text1"/>
          <w:kern w:val="0"/>
          <w:szCs w:val="21"/>
          <w:highlight w:val="none"/>
          <w14:textFill>
            <w14:solidFill>
              <w14:schemeClr w14:val="tx1"/>
            </w14:solidFill>
          </w14:textFill>
        </w:rPr>
        <w:t>3</w:t>
      </w:r>
      <w:r>
        <w:rPr>
          <w:rFonts w:hAnsi="宋体"/>
          <w:color w:val="000000" w:themeColor="text1"/>
          <w:kern w:val="0"/>
          <w:szCs w:val="21"/>
          <w:highlight w:val="none"/>
          <w14:textFill>
            <w14:solidFill>
              <w14:schemeClr w14:val="tx1"/>
            </w14:solidFill>
          </w14:textFill>
        </w:rPr>
        <w:t>）发包人违反第</w:t>
      </w:r>
      <w:r>
        <w:rPr>
          <w:color w:val="000000" w:themeColor="text1"/>
          <w:kern w:val="0"/>
          <w:szCs w:val="21"/>
          <w:highlight w:val="none"/>
          <w14:textFill>
            <w14:solidFill>
              <w14:schemeClr w14:val="tx1"/>
            </w14:solidFill>
          </w14:textFill>
        </w:rPr>
        <w:t>10.1</w:t>
      </w:r>
      <w:r>
        <w:rPr>
          <w:rFonts w:hAnsi="宋体"/>
          <w:color w:val="000000" w:themeColor="text1"/>
          <w:kern w:val="0"/>
          <w:szCs w:val="21"/>
          <w:highlight w:val="none"/>
          <w14:textFill>
            <w14:solidFill>
              <w14:schemeClr w14:val="tx1"/>
            </w14:solidFill>
          </w14:textFill>
        </w:rPr>
        <w:t>款〔变更的范围〕第（</w:t>
      </w:r>
      <w:r>
        <w:rPr>
          <w:color w:val="000000" w:themeColor="text1"/>
          <w:kern w:val="0"/>
          <w:szCs w:val="21"/>
          <w:highlight w:val="none"/>
          <w14:textFill>
            <w14:solidFill>
              <w14:schemeClr w14:val="tx1"/>
            </w14:solidFill>
          </w14:textFill>
        </w:rPr>
        <w:t>2</w:t>
      </w:r>
      <w:r>
        <w:rPr>
          <w:rFonts w:hAnsi="宋体"/>
          <w:color w:val="000000" w:themeColor="text1"/>
          <w:kern w:val="0"/>
          <w:szCs w:val="21"/>
          <w:highlight w:val="none"/>
          <w14:textFill>
            <w14:solidFill>
              <w14:schemeClr w14:val="tx1"/>
            </w14:solidFill>
          </w14:textFill>
        </w:rPr>
        <w:t>）项约定，自行实施被取消的工作或转由他人实施的违约责任：</w:t>
      </w:r>
      <w:r>
        <w:rPr>
          <w:rFonts w:hint="eastAsia"/>
          <w:color w:val="000000" w:themeColor="text1"/>
          <w:kern w:val="0"/>
          <w:szCs w:val="21"/>
          <w:highlight w:val="none"/>
          <w:u w:val="single"/>
          <w14:textFill>
            <w14:solidFill>
              <w14:schemeClr w14:val="tx1"/>
            </w14:solidFill>
          </w14:textFill>
        </w:rPr>
        <w:t>无</w:t>
      </w:r>
      <w:r>
        <w:rPr>
          <w:rFonts w:hAnsi="宋体"/>
          <w:color w:val="000000" w:themeColor="text1"/>
          <w:kern w:val="0"/>
          <w:szCs w:val="21"/>
          <w:highlight w:val="none"/>
          <w14:textFill>
            <w14:solidFill>
              <w14:schemeClr w14:val="tx1"/>
            </w14:solidFill>
          </w14:textFill>
        </w:rPr>
        <w:t>。</w:t>
      </w:r>
    </w:p>
    <w:p w14:paraId="78D24DEB">
      <w:pPr>
        <w:spacing w:line="360" w:lineRule="auto"/>
        <w:ind w:firstLine="420" w:firstLineChars="200"/>
        <w:jc w:val="left"/>
        <w:rPr>
          <w:color w:val="000000" w:themeColor="text1"/>
          <w:kern w:val="0"/>
          <w:szCs w:val="21"/>
          <w:highlight w:val="none"/>
          <w14:textFill>
            <w14:solidFill>
              <w14:schemeClr w14:val="tx1"/>
            </w14:solidFill>
          </w14:textFill>
        </w:rPr>
      </w:pPr>
      <w:r>
        <w:rPr>
          <w:rFonts w:hAnsi="宋体"/>
          <w:color w:val="000000" w:themeColor="text1"/>
          <w:kern w:val="0"/>
          <w:szCs w:val="21"/>
          <w:highlight w:val="none"/>
          <w14:textFill>
            <w14:solidFill>
              <w14:schemeClr w14:val="tx1"/>
            </w14:solidFill>
          </w14:textFill>
        </w:rPr>
        <w:t>（</w:t>
      </w:r>
      <w:r>
        <w:rPr>
          <w:color w:val="000000" w:themeColor="text1"/>
          <w:kern w:val="0"/>
          <w:szCs w:val="21"/>
          <w:highlight w:val="none"/>
          <w14:textFill>
            <w14:solidFill>
              <w14:schemeClr w14:val="tx1"/>
            </w14:solidFill>
          </w14:textFill>
        </w:rPr>
        <w:t>4</w:t>
      </w:r>
      <w:r>
        <w:rPr>
          <w:rFonts w:hAnsi="宋体"/>
          <w:color w:val="000000" w:themeColor="text1"/>
          <w:kern w:val="0"/>
          <w:szCs w:val="21"/>
          <w:highlight w:val="none"/>
          <w14:textFill>
            <w14:solidFill>
              <w14:schemeClr w14:val="tx1"/>
            </w14:solidFill>
          </w14:textFill>
        </w:rPr>
        <w:t>）发包人提供的材料、工程设备的规格、数量或质量不符合合同约定，或因发包人原因导致交货日期延误或交货地点变更等情况的违约责任：</w:t>
      </w:r>
      <w:r>
        <w:rPr>
          <w:rFonts w:hint="eastAsia"/>
          <w:color w:val="000000" w:themeColor="text1"/>
          <w:kern w:val="0"/>
          <w:szCs w:val="21"/>
          <w:highlight w:val="none"/>
          <w:u w:val="single"/>
          <w14:textFill>
            <w14:solidFill>
              <w14:schemeClr w14:val="tx1"/>
            </w14:solidFill>
          </w14:textFill>
        </w:rPr>
        <w:t>承包人可以提出工期索赔</w:t>
      </w:r>
      <w:r>
        <w:rPr>
          <w:rFonts w:hAnsi="宋体"/>
          <w:color w:val="000000" w:themeColor="text1"/>
          <w:kern w:val="0"/>
          <w:szCs w:val="21"/>
          <w:highlight w:val="none"/>
          <w14:textFill>
            <w14:solidFill>
              <w14:schemeClr w14:val="tx1"/>
            </w14:solidFill>
          </w14:textFill>
        </w:rPr>
        <w:t>。</w:t>
      </w:r>
    </w:p>
    <w:p w14:paraId="0CAE2FDE">
      <w:pPr>
        <w:spacing w:line="360" w:lineRule="auto"/>
        <w:ind w:firstLine="420" w:firstLineChars="200"/>
        <w:jc w:val="left"/>
        <w:rPr>
          <w:color w:val="000000" w:themeColor="text1"/>
          <w:kern w:val="0"/>
          <w:szCs w:val="21"/>
          <w:highlight w:val="none"/>
          <w:u w:val="single"/>
          <w14:textFill>
            <w14:solidFill>
              <w14:schemeClr w14:val="tx1"/>
            </w14:solidFill>
          </w14:textFill>
        </w:rPr>
      </w:pPr>
      <w:r>
        <w:rPr>
          <w:rFonts w:hAnsi="宋体"/>
          <w:color w:val="000000" w:themeColor="text1"/>
          <w:kern w:val="0"/>
          <w:szCs w:val="21"/>
          <w:highlight w:val="none"/>
          <w14:textFill>
            <w14:solidFill>
              <w14:schemeClr w14:val="tx1"/>
            </w14:solidFill>
          </w14:textFill>
        </w:rPr>
        <w:t>（</w:t>
      </w:r>
      <w:r>
        <w:rPr>
          <w:color w:val="000000" w:themeColor="text1"/>
          <w:kern w:val="0"/>
          <w:szCs w:val="21"/>
          <w:highlight w:val="none"/>
          <w14:textFill>
            <w14:solidFill>
              <w14:schemeClr w14:val="tx1"/>
            </w14:solidFill>
          </w14:textFill>
        </w:rPr>
        <w:t>5</w:t>
      </w:r>
      <w:r>
        <w:rPr>
          <w:rFonts w:hAnsi="宋体"/>
          <w:color w:val="000000" w:themeColor="text1"/>
          <w:kern w:val="0"/>
          <w:szCs w:val="21"/>
          <w:highlight w:val="none"/>
          <w14:textFill>
            <w14:solidFill>
              <w14:schemeClr w14:val="tx1"/>
            </w14:solidFill>
          </w14:textFill>
        </w:rPr>
        <w:t>）因发包人违反合同约定造成暂停施工的违约责任：</w:t>
      </w:r>
      <w:r>
        <w:rPr>
          <w:rFonts w:hint="eastAsia"/>
          <w:color w:val="000000" w:themeColor="text1"/>
          <w:kern w:val="0"/>
          <w:szCs w:val="21"/>
          <w:highlight w:val="none"/>
          <w:u w:val="single"/>
          <w14:textFill>
            <w14:solidFill>
              <w14:schemeClr w14:val="tx1"/>
            </w14:solidFill>
          </w14:textFill>
        </w:rPr>
        <w:t>承包人可以提出工期索赔</w:t>
      </w:r>
      <w:r>
        <w:rPr>
          <w:rFonts w:hAnsi="宋体"/>
          <w:color w:val="000000" w:themeColor="text1"/>
          <w:kern w:val="0"/>
          <w:szCs w:val="21"/>
          <w:highlight w:val="none"/>
          <w14:textFill>
            <w14:solidFill>
              <w14:schemeClr w14:val="tx1"/>
            </w14:solidFill>
          </w14:textFill>
        </w:rPr>
        <w:t>。</w:t>
      </w:r>
    </w:p>
    <w:p w14:paraId="4E98ECF1">
      <w:pPr>
        <w:spacing w:line="360" w:lineRule="auto"/>
        <w:ind w:firstLine="420" w:firstLineChars="200"/>
        <w:jc w:val="left"/>
        <w:rPr>
          <w:color w:val="000000" w:themeColor="text1"/>
          <w:kern w:val="0"/>
          <w:szCs w:val="21"/>
          <w:highlight w:val="none"/>
          <w14:textFill>
            <w14:solidFill>
              <w14:schemeClr w14:val="tx1"/>
            </w14:solidFill>
          </w14:textFill>
        </w:rPr>
      </w:pPr>
      <w:r>
        <w:rPr>
          <w:rFonts w:hAnsi="宋体"/>
          <w:color w:val="000000" w:themeColor="text1"/>
          <w:kern w:val="0"/>
          <w:szCs w:val="21"/>
          <w:highlight w:val="none"/>
          <w14:textFill>
            <w14:solidFill>
              <w14:schemeClr w14:val="tx1"/>
            </w14:solidFill>
          </w14:textFill>
        </w:rPr>
        <w:t>（</w:t>
      </w:r>
      <w:r>
        <w:rPr>
          <w:color w:val="000000" w:themeColor="text1"/>
          <w:kern w:val="0"/>
          <w:szCs w:val="21"/>
          <w:highlight w:val="none"/>
          <w14:textFill>
            <w14:solidFill>
              <w14:schemeClr w14:val="tx1"/>
            </w14:solidFill>
          </w14:textFill>
        </w:rPr>
        <w:t>6</w:t>
      </w:r>
      <w:r>
        <w:rPr>
          <w:rFonts w:hAnsi="宋体"/>
          <w:color w:val="000000" w:themeColor="text1"/>
          <w:kern w:val="0"/>
          <w:szCs w:val="21"/>
          <w:highlight w:val="none"/>
          <w14:textFill>
            <w14:solidFill>
              <w14:schemeClr w14:val="tx1"/>
            </w14:solidFill>
          </w14:textFill>
        </w:rPr>
        <w:t>）发包人无正当理由没有在约定期限内发出复工指示，导致承包人无法复工的违约责任：</w:t>
      </w:r>
      <w:r>
        <w:rPr>
          <w:rFonts w:hint="eastAsia"/>
          <w:color w:val="000000" w:themeColor="text1"/>
          <w:kern w:val="0"/>
          <w:szCs w:val="21"/>
          <w:highlight w:val="none"/>
          <w:u w:val="single"/>
          <w14:textFill>
            <w14:solidFill>
              <w14:schemeClr w14:val="tx1"/>
            </w14:solidFill>
          </w14:textFill>
        </w:rPr>
        <w:t>承包人可以提出工期索赔</w:t>
      </w:r>
      <w:r>
        <w:rPr>
          <w:rFonts w:hAnsi="宋体"/>
          <w:color w:val="000000" w:themeColor="text1"/>
          <w:kern w:val="0"/>
          <w:szCs w:val="21"/>
          <w:highlight w:val="none"/>
          <w14:textFill>
            <w14:solidFill>
              <w14:schemeClr w14:val="tx1"/>
            </w14:solidFill>
          </w14:textFill>
        </w:rPr>
        <w:t>。</w:t>
      </w:r>
    </w:p>
    <w:p w14:paraId="5B25F13B">
      <w:pPr>
        <w:spacing w:line="360" w:lineRule="auto"/>
        <w:ind w:firstLine="420" w:firstLineChars="200"/>
        <w:jc w:val="left"/>
        <w:rPr>
          <w:color w:val="000000" w:themeColor="text1"/>
          <w:kern w:val="0"/>
          <w:szCs w:val="21"/>
          <w:highlight w:val="none"/>
          <w14:textFill>
            <w14:solidFill>
              <w14:schemeClr w14:val="tx1"/>
            </w14:solidFill>
          </w14:textFill>
        </w:rPr>
      </w:pPr>
      <w:r>
        <w:rPr>
          <w:rFonts w:hAnsi="宋体"/>
          <w:color w:val="000000" w:themeColor="text1"/>
          <w:kern w:val="0"/>
          <w:szCs w:val="21"/>
          <w:highlight w:val="none"/>
          <w14:textFill>
            <w14:solidFill>
              <w14:schemeClr w14:val="tx1"/>
            </w14:solidFill>
          </w14:textFill>
        </w:rPr>
        <w:t>（</w:t>
      </w:r>
      <w:r>
        <w:rPr>
          <w:color w:val="000000" w:themeColor="text1"/>
          <w:kern w:val="0"/>
          <w:szCs w:val="21"/>
          <w:highlight w:val="none"/>
          <w14:textFill>
            <w14:solidFill>
              <w14:schemeClr w14:val="tx1"/>
            </w14:solidFill>
          </w14:textFill>
        </w:rPr>
        <w:t>7</w:t>
      </w:r>
      <w:r>
        <w:rPr>
          <w:rFonts w:hAnsi="宋体"/>
          <w:color w:val="000000" w:themeColor="text1"/>
          <w:kern w:val="0"/>
          <w:szCs w:val="21"/>
          <w:highlight w:val="none"/>
          <w14:textFill>
            <w14:solidFill>
              <w14:schemeClr w14:val="tx1"/>
            </w14:solidFill>
          </w14:textFill>
        </w:rPr>
        <w:t>）其他：</w:t>
      </w:r>
      <w:r>
        <w:rPr>
          <w:rFonts w:hint="eastAsia" w:ascii="宋体" w:hAnsi="宋体"/>
          <w:color w:val="000000" w:themeColor="text1"/>
          <w:kern w:val="0"/>
          <w:highlight w:val="none"/>
          <w:u w:val="single"/>
          <w14:textFill>
            <w14:solidFill>
              <w14:schemeClr w14:val="tx1"/>
            </w14:solidFill>
          </w14:textFill>
        </w:rPr>
        <w:t>非承包人原因造成工程停工且工程停工连续超过84天时，承包人有权选择单方解除本合同，发包人应赔偿由此给承包人造成的全部经济损失。如因国家和地方重大政策调整、地方政府强制规定要求造成的停工，发包人同意顺延工期和支付直接损失费用</w:t>
      </w:r>
      <w:r>
        <w:rPr>
          <w:rFonts w:hint="eastAsia" w:ascii="宋体" w:hAnsi="宋体"/>
          <w:color w:val="000000" w:themeColor="text1"/>
          <w:kern w:val="0"/>
          <w:highlight w:val="none"/>
          <w14:textFill>
            <w14:solidFill>
              <w14:schemeClr w14:val="tx1"/>
            </w14:solidFill>
          </w14:textFill>
        </w:rPr>
        <w:t>。</w:t>
      </w:r>
    </w:p>
    <w:p w14:paraId="6D490A2B">
      <w:pPr>
        <w:spacing w:line="360" w:lineRule="auto"/>
        <w:ind w:firstLine="420" w:firstLineChars="20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16.1.3 </w:t>
      </w:r>
      <w:r>
        <w:rPr>
          <w:rFonts w:hAnsi="宋体"/>
          <w:color w:val="000000" w:themeColor="text1"/>
          <w:szCs w:val="21"/>
          <w:highlight w:val="none"/>
          <w14:textFill>
            <w14:solidFill>
              <w14:schemeClr w14:val="tx1"/>
            </w14:solidFill>
          </w14:textFill>
        </w:rPr>
        <w:t>因发包人违约解除合同</w:t>
      </w:r>
    </w:p>
    <w:p w14:paraId="75EB7461">
      <w:pPr>
        <w:autoSpaceDE w:val="0"/>
        <w:autoSpaceDN w:val="0"/>
        <w:adjustRightInd w:val="0"/>
        <w:spacing w:line="360" w:lineRule="auto"/>
        <w:ind w:firstLine="420" w:firstLineChars="200"/>
        <w:jc w:val="left"/>
        <w:rPr>
          <w:color w:val="000000" w:themeColor="text1"/>
          <w:kern w:val="0"/>
          <w:szCs w:val="22"/>
          <w:highlight w:val="none"/>
          <w14:textFill>
            <w14:solidFill>
              <w14:schemeClr w14:val="tx1"/>
            </w14:solidFill>
          </w14:textFill>
        </w:rPr>
      </w:pPr>
      <w:r>
        <w:rPr>
          <w:rFonts w:hAnsi="宋体"/>
          <w:color w:val="000000" w:themeColor="text1"/>
          <w:kern w:val="0"/>
          <w:szCs w:val="21"/>
          <w:highlight w:val="none"/>
          <w14:textFill>
            <w14:solidFill>
              <w14:schemeClr w14:val="tx1"/>
            </w14:solidFill>
          </w14:textFill>
        </w:rPr>
        <w:t>承包人按</w:t>
      </w:r>
      <w:r>
        <w:rPr>
          <w:color w:val="000000" w:themeColor="text1"/>
          <w:kern w:val="0"/>
          <w:szCs w:val="21"/>
          <w:highlight w:val="none"/>
          <w14:textFill>
            <w14:solidFill>
              <w14:schemeClr w14:val="tx1"/>
            </w14:solidFill>
          </w14:textFill>
        </w:rPr>
        <w:t>16.1.1</w:t>
      </w:r>
      <w:r>
        <w:rPr>
          <w:rFonts w:hAnsi="宋体"/>
          <w:color w:val="000000" w:themeColor="text1"/>
          <w:kern w:val="0"/>
          <w:szCs w:val="21"/>
          <w:highlight w:val="none"/>
          <w14:textFill>
            <w14:solidFill>
              <w14:schemeClr w14:val="tx1"/>
            </w14:solidFill>
          </w14:textFill>
        </w:rPr>
        <w:t>项〔发包人违约的情形〕约定暂停施工满</w:t>
      </w:r>
      <w:r>
        <w:rPr>
          <w:rFonts w:hint="eastAsia"/>
          <w:color w:val="000000" w:themeColor="text1"/>
          <w:kern w:val="0"/>
          <w:szCs w:val="21"/>
          <w:highlight w:val="none"/>
          <w:u w:val="single"/>
          <w14:textFill>
            <w14:solidFill>
              <w14:schemeClr w14:val="tx1"/>
            </w14:solidFill>
          </w14:textFill>
        </w:rPr>
        <w:t>60</w:t>
      </w:r>
      <w:r>
        <w:rPr>
          <w:rFonts w:hAnsi="宋体"/>
          <w:color w:val="000000" w:themeColor="text1"/>
          <w:kern w:val="0"/>
          <w:szCs w:val="21"/>
          <w:highlight w:val="none"/>
          <w14:textFill>
            <w14:solidFill>
              <w14:schemeClr w14:val="tx1"/>
            </w14:solidFill>
          </w14:textFill>
        </w:rPr>
        <w:t>天后发包人仍不纠正其违约行为并致使合同目的不能实现的，承包人有权解除合同</w:t>
      </w:r>
    </w:p>
    <w:p w14:paraId="72C7A8E8">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1059" w:name="_Toc114058908"/>
      <w:bookmarkStart w:id="1060" w:name="_Toc389065333"/>
      <w:bookmarkStart w:id="1061" w:name="_Toc407135271"/>
      <w:bookmarkStart w:id="1062" w:name="_Toc373478415"/>
      <w:bookmarkStart w:id="1063" w:name="_Toc78449857"/>
      <w:bookmarkStart w:id="1064" w:name="_Toc373227768"/>
      <w:r>
        <w:rPr>
          <w:rFonts w:eastAsia="黑体"/>
          <w:b/>
          <w:bCs/>
          <w:color w:val="000000" w:themeColor="text1"/>
          <w:sz w:val="32"/>
          <w:szCs w:val="32"/>
          <w:highlight w:val="none"/>
          <w:lang w:val="zh-CN"/>
          <w14:textFill>
            <w14:solidFill>
              <w14:schemeClr w14:val="tx1"/>
            </w14:solidFill>
          </w14:textFill>
        </w:rPr>
        <w:t xml:space="preserve">16.2 </w:t>
      </w:r>
      <w:r>
        <w:rPr>
          <w:rFonts w:hint="eastAsia" w:hAnsi="宋体" w:eastAsia="黑体" w:cs="黑体"/>
          <w:b/>
          <w:bCs/>
          <w:color w:val="000000" w:themeColor="text1"/>
          <w:sz w:val="32"/>
          <w:szCs w:val="32"/>
          <w:highlight w:val="none"/>
          <w:lang w:val="zh-CN"/>
          <w14:textFill>
            <w14:solidFill>
              <w14:schemeClr w14:val="tx1"/>
            </w14:solidFill>
          </w14:textFill>
        </w:rPr>
        <w:t>承包人违约</w:t>
      </w:r>
      <w:bookmarkEnd w:id="1059"/>
      <w:bookmarkEnd w:id="1060"/>
      <w:bookmarkEnd w:id="1061"/>
      <w:bookmarkEnd w:id="1062"/>
      <w:bookmarkEnd w:id="1063"/>
      <w:bookmarkEnd w:id="1064"/>
    </w:p>
    <w:p w14:paraId="3C6131E8">
      <w:pPr>
        <w:spacing w:line="360" w:lineRule="auto"/>
        <w:ind w:firstLine="420" w:firstLineChars="200"/>
        <w:jc w:val="left"/>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 xml:space="preserve">16.2.1 </w:t>
      </w:r>
      <w:r>
        <w:rPr>
          <w:rFonts w:hAnsi="宋体"/>
          <w:color w:val="000000" w:themeColor="text1"/>
          <w:kern w:val="0"/>
          <w:szCs w:val="21"/>
          <w:highlight w:val="none"/>
          <w14:textFill>
            <w14:solidFill>
              <w14:schemeClr w14:val="tx1"/>
            </w14:solidFill>
          </w14:textFill>
        </w:rPr>
        <w:t>承包人违约的情形</w:t>
      </w:r>
    </w:p>
    <w:p w14:paraId="103C2A07">
      <w:pPr>
        <w:spacing w:line="360" w:lineRule="auto"/>
        <w:ind w:firstLine="420" w:firstLineChars="200"/>
        <w:jc w:val="left"/>
        <w:rPr>
          <w:color w:val="000000" w:themeColor="text1"/>
          <w:kern w:val="0"/>
          <w:szCs w:val="21"/>
          <w:highlight w:val="none"/>
          <w:u w:val="single"/>
          <w14:textFill>
            <w14:solidFill>
              <w14:schemeClr w14:val="tx1"/>
            </w14:solidFill>
          </w14:textFill>
        </w:rPr>
      </w:pPr>
      <w:r>
        <w:rPr>
          <w:rFonts w:hAnsi="宋体"/>
          <w:color w:val="000000" w:themeColor="text1"/>
          <w:kern w:val="0"/>
          <w:szCs w:val="21"/>
          <w:highlight w:val="none"/>
          <w14:textFill>
            <w14:solidFill>
              <w14:schemeClr w14:val="tx1"/>
            </w14:solidFill>
          </w14:textFill>
        </w:rPr>
        <w:t>承包人违约的其他情形：</w:t>
      </w:r>
      <w:r>
        <w:rPr>
          <w:rFonts w:hint="eastAsia" w:ascii="宋体" w:hAnsi="宋体"/>
          <w:color w:val="000000" w:themeColor="text1"/>
          <w:kern w:val="0"/>
          <w:szCs w:val="21"/>
          <w:highlight w:val="none"/>
          <w:u w:val="single"/>
          <w14:textFill>
            <w14:solidFill>
              <w14:schemeClr w14:val="tx1"/>
            </w14:solidFill>
          </w14:textFill>
        </w:rPr>
        <w:t>承包人有违反《南宁市建设工程造价管理办法》</w:t>
      </w:r>
      <w:r>
        <w:rPr>
          <w:rFonts w:hint="eastAsia" w:ascii="宋体" w:hAnsi="宋体"/>
          <w:b/>
          <w:bCs/>
          <w:color w:val="000000" w:themeColor="text1"/>
          <w:kern w:val="0"/>
          <w:szCs w:val="21"/>
          <w:highlight w:val="none"/>
          <w:u w:val="single"/>
          <w14:textFill>
            <w14:solidFill>
              <w14:schemeClr w14:val="tx1"/>
            </w14:solidFill>
          </w14:textFill>
        </w:rPr>
        <w:t>（南宁市人民政府令2007年第5号）</w:t>
      </w:r>
      <w:r>
        <w:rPr>
          <w:rFonts w:hint="eastAsia" w:ascii="宋体" w:hAnsi="宋体"/>
          <w:color w:val="000000" w:themeColor="text1"/>
          <w:kern w:val="0"/>
          <w:szCs w:val="21"/>
          <w:highlight w:val="none"/>
          <w:u w:val="single"/>
          <w14:textFill>
            <w14:solidFill>
              <w14:schemeClr w14:val="tx1"/>
            </w14:solidFill>
          </w14:textFill>
        </w:rPr>
        <w:t>规定的，按规定给予处罚</w:t>
      </w:r>
      <w:r>
        <w:rPr>
          <w:rFonts w:hAnsi="宋体"/>
          <w:color w:val="000000" w:themeColor="text1"/>
          <w:kern w:val="0"/>
          <w:szCs w:val="21"/>
          <w:highlight w:val="none"/>
          <w14:textFill>
            <w14:solidFill>
              <w14:schemeClr w14:val="tx1"/>
            </w14:solidFill>
          </w14:textFill>
        </w:rPr>
        <w:t>。</w:t>
      </w:r>
    </w:p>
    <w:p w14:paraId="31CAE99C">
      <w:pPr>
        <w:spacing w:line="360" w:lineRule="auto"/>
        <w:ind w:firstLine="420" w:firstLineChars="200"/>
        <w:jc w:val="left"/>
        <w:outlineLvl w:val="0"/>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16.2.2</w:t>
      </w:r>
      <w:r>
        <w:rPr>
          <w:rFonts w:hAnsi="宋体"/>
          <w:color w:val="000000" w:themeColor="text1"/>
          <w:kern w:val="0"/>
          <w:szCs w:val="21"/>
          <w:highlight w:val="none"/>
          <w14:textFill>
            <w14:solidFill>
              <w14:schemeClr w14:val="tx1"/>
            </w14:solidFill>
          </w14:textFill>
        </w:rPr>
        <w:t>承包人违约的责任</w:t>
      </w:r>
    </w:p>
    <w:p w14:paraId="244AC0AE">
      <w:pPr>
        <w:spacing w:line="360" w:lineRule="auto"/>
        <w:ind w:firstLine="420" w:firstLineChars="200"/>
        <w:jc w:val="left"/>
        <w:rPr>
          <w:color w:val="000000" w:themeColor="text1"/>
          <w:kern w:val="0"/>
          <w:szCs w:val="21"/>
          <w:highlight w:val="none"/>
          <w14:textFill>
            <w14:solidFill>
              <w14:schemeClr w14:val="tx1"/>
            </w14:solidFill>
          </w14:textFill>
        </w:rPr>
      </w:pPr>
      <w:r>
        <w:rPr>
          <w:rFonts w:hAnsi="宋体"/>
          <w:color w:val="000000" w:themeColor="text1"/>
          <w:kern w:val="0"/>
          <w:szCs w:val="21"/>
          <w:highlight w:val="none"/>
          <w14:textFill>
            <w14:solidFill>
              <w14:schemeClr w14:val="tx1"/>
            </w14:solidFill>
          </w14:textFill>
        </w:rPr>
        <w:t>承包人违约责任的承担方式和计算方法：</w:t>
      </w:r>
    </w:p>
    <w:p w14:paraId="00582101">
      <w:pPr>
        <w:spacing w:line="360" w:lineRule="auto"/>
        <w:ind w:firstLine="420" w:firstLineChars="200"/>
        <w:jc w:val="left"/>
        <w:rPr>
          <w:rFonts w:hAnsi="宋体"/>
          <w:color w:val="000000" w:themeColor="text1"/>
          <w:kern w:val="0"/>
          <w:szCs w:val="21"/>
          <w:highlight w:val="none"/>
          <w14:textFill>
            <w14:solidFill>
              <w14:schemeClr w14:val="tx1"/>
            </w14:solidFill>
          </w14:textFill>
        </w:rPr>
      </w:pPr>
      <w:r>
        <w:rPr>
          <w:rFonts w:hAnsi="宋体"/>
          <w:color w:val="000000" w:themeColor="text1"/>
          <w:kern w:val="0"/>
          <w:szCs w:val="21"/>
          <w:highlight w:val="none"/>
          <w14:textFill>
            <w14:solidFill>
              <w14:schemeClr w14:val="tx1"/>
            </w14:solidFill>
          </w14:textFill>
        </w:rPr>
        <w:t>（</w:t>
      </w:r>
      <w:r>
        <w:rPr>
          <w:color w:val="000000" w:themeColor="text1"/>
          <w:kern w:val="0"/>
          <w:szCs w:val="21"/>
          <w:highlight w:val="none"/>
          <w14:textFill>
            <w14:solidFill>
              <w14:schemeClr w14:val="tx1"/>
            </w14:solidFill>
          </w14:textFill>
        </w:rPr>
        <w:t>1</w:t>
      </w:r>
      <w:r>
        <w:rPr>
          <w:rFonts w:hAnsi="宋体"/>
          <w:color w:val="000000" w:themeColor="text1"/>
          <w:kern w:val="0"/>
          <w:szCs w:val="21"/>
          <w:highlight w:val="none"/>
          <w14:textFill>
            <w14:solidFill>
              <w14:schemeClr w14:val="tx1"/>
            </w14:solidFill>
          </w14:textFill>
        </w:rPr>
        <w:t>）承包人未按本合同通用条款第</w:t>
      </w:r>
      <w:r>
        <w:rPr>
          <w:color w:val="000000" w:themeColor="text1"/>
          <w:kern w:val="0"/>
          <w:szCs w:val="21"/>
          <w:highlight w:val="none"/>
          <w14:textFill>
            <w14:solidFill>
              <w14:schemeClr w14:val="tx1"/>
            </w14:solidFill>
          </w14:textFill>
        </w:rPr>
        <w:t>16.2.1</w:t>
      </w:r>
      <w:r>
        <w:rPr>
          <w:rFonts w:hAnsi="宋体"/>
          <w:color w:val="000000" w:themeColor="text1"/>
          <w:kern w:val="0"/>
          <w:szCs w:val="21"/>
          <w:highlight w:val="none"/>
          <w14:textFill>
            <w14:solidFill>
              <w14:schemeClr w14:val="tx1"/>
            </w14:solidFill>
          </w14:textFill>
        </w:rPr>
        <w:t>（</w:t>
      </w:r>
      <w:r>
        <w:rPr>
          <w:color w:val="000000" w:themeColor="text1"/>
          <w:kern w:val="0"/>
          <w:szCs w:val="21"/>
          <w:highlight w:val="none"/>
          <w14:textFill>
            <w14:solidFill>
              <w14:schemeClr w14:val="tx1"/>
            </w14:solidFill>
          </w14:textFill>
        </w:rPr>
        <w:t>2</w:t>
      </w:r>
      <w:r>
        <w:rPr>
          <w:rFonts w:hAnsi="宋体"/>
          <w:color w:val="000000" w:themeColor="text1"/>
          <w:kern w:val="0"/>
          <w:szCs w:val="21"/>
          <w:highlight w:val="none"/>
          <w14:textFill>
            <w14:solidFill>
              <w14:schemeClr w14:val="tx1"/>
            </w14:solidFill>
          </w14:textFill>
        </w:rPr>
        <w:t>）</w:t>
      </w:r>
      <w:r>
        <w:rPr>
          <w:rFonts w:hint="eastAsia" w:hAnsi="宋体"/>
          <w:color w:val="000000" w:themeColor="text1"/>
          <w:kern w:val="0"/>
          <w:szCs w:val="21"/>
          <w:highlight w:val="none"/>
          <w14:textFill>
            <w14:solidFill>
              <w14:schemeClr w14:val="tx1"/>
            </w14:solidFill>
          </w14:textFill>
        </w:rPr>
        <w:t>、</w:t>
      </w:r>
      <w:r>
        <w:rPr>
          <w:rFonts w:hAnsi="宋体"/>
          <w:color w:val="000000" w:themeColor="text1"/>
          <w:kern w:val="0"/>
          <w:szCs w:val="21"/>
          <w:highlight w:val="none"/>
          <w14:textFill>
            <w14:solidFill>
              <w14:schemeClr w14:val="tx1"/>
            </w14:solidFill>
          </w14:textFill>
        </w:rPr>
        <w:t>（</w:t>
      </w:r>
      <w:r>
        <w:rPr>
          <w:color w:val="000000" w:themeColor="text1"/>
          <w:kern w:val="0"/>
          <w:szCs w:val="21"/>
          <w:highlight w:val="none"/>
          <w14:textFill>
            <w14:solidFill>
              <w14:schemeClr w14:val="tx1"/>
            </w14:solidFill>
          </w14:textFill>
        </w:rPr>
        <w:t>3</w:t>
      </w:r>
      <w:r>
        <w:rPr>
          <w:rFonts w:hAnsi="宋体"/>
          <w:color w:val="000000" w:themeColor="text1"/>
          <w:kern w:val="0"/>
          <w:szCs w:val="21"/>
          <w:highlight w:val="none"/>
          <w14:textFill>
            <w14:solidFill>
              <w14:schemeClr w14:val="tx1"/>
            </w14:solidFill>
          </w14:textFill>
        </w:rPr>
        <w:t>）条内容完成的，承包人无条件返工处理，修复至工程质量要求并承担相关费用，并在发包人规定的时间内完成返工，否则发包人有权扣罚该分项工程</w:t>
      </w:r>
      <w:r>
        <w:rPr>
          <w:color w:val="000000" w:themeColor="text1"/>
          <w:kern w:val="0"/>
          <w:szCs w:val="21"/>
          <w:highlight w:val="none"/>
          <w14:textFill>
            <w14:solidFill>
              <w14:schemeClr w14:val="tx1"/>
            </w14:solidFill>
          </w14:textFill>
        </w:rPr>
        <w:t>10%</w:t>
      </w:r>
      <w:r>
        <w:rPr>
          <w:rFonts w:hAnsi="宋体"/>
          <w:color w:val="000000" w:themeColor="text1"/>
          <w:kern w:val="0"/>
          <w:szCs w:val="21"/>
          <w:highlight w:val="none"/>
          <w14:textFill>
            <w14:solidFill>
              <w14:schemeClr w14:val="tx1"/>
            </w14:solidFill>
          </w14:textFill>
        </w:rPr>
        <w:t>的工程款作为处罚。</w:t>
      </w:r>
    </w:p>
    <w:p w14:paraId="7C45FBBA">
      <w:pPr>
        <w:spacing w:line="360" w:lineRule="auto"/>
        <w:ind w:firstLine="420" w:firstLineChars="200"/>
        <w:jc w:val="left"/>
        <w:rPr>
          <w:rFonts w:hAnsi="宋体"/>
          <w:color w:val="000000" w:themeColor="text1"/>
          <w:kern w:val="0"/>
          <w:szCs w:val="21"/>
          <w:highlight w:val="none"/>
          <w14:textFill>
            <w14:solidFill>
              <w14:schemeClr w14:val="tx1"/>
            </w14:solidFill>
          </w14:textFill>
        </w:rPr>
      </w:pPr>
      <w:r>
        <w:rPr>
          <w:rFonts w:hAnsi="宋体"/>
          <w:color w:val="000000" w:themeColor="text1"/>
          <w:kern w:val="0"/>
          <w:szCs w:val="21"/>
          <w:highlight w:val="none"/>
          <w14:textFill>
            <w14:solidFill>
              <w14:schemeClr w14:val="tx1"/>
            </w14:solidFill>
          </w14:textFill>
        </w:rPr>
        <w:t>（</w:t>
      </w:r>
      <w:r>
        <w:rPr>
          <w:color w:val="000000" w:themeColor="text1"/>
          <w:kern w:val="0"/>
          <w:szCs w:val="21"/>
          <w:highlight w:val="none"/>
          <w14:textFill>
            <w14:solidFill>
              <w14:schemeClr w14:val="tx1"/>
            </w14:solidFill>
          </w14:textFill>
        </w:rPr>
        <w:t>2</w:t>
      </w:r>
      <w:r>
        <w:rPr>
          <w:rFonts w:hAnsi="宋体"/>
          <w:color w:val="000000" w:themeColor="text1"/>
          <w:kern w:val="0"/>
          <w:szCs w:val="21"/>
          <w:highlight w:val="none"/>
          <w14:textFill>
            <w14:solidFill>
              <w14:schemeClr w14:val="tx1"/>
            </w14:solidFill>
          </w14:textFill>
        </w:rPr>
        <w:t>）承包人有本合同通用条款第</w:t>
      </w:r>
      <w:r>
        <w:rPr>
          <w:color w:val="000000" w:themeColor="text1"/>
          <w:kern w:val="0"/>
          <w:szCs w:val="21"/>
          <w:highlight w:val="none"/>
          <w14:textFill>
            <w14:solidFill>
              <w14:schemeClr w14:val="tx1"/>
            </w14:solidFill>
          </w14:textFill>
        </w:rPr>
        <w:t>16.2.1</w:t>
      </w:r>
      <w:r>
        <w:rPr>
          <w:rFonts w:hAnsi="宋体"/>
          <w:color w:val="000000" w:themeColor="text1"/>
          <w:kern w:val="0"/>
          <w:szCs w:val="21"/>
          <w:highlight w:val="none"/>
          <w14:textFill>
            <w14:solidFill>
              <w14:schemeClr w14:val="tx1"/>
            </w14:solidFill>
          </w14:textFill>
        </w:rPr>
        <w:t>（</w:t>
      </w:r>
      <w:r>
        <w:rPr>
          <w:color w:val="000000" w:themeColor="text1"/>
          <w:kern w:val="0"/>
          <w:szCs w:val="21"/>
          <w:highlight w:val="none"/>
          <w14:textFill>
            <w14:solidFill>
              <w14:schemeClr w14:val="tx1"/>
            </w14:solidFill>
          </w14:textFill>
        </w:rPr>
        <w:t>6</w:t>
      </w:r>
      <w:r>
        <w:rPr>
          <w:rFonts w:hAnsi="宋体"/>
          <w:color w:val="000000" w:themeColor="text1"/>
          <w:kern w:val="0"/>
          <w:szCs w:val="21"/>
          <w:highlight w:val="none"/>
          <w14:textFill>
            <w14:solidFill>
              <w14:schemeClr w14:val="tx1"/>
            </w14:solidFill>
          </w14:textFill>
        </w:rPr>
        <w:t>）条情形的，或经监理人检验认为修复质量不合格而承包人拒绝再进行修补的，发包人将扣除承包人全部质量保修金。</w:t>
      </w:r>
    </w:p>
    <w:p w14:paraId="53CF4FE3">
      <w:pPr>
        <w:spacing w:line="360" w:lineRule="auto"/>
        <w:ind w:firstLine="420" w:firstLineChars="200"/>
        <w:jc w:val="left"/>
        <w:rPr>
          <w:rFonts w:hAnsi="宋体"/>
          <w:color w:val="000000" w:themeColor="text1"/>
          <w:kern w:val="0"/>
          <w:szCs w:val="21"/>
          <w:highlight w:val="none"/>
          <w14:textFill>
            <w14:solidFill>
              <w14:schemeClr w14:val="tx1"/>
            </w14:solidFill>
          </w14:textFill>
        </w:rPr>
      </w:pPr>
      <w:r>
        <w:rPr>
          <w:rFonts w:hAnsi="宋体"/>
          <w:color w:val="000000" w:themeColor="text1"/>
          <w:kern w:val="0"/>
          <w:szCs w:val="21"/>
          <w:highlight w:val="none"/>
          <w14:textFill>
            <w14:solidFill>
              <w14:schemeClr w14:val="tx1"/>
            </w14:solidFill>
          </w14:textFill>
        </w:rPr>
        <w:t>（</w:t>
      </w:r>
      <w:r>
        <w:rPr>
          <w:color w:val="000000" w:themeColor="text1"/>
          <w:kern w:val="0"/>
          <w:szCs w:val="21"/>
          <w:highlight w:val="none"/>
          <w14:textFill>
            <w14:solidFill>
              <w14:schemeClr w14:val="tx1"/>
            </w14:solidFill>
          </w14:textFill>
        </w:rPr>
        <w:t>3</w:t>
      </w:r>
      <w:r>
        <w:rPr>
          <w:rFonts w:hAnsi="宋体"/>
          <w:color w:val="000000" w:themeColor="text1"/>
          <w:kern w:val="0"/>
          <w:szCs w:val="21"/>
          <w:highlight w:val="none"/>
          <w14:textFill>
            <w14:solidFill>
              <w14:schemeClr w14:val="tx1"/>
            </w14:solidFill>
          </w14:textFill>
        </w:rPr>
        <w:t>）承包人有本专用合同条款</w:t>
      </w:r>
      <w:r>
        <w:rPr>
          <w:color w:val="000000" w:themeColor="text1"/>
          <w:kern w:val="0"/>
          <w:szCs w:val="21"/>
          <w:highlight w:val="none"/>
          <w14:textFill>
            <w14:solidFill>
              <w14:schemeClr w14:val="tx1"/>
            </w14:solidFill>
          </w14:textFill>
        </w:rPr>
        <w:t>3.2</w:t>
      </w:r>
      <w:r>
        <w:rPr>
          <w:rFonts w:hAnsi="宋体"/>
          <w:color w:val="000000" w:themeColor="text1"/>
          <w:kern w:val="0"/>
          <w:szCs w:val="21"/>
          <w:highlight w:val="none"/>
          <w14:textFill>
            <w14:solidFill>
              <w14:schemeClr w14:val="tx1"/>
            </w14:solidFill>
          </w14:textFill>
        </w:rPr>
        <w:t>、</w:t>
      </w:r>
      <w:r>
        <w:rPr>
          <w:color w:val="000000" w:themeColor="text1"/>
          <w:kern w:val="0"/>
          <w:szCs w:val="21"/>
          <w:highlight w:val="none"/>
          <w14:textFill>
            <w14:solidFill>
              <w14:schemeClr w14:val="tx1"/>
            </w14:solidFill>
          </w14:textFill>
        </w:rPr>
        <w:t>3.3</w:t>
      </w:r>
      <w:r>
        <w:rPr>
          <w:rFonts w:hAnsi="宋体"/>
          <w:color w:val="000000" w:themeColor="text1"/>
          <w:kern w:val="0"/>
          <w:szCs w:val="21"/>
          <w:highlight w:val="none"/>
          <w14:textFill>
            <w14:solidFill>
              <w14:schemeClr w14:val="tx1"/>
            </w14:solidFill>
          </w14:textFill>
        </w:rPr>
        <w:t>条违约责任的，发包人有权扣除承包人的违约金。违约金金额均在承包人的计量支付款内扣除。监理人预先下发含有罚款意向的指令，如承包人不及时采取措施纠正，则在指令下达后十五天下发罚款通知书（不再陈述罚款理由）。承包人在合同期内，完成合同规定的全部工程，且质量合格，在本工程施工竣工验收后十五天内可申请返还全部或部分罚款，返还金额由监理人审核，发包人批准。罚款金额返还时不包括银行利息。</w:t>
      </w:r>
    </w:p>
    <w:p w14:paraId="5A5105D2">
      <w:pPr>
        <w:spacing w:line="360" w:lineRule="auto"/>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承包人应协助发包人办理该项目施工许可证，按南宁市质监部门有关安全文明现场施工的规定完成文明施工设施建设并通过质监部门验收，同时按发包人要求及时提供报监相关资料。因承包人未按发包人的要求按时完成文明施工设施建设并通过质监部门验收或未按发包人要求的时间提供报监相关资料而影响施工许可证的办理，视为承包人违约，每延误一日按5000元人民币向发包人支付违约金。</w:t>
      </w:r>
    </w:p>
    <w:p w14:paraId="766E0AA1">
      <w:pPr>
        <w:spacing w:line="360" w:lineRule="auto"/>
        <w:ind w:firstLine="420" w:firstLineChars="200"/>
        <w:jc w:val="left"/>
        <w:rPr>
          <w:rFonts w:ascii="宋体" w:hAnsi="宋体"/>
          <w:kern w:val="0"/>
          <w:szCs w:val="21"/>
          <w:highlight w:val="none"/>
        </w:rPr>
      </w:pPr>
      <w:r>
        <w:rPr>
          <w:rFonts w:hint="eastAsia" w:ascii="宋体" w:hAnsi="宋体"/>
          <w:color w:val="000000" w:themeColor="text1"/>
          <w:kern w:val="0"/>
          <w:szCs w:val="21"/>
          <w:highlight w:val="none"/>
          <w14:textFill>
            <w14:solidFill>
              <w14:schemeClr w14:val="tx1"/>
            </w14:solidFill>
          </w14:textFill>
        </w:rPr>
        <w:t>（5）承包人必须协助业主办理行政退费手续，如因承包人提供退费资料不全等原因导致业</w:t>
      </w:r>
      <w:r>
        <w:rPr>
          <w:rFonts w:hint="eastAsia" w:ascii="宋体" w:hAnsi="宋体"/>
          <w:kern w:val="0"/>
          <w:szCs w:val="21"/>
          <w:highlight w:val="none"/>
        </w:rPr>
        <w:t>主退费不成功，该笔费用将从工程结算款中予以扣除。</w:t>
      </w:r>
    </w:p>
    <w:p w14:paraId="5F737F84">
      <w:pPr>
        <w:spacing w:line="360" w:lineRule="auto"/>
        <w:ind w:firstLine="420" w:firstLineChars="200"/>
        <w:jc w:val="left"/>
        <w:rPr>
          <w:rFonts w:ascii="宋体" w:hAnsi="宋体" w:cs="宋体"/>
          <w:kern w:val="0"/>
          <w:szCs w:val="21"/>
          <w:highlight w:val="none"/>
        </w:rPr>
      </w:pPr>
      <w:bookmarkStart w:id="1065" w:name="_Hlk141736837"/>
      <w:bookmarkStart w:id="1066" w:name="_Hlk141736798"/>
      <w:r>
        <w:rPr>
          <w:rFonts w:hint="eastAsia" w:ascii="宋体" w:hAnsi="宋体" w:cs="宋体"/>
          <w:kern w:val="0"/>
          <w:szCs w:val="21"/>
          <w:highlight w:val="none"/>
        </w:rPr>
        <w:t>（6）因承包人原因无法在本项目磋商文件要求的工期内完成项目建设并交付使用，给发包人带来损失的，发包人有权向承包人索赔，索赔范围包括但不限于发包人收入损失、名誉受损等方面</w:t>
      </w:r>
      <w:bookmarkEnd w:id="1065"/>
      <w:r>
        <w:rPr>
          <w:rFonts w:hint="eastAsia" w:ascii="宋体" w:hAnsi="宋体" w:cs="宋体"/>
          <w:kern w:val="0"/>
          <w:szCs w:val="21"/>
          <w:highlight w:val="none"/>
        </w:rPr>
        <w:t>。</w:t>
      </w:r>
    </w:p>
    <w:bookmarkEnd w:id="1066"/>
    <w:p w14:paraId="410B9472">
      <w:pPr>
        <w:pStyle w:val="61"/>
        <w:ind w:firstLine="480"/>
        <w:rPr>
          <w:rFonts w:ascii="宋体" w:hAnsi="宋体"/>
          <w:color w:val="000000" w:themeColor="text1"/>
          <w:szCs w:val="21"/>
          <w:highlight w:val="none"/>
          <w:lang w:eastAsia="zh-CN"/>
          <w14:textFill>
            <w14:solidFill>
              <w14:schemeClr w14:val="tx1"/>
            </w14:solidFill>
          </w14:textFill>
        </w:rPr>
      </w:pPr>
    </w:p>
    <w:p w14:paraId="7E8BBC06">
      <w:pPr>
        <w:spacing w:line="360" w:lineRule="auto"/>
        <w:ind w:firstLine="420" w:firstLineChars="200"/>
        <w:jc w:val="left"/>
        <w:rPr>
          <w:rFonts w:hAnsi="宋体"/>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16.2.3 </w:t>
      </w:r>
      <w:r>
        <w:rPr>
          <w:rFonts w:hAnsi="宋体"/>
          <w:color w:val="000000" w:themeColor="text1"/>
          <w:szCs w:val="21"/>
          <w:highlight w:val="none"/>
          <w14:textFill>
            <w14:solidFill>
              <w14:schemeClr w14:val="tx1"/>
            </w14:solidFill>
          </w14:textFill>
        </w:rPr>
        <w:t>因承包人违约解除合同</w:t>
      </w:r>
    </w:p>
    <w:p w14:paraId="27627DF6">
      <w:pPr>
        <w:spacing w:line="360" w:lineRule="auto"/>
        <w:ind w:firstLine="420" w:firstLineChars="200"/>
        <w:jc w:val="left"/>
        <w:rPr>
          <w:rFonts w:hAnsi="宋体"/>
          <w:color w:val="000000" w:themeColor="text1"/>
          <w:kern w:val="0"/>
          <w:szCs w:val="21"/>
          <w:highlight w:val="none"/>
          <w14:textFill>
            <w14:solidFill>
              <w14:schemeClr w14:val="tx1"/>
            </w14:solidFill>
          </w14:textFill>
        </w:rPr>
      </w:pPr>
      <w:r>
        <w:rPr>
          <w:rFonts w:hAnsi="宋体"/>
          <w:color w:val="000000" w:themeColor="text1"/>
          <w:kern w:val="0"/>
          <w:szCs w:val="21"/>
          <w:highlight w:val="none"/>
          <w14:textFill>
            <w14:solidFill>
              <w14:schemeClr w14:val="tx1"/>
            </w14:solidFill>
          </w14:textFill>
        </w:rPr>
        <w:t>关于承包人违约解除合同的特别约定：</w:t>
      </w:r>
      <w:r>
        <w:rPr>
          <w:rFonts w:hAnsi="宋体"/>
          <w:color w:val="000000" w:themeColor="text1"/>
          <w:kern w:val="0"/>
          <w:szCs w:val="21"/>
          <w:highlight w:val="none"/>
          <w:u w:val="single"/>
          <w14:textFill>
            <w14:solidFill>
              <w14:schemeClr w14:val="tx1"/>
            </w14:solidFill>
          </w14:textFill>
        </w:rPr>
        <w:t>承包人有违反以下情况之一的，发包人有权解除合同</w:t>
      </w:r>
      <w:r>
        <w:rPr>
          <w:rFonts w:hAnsi="宋体"/>
          <w:color w:val="000000" w:themeColor="text1"/>
          <w:kern w:val="0"/>
          <w:szCs w:val="21"/>
          <w:highlight w:val="none"/>
          <w14:textFill>
            <w14:solidFill>
              <w14:schemeClr w14:val="tx1"/>
            </w14:solidFill>
          </w14:textFill>
        </w:rPr>
        <w:t>。</w:t>
      </w:r>
    </w:p>
    <w:p w14:paraId="11D8792C">
      <w:pPr>
        <w:spacing w:line="360" w:lineRule="auto"/>
        <w:ind w:firstLine="420" w:firstLineChars="200"/>
        <w:jc w:val="left"/>
        <w:rPr>
          <w:rFonts w:hAnsi="宋体"/>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(1)</w:t>
      </w:r>
      <w:r>
        <w:rPr>
          <w:rFonts w:hint="eastAsia" w:ascii="宋体" w:hAnsi="宋体"/>
          <w:b/>
          <w:bCs/>
          <w:color w:val="000000" w:themeColor="text1"/>
          <w:highlight w:val="none"/>
          <w14:textFill>
            <w14:solidFill>
              <w14:schemeClr w14:val="tx1"/>
            </w14:solidFill>
          </w14:textFill>
        </w:rPr>
        <w:t>因承包人的原因，造成施工许可证办理期限延误超过一个月、</w:t>
      </w:r>
      <w:r>
        <w:rPr>
          <w:rFonts w:hAnsi="宋体"/>
          <w:color w:val="000000" w:themeColor="text1"/>
          <w:kern w:val="0"/>
          <w:szCs w:val="21"/>
          <w:highlight w:val="none"/>
          <w14:textFill>
            <w14:solidFill>
              <w14:schemeClr w14:val="tx1"/>
            </w14:solidFill>
          </w14:textFill>
        </w:rPr>
        <w:t>承包人无正当理由不按开工通知的要求及时进场组织施工</w:t>
      </w:r>
      <w:r>
        <w:rPr>
          <w:rFonts w:hint="eastAsia" w:ascii="宋体" w:hAnsi="宋体"/>
          <w:b/>
          <w:bCs/>
          <w:color w:val="000000" w:themeColor="text1"/>
          <w:highlight w:val="none"/>
          <w14:textFill>
            <w14:solidFill>
              <w14:schemeClr w14:val="tx1"/>
            </w14:solidFill>
          </w14:textFill>
        </w:rPr>
        <w:t>超过一个月</w:t>
      </w:r>
      <w:r>
        <w:rPr>
          <w:rFonts w:hAnsi="宋体"/>
          <w:color w:val="000000" w:themeColor="text1"/>
          <w:kern w:val="0"/>
          <w:szCs w:val="21"/>
          <w:highlight w:val="none"/>
          <w14:textFill>
            <w14:solidFill>
              <w14:schemeClr w14:val="tx1"/>
            </w14:solidFill>
          </w14:textFill>
        </w:rPr>
        <w:t>和不按签订协议书时商</w:t>
      </w:r>
      <w:r>
        <w:rPr>
          <w:rFonts w:hint="eastAsia" w:hAnsi="宋体"/>
          <w:color w:val="000000" w:themeColor="text1"/>
          <w:kern w:val="0"/>
          <w:szCs w:val="21"/>
          <w:highlight w:val="none"/>
          <w14:textFill>
            <w14:solidFill>
              <w14:schemeClr w14:val="tx1"/>
            </w14:solidFill>
          </w14:textFill>
        </w:rPr>
        <w:t>定</w:t>
      </w:r>
      <w:r>
        <w:rPr>
          <w:rFonts w:hAnsi="宋体"/>
          <w:color w:val="000000" w:themeColor="text1"/>
          <w:kern w:val="0"/>
          <w:szCs w:val="21"/>
          <w:highlight w:val="none"/>
          <w14:textFill>
            <w14:solidFill>
              <w14:schemeClr w14:val="tx1"/>
            </w14:solidFill>
          </w14:textFill>
        </w:rPr>
        <w:t>的进度计划有效地开展施工准备，造成工期延误的；</w:t>
      </w:r>
    </w:p>
    <w:p w14:paraId="5BCEC6DA">
      <w:pPr>
        <w:spacing w:line="360" w:lineRule="auto"/>
        <w:ind w:firstLine="420" w:firstLineChars="200"/>
        <w:jc w:val="left"/>
        <w:rPr>
          <w:rFonts w:hAnsi="宋体"/>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(2)</w:t>
      </w:r>
      <w:r>
        <w:rPr>
          <w:rFonts w:hAnsi="宋体"/>
          <w:color w:val="000000" w:themeColor="text1"/>
          <w:kern w:val="0"/>
          <w:szCs w:val="21"/>
          <w:highlight w:val="none"/>
          <w14:textFill>
            <w14:solidFill>
              <w14:schemeClr w14:val="tx1"/>
            </w14:solidFill>
          </w14:textFill>
        </w:rPr>
        <w:t>承包人违反本合同通用条款第</w:t>
      </w:r>
      <w:r>
        <w:rPr>
          <w:color w:val="000000" w:themeColor="text1"/>
          <w:kern w:val="0"/>
          <w:szCs w:val="21"/>
          <w:highlight w:val="none"/>
          <w14:textFill>
            <w14:solidFill>
              <w14:schemeClr w14:val="tx1"/>
            </w14:solidFill>
          </w14:textFill>
        </w:rPr>
        <w:t>3.5</w:t>
      </w:r>
      <w:r>
        <w:rPr>
          <w:rFonts w:hAnsi="宋体"/>
          <w:color w:val="000000" w:themeColor="text1"/>
          <w:kern w:val="0"/>
          <w:szCs w:val="21"/>
          <w:highlight w:val="none"/>
          <w14:textFill>
            <w14:solidFill>
              <w14:schemeClr w14:val="tx1"/>
            </w14:solidFill>
          </w14:textFill>
        </w:rPr>
        <w:t>条规定私自将合同或合同的任何部分或任何权利转让给其他人，或私自将工程或工程的一部分分包出去的；</w:t>
      </w:r>
    </w:p>
    <w:p w14:paraId="65629A0D">
      <w:pPr>
        <w:spacing w:line="360" w:lineRule="auto"/>
        <w:ind w:firstLine="420" w:firstLineChars="200"/>
        <w:jc w:val="left"/>
        <w:rPr>
          <w:rFonts w:hAnsi="宋体"/>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(3)</w:t>
      </w:r>
      <w:r>
        <w:rPr>
          <w:rFonts w:hAnsi="宋体"/>
          <w:color w:val="000000" w:themeColor="text1"/>
          <w:kern w:val="0"/>
          <w:szCs w:val="21"/>
          <w:highlight w:val="none"/>
          <w14:textFill>
            <w14:solidFill>
              <w14:schemeClr w14:val="tx1"/>
            </w14:solidFill>
          </w14:textFill>
        </w:rPr>
        <w:t>未经监理人批准，承包人私自将已按</w:t>
      </w:r>
      <w:r>
        <w:rPr>
          <w:rFonts w:hint="eastAsia" w:hAnsi="宋体"/>
          <w:color w:val="000000" w:themeColor="text1"/>
          <w:kern w:val="0"/>
          <w:szCs w:val="21"/>
          <w:highlight w:val="none"/>
          <w14:textFill>
            <w14:solidFill>
              <w14:schemeClr w14:val="tx1"/>
            </w14:solidFill>
          </w14:textFill>
        </w:rPr>
        <w:t>响应</w:t>
      </w:r>
      <w:r>
        <w:rPr>
          <w:rFonts w:hAnsi="宋体"/>
          <w:color w:val="000000" w:themeColor="text1"/>
          <w:kern w:val="0"/>
          <w:szCs w:val="21"/>
          <w:highlight w:val="none"/>
          <w14:textFill>
            <w14:solidFill>
              <w14:schemeClr w14:val="tx1"/>
            </w14:solidFill>
          </w14:textFill>
        </w:rPr>
        <w:t>文件承诺进入工地的工程设备、施工设备、临时工程或材料撤离工地的；</w:t>
      </w:r>
    </w:p>
    <w:p w14:paraId="4ED1EC8C">
      <w:pPr>
        <w:spacing w:line="360" w:lineRule="auto"/>
        <w:ind w:firstLine="420" w:firstLineChars="200"/>
        <w:jc w:val="left"/>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(4)</w:t>
      </w:r>
      <w:r>
        <w:rPr>
          <w:rFonts w:hAnsi="宋体"/>
          <w:color w:val="000000" w:themeColor="text1"/>
          <w:kern w:val="0"/>
          <w:szCs w:val="21"/>
          <w:highlight w:val="none"/>
          <w14:textFill>
            <w14:solidFill>
              <w14:schemeClr w14:val="tx1"/>
            </w14:solidFill>
          </w14:textFill>
        </w:rPr>
        <w:t>由于承包人原因拒绝按合同进度计划及时完成合同规定的工程，而又未采取有效措施赶上进度，造成工期延误</w:t>
      </w:r>
      <w:r>
        <w:rPr>
          <w:rFonts w:hint="eastAsia" w:hAnsi="宋体"/>
          <w:color w:val="000000" w:themeColor="text1"/>
          <w:kern w:val="0"/>
          <w:szCs w:val="21"/>
          <w:highlight w:val="none"/>
          <w14:textFill>
            <w14:solidFill>
              <w14:schemeClr w14:val="tx1"/>
            </w14:solidFill>
          </w14:textFill>
        </w:rPr>
        <w:t>超过</w:t>
      </w:r>
      <w:r>
        <w:rPr>
          <w:rFonts w:hAnsi="宋体"/>
          <w:color w:val="000000" w:themeColor="text1"/>
          <w:kern w:val="0"/>
          <w:szCs w:val="21"/>
          <w:highlight w:val="none"/>
          <w14:textFill>
            <w14:solidFill>
              <w14:schemeClr w14:val="tx1"/>
            </w14:solidFill>
          </w14:textFill>
        </w:rPr>
        <w:t>3</w:t>
      </w:r>
      <w:r>
        <w:rPr>
          <w:rFonts w:hint="eastAsia" w:hAnsi="宋体"/>
          <w:color w:val="000000" w:themeColor="text1"/>
          <w:kern w:val="0"/>
          <w:szCs w:val="21"/>
          <w:highlight w:val="none"/>
          <w14:textFill>
            <w14:solidFill>
              <w14:schemeClr w14:val="tx1"/>
            </w14:solidFill>
          </w14:textFill>
        </w:rPr>
        <w:t>天</w:t>
      </w:r>
      <w:r>
        <w:rPr>
          <w:rFonts w:hAnsi="宋体"/>
          <w:color w:val="000000" w:themeColor="text1"/>
          <w:kern w:val="0"/>
          <w:szCs w:val="21"/>
          <w:highlight w:val="none"/>
          <w14:textFill>
            <w14:solidFill>
              <w14:schemeClr w14:val="tx1"/>
            </w14:solidFill>
          </w14:textFill>
        </w:rPr>
        <w:t>的；</w:t>
      </w:r>
    </w:p>
    <w:p w14:paraId="6173BB5F">
      <w:pPr>
        <w:spacing w:line="360" w:lineRule="auto"/>
        <w:ind w:firstLine="420" w:firstLineChars="200"/>
        <w:rPr>
          <w:rFonts w:hAnsi="宋体"/>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(5)</w:t>
      </w:r>
      <w:r>
        <w:rPr>
          <w:rFonts w:hAnsi="宋体"/>
          <w:color w:val="000000" w:themeColor="text1"/>
          <w:kern w:val="0"/>
          <w:szCs w:val="21"/>
          <w:highlight w:val="none"/>
          <w14:textFill>
            <w14:solidFill>
              <w14:schemeClr w14:val="tx1"/>
            </w14:solidFill>
          </w14:textFill>
        </w:rPr>
        <w:t>承包人否认合同有效或拒绝履行合同规定的承包人义务，或由于法律、财务等原因导致承包人无法继续履行或</w:t>
      </w:r>
      <w:r>
        <w:rPr>
          <w:rFonts w:hint="eastAsia" w:ascii="宋体" w:hAnsi="宋体"/>
          <w:b/>
          <w:bCs/>
          <w:color w:val="000000" w:themeColor="text1"/>
          <w:kern w:val="0"/>
          <w:highlight w:val="none"/>
          <w14:textFill>
            <w14:solidFill>
              <w14:schemeClr w14:val="tx1"/>
            </w14:solidFill>
          </w14:textFill>
        </w:rPr>
        <w:t>事实全面已停</w:t>
      </w:r>
      <w:r>
        <w:rPr>
          <w:rFonts w:hint="eastAsia" w:ascii="宋体" w:hAnsi="宋体"/>
          <w:color w:val="000000" w:themeColor="text1"/>
          <w:highlight w:val="none"/>
          <w14:textFill>
            <w14:solidFill>
              <w14:schemeClr w14:val="tx1"/>
            </w14:solidFill>
          </w14:textFill>
        </w:rPr>
        <w:t>工、</w:t>
      </w:r>
      <w:r>
        <w:rPr>
          <w:rFonts w:hAnsi="宋体"/>
          <w:color w:val="000000" w:themeColor="text1"/>
          <w:kern w:val="0"/>
          <w:szCs w:val="21"/>
          <w:highlight w:val="none"/>
          <w14:textFill>
            <w14:solidFill>
              <w14:schemeClr w14:val="tx1"/>
            </w14:solidFill>
          </w14:textFill>
        </w:rPr>
        <w:t>实质上已停止履行合同的义务的；</w:t>
      </w:r>
    </w:p>
    <w:p w14:paraId="02B45DD5">
      <w:pPr>
        <w:spacing w:line="360" w:lineRule="auto"/>
        <w:ind w:firstLine="420" w:firstLineChars="200"/>
        <w:rPr>
          <w:color w:val="000000" w:themeColor="text1"/>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(6)</w:t>
      </w:r>
      <w:r>
        <w:rPr>
          <w:rFonts w:hint="eastAsia" w:hAnsi="宋体" w:cs="宋体"/>
          <w:color w:val="000000" w:themeColor="text1"/>
          <w:kern w:val="0"/>
          <w:szCs w:val="22"/>
          <w:highlight w:val="none"/>
          <w14:textFill>
            <w14:solidFill>
              <w14:schemeClr w14:val="tx1"/>
            </w14:solidFill>
          </w14:textFill>
        </w:rPr>
        <w:t xml:space="preserve"> 合同签订</w:t>
      </w:r>
      <w:r>
        <w:rPr>
          <w:rFonts w:hint="eastAsia" w:ascii="仿宋_GB2312" w:hAnsi="宋体" w:cs="宋体"/>
          <w:color w:val="000000" w:themeColor="text1"/>
          <w:szCs w:val="22"/>
          <w:highlight w:val="none"/>
          <w14:textFill>
            <w14:solidFill>
              <w14:schemeClr w14:val="tx1"/>
            </w14:solidFill>
          </w14:textFill>
        </w:rPr>
        <w:t>且具备法定开工条件后</w:t>
      </w:r>
      <w:r>
        <w:rPr>
          <w:rFonts w:hint="eastAsia" w:hAnsi="宋体" w:cs="宋体"/>
          <w:color w:val="000000" w:themeColor="text1"/>
          <w:kern w:val="0"/>
          <w:szCs w:val="22"/>
          <w:highlight w:val="none"/>
          <w14:textFill>
            <w14:solidFill>
              <w14:schemeClr w14:val="tx1"/>
            </w14:solidFill>
          </w14:textFill>
        </w:rPr>
        <w:t>之日起十五日内，承包人无法按合同规定及响应文件的承诺进场经监理工程师认可的该</w:t>
      </w:r>
      <w:r>
        <w:rPr>
          <w:rFonts w:hAnsi="宋体" w:cs="宋体"/>
          <w:color w:val="000000" w:themeColor="text1"/>
          <w:kern w:val="0"/>
          <w:szCs w:val="22"/>
          <w:highlight w:val="none"/>
          <w14:textFill>
            <w14:solidFill>
              <w14:schemeClr w14:val="tx1"/>
            </w14:solidFill>
          </w14:textFill>
        </w:rPr>
        <w:t>施工</w:t>
      </w:r>
      <w:r>
        <w:rPr>
          <w:rFonts w:hint="eastAsia" w:hAnsi="宋体" w:cs="宋体"/>
          <w:color w:val="000000" w:themeColor="text1"/>
          <w:kern w:val="0"/>
          <w:szCs w:val="22"/>
          <w:highlight w:val="none"/>
          <w14:textFill>
            <w14:solidFill>
              <w14:schemeClr w14:val="tx1"/>
            </w14:solidFill>
          </w14:textFill>
        </w:rPr>
        <w:t>阶段</w:t>
      </w:r>
      <w:r>
        <w:rPr>
          <w:rFonts w:hAnsi="宋体" w:cs="宋体"/>
          <w:color w:val="000000" w:themeColor="text1"/>
          <w:kern w:val="0"/>
          <w:szCs w:val="22"/>
          <w:highlight w:val="none"/>
          <w14:textFill>
            <w14:solidFill>
              <w14:schemeClr w14:val="tx1"/>
            </w14:solidFill>
          </w14:textFill>
        </w:rPr>
        <w:t>应有的</w:t>
      </w:r>
      <w:r>
        <w:rPr>
          <w:rFonts w:hint="eastAsia" w:hAnsi="宋体" w:cs="宋体"/>
          <w:color w:val="000000" w:themeColor="text1"/>
          <w:kern w:val="0"/>
          <w:szCs w:val="22"/>
          <w:highlight w:val="none"/>
          <w14:textFill>
            <w14:solidFill>
              <w14:schemeClr w14:val="tx1"/>
            </w14:solidFill>
          </w14:textFill>
        </w:rPr>
        <w:t>全部人员和机械的。</w:t>
      </w:r>
      <w:r>
        <w:rPr>
          <w:rFonts w:hint="eastAsia"/>
          <w:color w:val="000000" w:themeColor="text1"/>
          <w:szCs w:val="21"/>
          <w:highlight w:val="none"/>
          <w14:textFill>
            <w14:solidFill>
              <w14:schemeClr w14:val="tx1"/>
            </w14:solidFill>
          </w14:textFill>
        </w:rPr>
        <w:t>承包人应按发包人解除合同的通知支付合同总价的5%的违约金给发包人，造成发包人经济损失的，承包人还应赔偿全部损失。</w:t>
      </w:r>
    </w:p>
    <w:p w14:paraId="406A4566">
      <w:pPr>
        <w:spacing w:line="360" w:lineRule="auto"/>
        <w:ind w:firstLine="422" w:firstLineChars="200"/>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kern w:val="0"/>
          <w:szCs w:val="21"/>
          <w:highlight w:val="none"/>
          <w14:textFill>
            <w14:solidFill>
              <w14:schemeClr w14:val="tx1"/>
            </w14:solidFill>
          </w14:textFill>
        </w:rPr>
        <w:t>（7）</w:t>
      </w:r>
      <w:r>
        <w:rPr>
          <w:rFonts w:hint="eastAsia" w:ascii="宋体" w:hAnsi="宋体"/>
          <w:b/>
          <w:bCs/>
          <w:color w:val="000000" w:themeColor="text1"/>
          <w:szCs w:val="21"/>
          <w:highlight w:val="none"/>
          <w14:textFill>
            <w14:solidFill>
              <w14:schemeClr w14:val="tx1"/>
            </w14:solidFill>
          </w14:textFill>
        </w:rPr>
        <w:t>承包人报监备案的项目经理、项目副经理、技术负责人、施工员、造价员、质量员、材料员、安全员等主要管理人员实际施工现场不到位人数超过50%的。</w:t>
      </w:r>
    </w:p>
    <w:p w14:paraId="6A2FED10">
      <w:pPr>
        <w:spacing w:line="360" w:lineRule="auto"/>
        <w:ind w:firstLine="420" w:firstLineChars="200"/>
        <w:rPr>
          <w:rFonts w:hAnsi="宋体"/>
          <w:color w:val="000000" w:themeColor="text1"/>
          <w:kern w:val="0"/>
          <w:szCs w:val="21"/>
          <w:highlight w:val="none"/>
          <w14:textFill>
            <w14:solidFill>
              <w14:schemeClr w14:val="tx1"/>
            </w14:solidFill>
          </w14:textFill>
        </w:rPr>
      </w:pPr>
      <w:r>
        <w:rPr>
          <w:rFonts w:hAnsi="宋体"/>
          <w:color w:val="000000" w:themeColor="text1"/>
          <w:kern w:val="0"/>
          <w:szCs w:val="21"/>
          <w:highlight w:val="none"/>
          <w14:textFill>
            <w14:solidFill>
              <w14:schemeClr w14:val="tx1"/>
            </w14:solidFill>
          </w14:textFill>
        </w:rPr>
        <w:t>发包人继续使用承包人在施工现场的材料、设备、临时工程、承包人文件和由承包人或以其名义编制的其他文件的费用承担方式：</w:t>
      </w:r>
      <w:r>
        <w:rPr>
          <w:rFonts w:hint="eastAsia"/>
          <w:color w:val="000000" w:themeColor="text1"/>
          <w:kern w:val="0"/>
          <w:szCs w:val="21"/>
          <w:highlight w:val="none"/>
          <w:u w:val="single"/>
          <w14:textFill>
            <w14:solidFill>
              <w14:schemeClr w14:val="tx1"/>
            </w14:solidFill>
          </w14:textFill>
        </w:rPr>
        <w:t>如有，另行协商</w:t>
      </w:r>
      <w:r>
        <w:rPr>
          <w:rFonts w:hAnsi="宋体"/>
          <w:color w:val="000000" w:themeColor="text1"/>
          <w:kern w:val="0"/>
          <w:szCs w:val="21"/>
          <w:highlight w:val="none"/>
          <w14:textFill>
            <w14:solidFill>
              <w14:schemeClr w14:val="tx1"/>
            </w14:solidFill>
          </w14:textFill>
        </w:rPr>
        <w:t>。</w:t>
      </w:r>
    </w:p>
    <w:p w14:paraId="3FD69B2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承包人收到发包人解除合同通知后10天内，将所有人员和机械设备和其他财产撤离施工现场，负责按照通用条</w:t>
      </w:r>
      <w:r>
        <w:rPr>
          <w:rFonts w:hint="eastAsia" w:ascii="宋体" w:hAnsi="宋体"/>
          <w:color w:val="000000" w:themeColor="text1"/>
          <w:szCs w:val="21"/>
          <w:highlight w:val="none"/>
          <w:lang w:eastAsia="zh-CN"/>
          <w14:textFill>
            <w14:solidFill>
              <w14:schemeClr w14:val="tx1"/>
            </w14:solidFill>
          </w14:textFill>
        </w:rPr>
        <w:t>款和</w:t>
      </w:r>
      <w:r>
        <w:rPr>
          <w:rFonts w:hint="eastAsia" w:ascii="宋体" w:hAnsi="宋体"/>
          <w:color w:val="000000" w:themeColor="text1"/>
          <w:szCs w:val="21"/>
          <w:highlight w:val="none"/>
          <w14:textFill>
            <w14:solidFill>
              <w14:schemeClr w14:val="tx1"/>
            </w14:solidFill>
          </w14:textFill>
        </w:rPr>
        <w:t>本项约定的要求对施工场地进行清理并承担相关费用。承包人的人员逾期</w:t>
      </w:r>
      <w:r>
        <w:rPr>
          <w:rFonts w:hint="eastAsia" w:ascii="宋体" w:hAnsi="宋体"/>
          <w:color w:val="000000" w:themeColor="text1"/>
          <w:szCs w:val="21"/>
          <w:highlight w:val="none"/>
          <w:lang w:eastAsia="zh-CN"/>
          <w14:textFill>
            <w14:solidFill>
              <w14:schemeClr w14:val="tx1"/>
            </w14:solidFill>
          </w14:textFill>
        </w:rPr>
        <w:t>撤出</w:t>
      </w:r>
      <w:r>
        <w:rPr>
          <w:rFonts w:hint="eastAsia" w:ascii="宋体" w:hAnsi="宋体"/>
          <w:color w:val="000000" w:themeColor="text1"/>
          <w:szCs w:val="21"/>
          <w:highlight w:val="none"/>
          <w14:textFill>
            <w14:solidFill>
              <w14:schemeClr w14:val="tx1"/>
            </w14:solidFill>
          </w14:textFill>
        </w:rPr>
        <w:t>施工场地的，按每人每天500元支付违约金给发包人</w:t>
      </w:r>
      <w:r>
        <w:rPr>
          <w:rFonts w:hint="eastAsia" w:ascii="宋体" w:hAnsi="宋体"/>
          <w:color w:val="000000" w:themeColor="text1"/>
          <w:kern w:val="0"/>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机械设备和其他财产逾期撤离施工现场的，视为承包人放弃所有权，任由发包人处置，处置所得收益归发包人所有。</w:t>
      </w:r>
    </w:p>
    <w:p w14:paraId="2E7F305A">
      <w:pPr>
        <w:spacing w:line="360" w:lineRule="auto"/>
        <w:ind w:firstLine="420" w:firstLineChars="200"/>
        <w:jc w:val="left"/>
        <w:rPr>
          <w:rFonts w:hAnsi="宋体"/>
          <w:color w:val="000000" w:themeColor="text1"/>
          <w:kern w:val="0"/>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承包人应按合同总价款的5%支付违约金给发包人，已完成单项工程且经验收合格的工程按造价的</w:t>
      </w:r>
      <w:r>
        <w:rPr>
          <w:rFonts w:hint="eastAsia"/>
          <w:color w:val="000000" w:themeColor="text1"/>
          <w:szCs w:val="21"/>
          <w:highlight w:val="none"/>
          <w14:textFill>
            <w14:solidFill>
              <w14:schemeClr w14:val="tx1"/>
            </w14:solidFill>
          </w14:textFill>
        </w:rPr>
        <w:t>80%</w:t>
      </w:r>
      <w:r>
        <w:rPr>
          <w:rFonts w:hint="eastAsia" w:ascii="宋体" w:hAnsi="宋体"/>
          <w:color w:val="000000" w:themeColor="text1"/>
          <w:szCs w:val="21"/>
          <w:highlight w:val="none"/>
          <w14:textFill>
            <w14:solidFill>
              <w14:schemeClr w14:val="tx1"/>
            </w14:solidFill>
          </w14:textFill>
        </w:rPr>
        <w:t>结付工程款，未完成的单项工程或虽已完成单项工程但验收不合格的工程不结付工程款。</w:t>
      </w:r>
    </w:p>
    <w:p w14:paraId="01AAD0E9">
      <w:pPr>
        <w:spacing w:line="360" w:lineRule="auto"/>
        <w:ind w:firstLine="420" w:firstLineChars="200"/>
        <w:rPr>
          <w:rFonts w:hAnsi="宋体" w:cs="宋体"/>
          <w:color w:val="000000" w:themeColor="text1"/>
          <w:kern w:val="0"/>
          <w:szCs w:val="21"/>
          <w:highlight w:val="none"/>
          <w14:textFill>
            <w14:solidFill>
              <w14:schemeClr w14:val="tx1"/>
            </w14:solidFill>
          </w14:textFill>
        </w:rPr>
      </w:pPr>
    </w:p>
    <w:p w14:paraId="52F67FE7">
      <w:pPr>
        <w:keepNext/>
        <w:keepLines/>
        <w:spacing w:before="60" w:after="60" w:line="413" w:lineRule="auto"/>
        <w:outlineLvl w:val="1"/>
        <w:rPr>
          <w:rFonts w:ascii="Arial" w:hAnsi="Arial" w:eastAsia="黑体"/>
          <w:b/>
          <w:bCs/>
          <w:color w:val="000000" w:themeColor="text1"/>
          <w:sz w:val="32"/>
          <w:szCs w:val="32"/>
          <w:highlight w:val="none"/>
          <w:lang w:val="zh-CN"/>
          <w14:textFill>
            <w14:solidFill>
              <w14:schemeClr w14:val="tx1"/>
            </w14:solidFill>
          </w14:textFill>
        </w:rPr>
      </w:pPr>
      <w:bookmarkStart w:id="1067" w:name="_Toc78449858"/>
      <w:bookmarkStart w:id="1068" w:name="_Toc389065334"/>
      <w:bookmarkStart w:id="1069" w:name="_Toc114058909"/>
      <w:bookmarkStart w:id="1070" w:name="_Toc407135272"/>
      <w:bookmarkStart w:id="1071" w:name="_Toc373478416"/>
      <w:bookmarkStart w:id="1072" w:name="_Toc351203649"/>
      <w:bookmarkStart w:id="1073" w:name="_Toc373227769"/>
      <w:r>
        <w:rPr>
          <w:rFonts w:ascii="Arial" w:hAnsi="Arial" w:eastAsia="黑体"/>
          <w:b/>
          <w:bCs/>
          <w:color w:val="000000" w:themeColor="text1"/>
          <w:sz w:val="32"/>
          <w:szCs w:val="32"/>
          <w:highlight w:val="none"/>
          <w:lang w:val="zh-CN"/>
          <w14:textFill>
            <w14:solidFill>
              <w14:schemeClr w14:val="tx1"/>
            </w14:solidFill>
          </w14:textFill>
        </w:rPr>
        <w:t xml:space="preserve">17. </w:t>
      </w:r>
      <w:r>
        <w:rPr>
          <w:rFonts w:hint="eastAsia" w:ascii="Arial" w:hAnsi="宋体" w:eastAsia="黑体" w:cs="黑体"/>
          <w:b/>
          <w:bCs/>
          <w:color w:val="000000" w:themeColor="text1"/>
          <w:sz w:val="32"/>
          <w:szCs w:val="32"/>
          <w:highlight w:val="none"/>
          <w:lang w:val="zh-CN"/>
          <w14:textFill>
            <w14:solidFill>
              <w14:schemeClr w14:val="tx1"/>
            </w14:solidFill>
          </w14:textFill>
        </w:rPr>
        <w:t>不可抗力</w:t>
      </w:r>
      <w:bookmarkEnd w:id="1051"/>
      <w:bookmarkEnd w:id="1067"/>
      <w:bookmarkEnd w:id="1068"/>
      <w:bookmarkEnd w:id="1069"/>
      <w:bookmarkEnd w:id="1070"/>
      <w:bookmarkEnd w:id="1071"/>
      <w:bookmarkEnd w:id="1072"/>
      <w:bookmarkEnd w:id="1073"/>
    </w:p>
    <w:p w14:paraId="0AAC38A5">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1074" w:name="_Toc389065335"/>
      <w:bookmarkStart w:id="1075" w:name="_Toc114058910"/>
      <w:bookmarkStart w:id="1076" w:name="_Toc373227770"/>
      <w:bookmarkStart w:id="1077" w:name="_Toc373478417"/>
      <w:bookmarkStart w:id="1078" w:name="_Toc407135273"/>
      <w:bookmarkStart w:id="1079" w:name="_Toc78449859"/>
      <w:r>
        <w:rPr>
          <w:rFonts w:eastAsia="黑体"/>
          <w:b/>
          <w:bCs/>
          <w:color w:val="000000" w:themeColor="text1"/>
          <w:sz w:val="32"/>
          <w:szCs w:val="32"/>
          <w:highlight w:val="none"/>
          <w:lang w:val="zh-CN"/>
          <w14:textFill>
            <w14:solidFill>
              <w14:schemeClr w14:val="tx1"/>
            </w14:solidFill>
          </w14:textFill>
        </w:rPr>
        <w:t xml:space="preserve">17.1 </w:t>
      </w:r>
      <w:r>
        <w:rPr>
          <w:rFonts w:hint="eastAsia" w:eastAsia="黑体" w:cs="黑体"/>
          <w:b/>
          <w:bCs/>
          <w:color w:val="000000" w:themeColor="text1"/>
          <w:sz w:val="32"/>
          <w:szCs w:val="32"/>
          <w:highlight w:val="none"/>
          <w:lang w:val="zh-CN"/>
          <w14:textFill>
            <w14:solidFill>
              <w14:schemeClr w14:val="tx1"/>
            </w14:solidFill>
          </w14:textFill>
        </w:rPr>
        <w:t>不可抗力的确认</w:t>
      </w:r>
      <w:bookmarkEnd w:id="1074"/>
      <w:bookmarkEnd w:id="1075"/>
      <w:bookmarkEnd w:id="1076"/>
      <w:bookmarkEnd w:id="1077"/>
      <w:bookmarkEnd w:id="1078"/>
      <w:bookmarkEnd w:id="1079"/>
    </w:p>
    <w:p w14:paraId="425F7223">
      <w:pPr>
        <w:spacing w:line="360" w:lineRule="auto"/>
        <w:ind w:firstLine="420" w:firstLineChars="200"/>
        <w:jc w:val="left"/>
        <w:rPr>
          <w:color w:val="000000" w:themeColor="text1"/>
          <w:kern w:val="0"/>
          <w:szCs w:val="21"/>
          <w:highlight w:val="none"/>
          <w:u w:val="singl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除通用合同条款约定的不可抗力事件之外，视为不可抗力的其他情形：</w:t>
      </w:r>
      <w:r>
        <w:rPr>
          <w:rFonts w:hint="eastAsia"/>
          <w:color w:val="000000" w:themeColor="text1"/>
          <w:kern w:val="0"/>
          <w:szCs w:val="21"/>
          <w:highlight w:val="none"/>
          <w:u w:val="single"/>
          <w14:textFill>
            <w14:solidFill>
              <w14:schemeClr w14:val="tx1"/>
            </w14:solidFill>
          </w14:textFill>
        </w:rPr>
        <w:t>a、6级以上的地震；b、10级以上的持续3日的大风；c、暴雨级以上的持续3日的大雨；d、50年以上未发生过，持续3日的高温天气；e、50年以上未发生过，持续3日的严寒天气；f、50年以上未发生过的洪水</w:t>
      </w:r>
      <w:r>
        <w:rPr>
          <w:rFonts w:hAnsi="宋体"/>
          <w:color w:val="000000" w:themeColor="text1"/>
          <w:kern w:val="0"/>
          <w:szCs w:val="21"/>
          <w:highlight w:val="none"/>
          <w:u w:val="single"/>
          <w14:textFill>
            <w14:solidFill>
              <w14:schemeClr w14:val="tx1"/>
            </w14:solidFill>
          </w14:textFill>
        </w:rPr>
        <w:t>。</w:t>
      </w:r>
      <w:r>
        <w:rPr>
          <w:rFonts w:hint="eastAsia" w:ascii="宋体" w:hAnsi="宋体"/>
          <w:color w:val="000000" w:themeColor="text1"/>
          <w:kern w:val="0"/>
          <w:szCs w:val="21"/>
          <w:highlight w:val="none"/>
          <w:u w:val="single"/>
          <w14:textFill>
            <w14:solidFill>
              <w14:schemeClr w14:val="tx1"/>
            </w14:solidFill>
          </w14:textFill>
        </w:rPr>
        <w:t>自然原因发生的火灾；其它不可抗力原因</w:t>
      </w:r>
      <w:r>
        <w:rPr>
          <w:rFonts w:hint="eastAsia" w:hAnsi="宋体" w:cs="宋体"/>
          <w:color w:val="000000" w:themeColor="text1"/>
          <w:kern w:val="0"/>
          <w:szCs w:val="21"/>
          <w:highlight w:val="none"/>
          <w14:textFill>
            <w14:solidFill>
              <w14:schemeClr w14:val="tx1"/>
            </w14:solidFill>
          </w14:textFill>
        </w:rPr>
        <w:t>。</w:t>
      </w:r>
    </w:p>
    <w:p w14:paraId="4F6CA2A8">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1080" w:name="_Toc373478418"/>
      <w:bookmarkStart w:id="1081" w:name="_Toc114058911"/>
      <w:bookmarkStart w:id="1082" w:name="_Toc373227771"/>
      <w:bookmarkStart w:id="1083" w:name="_Toc407135274"/>
      <w:bookmarkStart w:id="1084" w:name="_Toc389065336"/>
      <w:bookmarkStart w:id="1085" w:name="_Toc78449860"/>
      <w:r>
        <w:rPr>
          <w:rFonts w:eastAsia="黑体"/>
          <w:b/>
          <w:bCs/>
          <w:color w:val="000000" w:themeColor="text1"/>
          <w:sz w:val="32"/>
          <w:szCs w:val="32"/>
          <w:highlight w:val="none"/>
          <w:lang w:val="zh-CN"/>
          <w14:textFill>
            <w14:solidFill>
              <w14:schemeClr w14:val="tx1"/>
            </w14:solidFill>
          </w14:textFill>
        </w:rPr>
        <w:t xml:space="preserve">17.4 </w:t>
      </w:r>
      <w:r>
        <w:rPr>
          <w:rFonts w:hint="eastAsia" w:eastAsia="黑体" w:cs="黑体"/>
          <w:b/>
          <w:bCs/>
          <w:color w:val="000000" w:themeColor="text1"/>
          <w:sz w:val="32"/>
          <w:szCs w:val="32"/>
          <w:highlight w:val="none"/>
          <w:lang w:val="zh-CN"/>
          <w14:textFill>
            <w14:solidFill>
              <w14:schemeClr w14:val="tx1"/>
            </w14:solidFill>
          </w14:textFill>
        </w:rPr>
        <w:t>因不可抗力解除合同</w:t>
      </w:r>
      <w:bookmarkEnd w:id="1080"/>
      <w:bookmarkEnd w:id="1081"/>
      <w:bookmarkEnd w:id="1082"/>
      <w:bookmarkEnd w:id="1083"/>
      <w:bookmarkEnd w:id="1084"/>
      <w:bookmarkEnd w:id="1085"/>
    </w:p>
    <w:p w14:paraId="6D0EFACF">
      <w:pPr>
        <w:spacing w:line="360" w:lineRule="auto"/>
        <w:ind w:firstLine="420" w:firstLineChars="200"/>
        <w:jc w:val="left"/>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合同解除后，发包人应在商定或确定发包人应支付款项后</w:t>
      </w:r>
      <w:r>
        <w:rPr>
          <w:rFonts w:hint="eastAsia"/>
          <w:color w:val="000000" w:themeColor="text1"/>
          <w:szCs w:val="21"/>
          <w:highlight w:val="none"/>
          <w:u w:val="single"/>
          <w14:textFill>
            <w14:solidFill>
              <w14:schemeClr w14:val="tx1"/>
            </w14:solidFill>
          </w14:textFill>
        </w:rPr>
        <w:t>56</w:t>
      </w:r>
      <w:r>
        <w:rPr>
          <w:rFonts w:hint="eastAsia" w:hAnsi="宋体" w:cs="宋体"/>
          <w:color w:val="000000" w:themeColor="text1"/>
          <w:szCs w:val="21"/>
          <w:highlight w:val="none"/>
          <w14:textFill>
            <w14:solidFill>
              <w14:schemeClr w14:val="tx1"/>
            </w14:solidFill>
          </w14:textFill>
        </w:rPr>
        <w:t>天内完成款项的支付。</w:t>
      </w:r>
    </w:p>
    <w:p w14:paraId="63792EAF">
      <w:pPr>
        <w:keepNext/>
        <w:keepLines/>
        <w:spacing w:before="60" w:after="60" w:line="413" w:lineRule="auto"/>
        <w:outlineLvl w:val="1"/>
        <w:rPr>
          <w:rFonts w:ascii="Arial" w:hAnsi="Arial" w:eastAsia="黑体"/>
          <w:b/>
          <w:bCs/>
          <w:color w:val="000000" w:themeColor="text1"/>
          <w:sz w:val="32"/>
          <w:szCs w:val="32"/>
          <w:highlight w:val="none"/>
          <w:lang w:val="zh-CN"/>
          <w14:textFill>
            <w14:solidFill>
              <w14:schemeClr w14:val="tx1"/>
            </w14:solidFill>
          </w14:textFill>
        </w:rPr>
      </w:pPr>
      <w:bookmarkStart w:id="1086" w:name="_Toc114058912"/>
      <w:bookmarkStart w:id="1087" w:name="_Toc373227772"/>
      <w:bookmarkStart w:id="1088" w:name="_Toc78449861"/>
      <w:bookmarkStart w:id="1089" w:name="_Toc373478419"/>
      <w:bookmarkStart w:id="1090" w:name="_Toc351203650"/>
      <w:bookmarkStart w:id="1091" w:name="_Toc389065337"/>
      <w:bookmarkStart w:id="1092" w:name="_Toc407135275"/>
      <w:r>
        <w:rPr>
          <w:rFonts w:ascii="Arial" w:hAnsi="Arial" w:eastAsia="黑体"/>
          <w:b/>
          <w:bCs/>
          <w:color w:val="000000" w:themeColor="text1"/>
          <w:sz w:val="32"/>
          <w:szCs w:val="32"/>
          <w:highlight w:val="none"/>
          <w:lang w:val="zh-CN"/>
          <w14:textFill>
            <w14:solidFill>
              <w14:schemeClr w14:val="tx1"/>
            </w14:solidFill>
          </w14:textFill>
        </w:rPr>
        <w:t xml:space="preserve">18. </w:t>
      </w:r>
      <w:r>
        <w:rPr>
          <w:rFonts w:hint="eastAsia" w:ascii="Arial" w:hAnsi="宋体" w:eastAsia="黑体" w:cs="黑体"/>
          <w:b/>
          <w:bCs/>
          <w:color w:val="000000" w:themeColor="text1"/>
          <w:sz w:val="32"/>
          <w:szCs w:val="32"/>
          <w:highlight w:val="none"/>
          <w:lang w:val="zh-CN"/>
          <w14:textFill>
            <w14:solidFill>
              <w14:schemeClr w14:val="tx1"/>
            </w14:solidFill>
          </w14:textFill>
        </w:rPr>
        <w:t>保险</w:t>
      </w:r>
      <w:bookmarkEnd w:id="1086"/>
      <w:bookmarkEnd w:id="1087"/>
      <w:bookmarkEnd w:id="1088"/>
      <w:bookmarkEnd w:id="1089"/>
      <w:bookmarkEnd w:id="1090"/>
      <w:bookmarkEnd w:id="1091"/>
      <w:bookmarkEnd w:id="1092"/>
    </w:p>
    <w:bookmarkEnd w:id="1052"/>
    <w:p w14:paraId="7092C7EE">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1093" w:name="_Toc373227773"/>
      <w:bookmarkStart w:id="1094" w:name="_Toc373478420"/>
      <w:bookmarkStart w:id="1095" w:name="_Toc389065338"/>
      <w:bookmarkStart w:id="1096" w:name="_Toc78449862"/>
      <w:bookmarkStart w:id="1097" w:name="_Toc114058913"/>
      <w:bookmarkStart w:id="1098" w:name="_Toc407135276"/>
      <w:r>
        <w:rPr>
          <w:rFonts w:eastAsia="黑体"/>
          <w:b/>
          <w:bCs/>
          <w:color w:val="000000" w:themeColor="text1"/>
          <w:sz w:val="32"/>
          <w:szCs w:val="32"/>
          <w:highlight w:val="none"/>
          <w:lang w:val="zh-CN"/>
          <w14:textFill>
            <w14:solidFill>
              <w14:schemeClr w14:val="tx1"/>
            </w14:solidFill>
          </w14:textFill>
        </w:rPr>
        <w:t xml:space="preserve">18.1 </w:t>
      </w:r>
      <w:r>
        <w:rPr>
          <w:rFonts w:hint="eastAsia" w:hAnsi="宋体" w:eastAsia="黑体" w:cs="黑体"/>
          <w:b/>
          <w:bCs/>
          <w:color w:val="000000" w:themeColor="text1"/>
          <w:sz w:val="32"/>
          <w:szCs w:val="32"/>
          <w:highlight w:val="none"/>
          <w:lang w:val="zh-CN"/>
          <w14:textFill>
            <w14:solidFill>
              <w14:schemeClr w14:val="tx1"/>
            </w14:solidFill>
          </w14:textFill>
        </w:rPr>
        <w:t>工程保险</w:t>
      </w:r>
      <w:bookmarkEnd w:id="1093"/>
      <w:bookmarkEnd w:id="1094"/>
      <w:bookmarkEnd w:id="1095"/>
      <w:bookmarkEnd w:id="1096"/>
      <w:bookmarkEnd w:id="1097"/>
      <w:bookmarkEnd w:id="1098"/>
    </w:p>
    <w:p w14:paraId="40D19DA8">
      <w:pPr>
        <w:spacing w:line="360" w:lineRule="auto"/>
        <w:ind w:firstLine="420" w:firstLineChars="200"/>
        <w:jc w:val="left"/>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关于工程保险的特别约定：</w:t>
      </w:r>
      <w:r>
        <w:rPr>
          <w:rFonts w:hint="eastAsia" w:hAnsi="宋体"/>
          <w:bCs/>
          <w:color w:val="000000" w:themeColor="text1"/>
          <w:szCs w:val="21"/>
          <w:highlight w:val="none"/>
          <w:u w:val="single"/>
          <w14:textFill>
            <w14:solidFill>
              <w14:schemeClr w14:val="tx1"/>
            </w14:solidFill>
          </w14:textFill>
        </w:rPr>
        <w:t>发包人可根据需要投保工程质量保险；对已投保的工程项目，承包人应积极配合保险公司开展相关工作</w:t>
      </w:r>
      <w:r>
        <w:rPr>
          <w:rFonts w:hint="eastAsia" w:hAnsi="宋体" w:cs="宋体"/>
          <w:color w:val="000000" w:themeColor="text1"/>
          <w:kern w:val="0"/>
          <w:szCs w:val="21"/>
          <w:highlight w:val="none"/>
          <w14:textFill>
            <w14:solidFill>
              <w14:schemeClr w14:val="tx1"/>
            </w14:solidFill>
          </w14:textFill>
        </w:rPr>
        <w:t>。</w:t>
      </w:r>
    </w:p>
    <w:p w14:paraId="1E43F90A">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1099" w:name="_Toc407135277"/>
      <w:bookmarkStart w:id="1100" w:name="_Toc373478421"/>
      <w:bookmarkStart w:id="1101" w:name="_Toc373227774"/>
      <w:bookmarkStart w:id="1102" w:name="_Toc78449863"/>
      <w:bookmarkStart w:id="1103" w:name="_Toc114058914"/>
      <w:bookmarkStart w:id="1104" w:name="_Toc389065339"/>
      <w:r>
        <w:rPr>
          <w:rFonts w:eastAsia="黑体"/>
          <w:b/>
          <w:bCs/>
          <w:color w:val="000000" w:themeColor="text1"/>
          <w:sz w:val="32"/>
          <w:szCs w:val="32"/>
          <w:highlight w:val="none"/>
          <w:lang w:val="zh-CN"/>
          <w14:textFill>
            <w14:solidFill>
              <w14:schemeClr w14:val="tx1"/>
            </w14:solidFill>
          </w14:textFill>
        </w:rPr>
        <w:t xml:space="preserve">18.3 </w:t>
      </w:r>
      <w:r>
        <w:rPr>
          <w:rFonts w:hint="eastAsia" w:hAnsi="宋体" w:eastAsia="黑体" w:cs="黑体"/>
          <w:b/>
          <w:bCs/>
          <w:color w:val="000000" w:themeColor="text1"/>
          <w:sz w:val="32"/>
          <w:szCs w:val="32"/>
          <w:highlight w:val="none"/>
          <w:lang w:val="zh-CN"/>
          <w14:textFill>
            <w14:solidFill>
              <w14:schemeClr w14:val="tx1"/>
            </w14:solidFill>
          </w14:textFill>
        </w:rPr>
        <w:t>其他保险</w:t>
      </w:r>
      <w:bookmarkEnd w:id="1099"/>
      <w:bookmarkEnd w:id="1100"/>
      <w:bookmarkEnd w:id="1101"/>
      <w:bookmarkEnd w:id="1102"/>
      <w:bookmarkEnd w:id="1103"/>
      <w:bookmarkEnd w:id="1104"/>
    </w:p>
    <w:p w14:paraId="7A40F292">
      <w:pPr>
        <w:spacing w:line="360" w:lineRule="auto"/>
        <w:ind w:firstLine="420" w:firstLineChars="200"/>
        <w:jc w:val="left"/>
        <w:rPr>
          <w:color w:val="000000" w:themeColor="text1"/>
          <w:kern w:val="0"/>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关于其他保险的约定：</w:t>
      </w:r>
      <w:r>
        <w:rPr>
          <w:rFonts w:hint="eastAsia" w:hAnsi="宋体"/>
          <w:bCs/>
          <w:color w:val="000000" w:themeColor="text1"/>
          <w:szCs w:val="21"/>
          <w:highlight w:val="none"/>
          <w:u w:val="single"/>
          <w14:textFill>
            <w14:solidFill>
              <w14:schemeClr w14:val="tx1"/>
            </w14:solidFill>
          </w14:textFill>
        </w:rPr>
        <w:t>承包人必须为施工现场从事施工的所有作业人员和管理人员办理工伤保险，并支付保费</w:t>
      </w:r>
      <w:r>
        <w:rPr>
          <w:rFonts w:hint="eastAsia" w:hAnsi="宋体" w:cs="宋体"/>
          <w:color w:val="000000" w:themeColor="text1"/>
          <w:szCs w:val="21"/>
          <w:highlight w:val="none"/>
          <w14:textFill>
            <w14:solidFill>
              <w14:schemeClr w14:val="tx1"/>
            </w14:solidFill>
          </w14:textFill>
        </w:rPr>
        <w:t>。</w:t>
      </w:r>
    </w:p>
    <w:p w14:paraId="43535640">
      <w:pPr>
        <w:spacing w:line="360" w:lineRule="auto"/>
        <w:ind w:firstLine="420" w:firstLineChars="200"/>
        <w:jc w:val="left"/>
        <w:rPr>
          <w:color w:val="000000" w:themeColor="text1"/>
          <w:szCs w:val="21"/>
          <w:highlight w:val="none"/>
          <w:u w:val="singl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承包人是否应为其施工设备等办理财产保险：</w:t>
      </w:r>
      <w:r>
        <w:rPr>
          <w:rFonts w:hint="eastAsia"/>
          <w:color w:val="000000" w:themeColor="text1"/>
          <w:szCs w:val="21"/>
          <w:highlight w:val="none"/>
          <w:u w:val="single"/>
          <w14:textFill>
            <w14:solidFill>
              <w14:schemeClr w14:val="tx1"/>
            </w14:solidFill>
          </w14:textFill>
        </w:rPr>
        <w:t>是</w:t>
      </w:r>
      <w:r>
        <w:rPr>
          <w:rFonts w:hint="eastAsia" w:hAnsi="宋体" w:cs="宋体"/>
          <w:color w:val="000000" w:themeColor="text1"/>
          <w:szCs w:val="21"/>
          <w:highlight w:val="none"/>
          <w14:textFill>
            <w14:solidFill>
              <w14:schemeClr w14:val="tx1"/>
            </w14:solidFill>
          </w14:textFill>
        </w:rPr>
        <w:t>。</w:t>
      </w:r>
    </w:p>
    <w:p w14:paraId="3D04851C">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1105" w:name="_Toc389065340"/>
      <w:bookmarkStart w:id="1106" w:name="_Toc114058915"/>
      <w:bookmarkStart w:id="1107" w:name="_Toc407135278"/>
      <w:bookmarkStart w:id="1108" w:name="_Toc78449864"/>
      <w:bookmarkStart w:id="1109" w:name="_Toc373227775"/>
      <w:bookmarkStart w:id="1110" w:name="_Toc373478422"/>
      <w:r>
        <w:rPr>
          <w:rFonts w:eastAsia="黑体"/>
          <w:b/>
          <w:bCs/>
          <w:color w:val="000000" w:themeColor="text1"/>
          <w:sz w:val="32"/>
          <w:szCs w:val="32"/>
          <w:highlight w:val="none"/>
          <w:lang w:val="zh-CN"/>
          <w14:textFill>
            <w14:solidFill>
              <w14:schemeClr w14:val="tx1"/>
            </w14:solidFill>
          </w14:textFill>
        </w:rPr>
        <w:t xml:space="preserve">18.7 </w:t>
      </w:r>
      <w:r>
        <w:rPr>
          <w:rFonts w:hint="eastAsia" w:hAnsi="宋体" w:eastAsia="黑体" w:cs="黑体"/>
          <w:b/>
          <w:bCs/>
          <w:color w:val="000000" w:themeColor="text1"/>
          <w:sz w:val="32"/>
          <w:szCs w:val="32"/>
          <w:highlight w:val="none"/>
          <w:lang w:val="zh-CN"/>
          <w14:textFill>
            <w14:solidFill>
              <w14:schemeClr w14:val="tx1"/>
            </w14:solidFill>
          </w14:textFill>
        </w:rPr>
        <w:t>通知义务</w:t>
      </w:r>
      <w:bookmarkEnd w:id="1105"/>
      <w:bookmarkEnd w:id="1106"/>
      <w:bookmarkEnd w:id="1107"/>
      <w:bookmarkEnd w:id="1108"/>
      <w:bookmarkEnd w:id="1109"/>
      <w:bookmarkEnd w:id="1110"/>
    </w:p>
    <w:p w14:paraId="13506808">
      <w:pPr>
        <w:spacing w:line="360" w:lineRule="auto"/>
        <w:ind w:firstLine="420" w:firstLineChars="200"/>
        <w:jc w:val="left"/>
        <w:rPr>
          <w:color w:val="000000" w:themeColor="text1"/>
          <w:szCs w:val="21"/>
          <w:highlight w:val="none"/>
          <w:u w:val="singl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关于变更保险合同时的通知义务的约定：</w:t>
      </w:r>
      <w:r>
        <w:rPr>
          <w:rFonts w:hint="eastAsia"/>
          <w:color w:val="000000" w:themeColor="text1"/>
          <w:szCs w:val="21"/>
          <w:highlight w:val="none"/>
          <w:u w:val="single"/>
          <w14:textFill>
            <w14:solidFill>
              <w14:schemeClr w14:val="tx1"/>
            </w14:solidFill>
          </w14:textFill>
        </w:rPr>
        <w:t>按通用条款执行</w:t>
      </w:r>
      <w:r>
        <w:rPr>
          <w:rFonts w:hint="eastAsia" w:hAnsi="宋体" w:cs="宋体"/>
          <w:color w:val="000000" w:themeColor="text1"/>
          <w:szCs w:val="21"/>
          <w:highlight w:val="none"/>
          <w14:textFill>
            <w14:solidFill>
              <w14:schemeClr w14:val="tx1"/>
            </w14:solidFill>
          </w14:textFill>
        </w:rPr>
        <w:t>。</w:t>
      </w:r>
    </w:p>
    <w:bookmarkEnd w:id="1004"/>
    <w:bookmarkEnd w:id="1005"/>
    <w:bookmarkEnd w:id="1006"/>
    <w:bookmarkEnd w:id="1007"/>
    <w:bookmarkEnd w:id="1008"/>
    <w:bookmarkEnd w:id="1009"/>
    <w:bookmarkEnd w:id="1010"/>
    <w:bookmarkEnd w:id="1011"/>
    <w:bookmarkEnd w:id="1012"/>
    <w:bookmarkEnd w:id="1013"/>
    <w:bookmarkEnd w:id="1014"/>
    <w:bookmarkEnd w:id="1015"/>
    <w:p w14:paraId="153D16AA">
      <w:pPr>
        <w:keepNext/>
        <w:keepLines/>
        <w:spacing w:before="60" w:after="60" w:line="413" w:lineRule="auto"/>
        <w:outlineLvl w:val="1"/>
        <w:rPr>
          <w:rFonts w:ascii="Arial" w:hAnsi="Arial" w:eastAsia="黑体"/>
          <w:b/>
          <w:bCs/>
          <w:color w:val="000000" w:themeColor="text1"/>
          <w:sz w:val="32"/>
          <w:szCs w:val="32"/>
          <w:highlight w:val="none"/>
          <w:lang w:val="zh-CN"/>
          <w14:textFill>
            <w14:solidFill>
              <w14:schemeClr w14:val="tx1"/>
            </w14:solidFill>
          </w14:textFill>
        </w:rPr>
      </w:pPr>
      <w:bookmarkStart w:id="1111" w:name="_Toc373227776"/>
      <w:bookmarkStart w:id="1112" w:name="_Toc351203651"/>
      <w:bookmarkStart w:id="1113" w:name="_Toc407135279"/>
      <w:bookmarkStart w:id="1114" w:name="_Toc389065341"/>
      <w:bookmarkStart w:id="1115" w:name="_Toc114058916"/>
      <w:bookmarkStart w:id="1116" w:name="_Toc373478423"/>
      <w:bookmarkStart w:id="1117" w:name="_Toc78449865"/>
      <w:r>
        <w:rPr>
          <w:rFonts w:ascii="Arial" w:hAnsi="Arial" w:eastAsia="黑体"/>
          <w:b/>
          <w:bCs/>
          <w:color w:val="000000" w:themeColor="text1"/>
          <w:sz w:val="32"/>
          <w:szCs w:val="32"/>
          <w:highlight w:val="none"/>
          <w:lang w:val="zh-CN"/>
          <w14:textFill>
            <w14:solidFill>
              <w14:schemeClr w14:val="tx1"/>
            </w14:solidFill>
          </w14:textFill>
        </w:rPr>
        <w:t xml:space="preserve">20. </w:t>
      </w:r>
      <w:r>
        <w:rPr>
          <w:rFonts w:hint="eastAsia" w:ascii="Arial" w:hAnsi="宋体" w:eastAsia="黑体" w:cs="黑体"/>
          <w:b/>
          <w:bCs/>
          <w:color w:val="000000" w:themeColor="text1"/>
          <w:sz w:val="32"/>
          <w:szCs w:val="32"/>
          <w:highlight w:val="none"/>
          <w:lang w:val="zh-CN"/>
          <w14:textFill>
            <w14:solidFill>
              <w14:schemeClr w14:val="tx1"/>
            </w14:solidFill>
          </w14:textFill>
        </w:rPr>
        <w:t>争议解决</w:t>
      </w:r>
      <w:bookmarkEnd w:id="1111"/>
      <w:bookmarkEnd w:id="1112"/>
      <w:bookmarkEnd w:id="1113"/>
      <w:bookmarkEnd w:id="1114"/>
      <w:bookmarkEnd w:id="1115"/>
      <w:bookmarkEnd w:id="1116"/>
      <w:bookmarkEnd w:id="1117"/>
    </w:p>
    <w:bookmarkEnd w:id="1016"/>
    <w:bookmarkEnd w:id="1017"/>
    <w:p w14:paraId="5A55DE4A">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1118" w:name="_Toc373227777"/>
      <w:bookmarkStart w:id="1119" w:name="_Toc78449866"/>
      <w:bookmarkStart w:id="1120" w:name="_Toc373478424"/>
      <w:bookmarkStart w:id="1121" w:name="_Toc114058917"/>
      <w:bookmarkStart w:id="1122" w:name="_Toc407135280"/>
      <w:bookmarkStart w:id="1123" w:name="_Toc389065342"/>
      <w:r>
        <w:rPr>
          <w:rFonts w:eastAsia="黑体"/>
          <w:b/>
          <w:bCs/>
          <w:color w:val="000000" w:themeColor="text1"/>
          <w:sz w:val="32"/>
          <w:szCs w:val="32"/>
          <w:highlight w:val="none"/>
          <w:lang w:val="zh-CN"/>
          <w14:textFill>
            <w14:solidFill>
              <w14:schemeClr w14:val="tx1"/>
            </w14:solidFill>
          </w14:textFill>
        </w:rPr>
        <w:t xml:space="preserve">20.3 </w:t>
      </w:r>
      <w:r>
        <w:rPr>
          <w:rFonts w:hint="eastAsia" w:hAnsi="宋体" w:eastAsia="黑体" w:cs="黑体"/>
          <w:b/>
          <w:bCs/>
          <w:color w:val="000000" w:themeColor="text1"/>
          <w:sz w:val="32"/>
          <w:szCs w:val="32"/>
          <w:highlight w:val="none"/>
          <w:lang w:val="zh-CN"/>
          <w14:textFill>
            <w14:solidFill>
              <w14:schemeClr w14:val="tx1"/>
            </w14:solidFill>
          </w14:textFill>
        </w:rPr>
        <w:t>争</w:t>
      </w:r>
      <w:bookmarkEnd w:id="1018"/>
      <w:r>
        <w:rPr>
          <w:rFonts w:hint="eastAsia" w:hAnsi="宋体" w:eastAsia="黑体" w:cs="黑体"/>
          <w:b/>
          <w:bCs/>
          <w:color w:val="000000" w:themeColor="text1"/>
          <w:sz w:val="32"/>
          <w:szCs w:val="32"/>
          <w:highlight w:val="none"/>
          <w:lang w:val="zh-CN"/>
          <w14:textFill>
            <w14:solidFill>
              <w14:schemeClr w14:val="tx1"/>
            </w14:solidFill>
          </w14:textFill>
        </w:rPr>
        <w:t>议评审</w:t>
      </w:r>
      <w:bookmarkEnd w:id="1118"/>
      <w:bookmarkEnd w:id="1119"/>
      <w:bookmarkEnd w:id="1120"/>
      <w:bookmarkEnd w:id="1121"/>
      <w:bookmarkEnd w:id="1122"/>
      <w:bookmarkEnd w:id="1123"/>
    </w:p>
    <w:p w14:paraId="1F7B29F3">
      <w:pPr>
        <w:spacing w:line="360" w:lineRule="auto"/>
        <w:ind w:left="149" w:leftChars="71" w:firstLine="315" w:firstLineChars="150"/>
        <w:jc w:val="left"/>
        <w:rPr>
          <w:color w:val="000000" w:themeColor="text1"/>
          <w:szCs w:val="21"/>
          <w:highlight w:val="none"/>
          <w:u w:val="single"/>
          <w14:textFill>
            <w14:solidFill>
              <w14:schemeClr w14:val="tx1"/>
            </w14:solidFill>
          </w14:textFill>
        </w:rPr>
      </w:pPr>
      <w:r>
        <w:rPr>
          <w:rFonts w:hAnsi="宋体"/>
          <w:color w:val="000000" w:themeColor="text1"/>
          <w:szCs w:val="21"/>
          <w:highlight w:val="none"/>
          <w14:textFill>
            <w14:solidFill>
              <w14:schemeClr w14:val="tx1"/>
            </w14:solidFill>
          </w14:textFill>
        </w:rPr>
        <w:t>合同当事人是否同意将工程争议提交争议评审小组决定：</w:t>
      </w:r>
      <w:r>
        <w:rPr>
          <w:rFonts w:hint="eastAsia"/>
          <w:color w:val="000000" w:themeColor="text1"/>
          <w:szCs w:val="21"/>
          <w:highlight w:val="none"/>
          <w:u w:val="single"/>
          <w14:textFill>
            <w14:solidFill>
              <w14:schemeClr w14:val="tx1"/>
            </w14:solidFill>
          </w14:textFill>
        </w:rPr>
        <w:t>由发包人与承包人双方协商确定</w:t>
      </w:r>
      <w:r>
        <w:rPr>
          <w:rFonts w:hAnsi="宋体"/>
          <w:color w:val="000000" w:themeColor="text1"/>
          <w:szCs w:val="21"/>
          <w:highlight w:val="none"/>
          <w14:textFill>
            <w14:solidFill>
              <w14:schemeClr w14:val="tx1"/>
            </w14:solidFill>
          </w14:textFill>
        </w:rPr>
        <w:t>。</w:t>
      </w:r>
    </w:p>
    <w:p w14:paraId="18D4ACE9">
      <w:pPr>
        <w:spacing w:line="360" w:lineRule="auto"/>
        <w:ind w:firstLine="420" w:firstLineChars="200"/>
        <w:jc w:val="left"/>
        <w:outlineLvl w:val="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20.3.1 </w:t>
      </w:r>
      <w:r>
        <w:rPr>
          <w:rFonts w:hAnsi="宋体"/>
          <w:color w:val="000000" w:themeColor="text1"/>
          <w:szCs w:val="21"/>
          <w:highlight w:val="none"/>
          <w14:textFill>
            <w14:solidFill>
              <w14:schemeClr w14:val="tx1"/>
            </w14:solidFill>
          </w14:textFill>
        </w:rPr>
        <w:t>争议评审小组的确定</w:t>
      </w:r>
    </w:p>
    <w:p w14:paraId="24539F41">
      <w:pPr>
        <w:spacing w:line="360" w:lineRule="auto"/>
        <w:ind w:firstLine="420" w:firstLineChars="200"/>
        <w:jc w:val="left"/>
        <w:rPr>
          <w:color w:val="000000" w:themeColor="text1"/>
          <w:szCs w:val="21"/>
          <w:highlight w:val="none"/>
          <w:u w:val="single"/>
          <w14:textFill>
            <w14:solidFill>
              <w14:schemeClr w14:val="tx1"/>
            </w14:solidFill>
          </w14:textFill>
        </w:rPr>
      </w:pPr>
      <w:r>
        <w:rPr>
          <w:rFonts w:hAnsi="宋体"/>
          <w:color w:val="000000" w:themeColor="text1"/>
          <w:szCs w:val="21"/>
          <w:highlight w:val="none"/>
          <w14:textFill>
            <w14:solidFill>
              <w14:schemeClr w14:val="tx1"/>
            </w14:solidFill>
          </w14:textFill>
        </w:rPr>
        <w:t>争议评审小组成员的确定：</w:t>
      </w:r>
      <w:r>
        <w:rPr>
          <w:rFonts w:hint="eastAsia"/>
          <w:color w:val="000000" w:themeColor="text1"/>
          <w:szCs w:val="21"/>
          <w:highlight w:val="none"/>
          <w:u w:val="single"/>
          <w14:textFill>
            <w14:solidFill>
              <w14:schemeClr w14:val="tx1"/>
            </w14:solidFill>
          </w14:textFill>
        </w:rPr>
        <w:t>如双方商定采用争议评审方式解决，则按通用条款执行</w:t>
      </w:r>
      <w:r>
        <w:rPr>
          <w:rFonts w:hAnsi="宋体"/>
          <w:color w:val="000000" w:themeColor="text1"/>
          <w:szCs w:val="21"/>
          <w:highlight w:val="none"/>
          <w14:textFill>
            <w14:solidFill>
              <w14:schemeClr w14:val="tx1"/>
            </w14:solidFill>
          </w14:textFill>
        </w:rPr>
        <w:t>。</w:t>
      </w:r>
    </w:p>
    <w:p w14:paraId="7A9BA81D">
      <w:pPr>
        <w:spacing w:line="360" w:lineRule="auto"/>
        <w:ind w:firstLine="420" w:firstLineChars="200"/>
        <w:jc w:val="left"/>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选定争议评审员的期限：</w:t>
      </w:r>
      <w:r>
        <w:rPr>
          <w:rFonts w:hint="eastAsia"/>
          <w:color w:val="000000" w:themeColor="text1"/>
          <w:szCs w:val="21"/>
          <w:highlight w:val="none"/>
          <w:u w:val="single"/>
          <w14:textFill>
            <w14:solidFill>
              <w14:schemeClr w14:val="tx1"/>
            </w14:solidFill>
          </w14:textFill>
        </w:rPr>
        <w:t>如双方商定采用争议评审方式解决，则按通用条款执行</w:t>
      </w:r>
      <w:r>
        <w:rPr>
          <w:rFonts w:hAnsi="宋体"/>
          <w:color w:val="000000" w:themeColor="text1"/>
          <w:szCs w:val="21"/>
          <w:highlight w:val="none"/>
          <w14:textFill>
            <w14:solidFill>
              <w14:schemeClr w14:val="tx1"/>
            </w14:solidFill>
          </w14:textFill>
        </w:rPr>
        <w:t>。</w:t>
      </w:r>
    </w:p>
    <w:p w14:paraId="4013B11D">
      <w:pPr>
        <w:spacing w:line="360" w:lineRule="auto"/>
        <w:ind w:firstLine="420" w:firstLineChars="200"/>
        <w:jc w:val="left"/>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争议评审小组成员的报酬承担方式：</w:t>
      </w:r>
      <w:r>
        <w:rPr>
          <w:rFonts w:hint="eastAsia"/>
          <w:color w:val="000000" w:themeColor="text1"/>
          <w:szCs w:val="21"/>
          <w:highlight w:val="none"/>
          <w:u w:val="single"/>
          <w14:textFill>
            <w14:solidFill>
              <w14:schemeClr w14:val="tx1"/>
            </w14:solidFill>
          </w14:textFill>
        </w:rPr>
        <w:t>如双方商定采用争议评审方式解决，则按通用条款执行</w:t>
      </w:r>
      <w:r>
        <w:rPr>
          <w:rFonts w:hAnsi="宋体"/>
          <w:color w:val="000000" w:themeColor="text1"/>
          <w:szCs w:val="21"/>
          <w:highlight w:val="none"/>
          <w14:textFill>
            <w14:solidFill>
              <w14:schemeClr w14:val="tx1"/>
            </w14:solidFill>
          </w14:textFill>
        </w:rPr>
        <w:t>。</w:t>
      </w:r>
    </w:p>
    <w:p w14:paraId="5676403A">
      <w:pPr>
        <w:spacing w:line="360" w:lineRule="auto"/>
        <w:ind w:firstLine="420" w:firstLineChars="200"/>
        <w:jc w:val="left"/>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其他事项的约定：</w:t>
      </w:r>
      <w:r>
        <w:rPr>
          <w:rFonts w:hint="eastAsia"/>
          <w:color w:val="000000" w:themeColor="text1"/>
          <w:szCs w:val="21"/>
          <w:highlight w:val="none"/>
          <w:u w:val="single"/>
          <w14:textFill>
            <w14:solidFill>
              <w14:schemeClr w14:val="tx1"/>
            </w14:solidFill>
          </w14:textFill>
        </w:rPr>
        <w:t>无</w:t>
      </w:r>
      <w:r>
        <w:rPr>
          <w:rFonts w:hAnsi="宋体"/>
          <w:color w:val="000000" w:themeColor="text1"/>
          <w:szCs w:val="21"/>
          <w:highlight w:val="none"/>
          <w14:textFill>
            <w14:solidFill>
              <w14:schemeClr w14:val="tx1"/>
            </w14:solidFill>
          </w14:textFill>
        </w:rPr>
        <w:t>。</w:t>
      </w:r>
    </w:p>
    <w:p w14:paraId="3E3B2600">
      <w:pPr>
        <w:autoSpaceDE w:val="0"/>
        <w:autoSpaceDN w:val="0"/>
        <w:adjustRightInd w:val="0"/>
        <w:spacing w:line="360" w:lineRule="auto"/>
        <w:ind w:firstLine="420" w:firstLineChars="200"/>
        <w:jc w:val="left"/>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 xml:space="preserve">20.3.2 </w:t>
      </w:r>
      <w:r>
        <w:rPr>
          <w:rFonts w:hAnsi="宋体"/>
          <w:color w:val="000000" w:themeColor="text1"/>
          <w:kern w:val="0"/>
          <w:szCs w:val="21"/>
          <w:highlight w:val="none"/>
          <w14:textFill>
            <w14:solidFill>
              <w14:schemeClr w14:val="tx1"/>
            </w14:solidFill>
          </w14:textFill>
        </w:rPr>
        <w:t>争议评审小组的决定</w:t>
      </w:r>
    </w:p>
    <w:p w14:paraId="60D5726C">
      <w:pPr>
        <w:spacing w:line="360" w:lineRule="auto"/>
        <w:ind w:firstLine="420" w:firstLineChars="200"/>
        <w:jc w:val="left"/>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合同当事人关于本项的约定：</w:t>
      </w:r>
      <w:r>
        <w:rPr>
          <w:rFonts w:hint="eastAsia"/>
          <w:color w:val="000000" w:themeColor="text1"/>
          <w:szCs w:val="21"/>
          <w:highlight w:val="none"/>
          <w:u w:val="single"/>
          <w14:textFill>
            <w14:solidFill>
              <w14:schemeClr w14:val="tx1"/>
            </w14:solidFill>
          </w14:textFill>
        </w:rPr>
        <w:t>无</w:t>
      </w:r>
      <w:r>
        <w:rPr>
          <w:rFonts w:hint="eastAsia" w:hAnsi="宋体" w:cs="宋体"/>
          <w:color w:val="000000" w:themeColor="text1"/>
          <w:szCs w:val="21"/>
          <w:highlight w:val="none"/>
          <w14:textFill>
            <w14:solidFill>
              <w14:schemeClr w14:val="tx1"/>
            </w14:solidFill>
          </w14:textFill>
        </w:rPr>
        <w:t>。</w:t>
      </w:r>
    </w:p>
    <w:p w14:paraId="4C4C4647">
      <w:pPr>
        <w:keepNext/>
        <w:keepLines/>
        <w:spacing w:line="360" w:lineRule="auto"/>
        <w:outlineLvl w:val="2"/>
        <w:rPr>
          <w:rFonts w:eastAsia="黑体"/>
          <w:b/>
          <w:bCs/>
          <w:color w:val="000000" w:themeColor="text1"/>
          <w:sz w:val="32"/>
          <w:szCs w:val="32"/>
          <w:highlight w:val="none"/>
          <w:lang w:val="zh-CN"/>
          <w14:textFill>
            <w14:solidFill>
              <w14:schemeClr w14:val="tx1"/>
            </w14:solidFill>
          </w14:textFill>
        </w:rPr>
      </w:pPr>
      <w:bookmarkStart w:id="1124" w:name="_Toc373227778"/>
      <w:bookmarkStart w:id="1125" w:name="_Toc407135281"/>
      <w:bookmarkStart w:id="1126" w:name="_Toc389065343"/>
      <w:bookmarkStart w:id="1127" w:name="_Toc78449867"/>
      <w:bookmarkStart w:id="1128" w:name="_Toc114058918"/>
      <w:bookmarkStart w:id="1129" w:name="_Toc373478425"/>
      <w:r>
        <w:rPr>
          <w:rFonts w:eastAsia="黑体"/>
          <w:b/>
          <w:bCs/>
          <w:color w:val="000000" w:themeColor="text1"/>
          <w:sz w:val="32"/>
          <w:szCs w:val="32"/>
          <w:highlight w:val="none"/>
          <w:lang w:val="zh-CN"/>
          <w14:textFill>
            <w14:solidFill>
              <w14:schemeClr w14:val="tx1"/>
            </w14:solidFill>
          </w14:textFill>
        </w:rPr>
        <w:t xml:space="preserve">20.4 </w:t>
      </w:r>
      <w:r>
        <w:rPr>
          <w:rFonts w:hint="eastAsia" w:hAnsi="宋体" w:eastAsia="黑体" w:cs="黑体"/>
          <w:b/>
          <w:bCs/>
          <w:color w:val="000000" w:themeColor="text1"/>
          <w:sz w:val="32"/>
          <w:szCs w:val="32"/>
          <w:highlight w:val="none"/>
          <w:lang w:val="zh-CN"/>
          <w14:textFill>
            <w14:solidFill>
              <w14:schemeClr w14:val="tx1"/>
            </w14:solidFill>
          </w14:textFill>
        </w:rPr>
        <w:t>仲裁或诉讼</w:t>
      </w:r>
      <w:bookmarkEnd w:id="1019"/>
      <w:bookmarkEnd w:id="1124"/>
      <w:bookmarkEnd w:id="1125"/>
      <w:bookmarkEnd w:id="1126"/>
      <w:bookmarkEnd w:id="1127"/>
      <w:bookmarkEnd w:id="1128"/>
      <w:bookmarkEnd w:id="1129"/>
    </w:p>
    <w:p w14:paraId="596D1B7F">
      <w:pPr>
        <w:spacing w:line="360" w:lineRule="auto"/>
        <w:ind w:firstLine="420" w:firstLineChars="200"/>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因合同及合同有关事项发生的争议，按下列第</w:t>
      </w:r>
      <w:r>
        <w:rPr>
          <w:rFonts w:hint="eastAsia"/>
          <w:color w:val="000000" w:themeColor="text1"/>
          <w:szCs w:val="21"/>
          <w:highlight w:val="none"/>
          <w:u w:val="single"/>
          <w14:textFill>
            <w14:solidFill>
              <w14:schemeClr w14:val="tx1"/>
            </w14:solidFill>
          </w14:textFill>
        </w:rPr>
        <w:t>2</w:t>
      </w:r>
      <w:r>
        <w:rPr>
          <w:rFonts w:hint="eastAsia" w:hAnsi="宋体" w:cs="宋体"/>
          <w:color w:val="000000" w:themeColor="text1"/>
          <w:szCs w:val="21"/>
          <w:highlight w:val="none"/>
          <w14:textFill>
            <w14:solidFill>
              <w14:schemeClr w14:val="tx1"/>
            </w14:solidFill>
          </w14:textFill>
        </w:rPr>
        <w:t>种方式解决：</w:t>
      </w:r>
    </w:p>
    <w:p w14:paraId="68715CB8">
      <w:pPr>
        <w:spacing w:line="360" w:lineRule="auto"/>
        <w:ind w:firstLine="420" w:firstLineChars="200"/>
        <w:jc w:val="left"/>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1</w:t>
      </w:r>
      <w:r>
        <w:rPr>
          <w:rFonts w:hint="eastAsia" w:hAnsi="宋体" w:cs="宋体"/>
          <w:color w:val="000000" w:themeColor="text1"/>
          <w:szCs w:val="21"/>
          <w:highlight w:val="none"/>
          <w14:textFill>
            <w14:solidFill>
              <w14:schemeClr w14:val="tx1"/>
            </w14:solidFill>
          </w14:textFill>
        </w:rPr>
        <w:t>）提请</w:t>
      </w:r>
      <w:r>
        <w:rPr>
          <w:rFonts w:hint="eastAsia"/>
          <w:color w:val="000000" w:themeColor="text1"/>
          <w:szCs w:val="21"/>
          <w:highlight w:val="none"/>
          <w:u w:val="single"/>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仲裁委员会按照该会仲裁规则进行仲裁，仲裁裁决是终局的，对合同双方均有约束力。</w:t>
      </w:r>
    </w:p>
    <w:p w14:paraId="3817ABD6">
      <w:pPr>
        <w:spacing w:line="360" w:lineRule="auto"/>
        <w:ind w:firstLine="420" w:firstLineChars="200"/>
        <w:jc w:val="left"/>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2</w:t>
      </w:r>
      <w:r>
        <w:rPr>
          <w:rFonts w:hint="eastAsia" w:hAnsi="宋体" w:cs="宋体"/>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向</w:t>
      </w:r>
      <w:r>
        <w:rPr>
          <w:rFonts w:hint="eastAsia"/>
          <w:color w:val="000000" w:themeColor="text1"/>
          <w:szCs w:val="21"/>
          <w:highlight w:val="none"/>
          <w:u w:val="single"/>
          <w14:textFill>
            <w14:solidFill>
              <w14:schemeClr w14:val="tx1"/>
            </w14:solidFill>
          </w14:textFill>
        </w:rPr>
        <w:t>工程所在地</w:t>
      </w:r>
      <w:r>
        <w:rPr>
          <w:rFonts w:hAnsi="宋体"/>
          <w:color w:val="000000" w:themeColor="text1"/>
          <w:szCs w:val="21"/>
          <w:highlight w:val="none"/>
          <w14:textFill>
            <w14:solidFill>
              <w14:schemeClr w14:val="tx1"/>
            </w14:solidFill>
          </w14:textFill>
        </w:rPr>
        <w:t>人民法院起诉</w:t>
      </w:r>
      <w:r>
        <w:rPr>
          <w:rFonts w:hint="eastAsia" w:hAnsi="宋体" w:cs="宋体"/>
          <w:color w:val="000000" w:themeColor="text1"/>
          <w:szCs w:val="21"/>
          <w:highlight w:val="none"/>
          <w14:textFill>
            <w14:solidFill>
              <w14:schemeClr w14:val="tx1"/>
            </w14:solidFill>
          </w14:textFill>
        </w:rPr>
        <w:t>。</w:t>
      </w:r>
      <w:bookmarkEnd w:id="1020"/>
      <w:bookmarkEnd w:id="1021"/>
      <w:bookmarkEnd w:id="1022"/>
      <w:bookmarkEnd w:id="1023"/>
      <w:bookmarkEnd w:id="1024"/>
      <w:bookmarkEnd w:id="1025"/>
    </w:p>
    <w:p w14:paraId="7F451303">
      <w:pPr>
        <w:keepNext/>
        <w:keepLines/>
        <w:spacing w:line="360" w:lineRule="auto"/>
        <w:outlineLvl w:val="0"/>
        <w:rPr>
          <w:rFonts w:ascii="宋体" w:eastAsia="黑体"/>
          <w:b/>
          <w:bCs/>
          <w:color w:val="000000" w:themeColor="text1"/>
          <w:kern w:val="44"/>
          <w:szCs w:val="21"/>
          <w:highlight w:val="none"/>
          <w14:textFill>
            <w14:solidFill>
              <w14:schemeClr w14:val="tx1"/>
            </w14:solidFill>
          </w14:textFill>
        </w:rPr>
      </w:pPr>
      <w:bookmarkStart w:id="1130" w:name="_Toc373478426"/>
      <w:bookmarkStart w:id="1131" w:name="_Toc373227779"/>
      <w:bookmarkStart w:id="1132" w:name="_Toc373743696"/>
      <w:r>
        <w:rPr>
          <w:rFonts w:ascii="宋体" w:hAnsi="宋体" w:eastAsia="黑体"/>
          <w:b/>
          <w:bCs/>
          <w:color w:val="000000" w:themeColor="text1"/>
          <w:kern w:val="44"/>
          <w:szCs w:val="21"/>
          <w:highlight w:val="none"/>
          <w14:textFill>
            <w14:solidFill>
              <w14:schemeClr w14:val="tx1"/>
            </w14:solidFill>
          </w14:textFill>
        </w:rPr>
        <w:t xml:space="preserve">21. </w:t>
      </w:r>
      <w:r>
        <w:rPr>
          <w:rFonts w:hint="eastAsia" w:ascii="宋体" w:hAnsi="宋体" w:eastAsia="黑体"/>
          <w:b/>
          <w:bCs/>
          <w:color w:val="000000" w:themeColor="text1"/>
          <w:kern w:val="44"/>
          <w:szCs w:val="21"/>
          <w:highlight w:val="none"/>
          <w14:textFill>
            <w14:solidFill>
              <w14:schemeClr w14:val="tx1"/>
            </w14:solidFill>
          </w14:textFill>
        </w:rPr>
        <w:t>补充条款</w:t>
      </w:r>
      <w:bookmarkEnd w:id="1130"/>
      <w:bookmarkEnd w:id="1131"/>
      <w:bookmarkEnd w:id="1132"/>
    </w:p>
    <w:p w14:paraId="6E78E1C8">
      <w:pPr>
        <w:spacing w:line="360" w:lineRule="auto"/>
        <w:ind w:firstLine="420" w:firstLineChars="200"/>
        <w:jc w:val="left"/>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21.1本工程禁止使用童工。</w:t>
      </w:r>
    </w:p>
    <w:p w14:paraId="5B83FBF2">
      <w:pPr>
        <w:spacing w:line="360" w:lineRule="auto"/>
        <w:ind w:firstLine="404" w:firstLineChars="200"/>
        <w:jc w:val="left"/>
        <w:rPr>
          <w:rFonts w:ascii="宋体" w:hAnsi="宋体" w:cs="Courier New"/>
          <w:color w:val="000000" w:themeColor="text1"/>
          <w:spacing w:val="-4"/>
          <w:szCs w:val="21"/>
          <w:highlight w:val="none"/>
          <w14:textFill>
            <w14:solidFill>
              <w14:schemeClr w14:val="tx1"/>
            </w14:solidFill>
          </w14:textFill>
        </w:rPr>
      </w:pPr>
      <w:r>
        <w:rPr>
          <w:rFonts w:hint="eastAsia" w:ascii="宋体" w:hAnsi="宋体" w:cs="Courier New"/>
          <w:color w:val="000000" w:themeColor="text1"/>
          <w:spacing w:val="-4"/>
          <w:szCs w:val="21"/>
          <w:highlight w:val="none"/>
          <w14:textFill>
            <w14:solidFill>
              <w14:schemeClr w14:val="tx1"/>
            </w14:solidFill>
          </w14:textFill>
        </w:rPr>
        <w:t>21.2与本合同有关的通知应以书面形式作出并直接送达有关方，或经电子邮件、专递方式送达有关方或其代表人（包括：发包人现场代表、承包人项目经理、总监理工程师）在本合同中注明的电子信箱或通信地址。除接受通知一方可另行证明，一方以电子邮件发出的通知应视为接受通知一方于通知发出当日收悉该通知，一方以专递方式发出的通知应视为接受通知一方于通知发出当日后第二个工作日收悉该通知。</w:t>
      </w:r>
    </w:p>
    <w:p w14:paraId="2A04217E">
      <w:pPr>
        <w:spacing w:line="360" w:lineRule="auto"/>
        <w:ind w:firstLine="404" w:firstLineChars="200"/>
        <w:rPr>
          <w:rFonts w:ascii="宋体" w:hAnsi="宋体" w:cs="Courier New"/>
          <w:color w:val="000000" w:themeColor="text1"/>
          <w:spacing w:val="-4"/>
          <w:szCs w:val="21"/>
          <w:highlight w:val="none"/>
          <w14:textFill>
            <w14:solidFill>
              <w14:schemeClr w14:val="tx1"/>
            </w14:solidFill>
          </w14:textFill>
        </w:rPr>
      </w:pPr>
      <w:r>
        <w:rPr>
          <w:rFonts w:hint="eastAsia" w:ascii="宋体" w:hAnsi="宋体" w:cs="Courier New"/>
          <w:color w:val="000000" w:themeColor="text1"/>
          <w:spacing w:val="-4"/>
          <w:szCs w:val="21"/>
          <w:highlight w:val="none"/>
          <w14:textFill>
            <w14:solidFill>
              <w14:schemeClr w14:val="tx1"/>
            </w14:solidFill>
          </w14:textFill>
        </w:rPr>
        <w:t>21.3实现债权的费用承担：因任何一方违约致使相对方采取诉讼方式实现债权的，违约方应承担相对方为此支付的合理费用，包括但不限于诉讼费、律师费、差旅费等。</w:t>
      </w:r>
    </w:p>
    <w:p w14:paraId="6F2CCC90">
      <w:pPr>
        <w:spacing w:line="360" w:lineRule="auto"/>
        <w:ind w:firstLine="420" w:firstLineChars="200"/>
        <w:rPr>
          <w:rFonts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 xml:space="preserve">21.4关于施工管理：遵守发包人的各项管理规定；按现行法律、法规、现行施工规范及相关规定、进行施工。其中临时设施、安全施工、文明施工，并符合现行规范及技术标准 的要求，费用由承包人负责；施工中所产生的建筑垃圾由承包人负责清运，费用由承包人承担； </w:t>
      </w:r>
    </w:p>
    <w:p w14:paraId="68A2798C">
      <w:pPr>
        <w:spacing w:line="360" w:lineRule="auto"/>
        <w:ind w:firstLine="404" w:firstLineChars="200"/>
        <w:rPr>
          <w:rFonts w:ascii="宋体" w:hAnsi="宋体" w:cs="Courier New"/>
          <w:color w:val="000000" w:themeColor="text1"/>
          <w:spacing w:val="-4"/>
          <w:szCs w:val="21"/>
          <w:highlight w:val="none"/>
          <w14:textFill>
            <w14:solidFill>
              <w14:schemeClr w14:val="tx1"/>
            </w14:solidFill>
          </w14:textFill>
        </w:rPr>
      </w:pPr>
      <w:r>
        <w:rPr>
          <w:rFonts w:hint="eastAsia" w:ascii="宋体" w:hAnsi="宋体" w:cs="Courier New"/>
          <w:color w:val="000000" w:themeColor="text1"/>
          <w:spacing w:val="-4"/>
          <w:szCs w:val="21"/>
          <w:highlight w:val="none"/>
          <w14:textFill>
            <w14:solidFill>
              <w14:schemeClr w14:val="tx1"/>
            </w14:solidFill>
          </w14:textFill>
        </w:rPr>
        <w:t>21.5发包人采购文件及相关答疑均视为合同约定内容，如承包人不遵守，则视为承包人违约。</w:t>
      </w:r>
    </w:p>
    <w:p w14:paraId="19605594">
      <w:pPr>
        <w:spacing w:line="360" w:lineRule="auto"/>
        <w:ind w:left="2" w:leftChars="1" w:firstLine="420" w:firstLineChars="200"/>
        <w:rPr>
          <w:rFonts w:ascii="宋体" w:hAnsi="宋体" w:cs="Arial"/>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21.6</w:t>
      </w:r>
      <w:r>
        <w:rPr>
          <w:rFonts w:hint="eastAsia" w:ascii="宋体" w:hAnsi="宋体" w:cs="Arial"/>
          <w:color w:val="000000" w:themeColor="text1"/>
          <w:szCs w:val="21"/>
          <w:highlight w:val="none"/>
          <w14:textFill>
            <w14:solidFill>
              <w14:schemeClr w14:val="tx1"/>
            </w14:solidFill>
          </w14:textFill>
        </w:rPr>
        <w:t>承包人应有具体措施，保证任何临时和永久性工程中不使用政府明令禁止使用的对人体有害的任何材料和方法，同时也不会在永久性工程中使用政府虽未明令禁止但会给人带来不适感觉或嗅觉的任何材料和添加剂，承包人违背此项约定的责任和后果由承包人完全负责。</w:t>
      </w:r>
    </w:p>
    <w:p w14:paraId="3A933CE0">
      <w:pPr>
        <w:spacing w:line="360" w:lineRule="auto"/>
        <w:ind w:left="2" w:leftChars="1" w:firstLine="420" w:firstLineChars="200"/>
        <w:rPr>
          <w:rFonts w:ascii="宋体" w:hAnsi="宋体" w:cs="Arial"/>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21.7</w:t>
      </w:r>
      <w:r>
        <w:rPr>
          <w:rFonts w:hint="eastAsia" w:ascii="宋体" w:hAnsi="宋体" w:cs="Arial"/>
          <w:color w:val="000000" w:themeColor="text1"/>
          <w:szCs w:val="21"/>
          <w:highlight w:val="none"/>
          <w14:textFill>
            <w14:solidFill>
              <w14:schemeClr w14:val="tx1"/>
            </w14:solidFill>
          </w14:textFill>
        </w:rPr>
        <w:t>对于发包人认为不合格的项目管理人员，发包人有权要求更换，在发包人提出书面更换要求7个工作日内，承包人将合格的项目管理人员更换到位。</w:t>
      </w:r>
    </w:p>
    <w:p w14:paraId="4C7264DE">
      <w:pPr>
        <w:spacing w:line="360" w:lineRule="auto"/>
        <w:ind w:left="2" w:leftChars="1" w:firstLine="420" w:firstLineChars="200"/>
        <w:rPr>
          <w:rFonts w:ascii="宋体" w:hAnsi="宋体" w:cs="Arial"/>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21.8</w:t>
      </w:r>
      <w:r>
        <w:rPr>
          <w:rFonts w:hint="eastAsia" w:ascii="宋体" w:hAnsi="宋体" w:cs="Arial"/>
          <w:color w:val="000000" w:themeColor="text1"/>
          <w:szCs w:val="21"/>
          <w:highlight w:val="none"/>
          <w14:textFill>
            <w14:solidFill>
              <w14:schemeClr w14:val="tx1"/>
            </w14:solidFill>
          </w14:textFill>
        </w:rPr>
        <w:t>合同总价包括了竣工资料编制费，并由总承包单位统一归档；如果竣工资料编制不合格，无法正常移交档案馆，由承包人承担一切责任和费用。</w:t>
      </w:r>
    </w:p>
    <w:p w14:paraId="4E1ED556">
      <w:pPr>
        <w:spacing w:line="360" w:lineRule="auto"/>
        <w:ind w:left="2" w:leftChars="1" w:firstLine="420" w:firstLineChars="200"/>
        <w:rPr>
          <w:rFonts w:ascii="宋体" w:hAnsi="宋体" w:cs="Arial"/>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21.9</w:t>
      </w:r>
      <w:r>
        <w:rPr>
          <w:rFonts w:hint="eastAsia" w:ascii="宋体" w:hAnsi="宋体" w:cs="Arial"/>
          <w:color w:val="000000" w:themeColor="text1"/>
          <w:szCs w:val="21"/>
          <w:highlight w:val="none"/>
          <w14:textFill>
            <w14:solidFill>
              <w14:schemeClr w14:val="tx1"/>
            </w14:solidFill>
          </w14:textFill>
        </w:rPr>
        <w:t>承包人不得转包。</w:t>
      </w:r>
    </w:p>
    <w:p w14:paraId="00A5E46A">
      <w:pPr>
        <w:spacing w:line="360" w:lineRule="auto"/>
        <w:ind w:firstLine="420" w:firstLineChars="200"/>
        <w:rPr>
          <w:rFonts w:ascii="宋体" w:hAnsi="宋体" w:cs="Arial"/>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21.10</w:t>
      </w:r>
      <w:r>
        <w:rPr>
          <w:rFonts w:hint="eastAsia" w:ascii="宋体" w:hAnsi="宋体" w:cs="Arial"/>
          <w:color w:val="000000" w:themeColor="text1"/>
          <w:szCs w:val="21"/>
          <w:highlight w:val="none"/>
          <w14:textFill>
            <w14:solidFill>
              <w14:schemeClr w14:val="tx1"/>
            </w14:solidFill>
          </w14:textFill>
        </w:rPr>
        <w:t>合同总价包括了本分包范围所有现场垃圾的清运费用。承包人应在接到发包人清场通知后3天内，将承包人的所有的临设（包括基础等）及材料、设备全部撤场；否则发包人将自行找人清理，费用由承包人方负责。</w:t>
      </w:r>
    </w:p>
    <w:p w14:paraId="1DF9A996">
      <w:pPr>
        <w:spacing w:line="360" w:lineRule="auto"/>
        <w:ind w:left="2" w:leftChars="1" w:firstLine="420" w:firstLineChars="200"/>
        <w:rPr>
          <w:rFonts w:ascii="宋体" w:hAnsi="宋体" w:cs="Arial"/>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21.11</w:t>
      </w:r>
      <w:r>
        <w:rPr>
          <w:rFonts w:hint="eastAsia" w:ascii="宋体" w:hAnsi="宋体" w:cs="Arial"/>
          <w:color w:val="000000" w:themeColor="text1"/>
          <w:szCs w:val="21"/>
          <w:highlight w:val="none"/>
          <w14:textFill>
            <w14:solidFill>
              <w14:schemeClr w14:val="tx1"/>
            </w14:solidFill>
          </w14:textFill>
        </w:rPr>
        <w:t>竣工清理和成品保护：进行承包人承包范围内的竣工清理和成品保护工作，费用已含在合同总价中。</w:t>
      </w:r>
    </w:p>
    <w:p w14:paraId="2D613CDA">
      <w:pPr>
        <w:spacing w:line="360" w:lineRule="auto"/>
        <w:ind w:left="2" w:leftChars="1" w:firstLine="420" w:firstLineChars="200"/>
        <w:rPr>
          <w:rFonts w:ascii="宋体" w:hAnsi="宋体" w:cs="Arial"/>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21.12</w:t>
      </w:r>
      <w:r>
        <w:rPr>
          <w:rFonts w:hint="eastAsia" w:ascii="宋体" w:hAnsi="宋体" w:cs="Arial"/>
          <w:color w:val="000000" w:themeColor="text1"/>
          <w:szCs w:val="21"/>
          <w:highlight w:val="none"/>
          <w14:textFill>
            <w14:solidFill>
              <w14:schemeClr w14:val="tx1"/>
            </w14:solidFill>
          </w14:textFill>
        </w:rPr>
        <w:t>结算依据的整理工作：</w:t>
      </w:r>
    </w:p>
    <w:p w14:paraId="5C620B8B">
      <w:pPr>
        <w:spacing w:line="360" w:lineRule="auto"/>
        <w:ind w:left="2"/>
        <w:rPr>
          <w:rFonts w:ascii="宋体" w:hAnsi="宋体" w:cs="Arial"/>
          <w:color w:val="000000" w:themeColor="text1"/>
          <w:szCs w:val="21"/>
          <w:highlight w:val="none"/>
          <w14:textFill>
            <w14:solidFill>
              <w14:schemeClr w14:val="tx1"/>
            </w14:solidFill>
          </w14:textFill>
        </w:rPr>
      </w:pPr>
      <w:r>
        <w:rPr>
          <w:rFonts w:hint="eastAsia" w:ascii="宋体" w:hAnsi="宋体" w:cs="Arial"/>
          <w:color w:val="000000" w:themeColor="text1"/>
          <w:szCs w:val="21"/>
          <w:highlight w:val="none"/>
          <w14:textFill>
            <w14:solidFill>
              <w14:schemeClr w14:val="tx1"/>
            </w14:solidFill>
          </w14:textFill>
        </w:rPr>
        <w:t xml:space="preserve">   图纸外需增加费用任何工程实施（包括变更洽商、合同外新增工程、各种索赔等），必须有发包人负责人签字确认，并在发生后14个工作日内将增减的费用报送监理和发包人，否则结算时不予办理；核减的洽商据实结算。  </w:t>
      </w:r>
    </w:p>
    <w:p w14:paraId="340873AB">
      <w:pPr>
        <w:spacing w:line="360" w:lineRule="auto"/>
        <w:ind w:left="2" w:leftChars="1" w:firstLine="420" w:firstLineChars="200"/>
        <w:rPr>
          <w:rFonts w:ascii="宋体" w:hAnsi="宋体" w:cs="Arial"/>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21.13</w:t>
      </w:r>
      <w:r>
        <w:rPr>
          <w:rFonts w:hint="eastAsia" w:ascii="宋体" w:hAnsi="宋体" w:cs="Arial"/>
          <w:color w:val="000000" w:themeColor="text1"/>
          <w:szCs w:val="21"/>
          <w:highlight w:val="none"/>
          <w14:textFill>
            <w14:solidFill>
              <w14:schemeClr w14:val="tx1"/>
            </w14:solidFill>
          </w14:textFill>
        </w:rPr>
        <w:t>农民工工资的有关规定按国家或地方有关政策或文件执行。禁止承包人拖欠劳务人员（农民工）工资。承包人承诺将发包人付款直接发到劳务人员（农民工）的手中，按国家或地方规定建立农民工工资制度，与全部劳务人员签订正式的劳动合同，将农民工工资每月直接打到农民工的工资卡（银行账户）中。承包人将每月农民工的工资发放记录和签字表交给发包人工程部，否则发包人在下月付款时有权不予支付。</w:t>
      </w:r>
    </w:p>
    <w:p w14:paraId="53485340">
      <w:pPr>
        <w:spacing w:line="360" w:lineRule="auto"/>
        <w:ind w:left="2" w:leftChars="1" w:firstLine="420" w:firstLineChars="200"/>
        <w:rPr>
          <w:rFonts w:ascii="宋体" w:hAnsi="宋体" w:cs="Arial"/>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应按月足额发放全部工人工资，若承包人有拖欠工人工资的现象，发包单位可考虑代付该部分工人工资，并从当月工程进度款中扣回。由此引发的工人罢工、闹事等不良后果，承包人应承担全部责任，发包单位可视情节要求</w:t>
      </w:r>
      <w:r>
        <w:rPr>
          <w:rFonts w:hint="eastAsia" w:ascii="宋体" w:hAnsi="宋体"/>
          <w:color w:val="000000" w:themeColor="text1"/>
          <w:szCs w:val="21"/>
          <w:highlight w:val="none"/>
          <w:lang w:eastAsia="zh-CN"/>
          <w14:textFill>
            <w14:solidFill>
              <w14:schemeClr w14:val="tx1"/>
            </w14:solidFill>
          </w14:textFill>
        </w:rPr>
        <w:t>承包人</w:t>
      </w:r>
      <w:r>
        <w:rPr>
          <w:rFonts w:hint="eastAsia" w:ascii="宋体" w:hAnsi="宋体"/>
          <w:color w:val="000000" w:themeColor="text1"/>
          <w:szCs w:val="21"/>
          <w:highlight w:val="none"/>
          <w14:textFill>
            <w14:solidFill>
              <w14:schemeClr w14:val="tx1"/>
            </w14:solidFill>
          </w14:textFill>
        </w:rPr>
        <w:t>支付一定的违约金。</w:t>
      </w:r>
    </w:p>
    <w:p w14:paraId="2BC73F70">
      <w:pPr>
        <w:spacing w:line="360" w:lineRule="auto"/>
        <w:ind w:left="2" w:leftChars="1" w:firstLine="420" w:firstLineChars="200"/>
        <w:rPr>
          <w:rFonts w:ascii="宋体" w:hAnsi="宋体" w:cs="Arial"/>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21.14</w:t>
      </w:r>
      <w:r>
        <w:rPr>
          <w:rFonts w:hint="eastAsia" w:ascii="宋体" w:hAnsi="宋体" w:cs="Arial"/>
          <w:color w:val="000000" w:themeColor="text1"/>
          <w:szCs w:val="21"/>
          <w:highlight w:val="none"/>
          <w14:textFill>
            <w14:solidFill>
              <w14:schemeClr w14:val="tx1"/>
            </w14:solidFill>
          </w14:textFill>
        </w:rPr>
        <w:t>承包人应考虑工程现场的特殊地理位置，现场应达到南宁市对现场安全文明施工要求；承包人应对安全及文明施工费用做到专款专用。若违反政府有关规定，在发包人两次指出仍未达到要求时，承包人须支付相应的违约金；施工现场因承包人原因如出现重大安全事故，一切费用由承包人负责，并在结算时按安全文明施工费金额作为违约金予以扣罚。且发包人有权解除合同。</w:t>
      </w:r>
    </w:p>
    <w:p w14:paraId="07EFCA16">
      <w:pPr>
        <w:spacing w:line="360" w:lineRule="auto"/>
        <w:ind w:left="2" w:leftChars="1" w:firstLine="420" w:firstLineChars="200"/>
        <w:rPr>
          <w:rFonts w:ascii="宋体" w:hAnsi="宋体" w:cs="Arial"/>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21.15</w:t>
      </w:r>
      <w:r>
        <w:rPr>
          <w:rFonts w:hint="eastAsia" w:ascii="宋体" w:hAnsi="宋体" w:cs="Arial"/>
          <w:color w:val="000000" w:themeColor="text1"/>
          <w:szCs w:val="21"/>
          <w:highlight w:val="none"/>
          <w14:textFill>
            <w14:solidFill>
              <w14:schemeClr w14:val="tx1"/>
            </w14:solidFill>
          </w14:textFill>
        </w:rPr>
        <w:t>监理单位具有根据本工程需要发出有关工程质量、进度、造价、安全管理、经济处罚等工作联系函或指令的权利，上述工作联系函或指令经发包人同意后，承包人必须执行。</w:t>
      </w:r>
    </w:p>
    <w:p w14:paraId="5DB08CF9">
      <w:pPr>
        <w:spacing w:line="360" w:lineRule="auto"/>
        <w:ind w:firstLine="420" w:firstLineChars="200"/>
        <w:rPr>
          <w:rFonts w:ascii="宋体" w:hAnsi="宋体" w:cs="Arial"/>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21.16</w:t>
      </w:r>
      <w:r>
        <w:rPr>
          <w:rFonts w:hint="eastAsia" w:ascii="宋体" w:hAnsi="宋体" w:cs="Arial"/>
          <w:color w:val="000000" w:themeColor="text1"/>
          <w:szCs w:val="21"/>
          <w:highlight w:val="none"/>
          <w14:textFill>
            <w14:solidFill>
              <w14:schemeClr w14:val="tx1"/>
            </w14:solidFill>
          </w14:textFill>
        </w:rPr>
        <w:t>发包人仅提供现场水、电的源头，其余接管、接线、装表等均由承包人负责，水电费由承包人缴纳。水电费及计量表等费用均已包含在承包人合同造价内。</w:t>
      </w:r>
    </w:p>
    <w:p w14:paraId="0D42E407">
      <w:pPr>
        <w:spacing w:line="360" w:lineRule="auto"/>
        <w:ind w:left="2" w:leftChars="1" w:firstLine="420" w:firstLineChars="200"/>
        <w:rPr>
          <w:rFonts w:ascii="宋体" w:hAnsi="宋体" w:cs="Arial"/>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21.17</w:t>
      </w:r>
      <w:r>
        <w:rPr>
          <w:rFonts w:hint="eastAsia" w:ascii="宋体" w:hAnsi="宋体" w:cs="Arial"/>
          <w:color w:val="000000" w:themeColor="text1"/>
          <w:szCs w:val="21"/>
          <w:highlight w:val="none"/>
          <w14:textFill>
            <w14:solidFill>
              <w14:schemeClr w14:val="tx1"/>
            </w14:solidFill>
          </w14:textFill>
        </w:rPr>
        <w:t>如果发包人发现承包人无本专业工程的施工能力，或者承包人无继续合作本工程的诚意，发包人有权解除合同，承包人予以服从并及时退场。若承包人以任何理由要挟发包人管理人员或有妨碍工程施工进度的行为，发包人将视同承包方违约，结算时扣除合同价的10%作为违约金。</w:t>
      </w:r>
    </w:p>
    <w:p w14:paraId="2CF88D2D">
      <w:pPr>
        <w:spacing w:line="360" w:lineRule="auto"/>
        <w:ind w:firstLine="420" w:firstLineChars="200"/>
        <w:jc w:val="left"/>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 xml:space="preserve">21.18  本专用条款未约定的均按本合同通用条款规定执行。  </w:t>
      </w:r>
    </w:p>
    <w:p w14:paraId="1E975275">
      <w:pPr>
        <w:spacing w:line="360" w:lineRule="auto"/>
        <w:ind w:firstLine="420" w:firstLineChars="200"/>
        <w:jc w:val="left"/>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21.19因任何一方违约致使相对方采取诉讼方式实现债权的，违约方应承担相对方为此支付的合理费用，包括但不限于诉讼费、律师费、差旅费等。</w:t>
      </w:r>
    </w:p>
    <w:p w14:paraId="32B270E1">
      <w:pPr>
        <w:spacing w:line="360" w:lineRule="auto"/>
        <w:ind w:firstLine="420" w:firstLineChars="200"/>
        <w:jc w:val="left"/>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21.20本合同不受任何一方法人代表或单位名称的变更而改变合作性质和合同约定。</w:t>
      </w:r>
    </w:p>
    <w:p w14:paraId="33DAB57B">
      <w:pPr>
        <w:spacing w:line="360" w:lineRule="auto"/>
        <w:ind w:firstLine="420" w:firstLineChars="200"/>
        <w:jc w:val="left"/>
        <w:rPr>
          <w:color w:val="000000" w:themeColor="text1"/>
          <w:szCs w:val="21"/>
          <w:highlight w:val="none"/>
          <w14:textFill>
            <w14:solidFill>
              <w14:schemeClr w14:val="tx1"/>
            </w14:solidFill>
          </w14:textFill>
        </w:rPr>
      </w:pPr>
      <w:r>
        <w:rPr>
          <w:rFonts w:hint="eastAsia" w:ascii="Calibri" w:hAnsi="宋体" w:cs="宋体"/>
          <w:color w:val="000000" w:themeColor="text1"/>
          <w:szCs w:val="21"/>
          <w:highlight w:val="none"/>
          <w14:textFill>
            <w14:solidFill>
              <w14:schemeClr w14:val="tx1"/>
            </w14:solidFill>
          </w14:textFill>
        </w:rPr>
        <w:t>21.21本合同未约定其他事项，双方可签订补充协议。补充协议与本合同具有同等法律效力</w:t>
      </w:r>
      <w:r>
        <w:rPr>
          <w:rFonts w:hint="eastAsia" w:hAnsi="宋体" w:cs="宋体"/>
          <w:color w:val="000000" w:themeColor="text1"/>
          <w:szCs w:val="21"/>
          <w:highlight w:val="none"/>
          <w14:textFill>
            <w14:solidFill>
              <w14:schemeClr w14:val="tx1"/>
            </w14:solidFill>
          </w14:textFill>
        </w:rPr>
        <w:t>。</w:t>
      </w:r>
    </w:p>
    <w:p w14:paraId="0830F162">
      <w:pPr>
        <w:spacing w:line="360" w:lineRule="auto"/>
        <w:ind w:firstLine="420" w:firstLineChars="200"/>
        <w:jc w:val="left"/>
        <w:rPr>
          <w:rFonts w:hAnsi="宋体" w:cs="宋体"/>
          <w:color w:val="000000" w:themeColor="text1"/>
          <w:szCs w:val="21"/>
          <w:highlight w:val="none"/>
          <w14:textFill>
            <w14:solidFill>
              <w14:schemeClr w14:val="tx1"/>
            </w14:solidFill>
          </w14:textFill>
        </w:rPr>
      </w:pPr>
    </w:p>
    <w:p w14:paraId="6867A72B">
      <w:pPr>
        <w:spacing w:line="360" w:lineRule="auto"/>
        <w:ind w:firstLine="420" w:firstLineChars="200"/>
        <w:jc w:val="left"/>
        <w:rPr>
          <w:rFonts w:hAnsi="宋体" w:cs="宋体"/>
          <w:color w:val="000000" w:themeColor="text1"/>
          <w:szCs w:val="21"/>
          <w:highlight w:val="none"/>
          <w14:textFill>
            <w14:solidFill>
              <w14:schemeClr w14:val="tx1"/>
            </w14:solidFill>
          </w14:textFill>
        </w:rPr>
      </w:pPr>
    </w:p>
    <w:p w14:paraId="104DCDFE">
      <w:pPr>
        <w:spacing w:line="360" w:lineRule="auto"/>
        <w:ind w:firstLine="420" w:firstLineChars="200"/>
        <w:jc w:val="left"/>
        <w:rPr>
          <w:rFonts w:hAnsi="宋体" w:cs="宋体"/>
          <w:color w:val="000000" w:themeColor="text1"/>
          <w:szCs w:val="21"/>
          <w:highlight w:val="none"/>
          <w14:textFill>
            <w14:solidFill>
              <w14:schemeClr w14:val="tx1"/>
            </w14:solidFill>
          </w14:textFill>
        </w:rPr>
      </w:pPr>
    </w:p>
    <w:p w14:paraId="1AE51207">
      <w:pPr>
        <w:spacing w:line="360" w:lineRule="auto"/>
        <w:ind w:firstLine="420" w:firstLineChars="200"/>
        <w:jc w:val="left"/>
        <w:rPr>
          <w:rFonts w:hAnsi="宋体" w:cs="宋体"/>
          <w:color w:val="000000" w:themeColor="text1"/>
          <w:szCs w:val="21"/>
          <w:highlight w:val="none"/>
          <w14:textFill>
            <w14:solidFill>
              <w14:schemeClr w14:val="tx1"/>
            </w14:solidFill>
          </w14:textFill>
        </w:rPr>
      </w:pPr>
    </w:p>
    <w:p w14:paraId="11C84B34">
      <w:pPr>
        <w:spacing w:line="360" w:lineRule="auto"/>
        <w:ind w:firstLine="420" w:firstLineChars="200"/>
        <w:jc w:val="left"/>
        <w:rPr>
          <w:rFonts w:hAnsi="宋体" w:cs="宋体"/>
          <w:color w:val="000000" w:themeColor="text1"/>
          <w:szCs w:val="21"/>
          <w:highlight w:val="none"/>
          <w14:textFill>
            <w14:solidFill>
              <w14:schemeClr w14:val="tx1"/>
            </w14:solidFill>
          </w14:textFill>
        </w:rPr>
      </w:pPr>
    </w:p>
    <w:p w14:paraId="1D3D9E32">
      <w:pPr>
        <w:spacing w:line="360" w:lineRule="auto"/>
        <w:ind w:firstLine="420" w:firstLineChars="200"/>
        <w:jc w:val="left"/>
        <w:rPr>
          <w:rFonts w:hAnsi="宋体" w:cs="宋体"/>
          <w:color w:val="000000" w:themeColor="text1"/>
          <w:szCs w:val="21"/>
          <w:highlight w:val="none"/>
          <w14:textFill>
            <w14:solidFill>
              <w14:schemeClr w14:val="tx1"/>
            </w14:solidFill>
          </w14:textFill>
        </w:rPr>
      </w:pPr>
    </w:p>
    <w:p w14:paraId="6B70361A">
      <w:pPr>
        <w:spacing w:line="360" w:lineRule="auto"/>
        <w:jc w:val="left"/>
        <w:rPr>
          <w:rFonts w:eastAsia="黑体"/>
          <w:b/>
          <w:bCs/>
          <w:color w:val="000000" w:themeColor="text1"/>
          <w:sz w:val="28"/>
          <w:szCs w:val="28"/>
          <w:highlight w:val="none"/>
          <w14:textFill>
            <w14:solidFill>
              <w14:schemeClr w14:val="tx1"/>
            </w14:solidFill>
          </w14:textFill>
        </w:rPr>
      </w:pPr>
      <w:bookmarkStart w:id="1133" w:name="_Toc351203652"/>
      <w:r>
        <w:rPr>
          <w:rFonts w:hint="eastAsia" w:eastAsia="黑体" w:cs="黑体"/>
          <w:b/>
          <w:bCs/>
          <w:color w:val="000000" w:themeColor="text1"/>
          <w:sz w:val="28"/>
          <w:szCs w:val="28"/>
          <w:highlight w:val="none"/>
          <w14:textFill>
            <w14:solidFill>
              <w14:schemeClr w14:val="tx1"/>
            </w14:solidFill>
          </w14:textFill>
        </w:rPr>
        <w:t>附件</w:t>
      </w:r>
      <w:bookmarkEnd w:id="1133"/>
    </w:p>
    <w:p w14:paraId="2A7404C2">
      <w:pPr>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：承包人承揽工程项目一览表</w:t>
      </w:r>
    </w:p>
    <w:p w14:paraId="00903464">
      <w:pPr>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附件2：工程质量保修书</w:t>
      </w:r>
    </w:p>
    <w:p w14:paraId="730DE855">
      <w:pPr>
        <w:spacing w:line="360" w:lineRule="auto"/>
        <w:jc w:val="left"/>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附件</w:t>
      </w:r>
      <w:r>
        <w:rPr>
          <w:rFonts w:hint="eastAsia" w:ascii="宋体" w:hAnsi="宋体" w:cs="宋体"/>
          <w:color w:val="000000" w:themeColor="text1"/>
          <w:szCs w:val="21"/>
          <w:highlight w:val="none"/>
          <w14:textFill>
            <w14:solidFill>
              <w14:schemeClr w14:val="tx1"/>
            </w14:solidFill>
          </w14:textFill>
        </w:rPr>
        <w:t>3</w:t>
      </w:r>
      <w:r>
        <w:rPr>
          <w:rFonts w:ascii="宋体" w:hAnsi="宋体" w:cs="宋体"/>
          <w:color w:val="000000" w:themeColor="text1"/>
          <w:szCs w:val="21"/>
          <w:highlight w:val="none"/>
          <w14:textFill>
            <w14:solidFill>
              <w14:schemeClr w14:val="tx1"/>
            </w14:solidFill>
          </w14:textFill>
        </w:rPr>
        <w:t>：主要建设工程文件目录</w:t>
      </w:r>
    </w:p>
    <w:p w14:paraId="27AF2986">
      <w:pPr>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附件4：承包人用于本工程施工的机械设备表</w:t>
      </w:r>
    </w:p>
    <w:p w14:paraId="62D28DC5">
      <w:pPr>
        <w:spacing w:line="360" w:lineRule="auto"/>
        <w:jc w:val="left"/>
        <w:rPr>
          <w:rFonts w:asci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附件5：承包人主要施工管理人员表</w:t>
      </w:r>
    </w:p>
    <w:p w14:paraId="2CA0C4EF">
      <w:pPr>
        <w:spacing w:line="360" w:lineRule="auto"/>
        <w:jc w:val="left"/>
        <w:rPr>
          <w:rFonts w:asci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附件6：分包人主要施工管理人员表</w:t>
      </w:r>
    </w:p>
    <w:p w14:paraId="7C74B35E">
      <w:pPr>
        <w:spacing w:line="360" w:lineRule="auto"/>
        <w:jc w:val="left"/>
        <w:rPr>
          <w:rFonts w:asci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附件7：履约担保格式（独立保函、非独立保函）</w:t>
      </w:r>
    </w:p>
    <w:p w14:paraId="1AA5B348">
      <w:pPr>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附件8：预付款担保格式（独立保函、非独立保函）</w:t>
      </w:r>
    </w:p>
    <w:p w14:paraId="6CDEA156">
      <w:pPr>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附件9：支付担保格式（独立保函、非独立保函）</w:t>
      </w:r>
    </w:p>
    <w:p w14:paraId="7D57C59D">
      <w:pPr>
        <w:spacing w:line="360" w:lineRule="auto"/>
        <w:jc w:val="left"/>
        <w:rPr>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附件10：预付款</w:t>
      </w:r>
      <w:r>
        <w:rPr>
          <w:rFonts w:hint="eastAsia"/>
          <w:color w:val="000000" w:themeColor="text1"/>
          <w:szCs w:val="21"/>
          <w:highlight w:val="none"/>
          <w14:textFill>
            <w14:solidFill>
              <w14:schemeClr w14:val="tx1"/>
            </w14:solidFill>
          </w14:textFill>
        </w:rPr>
        <w:t>支付申请（核准）表</w:t>
      </w:r>
    </w:p>
    <w:p w14:paraId="76E2AF08">
      <w:pPr>
        <w:spacing w:line="360" w:lineRule="auto"/>
        <w:jc w:val="left"/>
        <w:rPr>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附件11：</w:t>
      </w:r>
      <w:r>
        <w:rPr>
          <w:rFonts w:hint="eastAsia"/>
          <w:color w:val="000000" w:themeColor="text1"/>
          <w:szCs w:val="21"/>
          <w:highlight w:val="none"/>
          <w14:textFill>
            <w14:solidFill>
              <w14:schemeClr w14:val="tx1"/>
            </w14:solidFill>
          </w14:textFill>
        </w:rPr>
        <w:t>进度款支付申请（核准）表</w:t>
      </w:r>
    </w:p>
    <w:p w14:paraId="7141AD3F">
      <w:pPr>
        <w:spacing w:line="360" w:lineRule="auto"/>
        <w:jc w:val="left"/>
        <w:rPr>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附件12：竣工结算</w:t>
      </w:r>
      <w:r>
        <w:rPr>
          <w:rFonts w:hint="eastAsia"/>
          <w:color w:val="000000" w:themeColor="text1"/>
          <w:szCs w:val="21"/>
          <w:highlight w:val="none"/>
          <w14:textFill>
            <w14:solidFill>
              <w14:schemeClr w14:val="tx1"/>
            </w14:solidFill>
          </w14:textFill>
        </w:rPr>
        <w:t>款支付申请（核准）表</w:t>
      </w:r>
    </w:p>
    <w:p w14:paraId="46138098">
      <w:pPr>
        <w:spacing w:line="360" w:lineRule="auto"/>
        <w:jc w:val="left"/>
        <w:rPr>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附件13：最终结算</w:t>
      </w:r>
      <w:r>
        <w:rPr>
          <w:rFonts w:hint="eastAsia"/>
          <w:color w:val="000000" w:themeColor="text1"/>
          <w:szCs w:val="21"/>
          <w:highlight w:val="none"/>
          <w14:textFill>
            <w14:solidFill>
              <w14:schemeClr w14:val="tx1"/>
            </w14:solidFill>
          </w14:textFill>
        </w:rPr>
        <w:t>款支付申请（核准）表</w:t>
      </w:r>
    </w:p>
    <w:p w14:paraId="3DAB2BE5">
      <w:pPr>
        <w:spacing w:line="360" w:lineRule="auto"/>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附件14：总价合同进度款支付分解表</w:t>
      </w:r>
    </w:p>
    <w:p w14:paraId="126C8E66">
      <w:pPr>
        <w:spacing w:line="460" w:lineRule="exact"/>
        <w:ind w:firstLine="420" w:firstLineChars="200"/>
        <w:rPr>
          <w:color w:val="000000" w:themeColor="text1"/>
          <w:szCs w:val="21"/>
          <w:highlight w:val="none"/>
          <w14:textFill>
            <w14:solidFill>
              <w14:schemeClr w14:val="tx1"/>
            </w14:solidFill>
          </w14:textFill>
        </w:rPr>
      </w:pPr>
    </w:p>
    <w:p w14:paraId="2E985C13">
      <w:pPr>
        <w:spacing w:line="460" w:lineRule="exact"/>
        <w:ind w:firstLine="420" w:firstLineChars="200"/>
        <w:rPr>
          <w:color w:val="000000" w:themeColor="text1"/>
          <w:szCs w:val="21"/>
          <w:highlight w:val="none"/>
          <w14:textFill>
            <w14:solidFill>
              <w14:schemeClr w14:val="tx1"/>
            </w14:solidFill>
          </w14:textFill>
        </w:rPr>
      </w:pPr>
    </w:p>
    <w:p w14:paraId="236A7BC6">
      <w:pPr>
        <w:spacing w:line="460" w:lineRule="exact"/>
        <w:ind w:firstLine="420" w:firstLineChars="200"/>
        <w:rPr>
          <w:color w:val="000000" w:themeColor="text1"/>
          <w:szCs w:val="21"/>
          <w:highlight w:val="none"/>
          <w14:textFill>
            <w14:solidFill>
              <w14:schemeClr w14:val="tx1"/>
            </w14:solidFill>
          </w14:textFill>
        </w:rPr>
        <w:sectPr>
          <w:pgSz w:w="11907" w:h="16840"/>
          <w:pgMar w:top="1440" w:right="1440" w:bottom="1440" w:left="1797" w:header="851" w:footer="851" w:gutter="0"/>
          <w:cols w:space="720" w:num="1"/>
          <w:docGrid w:linePitch="312" w:charSpace="0"/>
        </w:sectPr>
      </w:pPr>
    </w:p>
    <w:p w14:paraId="287F03D5">
      <w:pPr>
        <w:spacing w:before="120" w:beforeLines="50" w:after="120" w:afterLines="50" w:line="440" w:lineRule="exact"/>
        <w:jc w:val="left"/>
        <w:rPr>
          <w:rFonts w:ascii="仿宋_GB2312" w:eastAsia="仿宋_GB2312"/>
          <w:color w:val="000000" w:themeColor="text1"/>
          <w:sz w:val="30"/>
          <w:szCs w:val="30"/>
          <w:highlight w:val="none"/>
          <w14:textFill>
            <w14:solidFill>
              <w14:schemeClr w14:val="tx1"/>
            </w14:solidFill>
          </w14:textFill>
        </w:rPr>
      </w:pPr>
      <w:r>
        <w:rPr>
          <w:rFonts w:hint="eastAsia" w:ascii="仿宋_GB2312" w:eastAsia="仿宋_GB2312" w:cs="仿宋_GB2312"/>
          <w:color w:val="000000" w:themeColor="text1"/>
          <w:sz w:val="30"/>
          <w:szCs w:val="30"/>
          <w:highlight w:val="none"/>
          <w14:textFill>
            <w14:solidFill>
              <w14:schemeClr w14:val="tx1"/>
            </w14:solidFill>
          </w14:textFill>
        </w:rPr>
        <w:t>附件</w:t>
      </w:r>
      <w:r>
        <w:rPr>
          <w:rFonts w:ascii="仿宋_GB2312" w:eastAsia="仿宋_GB2312" w:cs="仿宋_GB2312"/>
          <w:color w:val="000000" w:themeColor="text1"/>
          <w:sz w:val="30"/>
          <w:szCs w:val="30"/>
          <w:highlight w:val="none"/>
          <w14:textFill>
            <w14:solidFill>
              <w14:schemeClr w14:val="tx1"/>
            </w14:solidFill>
          </w14:textFill>
        </w:rPr>
        <w:t>1</w:t>
      </w:r>
      <w:r>
        <w:rPr>
          <w:rFonts w:hint="eastAsia" w:ascii="仿宋_GB2312" w:eastAsia="仿宋_GB2312" w:cs="仿宋_GB2312"/>
          <w:color w:val="000000" w:themeColor="text1"/>
          <w:sz w:val="30"/>
          <w:szCs w:val="30"/>
          <w:highlight w:val="none"/>
          <w14:textFill>
            <w14:solidFill>
              <w14:schemeClr w14:val="tx1"/>
            </w14:solidFill>
          </w14:textFill>
        </w:rPr>
        <w:t>：</w:t>
      </w:r>
    </w:p>
    <w:p w14:paraId="019B012B">
      <w:pPr>
        <w:spacing w:before="120" w:beforeLines="50" w:after="120" w:afterLines="50" w:line="440" w:lineRule="exact"/>
        <w:jc w:val="center"/>
        <w:rPr>
          <w:rFonts w:eastAsia="黑体"/>
          <w:color w:val="000000" w:themeColor="text1"/>
          <w:sz w:val="30"/>
          <w:szCs w:val="30"/>
          <w:highlight w:val="none"/>
          <w14:textFill>
            <w14:solidFill>
              <w14:schemeClr w14:val="tx1"/>
            </w14:solidFill>
          </w14:textFill>
        </w:rPr>
      </w:pPr>
      <w:r>
        <w:rPr>
          <w:rFonts w:hint="eastAsia" w:eastAsia="黑体" w:cs="黑体"/>
          <w:color w:val="000000" w:themeColor="text1"/>
          <w:sz w:val="30"/>
          <w:szCs w:val="30"/>
          <w:highlight w:val="none"/>
          <w14:textFill>
            <w14:solidFill>
              <w14:schemeClr w14:val="tx1"/>
            </w14:solidFill>
          </w14:textFill>
        </w:rPr>
        <w:t>承包人承揽工程项目一览表</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440"/>
        <w:gridCol w:w="1440"/>
        <w:gridCol w:w="1620"/>
        <w:gridCol w:w="1661"/>
        <w:gridCol w:w="850"/>
        <w:gridCol w:w="1560"/>
        <w:gridCol w:w="2126"/>
        <w:gridCol w:w="1417"/>
        <w:gridCol w:w="851"/>
        <w:gridCol w:w="850"/>
      </w:tblGrid>
      <w:tr w14:paraId="38D03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440" w:type="dxa"/>
            <w:vAlign w:val="center"/>
          </w:tcPr>
          <w:p w14:paraId="1E0644E8">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单位工程名称</w:t>
            </w:r>
          </w:p>
        </w:tc>
        <w:tc>
          <w:tcPr>
            <w:tcW w:w="1440" w:type="dxa"/>
            <w:vAlign w:val="center"/>
          </w:tcPr>
          <w:p w14:paraId="1E909448">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建设规模</w:t>
            </w:r>
          </w:p>
        </w:tc>
        <w:tc>
          <w:tcPr>
            <w:tcW w:w="1620" w:type="dxa"/>
            <w:vAlign w:val="center"/>
          </w:tcPr>
          <w:p w14:paraId="5352CBF7">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建筑面积</w:t>
            </w:r>
            <w:r>
              <w:rPr>
                <w:rFonts w:eastAsia="仿宋_GB2312"/>
                <w:color w:val="000000" w:themeColor="text1"/>
                <w:sz w:val="28"/>
                <w:szCs w:val="28"/>
                <w:highlight w:val="none"/>
                <w14:textFill>
                  <w14:solidFill>
                    <w14:schemeClr w14:val="tx1"/>
                  </w14:solidFill>
                </w14:textFill>
              </w:rPr>
              <w:t>(</w:t>
            </w:r>
            <w:r>
              <w:rPr>
                <w:rFonts w:hint="eastAsia" w:eastAsia="仿宋_GB2312" w:cs="仿宋_GB2312"/>
                <w:color w:val="000000" w:themeColor="text1"/>
                <w:sz w:val="28"/>
                <w:szCs w:val="28"/>
                <w:highlight w:val="none"/>
                <w14:textFill>
                  <w14:solidFill>
                    <w14:schemeClr w14:val="tx1"/>
                  </w14:solidFill>
                </w14:textFill>
              </w:rPr>
              <w:t>平方米</w:t>
            </w:r>
            <w:r>
              <w:rPr>
                <w:rFonts w:eastAsia="仿宋_GB2312"/>
                <w:color w:val="000000" w:themeColor="text1"/>
                <w:sz w:val="28"/>
                <w:szCs w:val="28"/>
                <w:highlight w:val="none"/>
                <w14:textFill>
                  <w14:solidFill>
                    <w14:schemeClr w14:val="tx1"/>
                  </w14:solidFill>
                </w14:textFill>
              </w:rPr>
              <w:t>)</w:t>
            </w:r>
          </w:p>
        </w:tc>
        <w:tc>
          <w:tcPr>
            <w:tcW w:w="1661" w:type="dxa"/>
            <w:vAlign w:val="center"/>
          </w:tcPr>
          <w:p w14:paraId="74FAB3F5">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结构形式</w:t>
            </w:r>
          </w:p>
        </w:tc>
        <w:tc>
          <w:tcPr>
            <w:tcW w:w="850" w:type="dxa"/>
            <w:vAlign w:val="center"/>
          </w:tcPr>
          <w:p w14:paraId="6AF2043D">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层数</w:t>
            </w:r>
          </w:p>
        </w:tc>
        <w:tc>
          <w:tcPr>
            <w:tcW w:w="1560" w:type="dxa"/>
            <w:vAlign w:val="center"/>
          </w:tcPr>
          <w:p w14:paraId="7FF2F51B">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生产能力</w:t>
            </w:r>
          </w:p>
        </w:tc>
        <w:tc>
          <w:tcPr>
            <w:tcW w:w="2126" w:type="dxa"/>
            <w:vAlign w:val="center"/>
          </w:tcPr>
          <w:p w14:paraId="0D524A0B">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设备安装内容</w:t>
            </w:r>
          </w:p>
        </w:tc>
        <w:tc>
          <w:tcPr>
            <w:tcW w:w="1417" w:type="dxa"/>
            <w:vAlign w:val="center"/>
          </w:tcPr>
          <w:p w14:paraId="66AE60B3">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合同价格（元）</w:t>
            </w:r>
          </w:p>
        </w:tc>
        <w:tc>
          <w:tcPr>
            <w:tcW w:w="851" w:type="dxa"/>
            <w:vAlign w:val="center"/>
          </w:tcPr>
          <w:p w14:paraId="0C7A9B41">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开工日期</w:t>
            </w:r>
          </w:p>
        </w:tc>
        <w:tc>
          <w:tcPr>
            <w:tcW w:w="850" w:type="dxa"/>
            <w:vAlign w:val="center"/>
          </w:tcPr>
          <w:p w14:paraId="67556486">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竣工日期</w:t>
            </w:r>
          </w:p>
        </w:tc>
      </w:tr>
      <w:tr w14:paraId="5CA0F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vAlign w:val="center"/>
          </w:tcPr>
          <w:p w14:paraId="7991A7FF">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40" w:type="dxa"/>
            <w:vAlign w:val="center"/>
          </w:tcPr>
          <w:p w14:paraId="3935CC06">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620" w:type="dxa"/>
            <w:vAlign w:val="center"/>
          </w:tcPr>
          <w:p w14:paraId="0F496ACF">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661" w:type="dxa"/>
            <w:vAlign w:val="center"/>
          </w:tcPr>
          <w:p w14:paraId="32B25A3E">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50" w:type="dxa"/>
            <w:vAlign w:val="center"/>
          </w:tcPr>
          <w:p w14:paraId="6102AECB">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560" w:type="dxa"/>
            <w:vAlign w:val="center"/>
          </w:tcPr>
          <w:p w14:paraId="3E0B85E4">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2126" w:type="dxa"/>
            <w:vAlign w:val="center"/>
          </w:tcPr>
          <w:p w14:paraId="613D6227">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17" w:type="dxa"/>
            <w:vAlign w:val="center"/>
          </w:tcPr>
          <w:p w14:paraId="06155E4E">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51" w:type="dxa"/>
            <w:vAlign w:val="center"/>
          </w:tcPr>
          <w:p w14:paraId="095282FF">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50" w:type="dxa"/>
            <w:vAlign w:val="center"/>
          </w:tcPr>
          <w:p w14:paraId="7C4374AE">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62370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vAlign w:val="center"/>
          </w:tcPr>
          <w:p w14:paraId="54B29419">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40" w:type="dxa"/>
            <w:vAlign w:val="center"/>
          </w:tcPr>
          <w:p w14:paraId="111574A5">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620" w:type="dxa"/>
            <w:vAlign w:val="center"/>
          </w:tcPr>
          <w:p w14:paraId="4B280389">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661" w:type="dxa"/>
            <w:vAlign w:val="center"/>
          </w:tcPr>
          <w:p w14:paraId="57CCCDB0">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50" w:type="dxa"/>
            <w:vAlign w:val="center"/>
          </w:tcPr>
          <w:p w14:paraId="201DCC01">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560" w:type="dxa"/>
            <w:vAlign w:val="center"/>
          </w:tcPr>
          <w:p w14:paraId="30A95AC0">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2126" w:type="dxa"/>
            <w:vAlign w:val="center"/>
          </w:tcPr>
          <w:p w14:paraId="0EE25502">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17" w:type="dxa"/>
            <w:vAlign w:val="center"/>
          </w:tcPr>
          <w:p w14:paraId="22F3D9E9">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51" w:type="dxa"/>
            <w:vAlign w:val="center"/>
          </w:tcPr>
          <w:p w14:paraId="25752A0C">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50" w:type="dxa"/>
            <w:vAlign w:val="center"/>
          </w:tcPr>
          <w:p w14:paraId="38667DB0">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439BC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vAlign w:val="center"/>
          </w:tcPr>
          <w:p w14:paraId="4F0C0486">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40" w:type="dxa"/>
            <w:vAlign w:val="center"/>
          </w:tcPr>
          <w:p w14:paraId="42245E70">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620" w:type="dxa"/>
            <w:vAlign w:val="center"/>
          </w:tcPr>
          <w:p w14:paraId="2E618727">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661" w:type="dxa"/>
            <w:vAlign w:val="center"/>
          </w:tcPr>
          <w:p w14:paraId="1196ADC7">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50" w:type="dxa"/>
            <w:vAlign w:val="center"/>
          </w:tcPr>
          <w:p w14:paraId="743567F4">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560" w:type="dxa"/>
            <w:vAlign w:val="center"/>
          </w:tcPr>
          <w:p w14:paraId="246D4E4D">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2126" w:type="dxa"/>
            <w:vAlign w:val="center"/>
          </w:tcPr>
          <w:p w14:paraId="0ABA1AD6">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17" w:type="dxa"/>
            <w:vAlign w:val="center"/>
          </w:tcPr>
          <w:p w14:paraId="7B259880">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51" w:type="dxa"/>
            <w:vAlign w:val="center"/>
          </w:tcPr>
          <w:p w14:paraId="6C8CCD0E">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50" w:type="dxa"/>
            <w:vAlign w:val="center"/>
          </w:tcPr>
          <w:p w14:paraId="3B9B05CA">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483F9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vAlign w:val="center"/>
          </w:tcPr>
          <w:p w14:paraId="575B9ED1">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40" w:type="dxa"/>
            <w:vAlign w:val="center"/>
          </w:tcPr>
          <w:p w14:paraId="21CCB775">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620" w:type="dxa"/>
            <w:vAlign w:val="center"/>
          </w:tcPr>
          <w:p w14:paraId="77D8F69B">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661" w:type="dxa"/>
            <w:vAlign w:val="center"/>
          </w:tcPr>
          <w:p w14:paraId="2C298F0C">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50" w:type="dxa"/>
            <w:vAlign w:val="center"/>
          </w:tcPr>
          <w:p w14:paraId="7E48990D">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560" w:type="dxa"/>
            <w:vAlign w:val="center"/>
          </w:tcPr>
          <w:p w14:paraId="77CE4BC5">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2126" w:type="dxa"/>
            <w:vAlign w:val="center"/>
          </w:tcPr>
          <w:p w14:paraId="2E8CD7C6">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17" w:type="dxa"/>
            <w:vAlign w:val="center"/>
          </w:tcPr>
          <w:p w14:paraId="16CBEB42">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51" w:type="dxa"/>
            <w:vAlign w:val="center"/>
          </w:tcPr>
          <w:p w14:paraId="35972E81">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50" w:type="dxa"/>
            <w:vAlign w:val="center"/>
          </w:tcPr>
          <w:p w14:paraId="2B0A2FC4">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135EF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vAlign w:val="center"/>
          </w:tcPr>
          <w:p w14:paraId="2B70E442">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40" w:type="dxa"/>
            <w:vAlign w:val="center"/>
          </w:tcPr>
          <w:p w14:paraId="278377BF">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620" w:type="dxa"/>
            <w:vAlign w:val="center"/>
          </w:tcPr>
          <w:p w14:paraId="17DF15EF">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661" w:type="dxa"/>
            <w:vAlign w:val="center"/>
          </w:tcPr>
          <w:p w14:paraId="0CE6B9B7">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50" w:type="dxa"/>
            <w:vAlign w:val="center"/>
          </w:tcPr>
          <w:p w14:paraId="34EFD177">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560" w:type="dxa"/>
            <w:vAlign w:val="center"/>
          </w:tcPr>
          <w:p w14:paraId="3FD81F20">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2126" w:type="dxa"/>
            <w:vAlign w:val="center"/>
          </w:tcPr>
          <w:p w14:paraId="4FEC2484">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17" w:type="dxa"/>
            <w:vAlign w:val="center"/>
          </w:tcPr>
          <w:p w14:paraId="6B136756">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51" w:type="dxa"/>
            <w:vAlign w:val="center"/>
          </w:tcPr>
          <w:p w14:paraId="4884D2A6">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50" w:type="dxa"/>
            <w:vAlign w:val="center"/>
          </w:tcPr>
          <w:p w14:paraId="27479A64">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3095D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vAlign w:val="center"/>
          </w:tcPr>
          <w:p w14:paraId="3CD4B727">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40" w:type="dxa"/>
            <w:vAlign w:val="center"/>
          </w:tcPr>
          <w:p w14:paraId="2E846D73">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620" w:type="dxa"/>
            <w:vAlign w:val="center"/>
          </w:tcPr>
          <w:p w14:paraId="5AEAFA79">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661" w:type="dxa"/>
            <w:vAlign w:val="center"/>
          </w:tcPr>
          <w:p w14:paraId="339EE343">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50" w:type="dxa"/>
            <w:vAlign w:val="center"/>
          </w:tcPr>
          <w:p w14:paraId="19268EA9">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560" w:type="dxa"/>
            <w:vAlign w:val="center"/>
          </w:tcPr>
          <w:p w14:paraId="4A4FB1F4">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2126" w:type="dxa"/>
            <w:vAlign w:val="center"/>
          </w:tcPr>
          <w:p w14:paraId="14DEF579">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17" w:type="dxa"/>
            <w:vAlign w:val="center"/>
          </w:tcPr>
          <w:p w14:paraId="3F3D558F">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51" w:type="dxa"/>
            <w:vAlign w:val="center"/>
          </w:tcPr>
          <w:p w14:paraId="673C206B">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50" w:type="dxa"/>
            <w:vAlign w:val="center"/>
          </w:tcPr>
          <w:p w14:paraId="7EC75E42">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26ED3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vAlign w:val="center"/>
          </w:tcPr>
          <w:p w14:paraId="4891A76D">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40" w:type="dxa"/>
            <w:vAlign w:val="center"/>
          </w:tcPr>
          <w:p w14:paraId="669C09AC">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620" w:type="dxa"/>
            <w:vAlign w:val="center"/>
          </w:tcPr>
          <w:p w14:paraId="685F2400">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661" w:type="dxa"/>
            <w:vAlign w:val="center"/>
          </w:tcPr>
          <w:p w14:paraId="561F2A46">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50" w:type="dxa"/>
            <w:vAlign w:val="center"/>
          </w:tcPr>
          <w:p w14:paraId="506C545B">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560" w:type="dxa"/>
            <w:vAlign w:val="center"/>
          </w:tcPr>
          <w:p w14:paraId="6633EF93">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2126" w:type="dxa"/>
            <w:vAlign w:val="center"/>
          </w:tcPr>
          <w:p w14:paraId="758A09BA">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17" w:type="dxa"/>
            <w:vAlign w:val="center"/>
          </w:tcPr>
          <w:p w14:paraId="15FE76CD">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51" w:type="dxa"/>
            <w:vAlign w:val="center"/>
          </w:tcPr>
          <w:p w14:paraId="078A1667">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50" w:type="dxa"/>
            <w:vAlign w:val="center"/>
          </w:tcPr>
          <w:p w14:paraId="59079A5D">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779CD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vAlign w:val="center"/>
          </w:tcPr>
          <w:p w14:paraId="6810F68F">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40" w:type="dxa"/>
            <w:vAlign w:val="center"/>
          </w:tcPr>
          <w:p w14:paraId="3EA00559">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620" w:type="dxa"/>
            <w:vAlign w:val="center"/>
          </w:tcPr>
          <w:p w14:paraId="79E9A594">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661" w:type="dxa"/>
            <w:vAlign w:val="center"/>
          </w:tcPr>
          <w:p w14:paraId="4CD60BCB">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50" w:type="dxa"/>
            <w:vAlign w:val="center"/>
          </w:tcPr>
          <w:p w14:paraId="30141BBA">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560" w:type="dxa"/>
            <w:vAlign w:val="center"/>
          </w:tcPr>
          <w:p w14:paraId="5238BEA2">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2126" w:type="dxa"/>
            <w:vAlign w:val="center"/>
          </w:tcPr>
          <w:p w14:paraId="32A04A25">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17" w:type="dxa"/>
            <w:vAlign w:val="center"/>
          </w:tcPr>
          <w:p w14:paraId="3D65B61F">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51" w:type="dxa"/>
            <w:vAlign w:val="center"/>
          </w:tcPr>
          <w:p w14:paraId="2FD48885">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50" w:type="dxa"/>
            <w:vAlign w:val="center"/>
          </w:tcPr>
          <w:p w14:paraId="0AA8D7B4">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08728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vAlign w:val="center"/>
          </w:tcPr>
          <w:p w14:paraId="5FE63EA5">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40" w:type="dxa"/>
            <w:vAlign w:val="center"/>
          </w:tcPr>
          <w:p w14:paraId="599D1F5E">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620" w:type="dxa"/>
            <w:vAlign w:val="center"/>
          </w:tcPr>
          <w:p w14:paraId="652E988E">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661" w:type="dxa"/>
            <w:vAlign w:val="center"/>
          </w:tcPr>
          <w:p w14:paraId="3BC4BF7E">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50" w:type="dxa"/>
            <w:vAlign w:val="center"/>
          </w:tcPr>
          <w:p w14:paraId="74548646">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560" w:type="dxa"/>
            <w:vAlign w:val="center"/>
          </w:tcPr>
          <w:p w14:paraId="78205098">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2126" w:type="dxa"/>
            <w:vAlign w:val="center"/>
          </w:tcPr>
          <w:p w14:paraId="24321452">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17" w:type="dxa"/>
            <w:vAlign w:val="center"/>
          </w:tcPr>
          <w:p w14:paraId="5B98FDB4">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51" w:type="dxa"/>
            <w:vAlign w:val="center"/>
          </w:tcPr>
          <w:p w14:paraId="47B34CF3">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50" w:type="dxa"/>
            <w:vAlign w:val="center"/>
          </w:tcPr>
          <w:p w14:paraId="55E81978">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4B7DC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vAlign w:val="center"/>
          </w:tcPr>
          <w:p w14:paraId="041F32D9">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40" w:type="dxa"/>
            <w:vAlign w:val="center"/>
          </w:tcPr>
          <w:p w14:paraId="3AFCE599">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620" w:type="dxa"/>
            <w:vAlign w:val="center"/>
          </w:tcPr>
          <w:p w14:paraId="7203781E">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661" w:type="dxa"/>
            <w:vAlign w:val="center"/>
          </w:tcPr>
          <w:p w14:paraId="42FA5C34">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50" w:type="dxa"/>
            <w:vAlign w:val="center"/>
          </w:tcPr>
          <w:p w14:paraId="535AD2FC">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560" w:type="dxa"/>
            <w:vAlign w:val="center"/>
          </w:tcPr>
          <w:p w14:paraId="5B26D32B">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2126" w:type="dxa"/>
            <w:vAlign w:val="center"/>
          </w:tcPr>
          <w:p w14:paraId="7C3AD491">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17" w:type="dxa"/>
            <w:vAlign w:val="center"/>
          </w:tcPr>
          <w:p w14:paraId="6DF02C32">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51" w:type="dxa"/>
            <w:vAlign w:val="center"/>
          </w:tcPr>
          <w:p w14:paraId="3B74C486">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50" w:type="dxa"/>
            <w:vAlign w:val="center"/>
          </w:tcPr>
          <w:p w14:paraId="2BEB23E4">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bl>
    <w:p w14:paraId="22CF608D">
      <w:pPr>
        <w:spacing w:line="460" w:lineRule="exact"/>
        <w:ind w:firstLine="420" w:firstLineChars="200"/>
        <w:rPr>
          <w:color w:val="000000" w:themeColor="text1"/>
          <w:szCs w:val="21"/>
          <w:highlight w:val="none"/>
          <w14:textFill>
            <w14:solidFill>
              <w14:schemeClr w14:val="tx1"/>
            </w14:solidFill>
          </w14:textFill>
        </w:rPr>
      </w:pPr>
    </w:p>
    <w:p w14:paraId="479224CC">
      <w:pPr>
        <w:spacing w:line="460" w:lineRule="exact"/>
        <w:ind w:firstLine="420" w:firstLineChars="200"/>
        <w:rPr>
          <w:color w:val="000000" w:themeColor="text1"/>
          <w:szCs w:val="21"/>
          <w:highlight w:val="none"/>
          <w14:textFill>
            <w14:solidFill>
              <w14:schemeClr w14:val="tx1"/>
            </w14:solidFill>
          </w14:textFill>
        </w:rPr>
      </w:pPr>
    </w:p>
    <w:p w14:paraId="0CBC7948">
      <w:pPr>
        <w:spacing w:line="460" w:lineRule="exact"/>
        <w:ind w:firstLine="420" w:firstLineChars="200"/>
        <w:rPr>
          <w:color w:val="000000" w:themeColor="text1"/>
          <w:szCs w:val="21"/>
          <w:highlight w:val="none"/>
          <w14:textFill>
            <w14:solidFill>
              <w14:schemeClr w14:val="tx1"/>
            </w14:solidFill>
          </w14:textFill>
        </w:rPr>
        <w:sectPr>
          <w:pgSz w:w="16840" w:h="11907" w:orient="landscape"/>
          <w:pgMar w:top="1440" w:right="1440" w:bottom="1440" w:left="1797" w:header="851" w:footer="851" w:gutter="0"/>
          <w:cols w:space="720" w:num="1"/>
          <w:docGrid w:linePitch="312" w:charSpace="0"/>
        </w:sectPr>
      </w:pPr>
    </w:p>
    <w:p w14:paraId="78C1F258">
      <w:pPr>
        <w:spacing w:line="440" w:lineRule="exact"/>
        <w:rPr>
          <w:color w:val="000000" w:themeColor="text1"/>
          <w:sz w:val="30"/>
          <w:szCs w:val="30"/>
          <w:highlight w:val="none"/>
          <w14:textFill>
            <w14:solidFill>
              <w14:schemeClr w14:val="tx1"/>
            </w14:solidFill>
          </w14:textFill>
        </w:rPr>
      </w:pPr>
      <w:r>
        <w:rPr>
          <w:rFonts w:hint="eastAsia" w:hAnsi="宋体" w:cs="宋体"/>
          <w:color w:val="000000" w:themeColor="text1"/>
          <w:sz w:val="30"/>
          <w:szCs w:val="30"/>
          <w:highlight w:val="none"/>
          <w14:textFill>
            <w14:solidFill>
              <w14:schemeClr w14:val="tx1"/>
            </w14:solidFill>
          </w14:textFill>
        </w:rPr>
        <w:t>附件</w:t>
      </w:r>
      <w:r>
        <w:rPr>
          <w:rFonts w:hint="eastAsia"/>
          <w:color w:val="000000" w:themeColor="text1"/>
          <w:sz w:val="30"/>
          <w:szCs w:val="30"/>
          <w:highlight w:val="none"/>
          <w14:textFill>
            <w14:solidFill>
              <w14:schemeClr w14:val="tx1"/>
            </w14:solidFill>
          </w14:textFill>
        </w:rPr>
        <w:t>2</w:t>
      </w:r>
      <w:r>
        <w:rPr>
          <w:rFonts w:hint="eastAsia" w:hAnsi="宋体" w:cs="宋体"/>
          <w:color w:val="000000" w:themeColor="text1"/>
          <w:sz w:val="30"/>
          <w:szCs w:val="30"/>
          <w:highlight w:val="none"/>
          <w14:textFill>
            <w14:solidFill>
              <w14:schemeClr w14:val="tx1"/>
            </w14:solidFill>
          </w14:textFill>
        </w:rPr>
        <w:t>：</w:t>
      </w:r>
    </w:p>
    <w:p w14:paraId="173175C4">
      <w:pPr>
        <w:spacing w:before="120" w:beforeLines="50" w:after="120" w:afterLines="50" w:line="440" w:lineRule="exact"/>
        <w:jc w:val="center"/>
        <w:rPr>
          <w:rFonts w:ascii="黑体" w:eastAsia="黑体"/>
          <w:color w:val="000000" w:themeColor="text1"/>
          <w:sz w:val="32"/>
          <w:szCs w:val="32"/>
          <w:highlight w:val="none"/>
          <w14:textFill>
            <w14:solidFill>
              <w14:schemeClr w14:val="tx1"/>
            </w14:solidFill>
          </w14:textFill>
        </w:rPr>
      </w:pPr>
      <w:r>
        <w:rPr>
          <w:rFonts w:hint="eastAsia" w:ascii="黑体" w:hAnsi="宋体" w:eastAsia="黑体" w:cs="黑体"/>
          <w:color w:val="000000" w:themeColor="text1"/>
          <w:sz w:val="32"/>
          <w:szCs w:val="32"/>
          <w:highlight w:val="none"/>
          <w14:textFill>
            <w14:solidFill>
              <w14:schemeClr w14:val="tx1"/>
            </w14:solidFill>
          </w14:textFill>
        </w:rPr>
        <w:t>工程质量保修书（房屋建筑工程）</w:t>
      </w:r>
    </w:p>
    <w:p w14:paraId="3B505100">
      <w:pPr>
        <w:spacing w:line="440" w:lineRule="exact"/>
        <w:ind w:firstLine="420" w:firstLineChars="200"/>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发包人（全称）：</w:t>
      </w:r>
    </w:p>
    <w:p w14:paraId="1304A119">
      <w:pPr>
        <w:spacing w:line="440" w:lineRule="exact"/>
        <w:ind w:firstLine="420" w:firstLineChars="200"/>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承包人（全称）：</w:t>
      </w:r>
    </w:p>
    <w:p w14:paraId="14317E9D">
      <w:pPr>
        <w:spacing w:line="440" w:lineRule="exact"/>
        <w:rPr>
          <w:color w:val="000000" w:themeColor="text1"/>
          <w:szCs w:val="21"/>
          <w:highlight w:val="none"/>
          <w14:textFill>
            <w14:solidFill>
              <w14:schemeClr w14:val="tx1"/>
            </w14:solidFill>
          </w14:textFill>
        </w:rPr>
      </w:pPr>
    </w:p>
    <w:p w14:paraId="7E572859">
      <w:pPr>
        <w:spacing w:line="360" w:lineRule="auto"/>
        <w:ind w:firstLine="420" w:firstLineChars="200"/>
        <w:rPr>
          <w:rFonts w:hAnsi="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发包人和承包人根据《中华人民共和国建筑法》和《建设工程质量管理条例》，经协商一致就（工程全称）签订工程质量保修书。</w:t>
      </w:r>
    </w:p>
    <w:p w14:paraId="37902601">
      <w:pPr>
        <w:spacing w:line="360" w:lineRule="auto"/>
        <w:ind w:firstLine="420" w:firstLineChars="200"/>
        <w:rPr>
          <w:rFonts w:ascii="黑体" w:hAnsi="宋体" w:eastAsia="黑体"/>
          <w:color w:val="000000" w:themeColor="text1"/>
          <w:szCs w:val="21"/>
          <w:highlight w:val="none"/>
          <w14:textFill>
            <w14:solidFill>
              <w14:schemeClr w14:val="tx1"/>
            </w14:solidFill>
          </w14:textFill>
        </w:rPr>
      </w:pPr>
      <w:r>
        <w:rPr>
          <w:rFonts w:hint="eastAsia" w:ascii="黑体" w:hAnsi="宋体" w:eastAsia="黑体" w:cs="黑体"/>
          <w:color w:val="000000" w:themeColor="text1"/>
          <w:szCs w:val="21"/>
          <w:highlight w:val="none"/>
          <w14:textFill>
            <w14:solidFill>
              <w14:schemeClr w14:val="tx1"/>
            </w14:solidFill>
          </w14:textFill>
        </w:rPr>
        <w:t>一、工程质量保修范围和内容</w:t>
      </w:r>
    </w:p>
    <w:p w14:paraId="2332176B">
      <w:pPr>
        <w:spacing w:line="360" w:lineRule="auto"/>
        <w:ind w:firstLine="420" w:firstLineChars="200"/>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承包人在质量保修期内，按照有关法律规定和合同约定，承担工程质量保修责任。</w:t>
      </w:r>
    </w:p>
    <w:p w14:paraId="565CB4BE">
      <w:pPr>
        <w:spacing w:line="360" w:lineRule="auto"/>
        <w:ind w:firstLine="420"/>
        <w:rPr>
          <w:rFonts w:hAnsi="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质量保修范围包括工程，以及双方约定的其他项目。具体保修的内容，双方约定如下：</w:t>
      </w:r>
      <w:r>
        <w:rPr>
          <w:rFonts w:hint="eastAsia" w:ascii="宋体" w:hAnsi="宋体" w:cs="宋体"/>
          <w:color w:val="000000" w:themeColor="text1"/>
          <w:szCs w:val="21"/>
          <w:highlight w:val="none"/>
          <w:u w:val="single"/>
          <w14:textFill>
            <w14:solidFill>
              <w14:schemeClr w14:val="tx1"/>
            </w14:solidFill>
          </w14:textFill>
        </w:rPr>
        <w:t>属承包人承包范围内的质量缺陷</w:t>
      </w:r>
      <w:r>
        <w:rPr>
          <w:rFonts w:hint="eastAsia" w:hAnsi="宋体" w:cs="宋体"/>
          <w:color w:val="000000" w:themeColor="text1"/>
          <w:szCs w:val="21"/>
          <w:highlight w:val="none"/>
          <w14:textFill>
            <w14:solidFill>
              <w14:schemeClr w14:val="tx1"/>
            </w14:solidFill>
          </w14:textFill>
        </w:rPr>
        <w:t>。</w:t>
      </w:r>
    </w:p>
    <w:p w14:paraId="0824952A">
      <w:pPr>
        <w:spacing w:line="360" w:lineRule="auto"/>
        <w:ind w:firstLine="420"/>
        <w:rPr>
          <w:rFonts w:ascii="黑体" w:hAnsi="宋体" w:eastAsia="黑体"/>
          <w:color w:val="000000" w:themeColor="text1"/>
          <w:szCs w:val="21"/>
          <w:highlight w:val="none"/>
          <w14:textFill>
            <w14:solidFill>
              <w14:schemeClr w14:val="tx1"/>
            </w14:solidFill>
          </w14:textFill>
        </w:rPr>
      </w:pPr>
      <w:r>
        <w:rPr>
          <w:rFonts w:hint="eastAsia" w:ascii="黑体" w:hAnsi="宋体" w:eastAsia="黑体" w:cs="黑体"/>
          <w:color w:val="000000" w:themeColor="text1"/>
          <w:szCs w:val="21"/>
          <w:highlight w:val="none"/>
          <w14:textFill>
            <w14:solidFill>
              <w14:schemeClr w14:val="tx1"/>
            </w14:solidFill>
          </w14:textFill>
        </w:rPr>
        <w:t>二、质量保修期</w:t>
      </w:r>
    </w:p>
    <w:p w14:paraId="6D37D71A">
      <w:pPr>
        <w:spacing w:line="360" w:lineRule="auto"/>
        <w:ind w:firstLine="420"/>
        <w:rPr>
          <w:rFonts w:hAnsi="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根据《建设工程质量管理条例》及有关规定，工程的质量保修期如下：</w:t>
      </w:r>
    </w:p>
    <w:p w14:paraId="778B701C">
      <w:pPr>
        <w:spacing w:line="360" w:lineRule="auto"/>
        <w:ind w:firstLine="420"/>
        <w:rPr>
          <w:rFonts w:hAnsi="宋体"/>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w:t>
      </w:r>
      <w:r>
        <w:rPr>
          <w:rFonts w:hint="eastAsia" w:hAnsi="宋体" w:cs="宋体"/>
          <w:color w:val="000000" w:themeColor="text1"/>
          <w:szCs w:val="21"/>
          <w:highlight w:val="none"/>
          <w14:textFill>
            <w14:solidFill>
              <w14:schemeClr w14:val="tx1"/>
            </w14:solidFill>
          </w14:textFill>
        </w:rPr>
        <w:t>．地基基础工程和主体结构工程为设计文件规定的工程合理使用年限；</w:t>
      </w:r>
    </w:p>
    <w:p w14:paraId="197B1615">
      <w:pPr>
        <w:spacing w:line="360" w:lineRule="auto"/>
        <w:ind w:firstLine="420"/>
        <w:rPr>
          <w:rFonts w:hAnsi="宋体"/>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w:t>
      </w:r>
      <w:r>
        <w:rPr>
          <w:rFonts w:hint="eastAsia" w:hAnsi="宋体" w:cs="宋体"/>
          <w:color w:val="000000" w:themeColor="text1"/>
          <w:szCs w:val="21"/>
          <w:highlight w:val="none"/>
          <w14:textFill>
            <w14:solidFill>
              <w14:schemeClr w14:val="tx1"/>
            </w14:solidFill>
          </w14:textFill>
        </w:rPr>
        <w:t>．屋面防水工程、有防水要求的卫生间、房间和外墙面的防渗为</w:t>
      </w:r>
      <w:r>
        <w:rPr>
          <w:rFonts w:hint="eastAsia"/>
          <w:color w:val="000000" w:themeColor="text1"/>
          <w:szCs w:val="21"/>
          <w:highlight w:val="none"/>
          <w:u w:val="single"/>
          <w14:textFill>
            <w14:solidFill>
              <w14:schemeClr w14:val="tx1"/>
            </w14:solidFill>
          </w14:textFill>
        </w:rPr>
        <w:t>5</w:t>
      </w:r>
      <w:r>
        <w:rPr>
          <w:rFonts w:hint="eastAsia" w:hAnsi="宋体" w:cs="宋体"/>
          <w:color w:val="000000" w:themeColor="text1"/>
          <w:szCs w:val="21"/>
          <w:highlight w:val="none"/>
          <w14:textFill>
            <w14:solidFill>
              <w14:schemeClr w14:val="tx1"/>
            </w14:solidFill>
          </w14:textFill>
        </w:rPr>
        <w:t>年；</w:t>
      </w:r>
    </w:p>
    <w:p w14:paraId="6ED137D0">
      <w:pPr>
        <w:spacing w:line="360" w:lineRule="auto"/>
        <w:ind w:firstLine="420"/>
        <w:rPr>
          <w:rFonts w:hAnsi="宋体"/>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3</w:t>
      </w:r>
      <w:r>
        <w:rPr>
          <w:rFonts w:hint="eastAsia" w:hAnsi="宋体" w:cs="宋体"/>
          <w:color w:val="000000" w:themeColor="text1"/>
          <w:szCs w:val="21"/>
          <w:highlight w:val="none"/>
          <w14:textFill>
            <w14:solidFill>
              <w14:schemeClr w14:val="tx1"/>
            </w14:solidFill>
          </w14:textFill>
        </w:rPr>
        <w:t>．装修工程为</w:t>
      </w:r>
      <w:r>
        <w:rPr>
          <w:rFonts w:hint="eastAsia"/>
          <w:color w:val="000000" w:themeColor="text1"/>
          <w:szCs w:val="21"/>
          <w:highlight w:val="none"/>
          <w:u w:val="single"/>
          <w14:textFill>
            <w14:solidFill>
              <w14:schemeClr w14:val="tx1"/>
            </w14:solidFill>
          </w14:textFill>
        </w:rPr>
        <w:t>2</w:t>
      </w:r>
      <w:r>
        <w:rPr>
          <w:rFonts w:hint="eastAsia" w:hAnsi="宋体" w:cs="宋体"/>
          <w:color w:val="000000" w:themeColor="text1"/>
          <w:szCs w:val="21"/>
          <w:highlight w:val="none"/>
          <w14:textFill>
            <w14:solidFill>
              <w14:schemeClr w14:val="tx1"/>
            </w14:solidFill>
          </w14:textFill>
        </w:rPr>
        <w:t>年；</w:t>
      </w:r>
    </w:p>
    <w:p w14:paraId="0943ED9F">
      <w:pPr>
        <w:spacing w:line="360" w:lineRule="auto"/>
        <w:ind w:firstLine="420"/>
        <w:rPr>
          <w:rFonts w:hAnsi="宋体"/>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4</w:t>
      </w:r>
      <w:r>
        <w:rPr>
          <w:rFonts w:hint="eastAsia" w:hAnsi="宋体" w:cs="宋体"/>
          <w:color w:val="000000" w:themeColor="text1"/>
          <w:szCs w:val="21"/>
          <w:highlight w:val="none"/>
          <w14:textFill>
            <w14:solidFill>
              <w14:schemeClr w14:val="tx1"/>
            </w14:solidFill>
          </w14:textFill>
        </w:rPr>
        <w:t>．电气管线、给排水管道、设备安装工程为</w:t>
      </w:r>
      <w:r>
        <w:rPr>
          <w:rFonts w:hint="eastAsia"/>
          <w:color w:val="000000" w:themeColor="text1"/>
          <w:szCs w:val="21"/>
          <w:highlight w:val="none"/>
          <w:u w:val="single"/>
          <w14:textFill>
            <w14:solidFill>
              <w14:schemeClr w14:val="tx1"/>
            </w14:solidFill>
          </w14:textFill>
        </w:rPr>
        <w:t>2</w:t>
      </w:r>
      <w:r>
        <w:rPr>
          <w:rFonts w:hint="eastAsia" w:hAnsi="宋体" w:cs="宋体"/>
          <w:color w:val="000000" w:themeColor="text1"/>
          <w:szCs w:val="21"/>
          <w:highlight w:val="none"/>
          <w14:textFill>
            <w14:solidFill>
              <w14:schemeClr w14:val="tx1"/>
            </w14:solidFill>
          </w14:textFill>
        </w:rPr>
        <w:t>年；</w:t>
      </w:r>
    </w:p>
    <w:p w14:paraId="4457A692">
      <w:pPr>
        <w:spacing w:line="360" w:lineRule="auto"/>
        <w:ind w:firstLine="420"/>
        <w:rPr>
          <w:rFonts w:hAnsi="宋体"/>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5</w:t>
      </w:r>
      <w:r>
        <w:rPr>
          <w:rFonts w:hint="eastAsia" w:hAnsi="宋体" w:cs="宋体"/>
          <w:color w:val="000000" w:themeColor="text1"/>
          <w:szCs w:val="21"/>
          <w:highlight w:val="none"/>
          <w14:textFill>
            <w14:solidFill>
              <w14:schemeClr w14:val="tx1"/>
            </w14:solidFill>
          </w14:textFill>
        </w:rPr>
        <w:t>．供热与供冷系统为</w:t>
      </w:r>
      <w:r>
        <w:rPr>
          <w:rFonts w:hint="eastAsia"/>
          <w:color w:val="000000" w:themeColor="text1"/>
          <w:szCs w:val="21"/>
          <w:highlight w:val="none"/>
          <w:u w:val="single"/>
          <w14:textFill>
            <w14:solidFill>
              <w14:schemeClr w14:val="tx1"/>
            </w14:solidFill>
          </w14:textFill>
        </w:rPr>
        <w:t>2</w:t>
      </w:r>
      <w:r>
        <w:rPr>
          <w:rFonts w:hint="eastAsia" w:hAnsi="宋体" w:cs="宋体"/>
          <w:color w:val="000000" w:themeColor="text1"/>
          <w:szCs w:val="21"/>
          <w:highlight w:val="none"/>
          <w14:textFill>
            <w14:solidFill>
              <w14:schemeClr w14:val="tx1"/>
            </w14:solidFill>
          </w14:textFill>
        </w:rPr>
        <w:t>个采暖期、供冷期；</w:t>
      </w:r>
    </w:p>
    <w:p w14:paraId="4FE0B65E">
      <w:pPr>
        <w:spacing w:line="360" w:lineRule="auto"/>
        <w:ind w:firstLine="420"/>
        <w:rPr>
          <w:rFonts w:hAnsi="宋体"/>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6</w:t>
      </w:r>
      <w:r>
        <w:rPr>
          <w:rFonts w:hint="eastAsia" w:hAnsi="宋体" w:cs="宋体"/>
          <w:color w:val="000000" w:themeColor="text1"/>
          <w:szCs w:val="21"/>
          <w:highlight w:val="none"/>
          <w14:textFill>
            <w14:solidFill>
              <w14:schemeClr w14:val="tx1"/>
            </w14:solidFill>
          </w14:textFill>
        </w:rPr>
        <w:t>．住宅小区内的给排水设施、道路等配套工程为</w:t>
      </w:r>
      <w:r>
        <w:rPr>
          <w:rFonts w:hint="eastAsia"/>
          <w:color w:val="000000" w:themeColor="text1"/>
          <w:szCs w:val="21"/>
          <w:highlight w:val="none"/>
          <w:u w:val="single"/>
          <w14:textFill>
            <w14:solidFill>
              <w14:schemeClr w14:val="tx1"/>
            </w14:solidFill>
          </w14:textFill>
        </w:rPr>
        <w:t>2</w:t>
      </w:r>
      <w:r>
        <w:rPr>
          <w:rFonts w:hint="eastAsia" w:hAnsi="宋体" w:cs="宋体"/>
          <w:color w:val="000000" w:themeColor="text1"/>
          <w:szCs w:val="21"/>
          <w:highlight w:val="none"/>
          <w14:textFill>
            <w14:solidFill>
              <w14:schemeClr w14:val="tx1"/>
            </w14:solidFill>
          </w14:textFill>
        </w:rPr>
        <w:t>年；</w:t>
      </w:r>
    </w:p>
    <w:p w14:paraId="02C53BB2">
      <w:pPr>
        <w:spacing w:line="360" w:lineRule="auto"/>
        <w:ind w:firstLine="420"/>
        <w:rPr>
          <w:rFonts w:hAnsi="宋体"/>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7</w:t>
      </w:r>
      <w:r>
        <w:rPr>
          <w:rFonts w:hint="eastAsia" w:hAnsi="宋体" w:cs="宋体"/>
          <w:color w:val="000000" w:themeColor="text1"/>
          <w:szCs w:val="21"/>
          <w:highlight w:val="none"/>
          <w14:textFill>
            <w14:solidFill>
              <w14:schemeClr w14:val="tx1"/>
            </w14:solidFill>
          </w14:textFill>
        </w:rPr>
        <w:t>．其他项目保修期限约定如下：</w:t>
      </w:r>
      <w:r>
        <w:rPr>
          <w:rFonts w:hint="eastAsia" w:hAnsi="宋体" w:cs="宋体"/>
          <w:color w:val="000000" w:themeColor="text1"/>
          <w:szCs w:val="21"/>
          <w:highlight w:val="none"/>
          <w:lang w:val="en-US" w:eastAsia="zh-CN"/>
          <w14:textFill>
            <w14:solidFill>
              <w14:schemeClr w14:val="tx1"/>
            </w14:solidFill>
          </w14:textFill>
        </w:rPr>
        <w:t>/</w:t>
      </w:r>
    </w:p>
    <w:p w14:paraId="027C3ECE">
      <w:pPr>
        <w:spacing w:line="360" w:lineRule="auto"/>
        <w:ind w:firstLine="420"/>
        <w:rPr>
          <w:rFonts w:hAnsi="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质量保修期自工程竣工验收合格之日起计算。</w:t>
      </w:r>
    </w:p>
    <w:p w14:paraId="65A8D379">
      <w:pPr>
        <w:spacing w:line="360" w:lineRule="auto"/>
        <w:ind w:firstLine="420"/>
        <w:rPr>
          <w:rFonts w:ascii="黑体" w:hAnsi="宋体" w:eastAsia="黑体"/>
          <w:color w:val="000000" w:themeColor="text1"/>
          <w:szCs w:val="21"/>
          <w:highlight w:val="none"/>
          <w14:textFill>
            <w14:solidFill>
              <w14:schemeClr w14:val="tx1"/>
            </w14:solidFill>
          </w14:textFill>
        </w:rPr>
      </w:pPr>
      <w:r>
        <w:rPr>
          <w:rFonts w:hint="eastAsia" w:ascii="黑体" w:hAnsi="宋体" w:eastAsia="黑体" w:cs="黑体"/>
          <w:color w:val="000000" w:themeColor="text1"/>
          <w:szCs w:val="21"/>
          <w:highlight w:val="none"/>
          <w14:textFill>
            <w14:solidFill>
              <w14:schemeClr w14:val="tx1"/>
            </w14:solidFill>
          </w14:textFill>
        </w:rPr>
        <w:t>三、缺陷责任期</w:t>
      </w:r>
    </w:p>
    <w:p w14:paraId="7F78AB87">
      <w:pPr>
        <w:spacing w:line="360" w:lineRule="auto"/>
        <w:ind w:firstLine="420"/>
        <w:rPr>
          <w:rFonts w:hAnsi="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工程缺陷责任期为</w:t>
      </w:r>
      <w:r>
        <w:rPr>
          <w:rFonts w:hint="eastAsia"/>
          <w:color w:val="000000" w:themeColor="text1"/>
          <w:szCs w:val="21"/>
          <w:highlight w:val="none"/>
          <w:u w:val="single"/>
          <w14:textFill>
            <w14:solidFill>
              <w14:schemeClr w14:val="tx1"/>
            </w14:solidFill>
          </w14:textFill>
        </w:rPr>
        <w:t>24</w:t>
      </w:r>
      <w:r>
        <w:rPr>
          <w:rFonts w:hint="eastAsia" w:hAnsi="宋体" w:cs="宋体"/>
          <w:color w:val="000000" w:themeColor="text1"/>
          <w:szCs w:val="21"/>
          <w:highlight w:val="none"/>
          <w14:textFill>
            <w14:solidFill>
              <w14:schemeClr w14:val="tx1"/>
            </w14:solidFill>
          </w14:textFill>
        </w:rPr>
        <w:t>个月（最长不超过</w:t>
      </w:r>
      <w:r>
        <w:rPr>
          <w:rFonts w:hAnsi="宋体"/>
          <w:color w:val="000000" w:themeColor="text1"/>
          <w:szCs w:val="21"/>
          <w:highlight w:val="none"/>
          <w14:textFill>
            <w14:solidFill>
              <w14:schemeClr w14:val="tx1"/>
            </w14:solidFill>
          </w14:textFill>
        </w:rPr>
        <w:t>24</w:t>
      </w:r>
      <w:r>
        <w:rPr>
          <w:rFonts w:hint="eastAsia" w:hAnsi="宋体" w:cs="宋体"/>
          <w:color w:val="000000" w:themeColor="text1"/>
          <w:szCs w:val="21"/>
          <w:highlight w:val="none"/>
          <w14:textFill>
            <w14:solidFill>
              <w14:schemeClr w14:val="tx1"/>
            </w14:solidFill>
          </w14:textFill>
        </w:rPr>
        <w:t>个月），缺陷责任期自工程竣工验收合格之日起计算。单位工程先于全部工程进行验收，单位工程缺陷责任期自单位工程验收合格之日起算。</w:t>
      </w:r>
    </w:p>
    <w:p w14:paraId="231C4D52">
      <w:pPr>
        <w:autoSpaceDE w:val="0"/>
        <w:autoSpaceDN w:val="0"/>
        <w:adjustRightInd w:val="0"/>
        <w:spacing w:line="360" w:lineRule="auto"/>
        <w:ind w:firstLine="420" w:firstLineChars="200"/>
        <w:jc w:val="left"/>
        <w:rPr>
          <w:rFonts w:ascii="黑体" w:hAnsi="宋体" w:eastAsia="黑体"/>
          <w:color w:val="000000" w:themeColor="text1"/>
          <w:szCs w:val="21"/>
          <w:highlight w:val="none"/>
          <w14:textFill>
            <w14:solidFill>
              <w14:schemeClr w14:val="tx1"/>
            </w14:solidFill>
          </w14:textFill>
        </w:rPr>
      </w:pPr>
      <w:r>
        <w:rPr>
          <w:rFonts w:hint="eastAsia" w:ascii="黑体" w:hAnsi="宋体" w:eastAsia="黑体" w:cs="黑体"/>
          <w:color w:val="000000" w:themeColor="text1"/>
          <w:szCs w:val="21"/>
          <w:highlight w:val="none"/>
          <w14:textFill>
            <w14:solidFill>
              <w14:schemeClr w14:val="tx1"/>
            </w14:solidFill>
          </w14:textFill>
        </w:rPr>
        <w:t>四、质量保修责任</w:t>
      </w:r>
    </w:p>
    <w:p w14:paraId="01616130">
      <w:pPr>
        <w:spacing w:line="360" w:lineRule="auto"/>
        <w:ind w:left="105" w:leftChars="50" w:firstLine="430" w:firstLineChars="205"/>
        <w:rPr>
          <w:rFonts w:hAnsi="宋体"/>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w:t>
      </w:r>
      <w:r>
        <w:rPr>
          <w:rFonts w:hint="eastAsia" w:hAnsi="宋体" w:cs="宋体"/>
          <w:color w:val="000000" w:themeColor="text1"/>
          <w:szCs w:val="21"/>
          <w:highlight w:val="none"/>
          <w14:textFill>
            <w14:solidFill>
              <w14:schemeClr w14:val="tx1"/>
            </w14:solidFill>
          </w14:textFill>
        </w:rPr>
        <w:t>．属于保修范围、内容的项目，承包人应当在接到保修通知之日起</w:t>
      </w:r>
      <w:r>
        <w:rPr>
          <w:rFonts w:hint="eastAsia"/>
          <w:color w:val="000000" w:themeColor="text1"/>
          <w:szCs w:val="21"/>
          <w:highlight w:val="none"/>
          <w:u w:val="single"/>
          <w14:textFill>
            <w14:solidFill>
              <w14:schemeClr w14:val="tx1"/>
            </w14:solidFill>
          </w14:textFill>
        </w:rPr>
        <w:t>1</w:t>
      </w:r>
      <w:r>
        <w:rPr>
          <w:rFonts w:hint="eastAsia" w:hAnsi="宋体" w:cs="宋体"/>
          <w:color w:val="000000" w:themeColor="text1"/>
          <w:szCs w:val="21"/>
          <w:highlight w:val="none"/>
          <w14:textFill>
            <w14:solidFill>
              <w14:schemeClr w14:val="tx1"/>
            </w14:solidFill>
          </w14:textFill>
        </w:rPr>
        <w:t>天内派人保修。承包人不在约定期限内派人保修的，发包人可以委托他人修理，修理费用从质量保证金内扣除。</w:t>
      </w:r>
    </w:p>
    <w:p w14:paraId="0D486028">
      <w:pPr>
        <w:spacing w:line="360" w:lineRule="auto"/>
        <w:ind w:firstLine="420"/>
        <w:rPr>
          <w:rFonts w:hAnsi="宋体"/>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w:t>
      </w:r>
      <w:r>
        <w:rPr>
          <w:rFonts w:hint="eastAsia" w:hAnsi="宋体" w:cs="宋体"/>
          <w:color w:val="000000" w:themeColor="text1"/>
          <w:szCs w:val="21"/>
          <w:highlight w:val="none"/>
          <w14:textFill>
            <w14:solidFill>
              <w14:schemeClr w14:val="tx1"/>
            </w14:solidFill>
          </w14:textFill>
        </w:rPr>
        <w:t>．发生紧急事故需抢修的，承包人在接到事故通知后，应当立即到达事故现场抢修。</w:t>
      </w:r>
    </w:p>
    <w:p w14:paraId="2171AC76">
      <w:pPr>
        <w:spacing w:line="360" w:lineRule="auto"/>
        <w:ind w:firstLine="420"/>
        <w:rPr>
          <w:rFonts w:hAnsi="宋体"/>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3</w:t>
      </w:r>
      <w:r>
        <w:rPr>
          <w:rFonts w:hint="eastAsia" w:hAnsi="宋体" w:cs="宋体"/>
          <w:color w:val="000000" w:themeColor="text1"/>
          <w:szCs w:val="21"/>
          <w:highlight w:val="none"/>
          <w14:textFill>
            <w14:solidFill>
              <w14:schemeClr w14:val="tx1"/>
            </w14:solidFill>
          </w14:textFill>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1859D8DA">
      <w:pPr>
        <w:spacing w:line="360" w:lineRule="auto"/>
        <w:ind w:firstLine="420"/>
        <w:rPr>
          <w:rFonts w:hAnsi="宋体"/>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4</w:t>
      </w:r>
      <w:r>
        <w:rPr>
          <w:rFonts w:hint="eastAsia" w:hAnsi="宋体" w:cs="宋体"/>
          <w:color w:val="000000" w:themeColor="text1"/>
          <w:szCs w:val="21"/>
          <w:highlight w:val="none"/>
          <w14:textFill>
            <w14:solidFill>
              <w14:schemeClr w14:val="tx1"/>
            </w14:solidFill>
          </w14:textFill>
        </w:rPr>
        <w:t>．质量保修完成后，由发包人组织验收。</w:t>
      </w:r>
    </w:p>
    <w:p w14:paraId="5511C001">
      <w:pPr>
        <w:spacing w:line="360" w:lineRule="auto"/>
        <w:ind w:firstLine="420"/>
        <w:rPr>
          <w:rFonts w:ascii="黑体" w:hAnsi="宋体" w:eastAsia="黑体"/>
          <w:color w:val="000000" w:themeColor="text1"/>
          <w:szCs w:val="21"/>
          <w:highlight w:val="none"/>
          <w14:textFill>
            <w14:solidFill>
              <w14:schemeClr w14:val="tx1"/>
            </w14:solidFill>
          </w14:textFill>
        </w:rPr>
      </w:pPr>
      <w:r>
        <w:rPr>
          <w:rFonts w:hint="eastAsia" w:ascii="黑体" w:hAnsi="宋体" w:eastAsia="黑体" w:cs="黑体"/>
          <w:color w:val="000000" w:themeColor="text1"/>
          <w:szCs w:val="21"/>
          <w:highlight w:val="none"/>
          <w14:textFill>
            <w14:solidFill>
              <w14:schemeClr w14:val="tx1"/>
            </w14:solidFill>
          </w14:textFill>
        </w:rPr>
        <w:t>五、保修费用</w:t>
      </w:r>
    </w:p>
    <w:p w14:paraId="1AF7669F">
      <w:pPr>
        <w:tabs>
          <w:tab w:val="left" w:pos="7380"/>
        </w:tabs>
        <w:spacing w:line="360" w:lineRule="auto"/>
        <w:ind w:firstLine="420"/>
        <w:rPr>
          <w:rFonts w:hAnsi="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保修费用由造成质量缺陷的责任方承担。</w:t>
      </w:r>
    </w:p>
    <w:p w14:paraId="7A103F8F">
      <w:pPr>
        <w:spacing w:line="360" w:lineRule="auto"/>
        <w:ind w:firstLine="420"/>
        <w:rPr>
          <w:rFonts w:ascii="黑体" w:hAnsi="宋体" w:eastAsia="黑体" w:cs="黑体"/>
          <w:color w:val="000000" w:themeColor="text1"/>
          <w:szCs w:val="21"/>
          <w:highlight w:val="none"/>
          <w14:textFill>
            <w14:solidFill>
              <w14:schemeClr w14:val="tx1"/>
            </w14:solidFill>
          </w14:textFill>
        </w:rPr>
      </w:pPr>
      <w:r>
        <w:rPr>
          <w:rFonts w:hint="eastAsia" w:ascii="黑体" w:hAnsi="宋体" w:eastAsia="黑体" w:cs="黑体"/>
          <w:color w:val="000000" w:themeColor="text1"/>
          <w:szCs w:val="21"/>
          <w:highlight w:val="none"/>
          <w14:textFill>
            <w14:solidFill>
              <w14:schemeClr w14:val="tx1"/>
            </w14:solidFill>
          </w14:textFill>
        </w:rPr>
        <w:t>六、双方约定的其他工程质量保修事项：</w:t>
      </w:r>
    </w:p>
    <w:p w14:paraId="4ADAAA6A">
      <w:pPr>
        <w:spacing w:line="360" w:lineRule="auto"/>
        <w:ind w:firstLine="420" w:firstLineChars="200"/>
        <w:jc w:val="left"/>
        <w:rPr>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本工程在保修期有质量问题的，且保修期仍未解决的，承包人应负责维修</w:t>
      </w:r>
      <w:r>
        <w:rPr>
          <w:rFonts w:hint="eastAsia" w:hAnsi="宋体" w:cs="宋体"/>
          <w:color w:val="000000" w:themeColor="text1"/>
          <w:szCs w:val="21"/>
          <w:highlight w:val="none"/>
          <w14:textFill>
            <w14:solidFill>
              <w14:schemeClr w14:val="tx1"/>
            </w14:solidFill>
          </w14:textFill>
        </w:rPr>
        <w:t>。</w:t>
      </w:r>
    </w:p>
    <w:p w14:paraId="4BBEFD0F">
      <w:pPr>
        <w:spacing w:line="360" w:lineRule="auto"/>
        <w:ind w:firstLine="399" w:firstLineChars="190"/>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工程质量保修书由发包人、承包人在工程竣工验收前共同签署，作为施工合同附件，其有效期限至保修期满。</w:t>
      </w:r>
    </w:p>
    <w:p w14:paraId="76D66BE3">
      <w:pPr>
        <w:spacing w:line="360" w:lineRule="auto"/>
        <w:ind w:firstLine="420"/>
        <w:rPr>
          <w:color w:val="000000" w:themeColor="text1"/>
          <w:szCs w:val="21"/>
          <w:highlight w:val="none"/>
          <w14:textFill>
            <w14:solidFill>
              <w14:schemeClr w14:val="tx1"/>
            </w14:solidFill>
          </w14:textFill>
        </w:rPr>
      </w:pPr>
    </w:p>
    <w:p w14:paraId="3F0BC91A">
      <w:pPr>
        <w:spacing w:line="360" w:lineRule="auto"/>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发包人</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公章</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w:t>
      </w:r>
      <w:r>
        <w:rPr>
          <w:rFonts w:hint="eastAsia"/>
          <w:color w:val="000000" w:themeColor="text1"/>
          <w:highlight w:val="none"/>
          <w:u w:val="single"/>
          <w14:textFill>
            <w14:solidFill>
              <w14:schemeClr w14:val="tx1"/>
            </w14:solidFill>
          </w14:textFill>
        </w:rPr>
        <w:t xml:space="preserve">       </w:t>
      </w:r>
      <w:r>
        <w:rPr>
          <w:rFonts w:hint="eastAsia" w:hAnsi="宋体"/>
          <w:color w:val="000000" w:themeColor="text1"/>
          <w:szCs w:val="21"/>
          <w:highlight w:val="none"/>
          <w:lang w:val="en-US" w:eastAsia="zh-CN"/>
          <w14:textFill>
            <w14:solidFill>
              <w14:schemeClr w14:val="tx1"/>
            </w14:solidFill>
          </w14:textFill>
        </w:rPr>
        <w:t xml:space="preserve">                   </w:t>
      </w:r>
      <w:r>
        <w:rPr>
          <w:rFonts w:hAnsi="宋体"/>
          <w:color w:val="000000" w:themeColor="text1"/>
          <w:szCs w:val="21"/>
          <w:highlight w:val="none"/>
          <w14:textFill>
            <w14:solidFill>
              <w14:schemeClr w14:val="tx1"/>
            </w14:solidFill>
          </w14:textFill>
        </w:rPr>
        <w:t>承包人</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公章</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w:t>
      </w:r>
      <w:r>
        <w:rPr>
          <w:rFonts w:hint="eastAsia"/>
          <w:color w:val="000000" w:themeColor="text1"/>
          <w:highlight w:val="none"/>
          <w:u w:val="single"/>
          <w14:textFill>
            <w14:solidFill>
              <w14:schemeClr w14:val="tx1"/>
            </w14:solidFill>
          </w14:textFill>
        </w:rPr>
        <w:t xml:space="preserve">       </w:t>
      </w:r>
      <w:r>
        <w:rPr>
          <w:rFonts w:hint="eastAsia" w:hAnsi="宋体"/>
          <w:color w:val="000000" w:themeColor="text1"/>
          <w:szCs w:val="21"/>
          <w:highlight w:val="none"/>
          <w:lang w:val="en-US" w:eastAsia="zh-CN"/>
          <w14:textFill>
            <w14:solidFill>
              <w14:schemeClr w14:val="tx1"/>
            </w14:solidFill>
          </w14:textFill>
        </w:rPr>
        <w:t xml:space="preserve"> </w:t>
      </w:r>
    </w:p>
    <w:p w14:paraId="45A8FE95">
      <w:pPr>
        <w:spacing w:line="360" w:lineRule="auto"/>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地址：</w:t>
      </w:r>
      <w:r>
        <w:rPr>
          <w:rFonts w:hint="eastAsia" w:hAnsi="宋体"/>
          <w:color w:val="000000" w:themeColor="text1"/>
          <w:szCs w:val="21"/>
          <w:highlight w:val="none"/>
          <w:lang w:val="en-US" w:eastAsia="zh-CN"/>
          <w14:textFill>
            <w14:solidFill>
              <w14:schemeClr w14:val="tx1"/>
            </w14:solidFill>
          </w14:textFill>
        </w:rPr>
        <w:t xml:space="preserve">                                    </w:t>
      </w:r>
      <w:r>
        <w:rPr>
          <w:rFonts w:hAnsi="宋体"/>
          <w:color w:val="000000" w:themeColor="text1"/>
          <w:szCs w:val="21"/>
          <w:highlight w:val="none"/>
          <w14:textFill>
            <w14:solidFill>
              <w14:schemeClr w14:val="tx1"/>
            </w14:solidFill>
          </w14:textFill>
        </w:rPr>
        <w:t>地址：</w:t>
      </w:r>
    </w:p>
    <w:p w14:paraId="63081E56">
      <w:pPr>
        <w:spacing w:line="360" w:lineRule="auto"/>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法定代表人</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签字</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w:t>
      </w:r>
      <w:r>
        <w:rPr>
          <w:rFonts w:hint="eastAsia" w:hAnsi="宋体"/>
          <w:color w:val="000000" w:themeColor="text1"/>
          <w:szCs w:val="21"/>
          <w:highlight w:val="none"/>
          <w:lang w:val="en-US" w:eastAsia="zh-CN"/>
          <w14:textFill>
            <w14:solidFill>
              <w14:schemeClr w14:val="tx1"/>
            </w14:solidFill>
          </w14:textFill>
        </w:rPr>
        <w:t xml:space="preserve">                      </w:t>
      </w:r>
      <w:r>
        <w:rPr>
          <w:rFonts w:hAnsi="宋体"/>
          <w:color w:val="000000" w:themeColor="text1"/>
          <w:szCs w:val="21"/>
          <w:highlight w:val="none"/>
          <w14:textFill>
            <w14:solidFill>
              <w14:schemeClr w14:val="tx1"/>
            </w14:solidFill>
          </w14:textFill>
        </w:rPr>
        <w:t>法定代表人</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签字</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w:t>
      </w:r>
    </w:p>
    <w:p w14:paraId="545C304B">
      <w:pPr>
        <w:spacing w:line="360" w:lineRule="auto"/>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委托代理人</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签字</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w:t>
      </w:r>
      <w:r>
        <w:rPr>
          <w:rFonts w:hint="eastAsia" w:hAnsi="宋体"/>
          <w:color w:val="000000" w:themeColor="text1"/>
          <w:szCs w:val="21"/>
          <w:highlight w:val="none"/>
          <w:lang w:val="en-US" w:eastAsia="zh-CN"/>
          <w14:textFill>
            <w14:solidFill>
              <w14:schemeClr w14:val="tx1"/>
            </w14:solidFill>
          </w14:textFill>
        </w:rPr>
        <w:t xml:space="preserve">                      </w:t>
      </w:r>
      <w:r>
        <w:rPr>
          <w:rFonts w:hAnsi="宋体"/>
          <w:color w:val="000000" w:themeColor="text1"/>
          <w:szCs w:val="21"/>
          <w:highlight w:val="none"/>
          <w14:textFill>
            <w14:solidFill>
              <w14:schemeClr w14:val="tx1"/>
            </w14:solidFill>
          </w14:textFill>
        </w:rPr>
        <w:t>委托代理人</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签字</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w:t>
      </w:r>
    </w:p>
    <w:p w14:paraId="61651707">
      <w:pPr>
        <w:spacing w:line="360" w:lineRule="auto"/>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电话：</w:t>
      </w:r>
      <w:r>
        <w:rPr>
          <w:rFonts w:hint="eastAsia" w:hAnsi="宋体"/>
          <w:color w:val="000000" w:themeColor="text1"/>
          <w:szCs w:val="21"/>
          <w:highlight w:val="none"/>
          <w:lang w:val="en-US" w:eastAsia="zh-CN"/>
          <w14:textFill>
            <w14:solidFill>
              <w14:schemeClr w14:val="tx1"/>
            </w14:solidFill>
          </w14:textFill>
        </w:rPr>
        <w:t xml:space="preserve">                                    </w:t>
      </w:r>
      <w:r>
        <w:rPr>
          <w:rFonts w:hAnsi="宋体"/>
          <w:color w:val="000000" w:themeColor="text1"/>
          <w:szCs w:val="21"/>
          <w:highlight w:val="none"/>
          <w14:textFill>
            <w14:solidFill>
              <w14:schemeClr w14:val="tx1"/>
            </w14:solidFill>
          </w14:textFill>
        </w:rPr>
        <w:t>电话：</w:t>
      </w:r>
    </w:p>
    <w:p w14:paraId="03AE838F">
      <w:pPr>
        <w:spacing w:line="360" w:lineRule="auto"/>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传真：</w:t>
      </w:r>
      <w:r>
        <w:rPr>
          <w:rFonts w:hint="eastAsia" w:hAnsi="宋体"/>
          <w:color w:val="000000" w:themeColor="text1"/>
          <w:szCs w:val="21"/>
          <w:highlight w:val="none"/>
          <w:lang w:val="en-US" w:eastAsia="zh-CN"/>
          <w14:textFill>
            <w14:solidFill>
              <w14:schemeClr w14:val="tx1"/>
            </w14:solidFill>
          </w14:textFill>
        </w:rPr>
        <w:t xml:space="preserve">                                   </w:t>
      </w:r>
      <w:r>
        <w:rPr>
          <w:rFonts w:hAnsi="宋体"/>
          <w:color w:val="000000" w:themeColor="text1"/>
          <w:szCs w:val="21"/>
          <w:highlight w:val="none"/>
          <w14:textFill>
            <w14:solidFill>
              <w14:schemeClr w14:val="tx1"/>
            </w14:solidFill>
          </w14:textFill>
        </w:rPr>
        <w:t>传真：</w:t>
      </w:r>
    </w:p>
    <w:p w14:paraId="0768E573">
      <w:pPr>
        <w:spacing w:line="360" w:lineRule="auto"/>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开户银行：</w:t>
      </w:r>
      <w:r>
        <w:rPr>
          <w:rFonts w:hint="eastAsia" w:hAnsi="宋体"/>
          <w:color w:val="000000" w:themeColor="text1"/>
          <w:szCs w:val="21"/>
          <w:highlight w:val="none"/>
          <w:lang w:val="en-US" w:eastAsia="zh-CN"/>
          <w14:textFill>
            <w14:solidFill>
              <w14:schemeClr w14:val="tx1"/>
            </w14:solidFill>
          </w14:textFill>
        </w:rPr>
        <w:t xml:space="preserve">                               </w:t>
      </w:r>
      <w:r>
        <w:rPr>
          <w:rFonts w:hAnsi="宋体"/>
          <w:color w:val="000000" w:themeColor="text1"/>
          <w:szCs w:val="21"/>
          <w:highlight w:val="none"/>
          <w14:textFill>
            <w14:solidFill>
              <w14:schemeClr w14:val="tx1"/>
            </w14:solidFill>
          </w14:textFill>
        </w:rPr>
        <w:t>开户银行：</w:t>
      </w:r>
    </w:p>
    <w:p w14:paraId="3EEA4822">
      <w:pPr>
        <w:tabs>
          <w:tab w:val="left" w:pos="2880"/>
          <w:tab w:val="left" w:pos="3060"/>
          <w:tab w:val="left" w:pos="4500"/>
        </w:tabs>
        <w:spacing w:line="360" w:lineRule="auto"/>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账号：</w:t>
      </w:r>
      <w:r>
        <w:rPr>
          <w:rFonts w:hint="eastAsia" w:hAnsi="宋体"/>
          <w:color w:val="000000" w:themeColor="text1"/>
          <w:szCs w:val="21"/>
          <w:highlight w:val="none"/>
          <w:lang w:val="en-US" w:eastAsia="zh-CN"/>
          <w14:textFill>
            <w14:solidFill>
              <w14:schemeClr w14:val="tx1"/>
            </w14:solidFill>
          </w14:textFill>
        </w:rPr>
        <w:t xml:space="preserve">                                   </w:t>
      </w:r>
      <w:r>
        <w:rPr>
          <w:rFonts w:hAnsi="宋体"/>
          <w:color w:val="000000" w:themeColor="text1"/>
          <w:szCs w:val="21"/>
          <w:highlight w:val="none"/>
          <w14:textFill>
            <w14:solidFill>
              <w14:schemeClr w14:val="tx1"/>
            </w14:solidFill>
          </w14:textFill>
        </w:rPr>
        <w:t>账号：</w:t>
      </w:r>
    </w:p>
    <w:p w14:paraId="681F633F">
      <w:pPr>
        <w:tabs>
          <w:tab w:val="left" w:pos="7200"/>
          <w:tab w:val="left" w:pos="7380"/>
          <w:tab w:val="left" w:pos="7560"/>
        </w:tabs>
        <w:spacing w:line="360" w:lineRule="auto"/>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邮政编码：</w:t>
      </w:r>
      <w:r>
        <w:rPr>
          <w:rFonts w:hint="eastAsia" w:hAnsi="宋体"/>
          <w:color w:val="000000" w:themeColor="text1"/>
          <w:szCs w:val="21"/>
          <w:highlight w:val="none"/>
          <w:lang w:val="en-US" w:eastAsia="zh-CN"/>
          <w14:textFill>
            <w14:solidFill>
              <w14:schemeClr w14:val="tx1"/>
            </w14:solidFill>
          </w14:textFill>
        </w:rPr>
        <w:t xml:space="preserve">                               </w:t>
      </w:r>
      <w:r>
        <w:rPr>
          <w:rFonts w:hAnsi="宋体"/>
          <w:color w:val="000000" w:themeColor="text1"/>
          <w:szCs w:val="21"/>
          <w:highlight w:val="none"/>
          <w14:textFill>
            <w14:solidFill>
              <w14:schemeClr w14:val="tx1"/>
            </w14:solidFill>
          </w14:textFill>
        </w:rPr>
        <w:t>邮政编码：</w:t>
      </w:r>
    </w:p>
    <w:p w14:paraId="095EF6CC">
      <w:pPr>
        <w:spacing w:before="120" w:beforeLines="50" w:after="120" w:afterLines="50" w:line="440" w:lineRule="exact"/>
        <w:jc w:val="center"/>
        <w:rPr>
          <w:rFonts w:ascii="黑体" w:hAnsi="宋体" w:eastAsia="黑体"/>
          <w:color w:val="000000" w:themeColor="text1"/>
          <w:sz w:val="32"/>
          <w:szCs w:val="32"/>
          <w:highlight w:val="none"/>
          <w14:textFill>
            <w14:solidFill>
              <w14:schemeClr w14:val="tx1"/>
            </w14:solidFill>
          </w14:textFill>
        </w:rPr>
      </w:pPr>
    </w:p>
    <w:p w14:paraId="27889013">
      <w:pPr>
        <w:spacing w:before="120" w:beforeLines="50" w:after="120" w:afterLines="50" w:line="440" w:lineRule="exact"/>
        <w:jc w:val="center"/>
        <w:rPr>
          <w:rFonts w:ascii="黑体" w:hAnsi="宋体" w:eastAsia="黑体"/>
          <w:color w:val="000000" w:themeColor="text1"/>
          <w:sz w:val="32"/>
          <w:szCs w:val="32"/>
          <w:highlight w:val="none"/>
          <w14:textFill>
            <w14:solidFill>
              <w14:schemeClr w14:val="tx1"/>
            </w14:solidFill>
          </w14:textFill>
        </w:rPr>
      </w:pPr>
    </w:p>
    <w:p w14:paraId="48C708E1">
      <w:pPr>
        <w:spacing w:before="120" w:beforeLines="50" w:after="120" w:afterLines="50" w:line="440" w:lineRule="exact"/>
        <w:jc w:val="center"/>
        <w:rPr>
          <w:rFonts w:ascii="黑体" w:hAnsi="宋体" w:eastAsia="黑体"/>
          <w:color w:val="000000" w:themeColor="text1"/>
          <w:sz w:val="32"/>
          <w:szCs w:val="32"/>
          <w:highlight w:val="none"/>
          <w14:textFill>
            <w14:solidFill>
              <w14:schemeClr w14:val="tx1"/>
            </w14:solidFill>
          </w14:textFill>
        </w:rPr>
      </w:pPr>
    </w:p>
    <w:p w14:paraId="6CD76290">
      <w:pPr>
        <w:spacing w:before="120" w:beforeLines="50" w:after="120" w:afterLines="50" w:line="440" w:lineRule="exact"/>
        <w:jc w:val="center"/>
        <w:rPr>
          <w:rFonts w:ascii="黑体" w:hAnsi="宋体" w:eastAsia="黑体"/>
          <w:color w:val="000000" w:themeColor="text1"/>
          <w:sz w:val="32"/>
          <w:szCs w:val="32"/>
          <w:highlight w:val="none"/>
          <w14:textFill>
            <w14:solidFill>
              <w14:schemeClr w14:val="tx1"/>
            </w14:solidFill>
          </w14:textFill>
        </w:rPr>
      </w:pPr>
    </w:p>
    <w:p w14:paraId="3CE5AB34">
      <w:pPr>
        <w:spacing w:before="120" w:beforeLines="50" w:after="120" w:afterLines="50" w:line="440" w:lineRule="exact"/>
        <w:jc w:val="center"/>
        <w:rPr>
          <w:rFonts w:ascii="黑体" w:hAnsi="宋体" w:eastAsia="黑体"/>
          <w:color w:val="000000" w:themeColor="text1"/>
          <w:sz w:val="32"/>
          <w:szCs w:val="32"/>
          <w:highlight w:val="none"/>
          <w14:textFill>
            <w14:solidFill>
              <w14:schemeClr w14:val="tx1"/>
            </w14:solidFill>
          </w14:textFill>
        </w:rPr>
      </w:pPr>
    </w:p>
    <w:p w14:paraId="2C1BF90F">
      <w:pPr>
        <w:spacing w:before="120" w:beforeLines="50" w:after="120" w:afterLines="50" w:line="440" w:lineRule="exact"/>
        <w:jc w:val="center"/>
        <w:rPr>
          <w:rFonts w:ascii="黑体" w:hAnsi="宋体" w:eastAsia="黑体"/>
          <w:color w:val="000000" w:themeColor="text1"/>
          <w:sz w:val="32"/>
          <w:szCs w:val="32"/>
          <w:highlight w:val="none"/>
          <w14:textFill>
            <w14:solidFill>
              <w14:schemeClr w14:val="tx1"/>
            </w14:solidFill>
          </w14:textFill>
        </w:rPr>
      </w:pPr>
    </w:p>
    <w:p w14:paraId="1F2612E4">
      <w:pPr>
        <w:pStyle w:val="61"/>
        <w:ind w:firstLine="480"/>
        <w:rPr>
          <w:color w:val="000000" w:themeColor="text1"/>
          <w:highlight w:val="none"/>
          <w:lang w:eastAsia="zh-CN" w:bidi="ar-SA"/>
          <w14:textFill>
            <w14:solidFill>
              <w14:schemeClr w14:val="tx1"/>
            </w14:solidFill>
          </w14:textFill>
        </w:rPr>
      </w:pPr>
    </w:p>
    <w:p w14:paraId="6E4EEB87">
      <w:pPr>
        <w:pStyle w:val="61"/>
        <w:ind w:firstLine="480"/>
        <w:rPr>
          <w:color w:val="000000" w:themeColor="text1"/>
          <w:highlight w:val="none"/>
          <w:lang w:eastAsia="zh-CN" w:bidi="ar-SA"/>
          <w14:textFill>
            <w14:solidFill>
              <w14:schemeClr w14:val="tx1"/>
            </w14:solidFill>
          </w14:textFill>
        </w:rPr>
      </w:pPr>
    </w:p>
    <w:p w14:paraId="4D082831">
      <w:pPr>
        <w:spacing w:before="120" w:beforeLines="50" w:after="120" w:afterLines="50" w:line="440" w:lineRule="exact"/>
        <w:jc w:val="center"/>
        <w:rPr>
          <w:rFonts w:ascii="黑体" w:hAnsi="宋体" w:eastAsia="黑体"/>
          <w:color w:val="000000" w:themeColor="text1"/>
          <w:sz w:val="32"/>
          <w:szCs w:val="32"/>
          <w:highlight w:val="none"/>
          <w14:textFill>
            <w14:solidFill>
              <w14:schemeClr w14:val="tx1"/>
            </w14:solidFill>
          </w14:textFill>
        </w:rPr>
      </w:pPr>
    </w:p>
    <w:p w14:paraId="142F3533">
      <w:pPr>
        <w:spacing w:before="120" w:beforeLines="50" w:after="120" w:afterLines="50" w:line="440" w:lineRule="exact"/>
        <w:jc w:val="center"/>
        <w:rPr>
          <w:rFonts w:ascii="黑体" w:hAnsi="宋体" w:eastAsia="黑体"/>
          <w:color w:val="000000" w:themeColor="text1"/>
          <w:sz w:val="32"/>
          <w:szCs w:val="32"/>
          <w:highlight w:val="none"/>
          <w14:textFill>
            <w14:solidFill>
              <w14:schemeClr w14:val="tx1"/>
            </w14:solidFill>
          </w14:textFill>
        </w:rPr>
      </w:pPr>
    </w:p>
    <w:p w14:paraId="2DC5533A">
      <w:pPr>
        <w:spacing w:before="120" w:beforeLines="50" w:after="120" w:afterLines="50" w:line="440" w:lineRule="exact"/>
        <w:jc w:val="center"/>
        <w:rPr>
          <w:rFonts w:ascii="黑体" w:hAnsi="宋体" w:eastAsia="黑体"/>
          <w:color w:val="000000" w:themeColor="text1"/>
          <w:sz w:val="32"/>
          <w:szCs w:val="32"/>
          <w:highlight w:val="none"/>
          <w14:textFill>
            <w14:solidFill>
              <w14:schemeClr w14:val="tx1"/>
            </w14:solidFill>
          </w14:textFill>
        </w:rPr>
      </w:pPr>
    </w:p>
    <w:p w14:paraId="7C93639F">
      <w:pPr>
        <w:spacing w:before="120" w:beforeLines="50" w:after="120" w:afterLines="50" w:line="440" w:lineRule="exact"/>
        <w:jc w:val="center"/>
        <w:rPr>
          <w:rFonts w:ascii="黑体" w:hAnsi="宋体" w:eastAsia="黑体"/>
          <w:color w:val="000000" w:themeColor="text1"/>
          <w:sz w:val="32"/>
          <w:szCs w:val="32"/>
          <w:highlight w:val="none"/>
          <w14:textFill>
            <w14:solidFill>
              <w14:schemeClr w14:val="tx1"/>
            </w14:solidFill>
          </w14:textFill>
        </w:rPr>
      </w:pPr>
    </w:p>
    <w:p w14:paraId="2E5F83C6">
      <w:pPr>
        <w:spacing w:before="120" w:beforeLines="50" w:after="120" w:afterLines="50" w:line="440" w:lineRule="exact"/>
        <w:jc w:val="center"/>
        <w:rPr>
          <w:rFonts w:ascii="黑体" w:hAnsi="宋体" w:eastAsia="黑体"/>
          <w:color w:val="000000" w:themeColor="text1"/>
          <w:sz w:val="32"/>
          <w:szCs w:val="32"/>
          <w:highlight w:val="none"/>
          <w14:textFill>
            <w14:solidFill>
              <w14:schemeClr w14:val="tx1"/>
            </w14:solidFill>
          </w14:textFill>
        </w:rPr>
      </w:pPr>
    </w:p>
    <w:p w14:paraId="0C53F80C">
      <w:pPr>
        <w:spacing w:line="440" w:lineRule="exact"/>
        <w:rPr>
          <w:rFonts w:eastAsia="黑体"/>
          <w:color w:val="000000" w:themeColor="text1"/>
          <w:sz w:val="30"/>
          <w:szCs w:val="30"/>
          <w:highlight w:val="none"/>
          <w14:textFill>
            <w14:solidFill>
              <w14:schemeClr w14:val="tx1"/>
            </w14:solidFill>
          </w14:textFill>
        </w:rPr>
      </w:pPr>
      <w:r>
        <w:rPr>
          <w:rFonts w:eastAsia="仿宋_GB2312"/>
          <w:color w:val="000000" w:themeColor="text1"/>
          <w:sz w:val="30"/>
          <w:szCs w:val="30"/>
          <w:highlight w:val="none"/>
          <w14:textFill>
            <w14:solidFill>
              <w14:schemeClr w14:val="tx1"/>
            </w14:solidFill>
          </w14:textFill>
        </w:rPr>
        <w:t>附件</w:t>
      </w:r>
      <w:r>
        <w:rPr>
          <w:rFonts w:hint="eastAsia" w:eastAsia="仿宋_GB2312"/>
          <w:color w:val="000000" w:themeColor="text1"/>
          <w:sz w:val="30"/>
          <w:szCs w:val="30"/>
          <w:highlight w:val="none"/>
          <w14:textFill>
            <w14:solidFill>
              <w14:schemeClr w14:val="tx1"/>
            </w14:solidFill>
          </w14:textFill>
        </w:rPr>
        <w:t>3</w:t>
      </w:r>
      <w:r>
        <w:rPr>
          <w:rFonts w:eastAsia="仿宋_GB2312"/>
          <w:color w:val="000000" w:themeColor="text1"/>
          <w:sz w:val="30"/>
          <w:szCs w:val="30"/>
          <w:highlight w:val="none"/>
          <w14:textFill>
            <w14:solidFill>
              <w14:schemeClr w14:val="tx1"/>
            </w14:solidFill>
          </w14:textFill>
        </w:rPr>
        <w:t>：</w:t>
      </w:r>
    </w:p>
    <w:p w14:paraId="098B8684">
      <w:pPr>
        <w:spacing w:before="120" w:beforeLines="50" w:after="120" w:afterLines="50" w:line="440" w:lineRule="exact"/>
        <w:jc w:val="center"/>
        <w:rPr>
          <w:rFonts w:eastAsia="黑体"/>
          <w:color w:val="000000" w:themeColor="text1"/>
          <w:sz w:val="30"/>
          <w:szCs w:val="30"/>
          <w:highlight w:val="none"/>
          <w14:textFill>
            <w14:solidFill>
              <w14:schemeClr w14:val="tx1"/>
            </w14:solidFill>
          </w14:textFill>
        </w:rPr>
      </w:pPr>
      <w:r>
        <w:rPr>
          <w:rFonts w:eastAsia="黑体"/>
          <w:color w:val="000000" w:themeColor="text1"/>
          <w:sz w:val="30"/>
          <w:szCs w:val="30"/>
          <w:highlight w:val="none"/>
          <w14:textFill>
            <w14:solidFill>
              <w14:schemeClr w14:val="tx1"/>
            </w14:solidFill>
          </w14:textFill>
        </w:rPr>
        <w:t>主要建设工程文件目录</w:t>
      </w:r>
    </w:p>
    <w:tbl>
      <w:tblPr>
        <w:tblStyle w:val="44"/>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3E12E7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bottom w:val="double" w:color="auto" w:sz="6" w:space="0"/>
            </w:tcBorders>
            <w:vAlign w:val="center"/>
          </w:tcPr>
          <w:p w14:paraId="1D2F2E23">
            <w:pPr>
              <w:keepNext/>
              <w:adjustRightInd w:val="0"/>
              <w:spacing w:line="440" w:lineRule="exact"/>
              <w:ind w:left="63" w:leftChars="30" w:right="63" w:rightChars="30"/>
              <w:jc w:val="center"/>
              <w:textAlignment w:val="baseline"/>
              <w:rPr>
                <w:rFonts w:eastAsia="仿宋_GB2312"/>
                <w:color w:val="000000" w:themeColor="text1"/>
                <w:sz w:val="28"/>
                <w:szCs w:val="30"/>
                <w:highlight w:val="none"/>
                <w14:textFill>
                  <w14:solidFill>
                    <w14:schemeClr w14:val="tx1"/>
                  </w14:solidFill>
                </w14:textFill>
              </w:rPr>
            </w:pPr>
            <w:r>
              <w:rPr>
                <w:rFonts w:eastAsia="仿宋_GB2312"/>
                <w:color w:val="000000" w:themeColor="text1"/>
                <w:sz w:val="28"/>
                <w:szCs w:val="30"/>
                <w:highlight w:val="none"/>
                <w14:textFill>
                  <w14:solidFill>
                    <w14:schemeClr w14:val="tx1"/>
                  </w14:solidFill>
                </w14:textFill>
              </w:rPr>
              <w:t>文件名称</w:t>
            </w:r>
          </w:p>
        </w:tc>
        <w:tc>
          <w:tcPr>
            <w:tcW w:w="1276" w:type="dxa"/>
            <w:tcBorders>
              <w:top w:val="single" w:color="auto" w:sz="12" w:space="0"/>
              <w:bottom w:val="double" w:color="auto" w:sz="6" w:space="0"/>
            </w:tcBorders>
            <w:vAlign w:val="center"/>
          </w:tcPr>
          <w:p w14:paraId="06FADCEC">
            <w:pPr>
              <w:keepNext/>
              <w:adjustRightInd w:val="0"/>
              <w:spacing w:line="440" w:lineRule="exact"/>
              <w:ind w:left="63" w:leftChars="30" w:right="63" w:rightChars="30"/>
              <w:jc w:val="center"/>
              <w:textAlignment w:val="baseline"/>
              <w:rPr>
                <w:rFonts w:eastAsia="仿宋_GB2312"/>
                <w:color w:val="000000" w:themeColor="text1"/>
                <w:sz w:val="28"/>
                <w:szCs w:val="30"/>
                <w:highlight w:val="none"/>
                <w14:textFill>
                  <w14:solidFill>
                    <w14:schemeClr w14:val="tx1"/>
                  </w14:solidFill>
                </w14:textFill>
              </w:rPr>
            </w:pPr>
            <w:r>
              <w:rPr>
                <w:rFonts w:eastAsia="仿宋_GB2312"/>
                <w:color w:val="000000" w:themeColor="text1"/>
                <w:sz w:val="28"/>
                <w:szCs w:val="30"/>
                <w:highlight w:val="none"/>
                <w14:textFill>
                  <w14:solidFill>
                    <w14:schemeClr w14:val="tx1"/>
                  </w14:solidFill>
                </w14:textFill>
              </w:rPr>
              <w:t>套数</w:t>
            </w:r>
          </w:p>
        </w:tc>
        <w:tc>
          <w:tcPr>
            <w:tcW w:w="1450" w:type="dxa"/>
            <w:tcBorders>
              <w:top w:val="single" w:color="auto" w:sz="12" w:space="0"/>
              <w:bottom w:val="double" w:color="auto" w:sz="6" w:space="0"/>
            </w:tcBorders>
            <w:vAlign w:val="center"/>
          </w:tcPr>
          <w:p w14:paraId="441DBB27">
            <w:pPr>
              <w:keepNext/>
              <w:adjustRightInd w:val="0"/>
              <w:spacing w:line="440" w:lineRule="exact"/>
              <w:ind w:left="63" w:leftChars="30" w:right="63" w:rightChars="30"/>
              <w:jc w:val="center"/>
              <w:textAlignment w:val="baseline"/>
              <w:rPr>
                <w:rFonts w:eastAsia="仿宋_GB2312"/>
                <w:color w:val="000000" w:themeColor="text1"/>
                <w:sz w:val="28"/>
                <w:szCs w:val="30"/>
                <w:highlight w:val="none"/>
                <w14:textFill>
                  <w14:solidFill>
                    <w14:schemeClr w14:val="tx1"/>
                  </w14:solidFill>
                </w14:textFill>
              </w:rPr>
            </w:pPr>
            <w:r>
              <w:rPr>
                <w:rFonts w:eastAsia="仿宋_GB2312"/>
                <w:color w:val="000000" w:themeColor="text1"/>
                <w:sz w:val="28"/>
                <w:szCs w:val="30"/>
                <w:highlight w:val="none"/>
                <w14:textFill>
                  <w14:solidFill>
                    <w14:schemeClr w14:val="tx1"/>
                  </w14:solidFill>
                </w14:textFill>
              </w:rPr>
              <w:t>费用</w:t>
            </w:r>
            <w:r>
              <w:rPr>
                <w:rFonts w:hint="eastAsia" w:eastAsia="仿宋_GB2312"/>
                <w:color w:val="000000" w:themeColor="text1"/>
                <w:sz w:val="28"/>
                <w:szCs w:val="30"/>
                <w:highlight w:val="none"/>
                <w14:textFill>
                  <w14:solidFill>
                    <w14:schemeClr w14:val="tx1"/>
                  </w14:solidFill>
                </w14:textFill>
              </w:rPr>
              <w:t>（元）</w:t>
            </w:r>
          </w:p>
        </w:tc>
        <w:tc>
          <w:tcPr>
            <w:tcW w:w="1243" w:type="dxa"/>
            <w:tcBorders>
              <w:top w:val="single" w:color="auto" w:sz="12" w:space="0"/>
              <w:bottom w:val="double" w:color="auto" w:sz="6" w:space="0"/>
            </w:tcBorders>
            <w:vAlign w:val="center"/>
          </w:tcPr>
          <w:p w14:paraId="5D250560">
            <w:pPr>
              <w:keepNext/>
              <w:adjustRightInd w:val="0"/>
              <w:spacing w:line="440" w:lineRule="exact"/>
              <w:ind w:left="63" w:leftChars="30" w:right="63" w:rightChars="30"/>
              <w:jc w:val="center"/>
              <w:textAlignment w:val="baseline"/>
              <w:rPr>
                <w:rFonts w:eastAsia="仿宋_GB2312"/>
                <w:color w:val="000000" w:themeColor="text1"/>
                <w:sz w:val="28"/>
                <w:szCs w:val="30"/>
                <w:highlight w:val="none"/>
                <w14:textFill>
                  <w14:solidFill>
                    <w14:schemeClr w14:val="tx1"/>
                  </w14:solidFill>
                </w14:textFill>
              </w:rPr>
            </w:pPr>
            <w:r>
              <w:rPr>
                <w:rFonts w:eastAsia="仿宋_GB2312"/>
                <w:color w:val="000000" w:themeColor="text1"/>
                <w:sz w:val="28"/>
                <w:szCs w:val="30"/>
                <w:highlight w:val="none"/>
                <w14:textFill>
                  <w14:solidFill>
                    <w14:schemeClr w14:val="tx1"/>
                  </w14:solidFill>
                </w14:textFill>
              </w:rPr>
              <w:t>质量</w:t>
            </w:r>
          </w:p>
        </w:tc>
        <w:tc>
          <w:tcPr>
            <w:tcW w:w="1450" w:type="dxa"/>
            <w:tcBorders>
              <w:top w:val="single" w:color="auto" w:sz="12" w:space="0"/>
              <w:bottom w:val="double" w:color="auto" w:sz="6" w:space="0"/>
            </w:tcBorders>
          </w:tcPr>
          <w:p w14:paraId="47375CCD">
            <w:pPr>
              <w:spacing w:line="440" w:lineRule="exact"/>
              <w:jc w:val="center"/>
              <w:rPr>
                <w:rFonts w:eastAsia="仿宋_GB2312"/>
                <w:color w:val="000000" w:themeColor="text1"/>
                <w:sz w:val="28"/>
                <w:szCs w:val="30"/>
                <w:highlight w:val="none"/>
                <w14:textFill>
                  <w14:solidFill>
                    <w14:schemeClr w14:val="tx1"/>
                  </w14:solidFill>
                </w14:textFill>
              </w:rPr>
            </w:pPr>
            <w:r>
              <w:rPr>
                <w:rFonts w:eastAsia="仿宋_GB2312"/>
                <w:color w:val="000000" w:themeColor="text1"/>
                <w:sz w:val="28"/>
                <w:szCs w:val="30"/>
                <w:highlight w:val="none"/>
                <w14:textFill>
                  <w14:solidFill>
                    <w14:schemeClr w14:val="tx1"/>
                  </w14:solidFill>
                </w14:textFill>
              </w:rPr>
              <w:t>移交时间</w:t>
            </w:r>
          </w:p>
        </w:tc>
        <w:tc>
          <w:tcPr>
            <w:tcW w:w="1667" w:type="dxa"/>
            <w:tcBorders>
              <w:top w:val="single" w:color="auto" w:sz="12" w:space="0"/>
              <w:bottom w:val="double" w:color="auto" w:sz="6" w:space="0"/>
            </w:tcBorders>
          </w:tcPr>
          <w:p w14:paraId="6FB0752D">
            <w:pPr>
              <w:spacing w:line="440" w:lineRule="exact"/>
              <w:jc w:val="center"/>
              <w:rPr>
                <w:rFonts w:eastAsia="仿宋_GB2312"/>
                <w:color w:val="000000" w:themeColor="text1"/>
                <w:sz w:val="28"/>
                <w:szCs w:val="30"/>
                <w:highlight w:val="none"/>
                <w14:textFill>
                  <w14:solidFill>
                    <w14:schemeClr w14:val="tx1"/>
                  </w14:solidFill>
                </w14:textFill>
              </w:rPr>
            </w:pPr>
            <w:r>
              <w:rPr>
                <w:rFonts w:eastAsia="仿宋_GB2312"/>
                <w:color w:val="000000" w:themeColor="text1"/>
                <w:sz w:val="28"/>
                <w:szCs w:val="30"/>
                <w:highlight w:val="none"/>
                <w14:textFill>
                  <w14:solidFill>
                    <w14:schemeClr w14:val="tx1"/>
                  </w14:solidFill>
                </w14:textFill>
              </w:rPr>
              <w:t>责任人</w:t>
            </w:r>
          </w:p>
        </w:tc>
      </w:tr>
      <w:tr w14:paraId="366062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vAlign w:val="center"/>
          </w:tcPr>
          <w:p w14:paraId="0C230E00">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276" w:type="dxa"/>
            <w:tcBorders>
              <w:top w:val="double" w:color="auto" w:sz="6" w:space="0"/>
              <w:bottom w:val="single" w:color="auto" w:sz="6" w:space="0"/>
            </w:tcBorders>
            <w:vAlign w:val="center"/>
          </w:tcPr>
          <w:p w14:paraId="5A948725">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50" w:type="dxa"/>
            <w:tcBorders>
              <w:top w:val="double" w:color="auto" w:sz="6" w:space="0"/>
              <w:bottom w:val="single" w:color="auto" w:sz="6" w:space="0"/>
            </w:tcBorders>
            <w:vAlign w:val="center"/>
          </w:tcPr>
          <w:p w14:paraId="65F08439">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243" w:type="dxa"/>
            <w:tcBorders>
              <w:top w:val="double" w:color="auto" w:sz="6" w:space="0"/>
              <w:bottom w:val="single" w:color="auto" w:sz="6" w:space="0"/>
            </w:tcBorders>
            <w:vAlign w:val="center"/>
          </w:tcPr>
          <w:p w14:paraId="64642135">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50" w:type="dxa"/>
            <w:tcBorders>
              <w:top w:val="double" w:color="auto" w:sz="6" w:space="0"/>
              <w:bottom w:val="single" w:color="auto" w:sz="6" w:space="0"/>
            </w:tcBorders>
            <w:vAlign w:val="center"/>
          </w:tcPr>
          <w:p w14:paraId="3BA5AF33">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667" w:type="dxa"/>
            <w:tcBorders>
              <w:top w:val="double" w:color="auto" w:sz="6" w:space="0"/>
              <w:bottom w:val="single" w:color="auto" w:sz="6" w:space="0"/>
            </w:tcBorders>
            <w:vAlign w:val="center"/>
          </w:tcPr>
          <w:p w14:paraId="0D9A2F20">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58408B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vAlign w:val="center"/>
          </w:tcPr>
          <w:p w14:paraId="686FDBB8">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276" w:type="dxa"/>
            <w:tcBorders>
              <w:top w:val="nil"/>
            </w:tcBorders>
            <w:vAlign w:val="center"/>
          </w:tcPr>
          <w:p w14:paraId="08E43C1F">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50" w:type="dxa"/>
            <w:tcBorders>
              <w:top w:val="nil"/>
            </w:tcBorders>
            <w:vAlign w:val="center"/>
          </w:tcPr>
          <w:p w14:paraId="3A6EECAF">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243" w:type="dxa"/>
            <w:tcBorders>
              <w:top w:val="nil"/>
            </w:tcBorders>
            <w:vAlign w:val="center"/>
          </w:tcPr>
          <w:p w14:paraId="5CF117DD">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50" w:type="dxa"/>
            <w:tcBorders>
              <w:top w:val="nil"/>
            </w:tcBorders>
            <w:vAlign w:val="center"/>
          </w:tcPr>
          <w:p w14:paraId="072F5ACB">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667" w:type="dxa"/>
            <w:tcBorders>
              <w:top w:val="nil"/>
            </w:tcBorders>
            <w:vAlign w:val="center"/>
          </w:tcPr>
          <w:p w14:paraId="40F9D7AF">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64B008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5E285C17">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276" w:type="dxa"/>
            <w:vAlign w:val="center"/>
          </w:tcPr>
          <w:p w14:paraId="0E055896">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50" w:type="dxa"/>
            <w:vAlign w:val="center"/>
          </w:tcPr>
          <w:p w14:paraId="19B30325">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243" w:type="dxa"/>
            <w:vAlign w:val="center"/>
          </w:tcPr>
          <w:p w14:paraId="746E7535">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50" w:type="dxa"/>
            <w:vAlign w:val="center"/>
          </w:tcPr>
          <w:p w14:paraId="767AEABE">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667" w:type="dxa"/>
            <w:vAlign w:val="center"/>
          </w:tcPr>
          <w:p w14:paraId="229DF741">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7FEE4C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04D7793B">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276" w:type="dxa"/>
            <w:vAlign w:val="center"/>
          </w:tcPr>
          <w:p w14:paraId="2BDB6A7C">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50" w:type="dxa"/>
            <w:vAlign w:val="center"/>
          </w:tcPr>
          <w:p w14:paraId="456EB829">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243" w:type="dxa"/>
            <w:vAlign w:val="center"/>
          </w:tcPr>
          <w:p w14:paraId="12E6FADC">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50" w:type="dxa"/>
            <w:vAlign w:val="center"/>
          </w:tcPr>
          <w:p w14:paraId="7FA93B39">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667" w:type="dxa"/>
            <w:vAlign w:val="center"/>
          </w:tcPr>
          <w:p w14:paraId="5AAB7CD3">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16C17F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2B82268C">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276" w:type="dxa"/>
            <w:vAlign w:val="center"/>
          </w:tcPr>
          <w:p w14:paraId="6D4A867C">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50" w:type="dxa"/>
            <w:vAlign w:val="center"/>
          </w:tcPr>
          <w:p w14:paraId="1028BC0C">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243" w:type="dxa"/>
            <w:vAlign w:val="center"/>
          </w:tcPr>
          <w:p w14:paraId="35BB73E0">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50" w:type="dxa"/>
            <w:vAlign w:val="center"/>
          </w:tcPr>
          <w:p w14:paraId="291BC117">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667" w:type="dxa"/>
            <w:vAlign w:val="center"/>
          </w:tcPr>
          <w:p w14:paraId="64AF3BDF">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5B2650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35AA3856">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276" w:type="dxa"/>
            <w:vAlign w:val="center"/>
          </w:tcPr>
          <w:p w14:paraId="6750232A">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50" w:type="dxa"/>
            <w:vAlign w:val="center"/>
          </w:tcPr>
          <w:p w14:paraId="0C8A6DE0">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243" w:type="dxa"/>
            <w:vAlign w:val="center"/>
          </w:tcPr>
          <w:p w14:paraId="650E09A2">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50" w:type="dxa"/>
            <w:vAlign w:val="center"/>
          </w:tcPr>
          <w:p w14:paraId="576E1900">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667" w:type="dxa"/>
            <w:vAlign w:val="center"/>
          </w:tcPr>
          <w:p w14:paraId="6858321D">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5C71DA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57624B88">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276" w:type="dxa"/>
            <w:vAlign w:val="center"/>
          </w:tcPr>
          <w:p w14:paraId="5ABE5C23">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50" w:type="dxa"/>
            <w:vAlign w:val="center"/>
          </w:tcPr>
          <w:p w14:paraId="2B39D9EB">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243" w:type="dxa"/>
            <w:vAlign w:val="center"/>
          </w:tcPr>
          <w:p w14:paraId="46930A4E">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50" w:type="dxa"/>
            <w:vAlign w:val="center"/>
          </w:tcPr>
          <w:p w14:paraId="5C6D4EAC">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667" w:type="dxa"/>
            <w:vAlign w:val="center"/>
          </w:tcPr>
          <w:p w14:paraId="4EFE07B7">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474D23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1CA9E443">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276" w:type="dxa"/>
            <w:vAlign w:val="center"/>
          </w:tcPr>
          <w:p w14:paraId="1C55A472">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50" w:type="dxa"/>
            <w:vAlign w:val="center"/>
          </w:tcPr>
          <w:p w14:paraId="0DA299D4">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243" w:type="dxa"/>
            <w:vAlign w:val="center"/>
          </w:tcPr>
          <w:p w14:paraId="78CD9431">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50" w:type="dxa"/>
            <w:vAlign w:val="center"/>
          </w:tcPr>
          <w:p w14:paraId="4A995B6F">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667" w:type="dxa"/>
            <w:vAlign w:val="center"/>
          </w:tcPr>
          <w:p w14:paraId="74800457">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344E8D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7ADAC0CF">
            <w:pPr>
              <w:rPr>
                <w:rFonts w:eastAsia="仿宋_GB2312"/>
                <w:color w:val="000000" w:themeColor="text1"/>
                <w:sz w:val="30"/>
                <w:szCs w:val="30"/>
                <w:highlight w:val="none"/>
                <w14:textFill>
                  <w14:solidFill>
                    <w14:schemeClr w14:val="tx1"/>
                  </w14:solidFill>
                </w14:textFill>
              </w:rPr>
            </w:pPr>
          </w:p>
        </w:tc>
        <w:tc>
          <w:tcPr>
            <w:tcW w:w="1276" w:type="dxa"/>
          </w:tcPr>
          <w:p w14:paraId="131AC9AA">
            <w:pPr>
              <w:rPr>
                <w:rFonts w:eastAsia="仿宋_GB2312"/>
                <w:color w:val="000000" w:themeColor="text1"/>
                <w:sz w:val="30"/>
                <w:szCs w:val="30"/>
                <w:highlight w:val="none"/>
                <w14:textFill>
                  <w14:solidFill>
                    <w14:schemeClr w14:val="tx1"/>
                  </w14:solidFill>
                </w14:textFill>
              </w:rPr>
            </w:pPr>
          </w:p>
        </w:tc>
        <w:tc>
          <w:tcPr>
            <w:tcW w:w="1450" w:type="dxa"/>
          </w:tcPr>
          <w:p w14:paraId="707877BE">
            <w:pPr>
              <w:rPr>
                <w:rFonts w:eastAsia="仿宋_GB2312"/>
                <w:color w:val="000000" w:themeColor="text1"/>
                <w:sz w:val="30"/>
                <w:szCs w:val="30"/>
                <w:highlight w:val="none"/>
                <w14:textFill>
                  <w14:solidFill>
                    <w14:schemeClr w14:val="tx1"/>
                  </w14:solidFill>
                </w14:textFill>
              </w:rPr>
            </w:pPr>
          </w:p>
        </w:tc>
        <w:tc>
          <w:tcPr>
            <w:tcW w:w="1243" w:type="dxa"/>
          </w:tcPr>
          <w:p w14:paraId="005A7D51">
            <w:pPr>
              <w:rPr>
                <w:rFonts w:eastAsia="仿宋_GB2312"/>
                <w:color w:val="000000" w:themeColor="text1"/>
                <w:sz w:val="30"/>
                <w:szCs w:val="30"/>
                <w:highlight w:val="none"/>
                <w14:textFill>
                  <w14:solidFill>
                    <w14:schemeClr w14:val="tx1"/>
                  </w14:solidFill>
                </w14:textFill>
              </w:rPr>
            </w:pPr>
          </w:p>
        </w:tc>
        <w:tc>
          <w:tcPr>
            <w:tcW w:w="1450" w:type="dxa"/>
          </w:tcPr>
          <w:p w14:paraId="477D0F50">
            <w:pPr>
              <w:rPr>
                <w:rFonts w:eastAsia="仿宋_GB2312"/>
                <w:color w:val="000000" w:themeColor="text1"/>
                <w:sz w:val="30"/>
                <w:szCs w:val="30"/>
                <w:highlight w:val="none"/>
                <w14:textFill>
                  <w14:solidFill>
                    <w14:schemeClr w14:val="tx1"/>
                  </w14:solidFill>
                </w14:textFill>
              </w:rPr>
            </w:pPr>
          </w:p>
        </w:tc>
        <w:tc>
          <w:tcPr>
            <w:tcW w:w="1667" w:type="dxa"/>
          </w:tcPr>
          <w:p w14:paraId="332E63F8">
            <w:pPr>
              <w:rPr>
                <w:rFonts w:eastAsia="仿宋_GB2312"/>
                <w:color w:val="000000" w:themeColor="text1"/>
                <w:sz w:val="30"/>
                <w:szCs w:val="30"/>
                <w:highlight w:val="none"/>
                <w14:textFill>
                  <w14:solidFill>
                    <w14:schemeClr w14:val="tx1"/>
                  </w14:solidFill>
                </w14:textFill>
              </w:rPr>
            </w:pPr>
          </w:p>
        </w:tc>
      </w:tr>
      <w:tr w14:paraId="36C1C8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3B6D7447">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276" w:type="dxa"/>
            <w:vAlign w:val="center"/>
          </w:tcPr>
          <w:p w14:paraId="0FF868F0">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50" w:type="dxa"/>
            <w:vAlign w:val="center"/>
          </w:tcPr>
          <w:p w14:paraId="24B3CD2F">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243" w:type="dxa"/>
            <w:vAlign w:val="center"/>
          </w:tcPr>
          <w:p w14:paraId="4C0819A0">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50" w:type="dxa"/>
            <w:vAlign w:val="center"/>
          </w:tcPr>
          <w:p w14:paraId="41B5CEA4">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667" w:type="dxa"/>
            <w:vAlign w:val="center"/>
          </w:tcPr>
          <w:p w14:paraId="6972FFAF">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153B62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598A7BC2">
            <w:pPr>
              <w:rPr>
                <w:rFonts w:eastAsia="仿宋_GB2312"/>
                <w:color w:val="000000" w:themeColor="text1"/>
                <w:sz w:val="30"/>
                <w:szCs w:val="30"/>
                <w:highlight w:val="none"/>
                <w14:textFill>
                  <w14:solidFill>
                    <w14:schemeClr w14:val="tx1"/>
                  </w14:solidFill>
                </w14:textFill>
              </w:rPr>
            </w:pPr>
          </w:p>
        </w:tc>
        <w:tc>
          <w:tcPr>
            <w:tcW w:w="1276" w:type="dxa"/>
          </w:tcPr>
          <w:p w14:paraId="215670B5">
            <w:pPr>
              <w:rPr>
                <w:rFonts w:eastAsia="仿宋_GB2312"/>
                <w:color w:val="000000" w:themeColor="text1"/>
                <w:sz w:val="30"/>
                <w:szCs w:val="30"/>
                <w:highlight w:val="none"/>
                <w14:textFill>
                  <w14:solidFill>
                    <w14:schemeClr w14:val="tx1"/>
                  </w14:solidFill>
                </w14:textFill>
              </w:rPr>
            </w:pPr>
          </w:p>
        </w:tc>
        <w:tc>
          <w:tcPr>
            <w:tcW w:w="1450" w:type="dxa"/>
          </w:tcPr>
          <w:p w14:paraId="2260A64E">
            <w:pPr>
              <w:rPr>
                <w:rFonts w:eastAsia="仿宋_GB2312"/>
                <w:color w:val="000000" w:themeColor="text1"/>
                <w:sz w:val="30"/>
                <w:szCs w:val="30"/>
                <w:highlight w:val="none"/>
                <w14:textFill>
                  <w14:solidFill>
                    <w14:schemeClr w14:val="tx1"/>
                  </w14:solidFill>
                </w14:textFill>
              </w:rPr>
            </w:pPr>
          </w:p>
        </w:tc>
        <w:tc>
          <w:tcPr>
            <w:tcW w:w="1243" w:type="dxa"/>
          </w:tcPr>
          <w:p w14:paraId="7A7EAF8A">
            <w:pPr>
              <w:rPr>
                <w:rFonts w:eastAsia="仿宋_GB2312"/>
                <w:color w:val="000000" w:themeColor="text1"/>
                <w:sz w:val="30"/>
                <w:szCs w:val="30"/>
                <w:highlight w:val="none"/>
                <w14:textFill>
                  <w14:solidFill>
                    <w14:schemeClr w14:val="tx1"/>
                  </w14:solidFill>
                </w14:textFill>
              </w:rPr>
            </w:pPr>
          </w:p>
        </w:tc>
        <w:tc>
          <w:tcPr>
            <w:tcW w:w="1450" w:type="dxa"/>
          </w:tcPr>
          <w:p w14:paraId="7ECDF9A2">
            <w:pPr>
              <w:rPr>
                <w:rFonts w:eastAsia="仿宋_GB2312"/>
                <w:color w:val="000000" w:themeColor="text1"/>
                <w:sz w:val="30"/>
                <w:szCs w:val="30"/>
                <w:highlight w:val="none"/>
                <w14:textFill>
                  <w14:solidFill>
                    <w14:schemeClr w14:val="tx1"/>
                  </w14:solidFill>
                </w14:textFill>
              </w:rPr>
            </w:pPr>
          </w:p>
        </w:tc>
        <w:tc>
          <w:tcPr>
            <w:tcW w:w="1667" w:type="dxa"/>
          </w:tcPr>
          <w:p w14:paraId="6E24D493">
            <w:pPr>
              <w:rPr>
                <w:rFonts w:eastAsia="仿宋_GB2312"/>
                <w:color w:val="000000" w:themeColor="text1"/>
                <w:sz w:val="30"/>
                <w:szCs w:val="30"/>
                <w:highlight w:val="none"/>
                <w14:textFill>
                  <w14:solidFill>
                    <w14:schemeClr w14:val="tx1"/>
                  </w14:solidFill>
                </w14:textFill>
              </w:rPr>
            </w:pPr>
          </w:p>
        </w:tc>
      </w:tr>
      <w:tr w14:paraId="738110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1191693F">
            <w:pPr>
              <w:rPr>
                <w:rFonts w:eastAsia="仿宋_GB2312"/>
                <w:color w:val="000000" w:themeColor="text1"/>
                <w:sz w:val="30"/>
                <w:szCs w:val="30"/>
                <w:highlight w:val="none"/>
                <w14:textFill>
                  <w14:solidFill>
                    <w14:schemeClr w14:val="tx1"/>
                  </w14:solidFill>
                </w14:textFill>
              </w:rPr>
            </w:pPr>
          </w:p>
        </w:tc>
        <w:tc>
          <w:tcPr>
            <w:tcW w:w="1276" w:type="dxa"/>
          </w:tcPr>
          <w:p w14:paraId="6F316777">
            <w:pPr>
              <w:rPr>
                <w:rFonts w:eastAsia="仿宋_GB2312"/>
                <w:color w:val="000000" w:themeColor="text1"/>
                <w:sz w:val="30"/>
                <w:szCs w:val="30"/>
                <w:highlight w:val="none"/>
                <w14:textFill>
                  <w14:solidFill>
                    <w14:schemeClr w14:val="tx1"/>
                  </w14:solidFill>
                </w14:textFill>
              </w:rPr>
            </w:pPr>
          </w:p>
        </w:tc>
        <w:tc>
          <w:tcPr>
            <w:tcW w:w="1450" w:type="dxa"/>
          </w:tcPr>
          <w:p w14:paraId="3E0A1812">
            <w:pPr>
              <w:rPr>
                <w:rFonts w:eastAsia="仿宋_GB2312"/>
                <w:color w:val="000000" w:themeColor="text1"/>
                <w:sz w:val="30"/>
                <w:szCs w:val="30"/>
                <w:highlight w:val="none"/>
                <w14:textFill>
                  <w14:solidFill>
                    <w14:schemeClr w14:val="tx1"/>
                  </w14:solidFill>
                </w14:textFill>
              </w:rPr>
            </w:pPr>
          </w:p>
        </w:tc>
        <w:tc>
          <w:tcPr>
            <w:tcW w:w="1243" w:type="dxa"/>
          </w:tcPr>
          <w:p w14:paraId="7A1C1A3F">
            <w:pPr>
              <w:rPr>
                <w:rFonts w:eastAsia="仿宋_GB2312"/>
                <w:color w:val="000000" w:themeColor="text1"/>
                <w:sz w:val="30"/>
                <w:szCs w:val="30"/>
                <w:highlight w:val="none"/>
                <w14:textFill>
                  <w14:solidFill>
                    <w14:schemeClr w14:val="tx1"/>
                  </w14:solidFill>
                </w14:textFill>
              </w:rPr>
            </w:pPr>
          </w:p>
        </w:tc>
        <w:tc>
          <w:tcPr>
            <w:tcW w:w="1450" w:type="dxa"/>
          </w:tcPr>
          <w:p w14:paraId="26D0002E">
            <w:pPr>
              <w:rPr>
                <w:rFonts w:eastAsia="仿宋_GB2312"/>
                <w:color w:val="000000" w:themeColor="text1"/>
                <w:sz w:val="30"/>
                <w:szCs w:val="30"/>
                <w:highlight w:val="none"/>
                <w14:textFill>
                  <w14:solidFill>
                    <w14:schemeClr w14:val="tx1"/>
                  </w14:solidFill>
                </w14:textFill>
              </w:rPr>
            </w:pPr>
          </w:p>
        </w:tc>
        <w:tc>
          <w:tcPr>
            <w:tcW w:w="1667" w:type="dxa"/>
          </w:tcPr>
          <w:p w14:paraId="26A20F6A">
            <w:pPr>
              <w:rPr>
                <w:rFonts w:eastAsia="仿宋_GB2312"/>
                <w:color w:val="000000" w:themeColor="text1"/>
                <w:sz w:val="30"/>
                <w:szCs w:val="30"/>
                <w:highlight w:val="none"/>
                <w14:textFill>
                  <w14:solidFill>
                    <w14:schemeClr w14:val="tx1"/>
                  </w14:solidFill>
                </w14:textFill>
              </w:rPr>
            </w:pPr>
          </w:p>
        </w:tc>
      </w:tr>
      <w:tr w14:paraId="7D965A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121EA73D">
            <w:pPr>
              <w:rPr>
                <w:rFonts w:eastAsia="仿宋_GB2312"/>
                <w:color w:val="000000" w:themeColor="text1"/>
                <w:sz w:val="30"/>
                <w:szCs w:val="30"/>
                <w:highlight w:val="none"/>
                <w14:textFill>
                  <w14:solidFill>
                    <w14:schemeClr w14:val="tx1"/>
                  </w14:solidFill>
                </w14:textFill>
              </w:rPr>
            </w:pPr>
          </w:p>
        </w:tc>
        <w:tc>
          <w:tcPr>
            <w:tcW w:w="1276" w:type="dxa"/>
          </w:tcPr>
          <w:p w14:paraId="7F139245">
            <w:pPr>
              <w:rPr>
                <w:rFonts w:eastAsia="仿宋_GB2312"/>
                <w:color w:val="000000" w:themeColor="text1"/>
                <w:sz w:val="30"/>
                <w:szCs w:val="30"/>
                <w:highlight w:val="none"/>
                <w14:textFill>
                  <w14:solidFill>
                    <w14:schemeClr w14:val="tx1"/>
                  </w14:solidFill>
                </w14:textFill>
              </w:rPr>
            </w:pPr>
          </w:p>
        </w:tc>
        <w:tc>
          <w:tcPr>
            <w:tcW w:w="1450" w:type="dxa"/>
          </w:tcPr>
          <w:p w14:paraId="5700B443">
            <w:pPr>
              <w:rPr>
                <w:rFonts w:eastAsia="仿宋_GB2312"/>
                <w:color w:val="000000" w:themeColor="text1"/>
                <w:sz w:val="30"/>
                <w:szCs w:val="30"/>
                <w:highlight w:val="none"/>
                <w14:textFill>
                  <w14:solidFill>
                    <w14:schemeClr w14:val="tx1"/>
                  </w14:solidFill>
                </w14:textFill>
              </w:rPr>
            </w:pPr>
          </w:p>
        </w:tc>
        <w:tc>
          <w:tcPr>
            <w:tcW w:w="1243" w:type="dxa"/>
          </w:tcPr>
          <w:p w14:paraId="5F418645">
            <w:pPr>
              <w:rPr>
                <w:rFonts w:eastAsia="仿宋_GB2312"/>
                <w:color w:val="000000" w:themeColor="text1"/>
                <w:sz w:val="30"/>
                <w:szCs w:val="30"/>
                <w:highlight w:val="none"/>
                <w14:textFill>
                  <w14:solidFill>
                    <w14:schemeClr w14:val="tx1"/>
                  </w14:solidFill>
                </w14:textFill>
              </w:rPr>
            </w:pPr>
          </w:p>
        </w:tc>
        <w:tc>
          <w:tcPr>
            <w:tcW w:w="1450" w:type="dxa"/>
          </w:tcPr>
          <w:p w14:paraId="4D897AFC">
            <w:pPr>
              <w:rPr>
                <w:rFonts w:eastAsia="仿宋_GB2312"/>
                <w:color w:val="000000" w:themeColor="text1"/>
                <w:sz w:val="30"/>
                <w:szCs w:val="30"/>
                <w:highlight w:val="none"/>
                <w14:textFill>
                  <w14:solidFill>
                    <w14:schemeClr w14:val="tx1"/>
                  </w14:solidFill>
                </w14:textFill>
              </w:rPr>
            </w:pPr>
          </w:p>
        </w:tc>
        <w:tc>
          <w:tcPr>
            <w:tcW w:w="1667" w:type="dxa"/>
          </w:tcPr>
          <w:p w14:paraId="16315CC3">
            <w:pPr>
              <w:rPr>
                <w:rFonts w:eastAsia="仿宋_GB2312"/>
                <w:color w:val="000000" w:themeColor="text1"/>
                <w:sz w:val="30"/>
                <w:szCs w:val="30"/>
                <w:highlight w:val="none"/>
                <w14:textFill>
                  <w14:solidFill>
                    <w14:schemeClr w14:val="tx1"/>
                  </w14:solidFill>
                </w14:textFill>
              </w:rPr>
            </w:pPr>
          </w:p>
        </w:tc>
      </w:tr>
      <w:tr w14:paraId="03D32D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6B879FC6">
            <w:pPr>
              <w:rPr>
                <w:rFonts w:eastAsia="仿宋_GB2312"/>
                <w:color w:val="000000" w:themeColor="text1"/>
                <w:sz w:val="30"/>
                <w:szCs w:val="30"/>
                <w:highlight w:val="none"/>
                <w14:textFill>
                  <w14:solidFill>
                    <w14:schemeClr w14:val="tx1"/>
                  </w14:solidFill>
                </w14:textFill>
              </w:rPr>
            </w:pPr>
          </w:p>
        </w:tc>
        <w:tc>
          <w:tcPr>
            <w:tcW w:w="1276" w:type="dxa"/>
          </w:tcPr>
          <w:p w14:paraId="77661C16">
            <w:pPr>
              <w:rPr>
                <w:rFonts w:eastAsia="仿宋_GB2312"/>
                <w:color w:val="000000" w:themeColor="text1"/>
                <w:sz w:val="30"/>
                <w:szCs w:val="30"/>
                <w:highlight w:val="none"/>
                <w14:textFill>
                  <w14:solidFill>
                    <w14:schemeClr w14:val="tx1"/>
                  </w14:solidFill>
                </w14:textFill>
              </w:rPr>
            </w:pPr>
          </w:p>
        </w:tc>
        <w:tc>
          <w:tcPr>
            <w:tcW w:w="1450" w:type="dxa"/>
          </w:tcPr>
          <w:p w14:paraId="7568FC67">
            <w:pPr>
              <w:rPr>
                <w:rFonts w:eastAsia="仿宋_GB2312"/>
                <w:color w:val="000000" w:themeColor="text1"/>
                <w:sz w:val="30"/>
                <w:szCs w:val="30"/>
                <w:highlight w:val="none"/>
                <w14:textFill>
                  <w14:solidFill>
                    <w14:schemeClr w14:val="tx1"/>
                  </w14:solidFill>
                </w14:textFill>
              </w:rPr>
            </w:pPr>
          </w:p>
        </w:tc>
        <w:tc>
          <w:tcPr>
            <w:tcW w:w="1243" w:type="dxa"/>
          </w:tcPr>
          <w:p w14:paraId="5B675604">
            <w:pPr>
              <w:rPr>
                <w:rFonts w:eastAsia="仿宋_GB2312"/>
                <w:color w:val="000000" w:themeColor="text1"/>
                <w:sz w:val="30"/>
                <w:szCs w:val="30"/>
                <w:highlight w:val="none"/>
                <w14:textFill>
                  <w14:solidFill>
                    <w14:schemeClr w14:val="tx1"/>
                  </w14:solidFill>
                </w14:textFill>
              </w:rPr>
            </w:pPr>
          </w:p>
        </w:tc>
        <w:tc>
          <w:tcPr>
            <w:tcW w:w="1450" w:type="dxa"/>
          </w:tcPr>
          <w:p w14:paraId="014AE0A9">
            <w:pPr>
              <w:rPr>
                <w:rFonts w:eastAsia="仿宋_GB2312"/>
                <w:color w:val="000000" w:themeColor="text1"/>
                <w:sz w:val="30"/>
                <w:szCs w:val="30"/>
                <w:highlight w:val="none"/>
                <w14:textFill>
                  <w14:solidFill>
                    <w14:schemeClr w14:val="tx1"/>
                  </w14:solidFill>
                </w14:textFill>
              </w:rPr>
            </w:pPr>
          </w:p>
        </w:tc>
        <w:tc>
          <w:tcPr>
            <w:tcW w:w="1667" w:type="dxa"/>
          </w:tcPr>
          <w:p w14:paraId="6AEC2F27">
            <w:pPr>
              <w:rPr>
                <w:rFonts w:eastAsia="仿宋_GB2312"/>
                <w:color w:val="000000" w:themeColor="text1"/>
                <w:sz w:val="30"/>
                <w:szCs w:val="30"/>
                <w:highlight w:val="none"/>
                <w14:textFill>
                  <w14:solidFill>
                    <w14:schemeClr w14:val="tx1"/>
                  </w14:solidFill>
                </w14:textFill>
              </w:rPr>
            </w:pPr>
          </w:p>
        </w:tc>
      </w:tr>
      <w:tr w14:paraId="7CDCE4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0638240C">
            <w:pPr>
              <w:rPr>
                <w:rFonts w:eastAsia="仿宋_GB2312"/>
                <w:color w:val="000000" w:themeColor="text1"/>
                <w:sz w:val="30"/>
                <w:szCs w:val="30"/>
                <w:highlight w:val="none"/>
                <w14:textFill>
                  <w14:solidFill>
                    <w14:schemeClr w14:val="tx1"/>
                  </w14:solidFill>
                </w14:textFill>
              </w:rPr>
            </w:pPr>
          </w:p>
        </w:tc>
        <w:tc>
          <w:tcPr>
            <w:tcW w:w="1276" w:type="dxa"/>
          </w:tcPr>
          <w:p w14:paraId="02354F78">
            <w:pPr>
              <w:rPr>
                <w:rFonts w:eastAsia="仿宋_GB2312"/>
                <w:color w:val="000000" w:themeColor="text1"/>
                <w:sz w:val="30"/>
                <w:szCs w:val="30"/>
                <w:highlight w:val="none"/>
                <w14:textFill>
                  <w14:solidFill>
                    <w14:schemeClr w14:val="tx1"/>
                  </w14:solidFill>
                </w14:textFill>
              </w:rPr>
            </w:pPr>
          </w:p>
        </w:tc>
        <w:tc>
          <w:tcPr>
            <w:tcW w:w="1450" w:type="dxa"/>
          </w:tcPr>
          <w:p w14:paraId="5685E85D">
            <w:pPr>
              <w:rPr>
                <w:rFonts w:eastAsia="仿宋_GB2312"/>
                <w:color w:val="000000" w:themeColor="text1"/>
                <w:sz w:val="30"/>
                <w:szCs w:val="30"/>
                <w:highlight w:val="none"/>
                <w14:textFill>
                  <w14:solidFill>
                    <w14:schemeClr w14:val="tx1"/>
                  </w14:solidFill>
                </w14:textFill>
              </w:rPr>
            </w:pPr>
          </w:p>
        </w:tc>
        <w:tc>
          <w:tcPr>
            <w:tcW w:w="1243" w:type="dxa"/>
          </w:tcPr>
          <w:p w14:paraId="768D9D8B">
            <w:pPr>
              <w:rPr>
                <w:rFonts w:eastAsia="仿宋_GB2312"/>
                <w:color w:val="000000" w:themeColor="text1"/>
                <w:sz w:val="30"/>
                <w:szCs w:val="30"/>
                <w:highlight w:val="none"/>
                <w14:textFill>
                  <w14:solidFill>
                    <w14:schemeClr w14:val="tx1"/>
                  </w14:solidFill>
                </w14:textFill>
              </w:rPr>
            </w:pPr>
          </w:p>
        </w:tc>
        <w:tc>
          <w:tcPr>
            <w:tcW w:w="1450" w:type="dxa"/>
          </w:tcPr>
          <w:p w14:paraId="461E9E5C">
            <w:pPr>
              <w:rPr>
                <w:rFonts w:eastAsia="仿宋_GB2312"/>
                <w:color w:val="000000" w:themeColor="text1"/>
                <w:sz w:val="30"/>
                <w:szCs w:val="30"/>
                <w:highlight w:val="none"/>
                <w14:textFill>
                  <w14:solidFill>
                    <w14:schemeClr w14:val="tx1"/>
                  </w14:solidFill>
                </w14:textFill>
              </w:rPr>
            </w:pPr>
          </w:p>
        </w:tc>
        <w:tc>
          <w:tcPr>
            <w:tcW w:w="1667" w:type="dxa"/>
          </w:tcPr>
          <w:p w14:paraId="3134E4A3">
            <w:pPr>
              <w:rPr>
                <w:rFonts w:eastAsia="仿宋_GB2312"/>
                <w:color w:val="000000" w:themeColor="text1"/>
                <w:sz w:val="30"/>
                <w:szCs w:val="30"/>
                <w:highlight w:val="none"/>
                <w14:textFill>
                  <w14:solidFill>
                    <w14:schemeClr w14:val="tx1"/>
                  </w14:solidFill>
                </w14:textFill>
              </w:rPr>
            </w:pPr>
          </w:p>
        </w:tc>
      </w:tr>
      <w:tr w14:paraId="0C2683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00140237">
            <w:pPr>
              <w:rPr>
                <w:rFonts w:eastAsia="仿宋_GB2312"/>
                <w:color w:val="000000" w:themeColor="text1"/>
                <w:sz w:val="30"/>
                <w:szCs w:val="30"/>
                <w:highlight w:val="none"/>
                <w14:textFill>
                  <w14:solidFill>
                    <w14:schemeClr w14:val="tx1"/>
                  </w14:solidFill>
                </w14:textFill>
              </w:rPr>
            </w:pPr>
          </w:p>
        </w:tc>
        <w:tc>
          <w:tcPr>
            <w:tcW w:w="1276" w:type="dxa"/>
          </w:tcPr>
          <w:p w14:paraId="1647E1CC">
            <w:pPr>
              <w:rPr>
                <w:rFonts w:eastAsia="仿宋_GB2312"/>
                <w:color w:val="000000" w:themeColor="text1"/>
                <w:sz w:val="30"/>
                <w:szCs w:val="30"/>
                <w:highlight w:val="none"/>
                <w14:textFill>
                  <w14:solidFill>
                    <w14:schemeClr w14:val="tx1"/>
                  </w14:solidFill>
                </w14:textFill>
              </w:rPr>
            </w:pPr>
          </w:p>
        </w:tc>
        <w:tc>
          <w:tcPr>
            <w:tcW w:w="1450" w:type="dxa"/>
          </w:tcPr>
          <w:p w14:paraId="37DE8B95">
            <w:pPr>
              <w:rPr>
                <w:rFonts w:eastAsia="仿宋_GB2312"/>
                <w:color w:val="000000" w:themeColor="text1"/>
                <w:sz w:val="30"/>
                <w:szCs w:val="30"/>
                <w:highlight w:val="none"/>
                <w14:textFill>
                  <w14:solidFill>
                    <w14:schemeClr w14:val="tx1"/>
                  </w14:solidFill>
                </w14:textFill>
              </w:rPr>
            </w:pPr>
          </w:p>
        </w:tc>
        <w:tc>
          <w:tcPr>
            <w:tcW w:w="1243" w:type="dxa"/>
          </w:tcPr>
          <w:p w14:paraId="4B4CB527">
            <w:pPr>
              <w:rPr>
                <w:rFonts w:eastAsia="仿宋_GB2312"/>
                <w:color w:val="000000" w:themeColor="text1"/>
                <w:sz w:val="30"/>
                <w:szCs w:val="30"/>
                <w:highlight w:val="none"/>
                <w14:textFill>
                  <w14:solidFill>
                    <w14:schemeClr w14:val="tx1"/>
                  </w14:solidFill>
                </w14:textFill>
              </w:rPr>
            </w:pPr>
          </w:p>
        </w:tc>
        <w:tc>
          <w:tcPr>
            <w:tcW w:w="1450" w:type="dxa"/>
          </w:tcPr>
          <w:p w14:paraId="332B18CB">
            <w:pPr>
              <w:rPr>
                <w:rFonts w:eastAsia="仿宋_GB2312"/>
                <w:color w:val="000000" w:themeColor="text1"/>
                <w:sz w:val="30"/>
                <w:szCs w:val="30"/>
                <w:highlight w:val="none"/>
                <w14:textFill>
                  <w14:solidFill>
                    <w14:schemeClr w14:val="tx1"/>
                  </w14:solidFill>
                </w14:textFill>
              </w:rPr>
            </w:pPr>
          </w:p>
        </w:tc>
        <w:tc>
          <w:tcPr>
            <w:tcW w:w="1667" w:type="dxa"/>
          </w:tcPr>
          <w:p w14:paraId="20807173">
            <w:pPr>
              <w:rPr>
                <w:rFonts w:eastAsia="仿宋_GB2312"/>
                <w:color w:val="000000" w:themeColor="text1"/>
                <w:sz w:val="30"/>
                <w:szCs w:val="30"/>
                <w:highlight w:val="none"/>
                <w14:textFill>
                  <w14:solidFill>
                    <w14:schemeClr w14:val="tx1"/>
                  </w14:solidFill>
                </w14:textFill>
              </w:rPr>
            </w:pPr>
          </w:p>
        </w:tc>
      </w:tr>
      <w:tr w14:paraId="40F65A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622D4071">
            <w:pPr>
              <w:rPr>
                <w:rFonts w:eastAsia="仿宋_GB2312"/>
                <w:color w:val="000000" w:themeColor="text1"/>
                <w:sz w:val="30"/>
                <w:szCs w:val="30"/>
                <w:highlight w:val="none"/>
                <w14:textFill>
                  <w14:solidFill>
                    <w14:schemeClr w14:val="tx1"/>
                  </w14:solidFill>
                </w14:textFill>
              </w:rPr>
            </w:pPr>
          </w:p>
        </w:tc>
        <w:tc>
          <w:tcPr>
            <w:tcW w:w="1276" w:type="dxa"/>
          </w:tcPr>
          <w:p w14:paraId="18209DD6">
            <w:pPr>
              <w:rPr>
                <w:rFonts w:eastAsia="仿宋_GB2312"/>
                <w:color w:val="000000" w:themeColor="text1"/>
                <w:sz w:val="30"/>
                <w:szCs w:val="30"/>
                <w:highlight w:val="none"/>
                <w14:textFill>
                  <w14:solidFill>
                    <w14:schemeClr w14:val="tx1"/>
                  </w14:solidFill>
                </w14:textFill>
              </w:rPr>
            </w:pPr>
          </w:p>
        </w:tc>
        <w:tc>
          <w:tcPr>
            <w:tcW w:w="1450" w:type="dxa"/>
          </w:tcPr>
          <w:p w14:paraId="706DE76B">
            <w:pPr>
              <w:rPr>
                <w:rFonts w:eastAsia="仿宋_GB2312"/>
                <w:color w:val="000000" w:themeColor="text1"/>
                <w:sz w:val="30"/>
                <w:szCs w:val="30"/>
                <w:highlight w:val="none"/>
                <w14:textFill>
                  <w14:solidFill>
                    <w14:schemeClr w14:val="tx1"/>
                  </w14:solidFill>
                </w14:textFill>
              </w:rPr>
            </w:pPr>
          </w:p>
        </w:tc>
        <w:tc>
          <w:tcPr>
            <w:tcW w:w="1243" w:type="dxa"/>
          </w:tcPr>
          <w:p w14:paraId="2A3E22EC">
            <w:pPr>
              <w:rPr>
                <w:rFonts w:eastAsia="仿宋_GB2312"/>
                <w:color w:val="000000" w:themeColor="text1"/>
                <w:sz w:val="30"/>
                <w:szCs w:val="30"/>
                <w:highlight w:val="none"/>
                <w14:textFill>
                  <w14:solidFill>
                    <w14:schemeClr w14:val="tx1"/>
                  </w14:solidFill>
                </w14:textFill>
              </w:rPr>
            </w:pPr>
          </w:p>
        </w:tc>
        <w:tc>
          <w:tcPr>
            <w:tcW w:w="1450" w:type="dxa"/>
          </w:tcPr>
          <w:p w14:paraId="37902402">
            <w:pPr>
              <w:rPr>
                <w:rFonts w:eastAsia="仿宋_GB2312"/>
                <w:color w:val="000000" w:themeColor="text1"/>
                <w:sz w:val="30"/>
                <w:szCs w:val="30"/>
                <w:highlight w:val="none"/>
                <w14:textFill>
                  <w14:solidFill>
                    <w14:schemeClr w14:val="tx1"/>
                  </w14:solidFill>
                </w14:textFill>
              </w:rPr>
            </w:pPr>
          </w:p>
        </w:tc>
        <w:tc>
          <w:tcPr>
            <w:tcW w:w="1667" w:type="dxa"/>
          </w:tcPr>
          <w:p w14:paraId="5BF8F698">
            <w:pPr>
              <w:rPr>
                <w:rFonts w:eastAsia="仿宋_GB2312"/>
                <w:color w:val="000000" w:themeColor="text1"/>
                <w:sz w:val="30"/>
                <w:szCs w:val="30"/>
                <w:highlight w:val="none"/>
                <w14:textFill>
                  <w14:solidFill>
                    <w14:schemeClr w14:val="tx1"/>
                  </w14:solidFill>
                </w14:textFill>
              </w:rPr>
            </w:pPr>
          </w:p>
        </w:tc>
      </w:tr>
      <w:tr w14:paraId="7EA54D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1E02D94F">
            <w:pPr>
              <w:rPr>
                <w:rFonts w:eastAsia="仿宋_GB2312"/>
                <w:color w:val="000000" w:themeColor="text1"/>
                <w:sz w:val="30"/>
                <w:szCs w:val="30"/>
                <w:highlight w:val="none"/>
                <w14:textFill>
                  <w14:solidFill>
                    <w14:schemeClr w14:val="tx1"/>
                  </w14:solidFill>
                </w14:textFill>
              </w:rPr>
            </w:pPr>
          </w:p>
        </w:tc>
        <w:tc>
          <w:tcPr>
            <w:tcW w:w="1276" w:type="dxa"/>
          </w:tcPr>
          <w:p w14:paraId="59CE64E8">
            <w:pPr>
              <w:rPr>
                <w:rFonts w:eastAsia="仿宋_GB2312"/>
                <w:color w:val="000000" w:themeColor="text1"/>
                <w:sz w:val="30"/>
                <w:szCs w:val="30"/>
                <w:highlight w:val="none"/>
                <w14:textFill>
                  <w14:solidFill>
                    <w14:schemeClr w14:val="tx1"/>
                  </w14:solidFill>
                </w14:textFill>
              </w:rPr>
            </w:pPr>
          </w:p>
        </w:tc>
        <w:tc>
          <w:tcPr>
            <w:tcW w:w="1450" w:type="dxa"/>
          </w:tcPr>
          <w:p w14:paraId="1D160AC8">
            <w:pPr>
              <w:rPr>
                <w:rFonts w:eastAsia="仿宋_GB2312"/>
                <w:color w:val="000000" w:themeColor="text1"/>
                <w:sz w:val="30"/>
                <w:szCs w:val="30"/>
                <w:highlight w:val="none"/>
                <w14:textFill>
                  <w14:solidFill>
                    <w14:schemeClr w14:val="tx1"/>
                  </w14:solidFill>
                </w14:textFill>
              </w:rPr>
            </w:pPr>
          </w:p>
        </w:tc>
        <w:tc>
          <w:tcPr>
            <w:tcW w:w="1243" w:type="dxa"/>
          </w:tcPr>
          <w:p w14:paraId="154156A5">
            <w:pPr>
              <w:rPr>
                <w:rFonts w:eastAsia="仿宋_GB2312"/>
                <w:color w:val="000000" w:themeColor="text1"/>
                <w:sz w:val="30"/>
                <w:szCs w:val="30"/>
                <w:highlight w:val="none"/>
                <w14:textFill>
                  <w14:solidFill>
                    <w14:schemeClr w14:val="tx1"/>
                  </w14:solidFill>
                </w14:textFill>
              </w:rPr>
            </w:pPr>
          </w:p>
        </w:tc>
        <w:tc>
          <w:tcPr>
            <w:tcW w:w="1450" w:type="dxa"/>
          </w:tcPr>
          <w:p w14:paraId="57F3BC0C">
            <w:pPr>
              <w:rPr>
                <w:rFonts w:eastAsia="仿宋_GB2312"/>
                <w:color w:val="000000" w:themeColor="text1"/>
                <w:sz w:val="30"/>
                <w:szCs w:val="30"/>
                <w:highlight w:val="none"/>
                <w14:textFill>
                  <w14:solidFill>
                    <w14:schemeClr w14:val="tx1"/>
                  </w14:solidFill>
                </w14:textFill>
              </w:rPr>
            </w:pPr>
          </w:p>
        </w:tc>
        <w:tc>
          <w:tcPr>
            <w:tcW w:w="1667" w:type="dxa"/>
          </w:tcPr>
          <w:p w14:paraId="260CE9BC">
            <w:pPr>
              <w:rPr>
                <w:rFonts w:eastAsia="仿宋_GB2312"/>
                <w:color w:val="000000" w:themeColor="text1"/>
                <w:sz w:val="30"/>
                <w:szCs w:val="30"/>
                <w:highlight w:val="none"/>
                <w14:textFill>
                  <w14:solidFill>
                    <w14:schemeClr w14:val="tx1"/>
                  </w14:solidFill>
                </w14:textFill>
              </w:rPr>
            </w:pPr>
          </w:p>
        </w:tc>
      </w:tr>
      <w:tr w14:paraId="499E9F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7192D8AE">
            <w:pPr>
              <w:rPr>
                <w:rFonts w:eastAsia="仿宋_GB2312"/>
                <w:color w:val="000000" w:themeColor="text1"/>
                <w:sz w:val="30"/>
                <w:szCs w:val="30"/>
                <w:highlight w:val="none"/>
                <w14:textFill>
                  <w14:solidFill>
                    <w14:schemeClr w14:val="tx1"/>
                  </w14:solidFill>
                </w14:textFill>
              </w:rPr>
            </w:pPr>
          </w:p>
        </w:tc>
        <w:tc>
          <w:tcPr>
            <w:tcW w:w="1276" w:type="dxa"/>
          </w:tcPr>
          <w:p w14:paraId="01A757B8">
            <w:pPr>
              <w:rPr>
                <w:rFonts w:eastAsia="仿宋_GB2312"/>
                <w:color w:val="000000" w:themeColor="text1"/>
                <w:sz w:val="30"/>
                <w:szCs w:val="30"/>
                <w:highlight w:val="none"/>
                <w14:textFill>
                  <w14:solidFill>
                    <w14:schemeClr w14:val="tx1"/>
                  </w14:solidFill>
                </w14:textFill>
              </w:rPr>
            </w:pPr>
          </w:p>
        </w:tc>
        <w:tc>
          <w:tcPr>
            <w:tcW w:w="1450" w:type="dxa"/>
          </w:tcPr>
          <w:p w14:paraId="706CF269">
            <w:pPr>
              <w:rPr>
                <w:rFonts w:eastAsia="仿宋_GB2312"/>
                <w:color w:val="000000" w:themeColor="text1"/>
                <w:sz w:val="30"/>
                <w:szCs w:val="30"/>
                <w:highlight w:val="none"/>
                <w14:textFill>
                  <w14:solidFill>
                    <w14:schemeClr w14:val="tx1"/>
                  </w14:solidFill>
                </w14:textFill>
              </w:rPr>
            </w:pPr>
          </w:p>
        </w:tc>
        <w:tc>
          <w:tcPr>
            <w:tcW w:w="1243" w:type="dxa"/>
          </w:tcPr>
          <w:p w14:paraId="4E9863AA">
            <w:pPr>
              <w:rPr>
                <w:rFonts w:eastAsia="仿宋_GB2312"/>
                <w:color w:val="000000" w:themeColor="text1"/>
                <w:sz w:val="30"/>
                <w:szCs w:val="30"/>
                <w:highlight w:val="none"/>
                <w14:textFill>
                  <w14:solidFill>
                    <w14:schemeClr w14:val="tx1"/>
                  </w14:solidFill>
                </w14:textFill>
              </w:rPr>
            </w:pPr>
          </w:p>
        </w:tc>
        <w:tc>
          <w:tcPr>
            <w:tcW w:w="1450" w:type="dxa"/>
          </w:tcPr>
          <w:p w14:paraId="24D16399">
            <w:pPr>
              <w:rPr>
                <w:rFonts w:eastAsia="仿宋_GB2312"/>
                <w:color w:val="000000" w:themeColor="text1"/>
                <w:sz w:val="30"/>
                <w:szCs w:val="30"/>
                <w:highlight w:val="none"/>
                <w14:textFill>
                  <w14:solidFill>
                    <w14:schemeClr w14:val="tx1"/>
                  </w14:solidFill>
                </w14:textFill>
              </w:rPr>
            </w:pPr>
          </w:p>
        </w:tc>
        <w:tc>
          <w:tcPr>
            <w:tcW w:w="1667" w:type="dxa"/>
          </w:tcPr>
          <w:p w14:paraId="03FE9AF7">
            <w:pPr>
              <w:rPr>
                <w:rFonts w:eastAsia="仿宋_GB2312"/>
                <w:color w:val="000000" w:themeColor="text1"/>
                <w:sz w:val="30"/>
                <w:szCs w:val="30"/>
                <w:highlight w:val="none"/>
                <w14:textFill>
                  <w14:solidFill>
                    <w14:schemeClr w14:val="tx1"/>
                  </w14:solidFill>
                </w14:textFill>
              </w:rPr>
            </w:pPr>
          </w:p>
        </w:tc>
      </w:tr>
    </w:tbl>
    <w:p w14:paraId="73A3E676">
      <w:pPr>
        <w:spacing w:line="440" w:lineRule="exact"/>
        <w:rPr>
          <w:rFonts w:eastAsia="仿宋_GB2312"/>
          <w:color w:val="000000" w:themeColor="text1"/>
          <w:sz w:val="30"/>
          <w:szCs w:val="30"/>
          <w:highlight w:val="none"/>
          <w14:textFill>
            <w14:solidFill>
              <w14:schemeClr w14:val="tx1"/>
            </w14:solidFill>
          </w14:textFill>
        </w:rPr>
      </w:pPr>
    </w:p>
    <w:p w14:paraId="24C1952A">
      <w:pPr>
        <w:spacing w:line="440" w:lineRule="exact"/>
        <w:rPr>
          <w:rFonts w:eastAsia="黑体"/>
          <w:color w:val="000000" w:themeColor="text1"/>
          <w:sz w:val="30"/>
          <w:szCs w:val="30"/>
          <w:highlight w:val="none"/>
          <w14:textFill>
            <w14:solidFill>
              <w14:schemeClr w14:val="tx1"/>
            </w14:solidFill>
          </w14:textFill>
        </w:rPr>
      </w:pPr>
      <w:r>
        <w:rPr>
          <w:rFonts w:eastAsia="仿宋_GB2312"/>
          <w:color w:val="000000" w:themeColor="text1"/>
          <w:sz w:val="30"/>
          <w:szCs w:val="30"/>
          <w:highlight w:val="none"/>
          <w14:textFill>
            <w14:solidFill>
              <w14:schemeClr w14:val="tx1"/>
            </w14:solidFill>
          </w14:textFill>
        </w:rPr>
        <w:br w:type="page"/>
      </w:r>
      <w:r>
        <w:rPr>
          <w:rFonts w:hint="eastAsia" w:eastAsia="仿宋_GB2312" w:cs="仿宋_GB2312"/>
          <w:color w:val="000000" w:themeColor="text1"/>
          <w:sz w:val="30"/>
          <w:szCs w:val="30"/>
          <w:highlight w:val="none"/>
          <w14:textFill>
            <w14:solidFill>
              <w14:schemeClr w14:val="tx1"/>
            </w14:solidFill>
          </w14:textFill>
        </w:rPr>
        <w:t>附件</w:t>
      </w:r>
      <w:r>
        <w:rPr>
          <w:rFonts w:hint="eastAsia" w:eastAsia="仿宋_GB2312"/>
          <w:color w:val="000000" w:themeColor="text1"/>
          <w:sz w:val="30"/>
          <w:szCs w:val="30"/>
          <w:highlight w:val="none"/>
          <w14:textFill>
            <w14:solidFill>
              <w14:schemeClr w14:val="tx1"/>
            </w14:solidFill>
          </w14:textFill>
        </w:rPr>
        <w:t>4</w:t>
      </w:r>
      <w:r>
        <w:rPr>
          <w:rFonts w:hint="eastAsia" w:eastAsia="仿宋_GB2312" w:cs="仿宋_GB2312"/>
          <w:color w:val="000000" w:themeColor="text1"/>
          <w:sz w:val="30"/>
          <w:szCs w:val="30"/>
          <w:highlight w:val="none"/>
          <w14:textFill>
            <w14:solidFill>
              <w14:schemeClr w14:val="tx1"/>
            </w14:solidFill>
          </w14:textFill>
        </w:rPr>
        <w:t>：</w:t>
      </w:r>
    </w:p>
    <w:p w14:paraId="6CBDD028">
      <w:pPr>
        <w:spacing w:before="120" w:beforeLines="50" w:after="120" w:afterLines="50" w:line="440" w:lineRule="exact"/>
        <w:jc w:val="center"/>
        <w:rPr>
          <w:rFonts w:eastAsia="黑体"/>
          <w:color w:val="000000" w:themeColor="text1"/>
          <w:sz w:val="30"/>
          <w:szCs w:val="30"/>
          <w:highlight w:val="none"/>
          <w14:textFill>
            <w14:solidFill>
              <w14:schemeClr w14:val="tx1"/>
            </w14:solidFill>
          </w14:textFill>
        </w:rPr>
      </w:pPr>
      <w:r>
        <w:rPr>
          <w:rFonts w:hint="eastAsia" w:eastAsia="黑体" w:cs="黑体"/>
          <w:color w:val="000000" w:themeColor="text1"/>
          <w:sz w:val="30"/>
          <w:szCs w:val="30"/>
          <w:highlight w:val="none"/>
          <w14:textFill>
            <w14:solidFill>
              <w14:schemeClr w14:val="tx1"/>
            </w14:solidFill>
          </w14:textFill>
        </w:rPr>
        <w:t>承包人用于本工程施工的机械设备表</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344CD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162" w:type="dxa"/>
            <w:vAlign w:val="center"/>
          </w:tcPr>
          <w:p w14:paraId="25462CE6">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序号</w:t>
            </w:r>
          </w:p>
        </w:tc>
        <w:tc>
          <w:tcPr>
            <w:tcW w:w="1418" w:type="dxa"/>
            <w:vAlign w:val="center"/>
          </w:tcPr>
          <w:p w14:paraId="6D94D184">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机械或设备名称</w:t>
            </w:r>
          </w:p>
        </w:tc>
        <w:tc>
          <w:tcPr>
            <w:tcW w:w="850" w:type="dxa"/>
            <w:vAlign w:val="center"/>
          </w:tcPr>
          <w:p w14:paraId="6B791768">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规格型号</w:t>
            </w:r>
          </w:p>
        </w:tc>
        <w:tc>
          <w:tcPr>
            <w:tcW w:w="1058" w:type="dxa"/>
            <w:vAlign w:val="center"/>
          </w:tcPr>
          <w:p w14:paraId="5AB8E422">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数量</w:t>
            </w:r>
          </w:p>
        </w:tc>
        <w:tc>
          <w:tcPr>
            <w:tcW w:w="880" w:type="dxa"/>
            <w:vAlign w:val="center"/>
          </w:tcPr>
          <w:p w14:paraId="5F003054">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产地</w:t>
            </w:r>
          </w:p>
        </w:tc>
        <w:tc>
          <w:tcPr>
            <w:tcW w:w="1020" w:type="dxa"/>
            <w:vAlign w:val="center"/>
          </w:tcPr>
          <w:p w14:paraId="74D8484C">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制造年份</w:t>
            </w:r>
          </w:p>
        </w:tc>
        <w:tc>
          <w:tcPr>
            <w:tcW w:w="1480" w:type="dxa"/>
            <w:vAlign w:val="center"/>
          </w:tcPr>
          <w:p w14:paraId="687579F0">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额定功率（</w:t>
            </w:r>
            <w:r>
              <w:rPr>
                <w:rFonts w:eastAsia="仿宋_GB2312"/>
                <w:color w:val="000000" w:themeColor="text1"/>
                <w:sz w:val="28"/>
                <w:szCs w:val="28"/>
                <w:highlight w:val="none"/>
                <w14:textFill>
                  <w14:solidFill>
                    <w14:schemeClr w14:val="tx1"/>
                  </w14:solidFill>
                </w14:textFill>
              </w:rPr>
              <w:t>kW</w:t>
            </w:r>
            <w:r>
              <w:rPr>
                <w:rFonts w:hint="eastAsia" w:eastAsia="仿宋_GB2312" w:cs="仿宋_GB2312"/>
                <w:color w:val="000000" w:themeColor="text1"/>
                <w:sz w:val="28"/>
                <w:szCs w:val="28"/>
                <w:highlight w:val="none"/>
                <w14:textFill>
                  <w14:solidFill>
                    <w14:schemeClr w14:val="tx1"/>
                  </w14:solidFill>
                </w14:textFill>
              </w:rPr>
              <w:t>）</w:t>
            </w:r>
          </w:p>
        </w:tc>
        <w:tc>
          <w:tcPr>
            <w:tcW w:w="1020" w:type="dxa"/>
            <w:vAlign w:val="center"/>
          </w:tcPr>
          <w:p w14:paraId="7299846A">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生产能力</w:t>
            </w:r>
          </w:p>
        </w:tc>
        <w:tc>
          <w:tcPr>
            <w:tcW w:w="921" w:type="dxa"/>
            <w:vAlign w:val="center"/>
          </w:tcPr>
          <w:p w14:paraId="053E4409">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备注</w:t>
            </w:r>
          </w:p>
        </w:tc>
      </w:tr>
      <w:tr w14:paraId="41AE0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36915B19">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18" w:type="dxa"/>
            <w:vAlign w:val="center"/>
          </w:tcPr>
          <w:p w14:paraId="1F6E84BF">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50" w:type="dxa"/>
            <w:vAlign w:val="center"/>
          </w:tcPr>
          <w:p w14:paraId="1F3EA08F">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58" w:type="dxa"/>
            <w:vAlign w:val="center"/>
          </w:tcPr>
          <w:p w14:paraId="416876AB">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80" w:type="dxa"/>
            <w:vAlign w:val="center"/>
          </w:tcPr>
          <w:p w14:paraId="7A2F7132">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20" w:type="dxa"/>
            <w:vAlign w:val="center"/>
          </w:tcPr>
          <w:p w14:paraId="68EBEFBA">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80" w:type="dxa"/>
            <w:vAlign w:val="center"/>
          </w:tcPr>
          <w:p w14:paraId="51CA5E5D">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20" w:type="dxa"/>
            <w:vAlign w:val="center"/>
          </w:tcPr>
          <w:p w14:paraId="08508CF6">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921" w:type="dxa"/>
            <w:vAlign w:val="center"/>
          </w:tcPr>
          <w:p w14:paraId="18A8FA23">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3B018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37F15701">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18" w:type="dxa"/>
            <w:vAlign w:val="center"/>
          </w:tcPr>
          <w:p w14:paraId="31BB426E">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50" w:type="dxa"/>
            <w:vAlign w:val="center"/>
          </w:tcPr>
          <w:p w14:paraId="7EC86DCD">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58" w:type="dxa"/>
            <w:vAlign w:val="center"/>
          </w:tcPr>
          <w:p w14:paraId="6C3BF33D">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80" w:type="dxa"/>
            <w:vAlign w:val="center"/>
          </w:tcPr>
          <w:p w14:paraId="46A1C99A">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20" w:type="dxa"/>
            <w:vAlign w:val="center"/>
          </w:tcPr>
          <w:p w14:paraId="5FE39365">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80" w:type="dxa"/>
            <w:vAlign w:val="center"/>
          </w:tcPr>
          <w:p w14:paraId="28CD0F0F">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20" w:type="dxa"/>
            <w:vAlign w:val="center"/>
          </w:tcPr>
          <w:p w14:paraId="4D8B9DA8">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921" w:type="dxa"/>
            <w:vAlign w:val="center"/>
          </w:tcPr>
          <w:p w14:paraId="0442AF2B">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15CF9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03E16F6A">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18" w:type="dxa"/>
            <w:vAlign w:val="center"/>
          </w:tcPr>
          <w:p w14:paraId="06402292">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50" w:type="dxa"/>
            <w:vAlign w:val="center"/>
          </w:tcPr>
          <w:p w14:paraId="1C84D791">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58" w:type="dxa"/>
            <w:vAlign w:val="center"/>
          </w:tcPr>
          <w:p w14:paraId="4E2FBCF0">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80" w:type="dxa"/>
            <w:vAlign w:val="center"/>
          </w:tcPr>
          <w:p w14:paraId="68C9EE79">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20" w:type="dxa"/>
            <w:vAlign w:val="center"/>
          </w:tcPr>
          <w:p w14:paraId="7B68CCAD">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80" w:type="dxa"/>
            <w:vAlign w:val="center"/>
          </w:tcPr>
          <w:p w14:paraId="109A9BAB">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20" w:type="dxa"/>
            <w:vAlign w:val="center"/>
          </w:tcPr>
          <w:p w14:paraId="61702553">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921" w:type="dxa"/>
            <w:vAlign w:val="center"/>
          </w:tcPr>
          <w:p w14:paraId="435862AD">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4C995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2FD826D0">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18" w:type="dxa"/>
            <w:vAlign w:val="center"/>
          </w:tcPr>
          <w:p w14:paraId="14D0086A">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50" w:type="dxa"/>
            <w:vAlign w:val="center"/>
          </w:tcPr>
          <w:p w14:paraId="064B3E8D">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58" w:type="dxa"/>
            <w:vAlign w:val="center"/>
          </w:tcPr>
          <w:p w14:paraId="68BE7D3E">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80" w:type="dxa"/>
            <w:vAlign w:val="center"/>
          </w:tcPr>
          <w:p w14:paraId="609764E3">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20" w:type="dxa"/>
            <w:vAlign w:val="center"/>
          </w:tcPr>
          <w:p w14:paraId="1FE2A093">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80" w:type="dxa"/>
            <w:vAlign w:val="center"/>
          </w:tcPr>
          <w:p w14:paraId="2432A080">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20" w:type="dxa"/>
            <w:vAlign w:val="center"/>
          </w:tcPr>
          <w:p w14:paraId="1FF9F2A5">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921" w:type="dxa"/>
            <w:vAlign w:val="center"/>
          </w:tcPr>
          <w:p w14:paraId="36C07E97">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522AC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50445FEF">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18" w:type="dxa"/>
            <w:vAlign w:val="center"/>
          </w:tcPr>
          <w:p w14:paraId="3B2C8E04">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50" w:type="dxa"/>
            <w:vAlign w:val="center"/>
          </w:tcPr>
          <w:p w14:paraId="597CD65A">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58" w:type="dxa"/>
            <w:vAlign w:val="center"/>
          </w:tcPr>
          <w:p w14:paraId="5B47E594">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80" w:type="dxa"/>
            <w:vAlign w:val="center"/>
          </w:tcPr>
          <w:p w14:paraId="0014FE8C">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20" w:type="dxa"/>
            <w:vAlign w:val="center"/>
          </w:tcPr>
          <w:p w14:paraId="317A49A4">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80" w:type="dxa"/>
            <w:vAlign w:val="center"/>
          </w:tcPr>
          <w:p w14:paraId="0DE4A24E">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20" w:type="dxa"/>
            <w:vAlign w:val="center"/>
          </w:tcPr>
          <w:p w14:paraId="46A92EBB">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921" w:type="dxa"/>
            <w:vAlign w:val="center"/>
          </w:tcPr>
          <w:p w14:paraId="676FB7D3">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29C0A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0E5EE3F8">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18" w:type="dxa"/>
            <w:vAlign w:val="center"/>
          </w:tcPr>
          <w:p w14:paraId="5B07E44D">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50" w:type="dxa"/>
            <w:vAlign w:val="center"/>
          </w:tcPr>
          <w:p w14:paraId="12ACC213">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58" w:type="dxa"/>
            <w:vAlign w:val="center"/>
          </w:tcPr>
          <w:p w14:paraId="72612067">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80" w:type="dxa"/>
            <w:vAlign w:val="center"/>
          </w:tcPr>
          <w:p w14:paraId="3C61C262">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20" w:type="dxa"/>
            <w:vAlign w:val="center"/>
          </w:tcPr>
          <w:p w14:paraId="3E735B62">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80" w:type="dxa"/>
            <w:vAlign w:val="center"/>
          </w:tcPr>
          <w:p w14:paraId="71A9C170">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20" w:type="dxa"/>
            <w:vAlign w:val="center"/>
          </w:tcPr>
          <w:p w14:paraId="308F7D3D">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921" w:type="dxa"/>
            <w:vAlign w:val="center"/>
          </w:tcPr>
          <w:p w14:paraId="199C821D">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024D4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2E3AB4FC">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18" w:type="dxa"/>
            <w:vAlign w:val="center"/>
          </w:tcPr>
          <w:p w14:paraId="3EC24FFD">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50" w:type="dxa"/>
            <w:vAlign w:val="center"/>
          </w:tcPr>
          <w:p w14:paraId="398186DF">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58" w:type="dxa"/>
            <w:vAlign w:val="center"/>
          </w:tcPr>
          <w:p w14:paraId="494B3E12">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80" w:type="dxa"/>
            <w:vAlign w:val="center"/>
          </w:tcPr>
          <w:p w14:paraId="6D3A3DFA">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20" w:type="dxa"/>
            <w:vAlign w:val="center"/>
          </w:tcPr>
          <w:p w14:paraId="7E9FA79F">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80" w:type="dxa"/>
            <w:vAlign w:val="center"/>
          </w:tcPr>
          <w:p w14:paraId="06E37975">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20" w:type="dxa"/>
            <w:vAlign w:val="center"/>
          </w:tcPr>
          <w:p w14:paraId="40249235">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921" w:type="dxa"/>
            <w:vAlign w:val="center"/>
          </w:tcPr>
          <w:p w14:paraId="43AC2106">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0AE96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7D61F321">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18" w:type="dxa"/>
            <w:vAlign w:val="center"/>
          </w:tcPr>
          <w:p w14:paraId="177BBF20">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50" w:type="dxa"/>
            <w:vAlign w:val="center"/>
          </w:tcPr>
          <w:p w14:paraId="5E0EF5F2">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58" w:type="dxa"/>
            <w:vAlign w:val="center"/>
          </w:tcPr>
          <w:p w14:paraId="6EEA5A62">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80" w:type="dxa"/>
            <w:vAlign w:val="center"/>
          </w:tcPr>
          <w:p w14:paraId="28CE0E05">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20" w:type="dxa"/>
            <w:vAlign w:val="center"/>
          </w:tcPr>
          <w:p w14:paraId="64A2633D">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80" w:type="dxa"/>
            <w:vAlign w:val="center"/>
          </w:tcPr>
          <w:p w14:paraId="33E28A4D">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20" w:type="dxa"/>
            <w:vAlign w:val="center"/>
          </w:tcPr>
          <w:p w14:paraId="641D0696">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921" w:type="dxa"/>
            <w:vAlign w:val="center"/>
          </w:tcPr>
          <w:p w14:paraId="31AD086F">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53CE2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088D26A8">
            <w:pPr>
              <w:rPr>
                <w:rFonts w:eastAsia="仿宋_GB2312"/>
                <w:color w:val="000000" w:themeColor="text1"/>
                <w:sz w:val="30"/>
                <w:szCs w:val="30"/>
                <w:highlight w:val="none"/>
                <w14:textFill>
                  <w14:solidFill>
                    <w14:schemeClr w14:val="tx1"/>
                  </w14:solidFill>
                </w14:textFill>
              </w:rPr>
            </w:pPr>
          </w:p>
        </w:tc>
        <w:tc>
          <w:tcPr>
            <w:tcW w:w="1418" w:type="dxa"/>
          </w:tcPr>
          <w:p w14:paraId="4FA8336A">
            <w:pPr>
              <w:rPr>
                <w:rFonts w:eastAsia="仿宋_GB2312"/>
                <w:color w:val="000000" w:themeColor="text1"/>
                <w:sz w:val="30"/>
                <w:szCs w:val="30"/>
                <w:highlight w:val="none"/>
                <w14:textFill>
                  <w14:solidFill>
                    <w14:schemeClr w14:val="tx1"/>
                  </w14:solidFill>
                </w14:textFill>
              </w:rPr>
            </w:pPr>
          </w:p>
        </w:tc>
        <w:tc>
          <w:tcPr>
            <w:tcW w:w="850" w:type="dxa"/>
          </w:tcPr>
          <w:p w14:paraId="2A20D991">
            <w:pPr>
              <w:rPr>
                <w:rFonts w:eastAsia="仿宋_GB2312"/>
                <w:color w:val="000000" w:themeColor="text1"/>
                <w:sz w:val="30"/>
                <w:szCs w:val="30"/>
                <w:highlight w:val="none"/>
                <w14:textFill>
                  <w14:solidFill>
                    <w14:schemeClr w14:val="tx1"/>
                  </w14:solidFill>
                </w14:textFill>
              </w:rPr>
            </w:pPr>
          </w:p>
        </w:tc>
        <w:tc>
          <w:tcPr>
            <w:tcW w:w="1058" w:type="dxa"/>
          </w:tcPr>
          <w:p w14:paraId="6C4A88C0">
            <w:pPr>
              <w:rPr>
                <w:rFonts w:eastAsia="仿宋_GB2312"/>
                <w:color w:val="000000" w:themeColor="text1"/>
                <w:sz w:val="30"/>
                <w:szCs w:val="30"/>
                <w:highlight w:val="none"/>
                <w14:textFill>
                  <w14:solidFill>
                    <w14:schemeClr w14:val="tx1"/>
                  </w14:solidFill>
                </w14:textFill>
              </w:rPr>
            </w:pPr>
          </w:p>
        </w:tc>
        <w:tc>
          <w:tcPr>
            <w:tcW w:w="880" w:type="dxa"/>
          </w:tcPr>
          <w:p w14:paraId="413FD6ED">
            <w:pPr>
              <w:rPr>
                <w:rFonts w:eastAsia="仿宋_GB2312"/>
                <w:color w:val="000000" w:themeColor="text1"/>
                <w:sz w:val="30"/>
                <w:szCs w:val="30"/>
                <w:highlight w:val="none"/>
                <w14:textFill>
                  <w14:solidFill>
                    <w14:schemeClr w14:val="tx1"/>
                  </w14:solidFill>
                </w14:textFill>
              </w:rPr>
            </w:pPr>
          </w:p>
        </w:tc>
        <w:tc>
          <w:tcPr>
            <w:tcW w:w="1020" w:type="dxa"/>
          </w:tcPr>
          <w:p w14:paraId="0872F9DD">
            <w:pPr>
              <w:rPr>
                <w:rFonts w:eastAsia="仿宋_GB2312"/>
                <w:color w:val="000000" w:themeColor="text1"/>
                <w:sz w:val="30"/>
                <w:szCs w:val="30"/>
                <w:highlight w:val="none"/>
                <w14:textFill>
                  <w14:solidFill>
                    <w14:schemeClr w14:val="tx1"/>
                  </w14:solidFill>
                </w14:textFill>
              </w:rPr>
            </w:pPr>
          </w:p>
        </w:tc>
        <w:tc>
          <w:tcPr>
            <w:tcW w:w="1480" w:type="dxa"/>
          </w:tcPr>
          <w:p w14:paraId="3C3B2513">
            <w:pPr>
              <w:rPr>
                <w:rFonts w:eastAsia="仿宋_GB2312"/>
                <w:color w:val="000000" w:themeColor="text1"/>
                <w:sz w:val="30"/>
                <w:szCs w:val="30"/>
                <w:highlight w:val="none"/>
                <w14:textFill>
                  <w14:solidFill>
                    <w14:schemeClr w14:val="tx1"/>
                  </w14:solidFill>
                </w14:textFill>
              </w:rPr>
            </w:pPr>
          </w:p>
        </w:tc>
        <w:tc>
          <w:tcPr>
            <w:tcW w:w="1020" w:type="dxa"/>
          </w:tcPr>
          <w:p w14:paraId="07CE3F44">
            <w:pPr>
              <w:rPr>
                <w:rFonts w:eastAsia="仿宋_GB2312"/>
                <w:color w:val="000000" w:themeColor="text1"/>
                <w:sz w:val="30"/>
                <w:szCs w:val="30"/>
                <w:highlight w:val="none"/>
                <w14:textFill>
                  <w14:solidFill>
                    <w14:schemeClr w14:val="tx1"/>
                  </w14:solidFill>
                </w14:textFill>
              </w:rPr>
            </w:pPr>
          </w:p>
        </w:tc>
        <w:tc>
          <w:tcPr>
            <w:tcW w:w="921" w:type="dxa"/>
          </w:tcPr>
          <w:p w14:paraId="45EE4205">
            <w:pPr>
              <w:rPr>
                <w:rFonts w:eastAsia="仿宋_GB2312"/>
                <w:color w:val="000000" w:themeColor="text1"/>
                <w:sz w:val="30"/>
                <w:szCs w:val="30"/>
                <w:highlight w:val="none"/>
                <w14:textFill>
                  <w14:solidFill>
                    <w14:schemeClr w14:val="tx1"/>
                  </w14:solidFill>
                </w14:textFill>
              </w:rPr>
            </w:pPr>
          </w:p>
        </w:tc>
      </w:tr>
      <w:tr w14:paraId="2B1DC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4B74A972">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18" w:type="dxa"/>
            <w:vAlign w:val="center"/>
          </w:tcPr>
          <w:p w14:paraId="3524AB33">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50" w:type="dxa"/>
            <w:vAlign w:val="center"/>
          </w:tcPr>
          <w:p w14:paraId="3878776A">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58" w:type="dxa"/>
            <w:vAlign w:val="center"/>
          </w:tcPr>
          <w:p w14:paraId="12D9879B">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80" w:type="dxa"/>
            <w:vAlign w:val="center"/>
          </w:tcPr>
          <w:p w14:paraId="2F36A59B">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20" w:type="dxa"/>
            <w:vAlign w:val="center"/>
          </w:tcPr>
          <w:p w14:paraId="3B8D7EE5">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80" w:type="dxa"/>
            <w:vAlign w:val="center"/>
          </w:tcPr>
          <w:p w14:paraId="6270A36A">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20" w:type="dxa"/>
            <w:vAlign w:val="center"/>
          </w:tcPr>
          <w:p w14:paraId="56FF1392">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921" w:type="dxa"/>
            <w:vAlign w:val="center"/>
          </w:tcPr>
          <w:p w14:paraId="1C38F8EB">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13D9B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1FF45CE5">
            <w:pPr>
              <w:rPr>
                <w:rFonts w:eastAsia="仿宋_GB2312"/>
                <w:color w:val="000000" w:themeColor="text1"/>
                <w:sz w:val="30"/>
                <w:szCs w:val="30"/>
                <w:highlight w:val="none"/>
                <w14:textFill>
                  <w14:solidFill>
                    <w14:schemeClr w14:val="tx1"/>
                  </w14:solidFill>
                </w14:textFill>
              </w:rPr>
            </w:pPr>
          </w:p>
        </w:tc>
        <w:tc>
          <w:tcPr>
            <w:tcW w:w="1418" w:type="dxa"/>
          </w:tcPr>
          <w:p w14:paraId="04ABBC8E">
            <w:pPr>
              <w:rPr>
                <w:rFonts w:eastAsia="仿宋_GB2312"/>
                <w:color w:val="000000" w:themeColor="text1"/>
                <w:sz w:val="30"/>
                <w:szCs w:val="30"/>
                <w:highlight w:val="none"/>
                <w14:textFill>
                  <w14:solidFill>
                    <w14:schemeClr w14:val="tx1"/>
                  </w14:solidFill>
                </w14:textFill>
              </w:rPr>
            </w:pPr>
          </w:p>
        </w:tc>
        <w:tc>
          <w:tcPr>
            <w:tcW w:w="850" w:type="dxa"/>
          </w:tcPr>
          <w:p w14:paraId="6D11A6CB">
            <w:pPr>
              <w:rPr>
                <w:rFonts w:eastAsia="仿宋_GB2312"/>
                <w:color w:val="000000" w:themeColor="text1"/>
                <w:sz w:val="30"/>
                <w:szCs w:val="30"/>
                <w:highlight w:val="none"/>
                <w14:textFill>
                  <w14:solidFill>
                    <w14:schemeClr w14:val="tx1"/>
                  </w14:solidFill>
                </w14:textFill>
              </w:rPr>
            </w:pPr>
          </w:p>
        </w:tc>
        <w:tc>
          <w:tcPr>
            <w:tcW w:w="1058" w:type="dxa"/>
          </w:tcPr>
          <w:p w14:paraId="106E6DB8">
            <w:pPr>
              <w:rPr>
                <w:rFonts w:eastAsia="仿宋_GB2312"/>
                <w:color w:val="000000" w:themeColor="text1"/>
                <w:sz w:val="30"/>
                <w:szCs w:val="30"/>
                <w:highlight w:val="none"/>
                <w14:textFill>
                  <w14:solidFill>
                    <w14:schemeClr w14:val="tx1"/>
                  </w14:solidFill>
                </w14:textFill>
              </w:rPr>
            </w:pPr>
          </w:p>
        </w:tc>
        <w:tc>
          <w:tcPr>
            <w:tcW w:w="880" w:type="dxa"/>
          </w:tcPr>
          <w:p w14:paraId="58AEE1A3">
            <w:pPr>
              <w:rPr>
                <w:rFonts w:eastAsia="仿宋_GB2312"/>
                <w:color w:val="000000" w:themeColor="text1"/>
                <w:sz w:val="30"/>
                <w:szCs w:val="30"/>
                <w:highlight w:val="none"/>
                <w14:textFill>
                  <w14:solidFill>
                    <w14:schemeClr w14:val="tx1"/>
                  </w14:solidFill>
                </w14:textFill>
              </w:rPr>
            </w:pPr>
          </w:p>
        </w:tc>
        <w:tc>
          <w:tcPr>
            <w:tcW w:w="1020" w:type="dxa"/>
          </w:tcPr>
          <w:p w14:paraId="62E0DD04">
            <w:pPr>
              <w:rPr>
                <w:rFonts w:eastAsia="仿宋_GB2312"/>
                <w:color w:val="000000" w:themeColor="text1"/>
                <w:sz w:val="30"/>
                <w:szCs w:val="30"/>
                <w:highlight w:val="none"/>
                <w14:textFill>
                  <w14:solidFill>
                    <w14:schemeClr w14:val="tx1"/>
                  </w14:solidFill>
                </w14:textFill>
              </w:rPr>
            </w:pPr>
          </w:p>
        </w:tc>
        <w:tc>
          <w:tcPr>
            <w:tcW w:w="1480" w:type="dxa"/>
          </w:tcPr>
          <w:p w14:paraId="0558FC5A">
            <w:pPr>
              <w:rPr>
                <w:rFonts w:eastAsia="仿宋_GB2312"/>
                <w:color w:val="000000" w:themeColor="text1"/>
                <w:sz w:val="30"/>
                <w:szCs w:val="30"/>
                <w:highlight w:val="none"/>
                <w14:textFill>
                  <w14:solidFill>
                    <w14:schemeClr w14:val="tx1"/>
                  </w14:solidFill>
                </w14:textFill>
              </w:rPr>
            </w:pPr>
          </w:p>
        </w:tc>
        <w:tc>
          <w:tcPr>
            <w:tcW w:w="1020" w:type="dxa"/>
          </w:tcPr>
          <w:p w14:paraId="1D9B80C4">
            <w:pPr>
              <w:rPr>
                <w:rFonts w:eastAsia="仿宋_GB2312"/>
                <w:color w:val="000000" w:themeColor="text1"/>
                <w:sz w:val="30"/>
                <w:szCs w:val="30"/>
                <w:highlight w:val="none"/>
                <w14:textFill>
                  <w14:solidFill>
                    <w14:schemeClr w14:val="tx1"/>
                  </w14:solidFill>
                </w14:textFill>
              </w:rPr>
            </w:pPr>
          </w:p>
        </w:tc>
        <w:tc>
          <w:tcPr>
            <w:tcW w:w="921" w:type="dxa"/>
          </w:tcPr>
          <w:p w14:paraId="06657DAD">
            <w:pPr>
              <w:rPr>
                <w:rFonts w:eastAsia="仿宋_GB2312"/>
                <w:color w:val="000000" w:themeColor="text1"/>
                <w:sz w:val="30"/>
                <w:szCs w:val="30"/>
                <w:highlight w:val="none"/>
                <w14:textFill>
                  <w14:solidFill>
                    <w14:schemeClr w14:val="tx1"/>
                  </w14:solidFill>
                </w14:textFill>
              </w:rPr>
            </w:pPr>
          </w:p>
        </w:tc>
      </w:tr>
      <w:tr w14:paraId="19369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198CD2EB">
            <w:pPr>
              <w:rPr>
                <w:rFonts w:eastAsia="仿宋_GB2312"/>
                <w:color w:val="000000" w:themeColor="text1"/>
                <w:sz w:val="30"/>
                <w:szCs w:val="30"/>
                <w:highlight w:val="none"/>
                <w14:textFill>
                  <w14:solidFill>
                    <w14:schemeClr w14:val="tx1"/>
                  </w14:solidFill>
                </w14:textFill>
              </w:rPr>
            </w:pPr>
          </w:p>
        </w:tc>
        <w:tc>
          <w:tcPr>
            <w:tcW w:w="1418" w:type="dxa"/>
          </w:tcPr>
          <w:p w14:paraId="27D8718B">
            <w:pPr>
              <w:rPr>
                <w:rFonts w:eastAsia="仿宋_GB2312"/>
                <w:color w:val="000000" w:themeColor="text1"/>
                <w:sz w:val="30"/>
                <w:szCs w:val="30"/>
                <w:highlight w:val="none"/>
                <w14:textFill>
                  <w14:solidFill>
                    <w14:schemeClr w14:val="tx1"/>
                  </w14:solidFill>
                </w14:textFill>
              </w:rPr>
            </w:pPr>
          </w:p>
        </w:tc>
        <w:tc>
          <w:tcPr>
            <w:tcW w:w="850" w:type="dxa"/>
          </w:tcPr>
          <w:p w14:paraId="6D4D3C7A">
            <w:pPr>
              <w:rPr>
                <w:rFonts w:eastAsia="仿宋_GB2312"/>
                <w:color w:val="000000" w:themeColor="text1"/>
                <w:sz w:val="30"/>
                <w:szCs w:val="30"/>
                <w:highlight w:val="none"/>
                <w14:textFill>
                  <w14:solidFill>
                    <w14:schemeClr w14:val="tx1"/>
                  </w14:solidFill>
                </w14:textFill>
              </w:rPr>
            </w:pPr>
          </w:p>
        </w:tc>
        <w:tc>
          <w:tcPr>
            <w:tcW w:w="1058" w:type="dxa"/>
          </w:tcPr>
          <w:p w14:paraId="124D5E15">
            <w:pPr>
              <w:rPr>
                <w:rFonts w:eastAsia="仿宋_GB2312"/>
                <w:color w:val="000000" w:themeColor="text1"/>
                <w:sz w:val="30"/>
                <w:szCs w:val="30"/>
                <w:highlight w:val="none"/>
                <w14:textFill>
                  <w14:solidFill>
                    <w14:schemeClr w14:val="tx1"/>
                  </w14:solidFill>
                </w14:textFill>
              </w:rPr>
            </w:pPr>
          </w:p>
        </w:tc>
        <w:tc>
          <w:tcPr>
            <w:tcW w:w="880" w:type="dxa"/>
          </w:tcPr>
          <w:p w14:paraId="5C8A262E">
            <w:pPr>
              <w:rPr>
                <w:rFonts w:eastAsia="仿宋_GB2312"/>
                <w:color w:val="000000" w:themeColor="text1"/>
                <w:sz w:val="30"/>
                <w:szCs w:val="30"/>
                <w:highlight w:val="none"/>
                <w14:textFill>
                  <w14:solidFill>
                    <w14:schemeClr w14:val="tx1"/>
                  </w14:solidFill>
                </w14:textFill>
              </w:rPr>
            </w:pPr>
          </w:p>
        </w:tc>
        <w:tc>
          <w:tcPr>
            <w:tcW w:w="1020" w:type="dxa"/>
          </w:tcPr>
          <w:p w14:paraId="4A31FE0B">
            <w:pPr>
              <w:rPr>
                <w:rFonts w:eastAsia="仿宋_GB2312"/>
                <w:color w:val="000000" w:themeColor="text1"/>
                <w:sz w:val="30"/>
                <w:szCs w:val="30"/>
                <w:highlight w:val="none"/>
                <w14:textFill>
                  <w14:solidFill>
                    <w14:schemeClr w14:val="tx1"/>
                  </w14:solidFill>
                </w14:textFill>
              </w:rPr>
            </w:pPr>
          </w:p>
        </w:tc>
        <w:tc>
          <w:tcPr>
            <w:tcW w:w="1480" w:type="dxa"/>
          </w:tcPr>
          <w:p w14:paraId="49037DFC">
            <w:pPr>
              <w:rPr>
                <w:rFonts w:eastAsia="仿宋_GB2312"/>
                <w:color w:val="000000" w:themeColor="text1"/>
                <w:sz w:val="30"/>
                <w:szCs w:val="30"/>
                <w:highlight w:val="none"/>
                <w14:textFill>
                  <w14:solidFill>
                    <w14:schemeClr w14:val="tx1"/>
                  </w14:solidFill>
                </w14:textFill>
              </w:rPr>
            </w:pPr>
          </w:p>
        </w:tc>
        <w:tc>
          <w:tcPr>
            <w:tcW w:w="1020" w:type="dxa"/>
          </w:tcPr>
          <w:p w14:paraId="31954E22">
            <w:pPr>
              <w:rPr>
                <w:rFonts w:eastAsia="仿宋_GB2312"/>
                <w:color w:val="000000" w:themeColor="text1"/>
                <w:sz w:val="30"/>
                <w:szCs w:val="30"/>
                <w:highlight w:val="none"/>
                <w14:textFill>
                  <w14:solidFill>
                    <w14:schemeClr w14:val="tx1"/>
                  </w14:solidFill>
                </w14:textFill>
              </w:rPr>
            </w:pPr>
          </w:p>
        </w:tc>
        <w:tc>
          <w:tcPr>
            <w:tcW w:w="921" w:type="dxa"/>
          </w:tcPr>
          <w:p w14:paraId="23DF59CB">
            <w:pPr>
              <w:rPr>
                <w:rFonts w:eastAsia="仿宋_GB2312"/>
                <w:color w:val="000000" w:themeColor="text1"/>
                <w:sz w:val="30"/>
                <w:szCs w:val="30"/>
                <w:highlight w:val="none"/>
                <w14:textFill>
                  <w14:solidFill>
                    <w14:schemeClr w14:val="tx1"/>
                  </w14:solidFill>
                </w14:textFill>
              </w:rPr>
            </w:pPr>
          </w:p>
        </w:tc>
      </w:tr>
      <w:tr w14:paraId="4A8A7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2738F5E6">
            <w:pPr>
              <w:rPr>
                <w:rFonts w:eastAsia="仿宋_GB2312"/>
                <w:color w:val="000000" w:themeColor="text1"/>
                <w:sz w:val="30"/>
                <w:szCs w:val="30"/>
                <w:highlight w:val="none"/>
                <w14:textFill>
                  <w14:solidFill>
                    <w14:schemeClr w14:val="tx1"/>
                  </w14:solidFill>
                </w14:textFill>
              </w:rPr>
            </w:pPr>
          </w:p>
        </w:tc>
        <w:tc>
          <w:tcPr>
            <w:tcW w:w="1418" w:type="dxa"/>
          </w:tcPr>
          <w:p w14:paraId="798B8202">
            <w:pPr>
              <w:rPr>
                <w:rFonts w:eastAsia="仿宋_GB2312"/>
                <w:color w:val="000000" w:themeColor="text1"/>
                <w:sz w:val="30"/>
                <w:szCs w:val="30"/>
                <w:highlight w:val="none"/>
                <w14:textFill>
                  <w14:solidFill>
                    <w14:schemeClr w14:val="tx1"/>
                  </w14:solidFill>
                </w14:textFill>
              </w:rPr>
            </w:pPr>
          </w:p>
        </w:tc>
        <w:tc>
          <w:tcPr>
            <w:tcW w:w="850" w:type="dxa"/>
          </w:tcPr>
          <w:p w14:paraId="22AF92C9">
            <w:pPr>
              <w:rPr>
                <w:rFonts w:eastAsia="仿宋_GB2312"/>
                <w:color w:val="000000" w:themeColor="text1"/>
                <w:sz w:val="30"/>
                <w:szCs w:val="30"/>
                <w:highlight w:val="none"/>
                <w14:textFill>
                  <w14:solidFill>
                    <w14:schemeClr w14:val="tx1"/>
                  </w14:solidFill>
                </w14:textFill>
              </w:rPr>
            </w:pPr>
          </w:p>
        </w:tc>
        <w:tc>
          <w:tcPr>
            <w:tcW w:w="1058" w:type="dxa"/>
          </w:tcPr>
          <w:p w14:paraId="67AD9CEB">
            <w:pPr>
              <w:rPr>
                <w:rFonts w:eastAsia="仿宋_GB2312"/>
                <w:color w:val="000000" w:themeColor="text1"/>
                <w:sz w:val="30"/>
                <w:szCs w:val="30"/>
                <w:highlight w:val="none"/>
                <w14:textFill>
                  <w14:solidFill>
                    <w14:schemeClr w14:val="tx1"/>
                  </w14:solidFill>
                </w14:textFill>
              </w:rPr>
            </w:pPr>
          </w:p>
        </w:tc>
        <w:tc>
          <w:tcPr>
            <w:tcW w:w="880" w:type="dxa"/>
          </w:tcPr>
          <w:p w14:paraId="2543FEC4">
            <w:pPr>
              <w:rPr>
                <w:rFonts w:eastAsia="仿宋_GB2312"/>
                <w:color w:val="000000" w:themeColor="text1"/>
                <w:sz w:val="30"/>
                <w:szCs w:val="30"/>
                <w:highlight w:val="none"/>
                <w14:textFill>
                  <w14:solidFill>
                    <w14:schemeClr w14:val="tx1"/>
                  </w14:solidFill>
                </w14:textFill>
              </w:rPr>
            </w:pPr>
          </w:p>
        </w:tc>
        <w:tc>
          <w:tcPr>
            <w:tcW w:w="1020" w:type="dxa"/>
          </w:tcPr>
          <w:p w14:paraId="2E452804">
            <w:pPr>
              <w:rPr>
                <w:rFonts w:eastAsia="仿宋_GB2312"/>
                <w:color w:val="000000" w:themeColor="text1"/>
                <w:sz w:val="30"/>
                <w:szCs w:val="30"/>
                <w:highlight w:val="none"/>
                <w14:textFill>
                  <w14:solidFill>
                    <w14:schemeClr w14:val="tx1"/>
                  </w14:solidFill>
                </w14:textFill>
              </w:rPr>
            </w:pPr>
          </w:p>
        </w:tc>
        <w:tc>
          <w:tcPr>
            <w:tcW w:w="1480" w:type="dxa"/>
          </w:tcPr>
          <w:p w14:paraId="020DADBF">
            <w:pPr>
              <w:rPr>
                <w:rFonts w:eastAsia="仿宋_GB2312"/>
                <w:color w:val="000000" w:themeColor="text1"/>
                <w:sz w:val="30"/>
                <w:szCs w:val="30"/>
                <w:highlight w:val="none"/>
                <w14:textFill>
                  <w14:solidFill>
                    <w14:schemeClr w14:val="tx1"/>
                  </w14:solidFill>
                </w14:textFill>
              </w:rPr>
            </w:pPr>
          </w:p>
        </w:tc>
        <w:tc>
          <w:tcPr>
            <w:tcW w:w="1020" w:type="dxa"/>
          </w:tcPr>
          <w:p w14:paraId="7F44A4C2">
            <w:pPr>
              <w:rPr>
                <w:rFonts w:eastAsia="仿宋_GB2312"/>
                <w:color w:val="000000" w:themeColor="text1"/>
                <w:sz w:val="30"/>
                <w:szCs w:val="30"/>
                <w:highlight w:val="none"/>
                <w14:textFill>
                  <w14:solidFill>
                    <w14:schemeClr w14:val="tx1"/>
                  </w14:solidFill>
                </w14:textFill>
              </w:rPr>
            </w:pPr>
          </w:p>
        </w:tc>
        <w:tc>
          <w:tcPr>
            <w:tcW w:w="921" w:type="dxa"/>
          </w:tcPr>
          <w:p w14:paraId="7E319D80">
            <w:pPr>
              <w:rPr>
                <w:rFonts w:eastAsia="仿宋_GB2312"/>
                <w:color w:val="000000" w:themeColor="text1"/>
                <w:sz w:val="30"/>
                <w:szCs w:val="30"/>
                <w:highlight w:val="none"/>
                <w14:textFill>
                  <w14:solidFill>
                    <w14:schemeClr w14:val="tx1"/>
                  </w14:solidFill>
                </w14:textFill>
              </w:rPr>
            </w:pPr>
          </w:p>
        </w:tc>
      </w:tr>
      <w:tr w14:paraId="49C82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735F3F25">
            <w:pPr>
              <w:rPr>
                <w:rFonts w:eastAsia="仿宋_GB2312"/>
                <w:color w:val="000000" w:themeColor="text1"/>
                <w:sz w:val="30"/>
                <w:szCs w:val="30"/>
                <w:highlight w:val="none"/>
                <w14:textFill>
                  <w14:solidFill>
                    <w14:schemeClr w14:val="tx1"/>
                  </w14:solidFill>
                </w14:textFill>
              </w:rPr>
            </w:pPr>
          </w:p>
        </w:tc>
        <w:tc>
          <w:tcPr>
            <w:tcW w:w="1418" w:type="dxa"/>
          </w:tcPr>
          <w:p w14:paraId="2C4A6FAD">
            <w:pPr>
              <w:rPr>
                <w:rFonts w:eastAsia="仿宋_GB2312"/>
                <w:color w:val="000000" w:themeColor="text1"/>
                <w:sz w:val="30"/>
                <w:szCs w:val="30"/>
                <w:highlight w:val="none"/>
                <w14:textFill>
                  <w14:solidFill>
                    <w14:schemeClr w14:val="tx1"/>
                  </w14:solidFill>
                </w14:textFill>
              </w:rPr>
            </w:pPr>
          </w:p>
        </w:tc>
        <w:tc>
          <w:tcPr>
            <w:tcW w:w="850" w:type="dxa"/>
          </w:tcPr>
          <w:p w14:paraId="13602AE6">
            <w:pPr>
              <w:rPr>
                <w:rFonts w:eastAsia="仿宋_GB2312"/>
                <w:color w:val="000000" w:themeColor="text1"/>
                <w:sz w:val="30"/>
                <w:szCs w:val="30"/>
                <w:highlight w:val="none"/>
                <w14:textFill>
                  <w14:solidFill>
                    <w14:schemeClr w14:val="tx1"/>
                  </w14:solidFill>
                </w14:textFill>
              </w:rPr>
            </w:pPr>
          </w:p>
        </w:tc>
        <w:tc>
          <w:tcPr>
            <w:tcW w:w="1058" w:type="dxa"/>
          </w:tcPr>
          <w:p w14:paraId="26CF0C91">
            <w:pPr>
              <w:rPr>
                <w:rFonts w:eastAsia="仿宋_GB2312"/>
                <w:color w:val="000000" w:themeColor="text1"/>
                <w:sz w:val="30"/>
                <w:szCs w:val="30"/>
                <w:highlight w:val="none"/>
                <w14:textFill>
                  <w14:solidFill>
                    <w14:schemeClr w14:val="tx1"/>
                  </w14:solidFill>
                </w14:textFill>
              </w:rPr>
            </w:pPr>
          </w:p>
        </w:tc>
        <w:tc>
          <w:tcPr>
            <w:tcW w:w="880" w:type="dxa"/>
          </w:tcPr>
          <w:p w14:paraId="6B5CFC7B">
            <w:pPr>
              <w:rPr>
                <w:rFonts w:eastAsia="仿宋_GB2312"/>
                <w:color w:val="000000" w:themeColor="text1"/>
                <w:sz w:val="30"/>
                <w:szCs w:val="30"/>
                <w:highlight w:val="none"/>
                <w14:textFill>
                  <w14:solidFill>
                    <w14:schemeClr w14:val="tx1"/>
                  </w14:solidFill>
                </w14:textFill>
              </w:rPr>
            </w:pPr>
          </w:p>
        </w:tc>
        <w:tc>
          <w:tcPr>
            <w:tcW w:w="1020" w:type="dxa"/>
          </w:tcPr>
          <w:p w14:paraId="04211B1C">
            <w:pPr>
              <w:rPr>
                <w:rFonts w:eastAsia="仿宋_GB2312"/>
                <w:color w:val="000000" w:themeColor="text1"/>
                <w:sz w:val="30"/>
                <w:szCs w:val="30"/>
                <w:highlight w:val="none"/>
                <w14:textFill>
                  <w14:solidFill>
                    <w14:schemeClr w14:val="tx1"/>
                  </w14:solidFill>
                </w14:textFill>
              </w:rPr>
            </w:pPr>
          </w:p>
        </w:tc>
        <w:tc>
          <w:tcPr>
            <w:tcW w:w="1480" w:type="dxa"/>
          </w:tcPr>
          <w:p w14:paraId="133B955E">
            <w:pPr>
              <w:rPr>
                <w:rFonts w:eastAsia="仿宋_GB2312"/>
                <w:color w:val="000000" w:themeColor="text1"/>
                <w:sz w:val="30"/>
                <w:szCs w:val="30"/>
                <w:highlight w:val="none"/>
                <w14:textFill>
                  <w14:solidFill>
                    <w14:schemeClr w14:val="tx1"/>
                  </w14:solidFill>
                </w14:textFill>
              </w:rPr>
            </w:pPr>
          </w:p>
        </w:tc>
        <w:tc>
          <w:tcPr>
            <w:tcW w:w="1020" w:type="dxa"/>
          </w:tcPr>
          <w:p w14:paraId="23C2675C">
            <w:pPr>
              <w:rPr>
                <w:rFonts w:eastAsia="仿宋_GB2312"/>
                <w:color w:val="000000" w:themeColor="text1"/>
                <w:sz w:val="30"/>
                <w:szCs w:val="30"/>
                <w:highlight w:val="none"/>
                <w14:textFill>
                  <w14:solidFill>
                    <w14:schemeClr w14:val="tx1"/>
                  </w14:solidFill>
                </w14:textFill>
              </w:rPr>
            </w:pPr>
          </w:p>
        </w:tc>
        <w:tc>
          <w:tcPr>
            <w:tcW w:w="921" w:type="dxa"/>
          </w:tcPr>
          <w:p w14:paraId="76331DBA">
            <w:pPr>
              <w:rPr>
                <w:rFonts w:eastAsia="仿宋_GB2312"/>
                <w:color w:val="000000" w:themeColor="text1"/>
                <w:sz w:val="30"/>
                <w:szCs w:val="30"/>
                <w:highlight w:val="none"/>
                <w14:textFill>
                  <w14:solidFill>
                    <w14:schemeClr w14:val="tx1"/>
                  </w14:solidFill>
                </w14:textFill>
              </w:rPr>
            </w:pPr>
          </w:p>
        </w:tc>
      </w:tr>
      <w:tr w14:paraId="57E96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40381901">
            <w:pPr>
              <w:rPr>
                <w:rFonts w:eastAsia="仿宋_GB2312"/>
                <w:color w:val="000000" w:themeColor="text1"/>
                <w:sz w:val="30"/>
                <w:szCs w:val="30"/>
                <w:highlight w:val="none"/>
                <w14:textFill>
                  <w14:solidFill>
                    <w14:schemeClr w14:val="tx1"/>
                  </w14:solidFill>
                </w14:textFill>
              </w:rPr>
            </w:pPr>
          </w:p>
        </w:tc>
        <w:tc>
          <w:tcPr>
            <w:tcW w:w="1418" w:type="dxa"/>
          </w:tcPr>
          <w:p w14:paraId="150C35B0">
            <w:pPr>
              <w:rPr>
                <w:rFonts w:eastAsia="仿宋_GB2312"/>
                <w:color w:val="000000" w:themeColor="text1"/>
                <w:sz w:val="30"/>
                <w:szCs w:val="30"/>
                <w:highlight w:val="none"/>
                <w14:textFill>
                  <w14:solidFill>
                    <w14:schemeClr w14:val="tx1"/>
                  </w14:solidFill>
                </w14:textFill>
              </w:rPr>
            </w:pPr>
          </w:p>
        </w:tc>
        <w:tc>
          <w:tcPr>
            <w:tcW w:w="850" w:type="dxa"/>
          </w:tcPr>
          <w:p w14:paraId="1E9CFD04">
            <w:pPr>
              <w:rPr>
                <w:rFonts w:eastAsia="仿宋_GB2312"/>
                <w:color w:val="000000" w:themeColor="text1"/>
                <w:sz w:val="30"/>
                <w:szCs w:val="30"/>
                <w:highlight w:val="none"/>
                <w14:textFill>
                  <w14:solidFill>
                    <w14:schemeClr w14:val="tx1"/>
                  </w14:solidFill>
                </w14:textFill>
              </w:rPr>
            </w:pPr>
          </w:p>
        </w:tc>
        <w:tc>
          <w:tcPr>
            <w:tcW w:w="1058" w:type="dxa"/>
          </w:tcPr>
          <w:p w14:paraId="51DDD5C8">
            <w:pPr>
              <w:rPr>
                <w:rFonts w:eastAsia="仿宋_GB2312"/>
                <w:color w:val="000000" w:themeColor="text1"/>
                <w:sz w:val="30"/>
                <w:szCs w:val="30"/>
                <w:highlight w:val="none"/>
                <w14:textFill>
                  <w14:solidFill>
                    <w14:schemeClr w14:val="tx1"/>
                  </w14:solidFill>
                </w14:textFill>
              </w:rPr>
            </w:pPr>
          </w:p>
        </w:tc>
        <w:tc>
          <w:tcPr>
            <w:tcW w:w="880" w:type="dxa"/>
          </w:tcPr>
          <w:p w14:paraId="464727C7">
            <w:pPr>
              <w:rPr>
                <w:rFonts w:eastAsia="仿宋_GB2312"/>
                <w:color w:val="000000" w:themeColor="text1"/>
                <w:sz w:val="30"/>
                <w:szCs w:val="30"/>
                <w:highlight w:val="none"/>
                <w14:textFill>
                  <w14:solidFill>
                    <w14:schemeClr w14:val="tx1"/>
                  </w14:solidFill>
                </w14:textFill>
              </w:rPr>
            </w:pPr>
          </w:p>
        </w:tc>
        <w:tc>
          <w:tcPr>
            <w:tcW w:w="1020" w:type="dxa"/>
          </w:tcPr>
          <w:p w14:paraId="19D19278">
            <w:pPr>
              <w:rPr>
                <w:rFonts w:eastAsia="仿宋_GB2312"/>
                <w:color w:val="000000" w:themeColor="text1"/>
                <w:sz w:val="30"/>
                <w:szCs w:val="30"/>
                <w:highlight w:val="none"/>
                <w14:textFill>
                  <w14:solidFill>
                    <w14:schemeClr w14:val="tx1"/>
                  </w14:solidFill>
                </w14:textFill>
              </w:rPr>
            </w:pPr>
          </w:p>
        </w:tc>
        <w:tc>
          <w:tcPr>
            <w:tcW w:w="1480" w:type="dxa"/>
          </w:tcPr>
          <w:p w14:paraId="4FF903E8">
            <w:pPr>
              <w:rPr>
                <w:rFonts w:eastAsia="仿宋_GB2312"/>
                <w:color w:val="000000" w:themeColor="text1"/>
                <w:sz w:val="30"/>
                <w:szCs w:val="30"/>
                <w:highlight w:val="none"/>
                <w14:textFill>
                  <w14:solidFill>
                    <w14:schemeClr w14:val="tx1"/>
                  </w14:solidFill>
                </w14:textFill>
              </w:rPr>
            </w:pPr>
          </w:p>
        </w:tc>
        <w:tc>
          <w:tcPr>
            <w:tcW w:w="1020" w:type="dxa"/>
          </w:tcPr>
          <w:p w14:paraId="6AD39AFE">
            <w:pPr>
              <w:rPr>
                <w:rFonts w:eastAsia="仿宋_GB2312"/>
                <w:color w:val="000000" w:themeColor="text1"/>
                <w:sz w:val="30"/>
                <w:szCs w:val="30"/>
                <w:highlight w:val="none"/>
                <w14:textFill>
                  <w14:solidFill>
                    <w14:schemeClr w14:val="tx1"/>
                  </w14:solidFill>
                </w14:textFill>
              </w:rPr>
            </w:pPr>
          </w:p>
        </w:tc>
        <w:tc>
          <w:tcPr>
            <w:tcW w:w="921" w:type="dxa"/>
          </w:tcPr>
          <w:p w14:paraId="4BCA9442">
            <w:pPr>
              <w:rPr>
                <w:rFonts w:eastAsia="仿宋_GB2312"/>
                <w:color w:val="000000" w:themeColor="text1"/>
                <w:sz w:val="30"/>
                <w:szCs w:val="30"/>
                <w:highlight w:val="none"/>
                <w14:textFill>
                  <w14:solidFill>
                    <w14:schemeClr w14:val="tx1"/>
                  </w14:solidFill>
                </w14:textFill>
              </w:rPr>
            </w:pPr>
          </w:p>
        </w:tc>
      </w:tr>
      <w:tr w14:paraId="3CBB7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64CB2DD6">
            <w:pPr>
              <w:rPr>
                <w:rFonts w:eastAsia="仿宋_GB2312"/>
                <w:color w:val="000000" w:themeColor="text1"/>
                <w:sz w:val="30"/>
                <w:szCs w:val="30"/>
                <w:highlight w:val="none"/>
                <w14:textFill>
                  <w14:solidFill>
                    <w14:schemeClr w14:val="tx1"/>
                  </w14:solidFill>
                </w14:textFill>
              </w:rPr>
            </w:pPr>
          </w:p>
        </w:tc>
        <w:tc>
          <w:tcPr>
            <w:tcW w:w="1418" w:type="dxa"/>
          </w:tcPr>
          <w:p w14:paraId="1A13A00E">
            <w:pPr>
              <w:rPr>
                <w:rFonts w:eastAsia="仿宋_GB2312"/>
                <w:color w:val="000000" w:themeColor="text1"/>
                <w:sz w:val="30"/>
                <w:szCs w:val="30"/>
                <w:highlight w:val="none"/>
                <w14:textFill>
                  <w14:solidFill>
                    <w14:schemeClr w14:val="tx1"/>
                  </w14:solidFill>
                </w14:textFill>
              </w:rPr>
            </w:pPr>
          </w:p>
        </w:tc>
        <w:tc>
          <w:tcPr>
            <w:tcW w:w="850" w:type="dxa"/>
          </w:tcPr>
          <w:p w14:paraId="28CEDF39">
            <w:pPr>
              <w:rPr>
                <w:rFonts w:eastAsia="仿宋_GB2312"/>
                <w:color w:val="000000" w:themeColor="text1"/>
                <w:sz w:val="30"/>
                <w:szCs w:val="30"/>
                <w:highlight w:val="none"/>
                <w14:textFill>
                  <w14:solidFill>
                    <w14:schemeClr w14:val="tx1"/>
                  </w14:solidFill>
                </w14:textFill>
              </w:rPr>
            </w:pPr>
          </w:p>
        </w:tc>
        <w:tc>
          <w:tcPr>
            <w:tcW w:w="1058" w:type="dxa"/>
          </w:tcPr>
          <w:p w14:paraId="32903C77">
            <w:pPr>
              <w:rPr>
                <w:rFonts w:eastAsia="仿宋_GB2312"/>
                <w:color w:val="000000" w:themeColor="text1"/>
                <w:sz w:val="30"/>
                <w:szCs w:val="30"/>
                <w:highlight w:val="none"/>
                <w14:textFill>
                  <w14:solidFill>
                    <w14:schemeClr w14:val="tx1"/>
                  </w14:solidFill>
                </w14:textFill>
              </w:rPr>
            </w:pPr>
          </w:p>
        </w:tc>
        <w:tc>
          <w:tcPr>
            <w:tcW w:w="880" w:type="dxa"/>
          </w:tcPr>
          <w:p w14:paraId="5B6415B7">
            <w:pPr>
              <w:rPr>
                <w:rFonts w:eastAsia="仿宋_GB2312"/>
                <w:color w:val="000000" w:themeColor="text1"/>
                <w:sz w:val="30"/>
                <w:szCs w:val="30"/>
                <w:highlight w:val="none"/>
                <w14:textFill>
                  <w14:solidFill>
                    <w14:schemeClr w14:val="tx1"/>
                  </w14:solidFill>
                </w14:textFill>
              </w:rPr>
            </w:pPr>
          </w:p>
        </w:tc>
        <w:tc>
          <w:tcPr>
            <w:tcW w:w="1020" w:type="dxa"/>
          </w:tcPr>
          <w:p w14:paraId="1454FAFA">
            <w:pPr>
              <w:rPr>
                <w:rFonts w:eastAsia="仿宋_GB2312"/>
                <w:color w:val="000000" w:themeColor="text1"/>
                <w:sz w:val="30"/>
                <w:szCs w:val="30"/>
                <w:highlight w:val="none"/>
                <w14:textFill>
                  <w14:solidFill>
                    <w14:schemeClr w14:val="tx1"/>
                  </w14:solidFill>
                </w14:textFill>
              </w:rPr>
            </w:pPr>
          </w:p>
        </w:tc>
        <w:tc>
          <w:tcPr>
            <w:tcW w:w="1480" w:type="dxa"/>
          </w:tcPr>
          <w:p w14:paraId="2A72A61A">
            <w:pPr>
              <w:rPr>
                <w:rFonts w:eastAsia="仿宋_GB2312"/>
                <w:color w:val="000000" w:themeColor="text1"/>
                <w:sz w:val="30"/>
                <w:szCs w:val="30"/>
                <w:highlight w:val="none"/>
                <w14:textFill>
                  <w14:solidFill>
                    <w14:schemeClr w14:val="tx1"/>
                  </w14:solidFill>
                </w14:textFill>
              </w:rPr>
            </w:pPr>
          </w:p>
        </w:tc>
        <w:tc>
          <w:tcPr>
            <w:tcW w:w="1020" w:type="dxa"/>
          </w:tcPr>
          <w:p w14:paraId="7BF4D616">
            <w:pPr>
              <w:rPr>
                <w:rFonts w:eastAsia="仿宋_GB2312"/>
                <w:color w:val="000000" w:themeColor="text1"/>
                <w:sz w:val="30"/>
                <w:szCs w:val="30"/>
                <w:highlight w:val="none"/>
                <w14:textFill>
                  <w14:solidFill>
                    <w14:schemeClr w14:val="tx1"/>
                  </w14:solidFill>
                </w14:textFill>
              </w:rPr>
            </w:pPr>
          </w:p>
        </w:tc>
        <w:tc>
          <w:tcPr>
            <w:tcW w:w="921" w:type="dxa"/>
          </w:tcPr>
          <w:p w14:paraId="46028D0C">
            <w:pPr>
              <w:rPr>
                <w:rFonts w:eastAsia="仿宋_GB2312"/>
                <w:color w:val="000000" w:themeColor="text1"/>
                <w:sz w:val="30"/>
                <w:szCs w:val="30"/>
                <w:highlight w:val="none"/>
                <w14:textFill>
                  <w14:solidFill>
                    <w14:schemeClr w14:val="tx1"/>
                  </w14:solidFill>
                </w14:textFill>
              </w:rPr>
            </w:pPr>
          </w:p>
        </w:tc>
      </w:tr>
      <w:tr w14:paraId="33531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3326DF7F">
            <w:pPr>
              <w:rPr>
                <w:rFonts w:eastAsia="仿宋_GB2312"/>
                <w:color w:val="000000" w:themeColor="text1"/>
                <w:sz w:val="30"/>
                <w:szCs w:val="30"/>
                <w:highlight w:val="none"/>
                <w14:textFill>
                  <w14:solidFill>
                    <w14:schemeClr w14:val="tx1"/>
                  </w14:solidFill>
                </w14:textFill>
              </w:rPr>
            </w:pPr>
          </w:p>
        </w:tc>
        <w:tc>
          <w:tcPr>
            <w:tcW w:w="1418" w:type="dxa"/>
          </w:tcPr>
          <w:p w14:paraId="000D87DB">
            <w:pPr>
              <w:rPr>
                <w:rFonts w:eastAsia="仿宋_GB2312"/>
                <w:color w:val="000000" w:themeColor="text1"/>
                <w:sz w:val="30"/>
                <w:szCs w:val="30"/>
                <w:highlight w:val="none"/>
                <w14:textFill>
                  <w14:solidFill>
                    <w14:schemeClr w14:val="tx1"/>
                  </w14:solidFill>
                </w14:textFill>
              </w:rPr>
            </w:pPr>
          </w:p>
        </w:tc>
        <w:tc>
          <w:tcPr>
            <w:tcW w:w="850" w:type="dxa"/>
          </w:tcPr>
          <w:p w14:paraId="77CA2311">
            <w:pPr>
              <w:rPr>
                <w:rFonts w:eastAsia="仿宋_GB2312"/>
                <w:color w:val="000000" w:themeColor="text1"/>
                <w:sz w:val="30"/>
                <w:szCs w:val="30"/>
                <w:highlight w:val="none"/>
                <w14:textFill>
                  <w14:solidFill>
                    <w14:schemeClr w14:val="tx1"/>
                  </w14:solidFill>
                </w14:textFill>
              </w:rPr>
            </w:pPr>
          </w:p>
        </w:tc>
        <w:tc>
          <w:tcPr>
            <w:tcW w:w="1058" w:type="dxa"/>
          </w:tcPr>
          <w:p w14:paraId="1A92FBE6">
            <w:pPr>
              <w:rPr>
                <w:rFonts w:eastAsia="仿宋_GB2312"/>
                <w:color w:val="000000" w:themeColor="text1"/>
                <w:sz w:val="30"/>
                <w:szCs w:val="30"/>
                <w:highlight w:val="none"/>
                <w14:textFill>
                  <w14:solidFill>
                    <w14:schemeClr w14:val="tx1"/>
                  </w14:solidFill>
                </w14:textFill>
              </w:rPr>
            </w:pPr>
          </w:p>
        </w:tc>
        <w:tc>
          <w:tcPr>
            <w:tcW w:w="880" w:type="dxa"/>
          </w:tcPr>
          <w:p w14:paraId="258774C3">
            <w:pPr>
              <w:rPr>
                <w:rFonts w:eastAsia="仿宋_GB2312"/>
                <w:color w:val="000000" w:themeColor="text1"/>
                <w:sz w:val="30"/>
                <w:szCs w:val="30"/>
                <w:highlight w:val="none"/>
                <w14:textFill>
                  <w14:solidFill>
                    <w14:schemeClr w14:val="tx1"/>
                  </w14:solidFill>
                </w14:textFill>
              </w:rPr>
            </w:pPr>
          </w:p>
        </w:tc>
        <w:tc>
          <w:tcPr>
            <w:tcW w:w="1020" w:type="dxa"/>
          </w:tcPr>
          <w:p w14:paraId="483C80A0">
            <w:pPr>
              <w:rPr>
                <w:rFonts w:eastAsia="仿宋_GB2312"/>
                <w:color w:val="000000" w:themeColor="text1"/>
                <w:sz w:val="30"/>
                <w:szCs w:val="30"/>
                <w:highlight w:val="none"/>
                <w14:textFill>
                  <w14:solidFill>
                    <w14:schemeClr w14:val="tx1"/>
                  </w14:solidFill>
                </w14:textFill>
              </w:rPr>
            </w:pPr>
          </w:p>
        </w:tc>
        <w:tc>
          <w:tcPr>
            <w:tcW w:w="1480" w:type="dxa"/>
          </w:tcPr>
          <w:p w14:paraId="4595650E">
            <w:pPr>
              <w:rPr>
                <w:rFonts w:eastAsia="仿宋_GB2312"/>
                <w:color w:val="000000" w:themeColor="text1"/>
                <w:sz w:val="30"/>
                <w:szCs w:val="30"/>
                <w:highlight w:val="none"/>
                <w14:textFill>
                  <w14:solidFill>
                    <w14:schemeClr w14:val="tx1"/>
                  </w14:solidFill>
                </w14:textFill>
              </w:rPr>
            </w:pPr>
          </w:p>
        </w:tc>
        <w:tc>
          <w:tcPr>
            <w:tcW w:w="1020" w:type="dxa"/>
          </w:tcPr>
          <w:p w14:paraId="575F3C1D">
            <w:pPr>
              <w:rPr>
                <w:rFonts w:eastAsia="仿宋_GB2312"/>
                <w:color w:val="000000" w:themeColor="text1"/>
                <w:sz w:val="30"/>
                <w:szCs w:val="30"/>
                <w:highlight w:val="none"/>
                <w14:textFill>
                  <w14:solidFill>
                    <w14:schemeClr w14:val="tx1"/>
                  </w14:solidFill>
                </w14:textFill>
              </w:rPr>
            </w:pPr>
          </w:p>
        </w:tc>
        <w:tc>
          <w:tcPr>
            <w:tcW w:w="921" w:type="dxa"/>
          </w:tcPr>
          <w:p w14:paraId="0E7430E8">
            <w:pPr>
              <w:rPr>
                <w:rFonts w:eastAsia="仿宋_GB2312"/>
                <w:color w:val="000000" w:themeColor="text1"/>
                <w:sz w:val="30"/>
                <w:szCs w:val="30"/>
                <w:highlight w:val="none"/>
                <w14:textFill>
                  <w14:solidFill>
                    <w14:schemeClr w14:val="tx1"/>
                  </w14:solidFill>
                </w14:textFill>
              </w:rPr>
            </w:pPr>
          </w:p>
        </w:tc>
      </w:tr>
      <w:tr w14:paraId="4067C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0DEFBC7C">
            <w:pPr>
              <w:rPr>
                <w:rFonts w:eastAsia="仿宋_GB2312"/>
                <w:color w:val="000000" w:themeColor="text1"/>
                <w:sz w:val="30"/>
                <w:szCs w:val="30"/>
                <w:highlight w:val="none"/>
                <w14:textFill>
                  <w14:solidFill>
                    <w14:schemeClr w14:val="tx1"/>
                  </w14:solidFill>
                </w14:textFill>
              </w:rPr>
            </w:pPr>
          </w:p>
        </w:tc>
        <w:tc>
          <w:tcPr>
            <w:tcW w:w="1418" w:type="dxa"/>
          </w:tcPr>
          <w:p w14:paraId="22674D30">
            <w:pPr>
              <w:rPr>
                <w:rFonts w:eastAsia="仿宋_GB2312"/>
                <w:color w:val="000000" w:themeColor="text1"/>
                <w:sz w:val="30"/>
                <w:szCs w:val="30"/>
                <w:highlight w:val="none"/>
                <w14:textFill>
                  <w14:solidFill>
                    <w14:schemeClr w14:val="tx1"/>
                  </w14:solidFill>
                </w14:textFill>
              </w:rPr>
            </w:pPr>
          </w:p>
        </w:tc>
        <w:tc>
          <w:tcPr>
            <w:tcW w:w="850" w:type="dxa"/>
          </w:tcPr>
          <w:p w14:paraId="375D4524">
            <w:pPr>
              <w:rPr>
                <w:rFonts w:eastAsia="仿宋_GB2312"/>
                <w:color w:val="000000" w:themeColor="text1"/>
                <w:sz w:val="30"/>
                <w:szCs w:val="30"/>
                <w:highlight w:val="none"/>
                <w14:textFill>
                  <w14:solidFill>
                    <w14:schemeClr w14:val="tx1"/>
                  </w14:solidFill>
                </w14:textFill>
              </w:rPr>
            </w:pPr>
          </w:p>
        </w:tc>
        <w:tc>
          <w:tcPr>
            <w:tcW w:w="1058" w:type="dxa"/>
          </w:tcPr>
          <w:p w14:paraId="03A32A14">
            <w:pPr>
              <w:rPr>
                <w:rFonts w:eastAsia="仿宋_GB2312"/>
                <w:color w:val="000000" w:themeColor="text1"/>
                <w:sz w:val="30"/>
                <w:szCs w:val="30"/>
                <w:highlight w:val="none"/>
                <w14:textFill>
                  <w14:solidFill>
                    <w14:schemeClr w14:val="tx1"/>
                  </w14:solidFill>
                </w14:textFill>
              </w:rPr>
            </w:pPr>
          </w:p>
        </w:tc>
        <w:tc>
          <w:tcPr>
            <w:tcW w:w="880" w:type="dxa"/>
          </w:tcPr>
          <w:p w14:paraId="41954FEA">
            <w:pPr>
              <w:rPr>
                <w:rFonts w:eastAsia="仿宋_GB2312"/>
                <w:color w:val="000000" w:themeColor="text1"/>
                <w:sz w:val="30"/>
                <w:szCs w:val="30"/>
                <w:highlight w:val="none"/>
                <w14:textFill>
                  <w14:solidFill>
                    <w14:schemeClr w14:val="tx1"/>
                  </w14:solidFill>
                </w14:textFill>
              </w:rPr>
            </w:pPr>
          </w:p>
        </w:tc>
        <w:tc>
          <w:tcPr>
            <w:tcW w:w="1020" w:type="dxa"/>
          </w:tcPr>
          <w:p w14:paraId="00797960">
            <w:pPr>
              <w:rPr>
                <w:rFonts w:eastAsia="仿宋_GB2312"/>
                <w:color w:val="000000" w:themeColor="text1"/>
                <w:sz w:val="30"/>
                <w:szCs w:val="30"/>
                <w:highlight w:val="none"/>
                <w14:textFill>
                  <w14:solidFill>
                    <w14:schemeClr w14:val="tx1"/>
                  </w14:solidFill>
                </w14:textFill>
              </w:rPr>
            </w:pPr>
          </w:p>
        </w:tc>
        <w:tc>
          <w:tcPr>
            <w:tcW w:w="1480" w:type="dxa"/>
          </w:tcPr>
          <w:p w14:paraId="0F958B64">
            <w:pPr>
              <w:rPr>
                <w:rFonts w:eastAsia="仿宋_GB2312"/>
                <w:color w:val="000000" w:themeColor="text1"/>
                <w:sz w:val="30"/>
                <w:szCs w:val="30"/>
                <w:highlight w:val="none"/>
                <w14:textFill>
                  <w14:solidFill>
                    <w14:schemeClr w14:val="tx1"/>
                  </w14:solidFill>
                </w14:textFill>
              </w:rPr>
            </w:pPr>
          </w:p>
        </w:tc>
        <w:tc>
          <w:tcPr>
            <w:tcW w:w="1020" w:type="dxa"/>
          </w:tcPr>
          <w:p w14:paraId="302CAD64">
            <w:pPr>
              <w:rPr>
                <w:rFonts w:eastAsia="仿宋_GB2312"/>
                <w:color w:val="000000" w:themeColor="text1"/>
                <w:sz w:val="30"/>
                <w:szCs w:val="30"/>
                <w:highlight w:val="none"/>
                <w14:textFill>
                  <w14:solidFill>
                    <w14:schemeClr w14:val="tx1"/>
                  </w14:solidFill>
                </w14:textFill>
              </w:rPr>
            </w:pPr>
          </w:p>
        </w:tc>
        <w:tc>
          <w:tcPr>
            <w:tcW w:w="921" w:type="dxa"/>
          </w:tcPr>
          <w:p w14:paraId="1600F09B">
            <w:pPr>
              <w:rPr>
                <w:rFonts w:eastAsia="仿宋_GB2312"/>
                <w:color w:val="000000" w:themeColor="text1"/>
                <w:sz w:val="30"/>
                <w:szCs w:val="30"/>
                <w:highlight w:val="none"/>
                <w14:textFill>
                  <w14:solidFill>
                    <w14:schemeClr w14:val="tx1"/>
                  </w14:solidFill>
                </w14:textFill>
              </w:rPr>
            </w:pPr>
          </w:p>
        </w:tc>
      </w:tr>
      <w:tr w14:paraId="06041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5A2EC7A0">
            <w:pPr>
              <w:rPr>
                <w:rFonts w:eastAsia="仿宋_GB2312"/>
                <w:color w:val="000000" w:themeColor="text1"/>
                <w:sz w:val="30"/>
                <w:szCs w:val="30"/>
                <w:highlight w:val="none"/>
                <w14:textFill>
                  <w14:solidFill>
                    <w14:schemeClr w14:val="tx1"/>
                  </w14:solidFill>
                </w14:textFill>
              </w:rPr>
            </w:pPr>
          </w:p>
        </w:tc>
        <w:tc>
          <w:tcPr>
            <w:tcW w:w="1418" w:type="dxa"/>
          </w:tcPr>
          <w:p w14:paraId="011255CD">
            <w:pPr>
              <w:rPr>
                <w:rFonts w:eastAsia="仿宋_GB2312"/>
                <w:color w:val="000000" w:themeColor="text1"/>
                <w:sz w:val="30"/>
                <w:szCs w:val="30"/>
                <w:highlight w:val="none"/>
                <w14:textFill>
                  <w14:solidFill>
                    <w14:schemeClr w14:val="tx1"/>
                  </w14:solidFill>
                </w14:textFill>
              </w:rPr>
            </w:pPr>
          </w:p>
        </w:tc>
        <w:tc>
          <w:tcPr>
            <w:tcW w:w="850" w:type="dxa"/>
          </w:tcPr>
          <w:p w14:paraId="2D4843F8">
            <w:pPr>
              <w:rPr>
                <w:rFonts w:eastAsia="仿宋_GB2312"/>
                <w:color w:val="000000" w:themeColor="text1"/>
                <w:sz w:val="30"/>
                <w:szCs w:val="30"/>
                <w:highlight w:val="none"/>
                <w14:textFill>
                  <w14:solidFill>
                    <w14:schemeClr w14:val="tx1"/>
                  </w14:solidFill>
                </w14:textFill>
              </w:rPr>
            </w:pPr>
          </w:p>
        </w:tc>
        <w:tc>
          <w:tcPr>
            <w:tcW w:w="1058" w:type="dxa"/>
          </w:tcPr>
          <w:p w14:paraId="525C337E">
            <w:pPr>
              <w:rPr>
                <w:rFonts w:eastAsia="仿宋_GB2312"/>
                <w:color w:val="000000" w:themeColor="text1"/>
                <w:sz w:val="30"/>
                <w:szCs w:val="30"/>
                <w:highlight w:val="none"/>
                <w14:textFill>
                  <w14:solidFill>
                    <w14:schemeClr w14:val="tx1"/>
                  </w14:solidFill>
                </w14:textFill>
              </w:rPr>
            </w:pPr>
          </w:p>
        </w:tc>
        <w:tc>
          <w:tcPr>
            <w:tcW w:w="880" w:type="dxa"/>
          </w:tcPr>
          <w:p w14:paraId="716D1F36">
            <w:pPr>
              <w:rPr>
                <w:rFonts w:eastAsia="仿宋_GB2312"/>
                <w:color w:val="000000" w:themeColor="text1"/>
                <w:sz w:val="30"/>
                <w:szCs w:val="30"/>
                <w:highlight w:val="none"/>
                <w14:textFill>
                  <w14:solidFill>
                    <w14:schemeClr w14:val="tx1"/>
                  </w14:solidFill>
                </w14:textFill>
              </w:rPr>
            </w:pPr>
          </w:p>
        </w:tc>
        <w:tc>
          <w:tcPr>
            <w:tcW w:w="1020" w:type="dxa"/>
          </w:tcPr>
          <w:p w14:paraId="4AF26908">
            <w:pPr>
              <w:rPr>
                <w:rFonts w:eastAsia="仿宋_GB2312"/>
                <w:color w:val="000000" w:themeColor="text1"/>
                <w:sz w:val="30"/>
                <w:szCs w:val="30"/>
                <w:highlight w:val="none"/>
                <w14:textFill>
                  <w14:solidFill>
                    <w14:schemeClr w14:val="tx1"/>
                  </w14:solidFill>
                </w14:textFill>
              </w:rPr>
            </w:pPr>
          </w:p>
        </w:tc>
        <w:tc>
          <w:tcPr>
            <w:tcW w:w="1480" w:type="dxa"/>
          </w:tcPr>
          <w:p w14:paraId="0B5739A2">
            <w:pPr>
              <w:rPr>
                <w:rFonts w:eastAsia="仿宋_GB2312"/>
                <w:color w:val="000000" w:themeColor="text1"/>
                <w:sz w:val="30"/>
                <w:szCs w:val="30"/>
                <w:highlight w:val="none"/>
                <w14:textFill>
                  <w14:solidFill>
                    <w14:schemeClr w14:val="tx1"/>
                  </w14:solidFill>
                </w14:textFill>
              </w:rPr>
            </w:pPr>
          </w:p>
        </w:tc>
        <w:tc>
          <w:tcPr>
            <w:tcW w:w="1020" w:type="dxa"/>
          </w:tcPr>
          <w:p w14:paraId="0A794D2C">
            <w:pPr>
              <w:rPr>
                <w:rFonts w:eastAsia="仿宋_GB2312"/>
                <w:color w:val="000000" w:themeColor="text1"/>
                <w:sz w:val="30"/>
                <w:szCs w:val="30"/>
                <w:highlight w:val="none"/>
                <w14:textFill>
                  <w14:solidFill>
                    <w14:schemeClr w14:val="tx1"/>
                  </w14:solidFill>
                </w14:textFill>
              </w:rPr>
            </w:pPr>
          </w:p>
        </w:tc>
        <w:tc>
          <w:tcPr>
            <w:tcW w:w="921" w:type="dxa"/>
          </w:tcPr>
          <w:p w14:paraId="5F1C4280">
            <w:pPr>
              <w:rPr>
                <w:rFonts w:eastAsia="仿宋_GB2312"/>
                <w:color w:val="000000" w:themeColor="text1"/>
                <w:sz w:val="30"/>
                <w:szCs w:val="30"/>
                <w:highlight w:val="none"/>
                <w14:textFill>
                  <w14:solidFill>
                    <w14:schemeClr w14:val="tx1"/>
                  </w14:solidFill>
                </w14:textFill>
              </w:rPr>
            </w:pPr>
          </w:p>
        </w:tc>
      </w:tr>
    </w:tbl>
    <w:p w14:paraId="26EFD9CE">
      <w:pPr>
        <w:spacing w:line="440" w:lineRule="exact"/>
        <w:rPr>
          <w:rFonts w:eastAsia="仿宋_GB2312"/>
          <w:color w:val="000000" w:themeColor="text1"/>
          <w:sz w:val="30"/>
          <w:szCs w:val="30"/>
          <w:highlight w:val="none"/>
          <w14:textFill>
            <w14:solidFill>
              <w14:schemeClr w14:val="tx1"/>
            </w14:solidFill>
          </w14:textFill>
        </w:rPr>
        <w:sectPr>
          <w:pgSz w:w="11907" w:h="16840"/>
          <w:pgMar w:top="1440" w:right="1440" w:bottom="1440" w:left="1797" w:header="851" w:footer="851" w:gutter="0"/>
          <w:cols w:space="720" w:num="1"/>
          <w:docGrid w:linePitch="312" w:charSpace="0"/>
        </w:sectPr>
      </w:pPr>
    </w:p>
    <w:p w14:paraId="39BE5676">
      <w:pPr>
        <w:spacing w:line="440" w:lineRule="exact"/>
        <w:jc w:val="left"/>
        <w:rPr>
          <w:rFonts w:eastAsia="黑体"/>
          <w:color w:val="000000" w:themeColor="text1"/>
          <w:sz w:val="30"/>
          <w:szCs w:val="30"/>
          <w:highlight w:val="none"/>
          <w14:textFill>
            <w14:solidFill>
              <w14:schemeClr w14:val="tx1"/>
            </w14:solidFill>
          </w14:textFill>
        </w:rPr>
      </w:pPr>
      <w:r>
        <w:rPr>
          <w:rFonts w:hint="eastAsia" w:eastAsia="仿宋_GB2312" w:cs="仿宋_GB2312"/>
          <w:color w:val="000000" w:themeColor="text1"/>
          <w:sz w:val="30"/>
          <w:szCs w:val="30"/>
          <w:highlight w:val="none"/>
          <w14:textFill>
            <w14:solidFill>
              <w14:schemeClr w14:val="tx1"/>
            </w14:solidFill>
          </w14:textFill>
        </w:rPr>
        <w:t>附</w:t>
      </w:r>
      <w:bookmarkStart w:id="1134" w:name="_Toc296944567"/>
      <w:bookmarkStart w:id="1135" w:name="_Toc296346729"/>
      <w:bookmarkStart w:id="1136" w:name="_Toc296347227"/>
      <w:bookmarkStart w:id="1137" w:name="_Toc296891056"/>
      <w:bookmarkStart w:id="1138" w:name="_Toc296503228"/>
      <w:bookmarkStart w:id="1139" w:name="_Toc267261699"/>
      <w:bookmarkStart w:id="1140" w:name="_Toc296891268"/>
      <w:r>
        <w:rPr>
          <w:rFonts w:hint="eastAsia" w:eastAsia="仿宋_GB2312" w:cs="仿宋_GB2312"/>
          <w:color w:val="000000" w:themeColor="text1"/>
          <w:sz w:val="30"/>
          <w:szCs w:val="30"/>
          <w:highlight w:val="none"/>
          <w14:textFill>
            <w14:solidFill>
              <w14:schemeClr w14:val="tx1"/>
            </w14:solidFill>
          </w14:textFill>
        </w:rPr>
        <w:t>件</w:t>
      </w:r>
      <w:r>
        <w:rPr>
          <w:rFonts w:hint="eastAsia" w:eastAsia="仿宋_GB2312"/>
          <w:color w:val="000000" w:themeColor="text1"/>
          <w:sz w:val="30"/>
          <w:szCs w:val="30"/>
          <w:highlight w:val="none"/>
          <w14:textFill>
            <w14:solidFill>
              <w14:schemeClr w14:val="tx1"/>
            </w14:solidFill>
          </w14:textFill>
        </w:rPr>
        <w:t>5</w:t>
      </w:r>
      <w:r>
        <w:rPr>
          <w:rFonts w:hint="eastAsia" w:eastAsia="仿宋_GB2312" w:cs="仿宋_GB2312"/>
          <w:color w:val="000000" w:themeColor="text1"/>
          <w:sz w:val="30"/>
          <w:szCs w:val="30"/>
          <w:highlight w:val="none"/>
          <w14:textFill>
            <w14:solidFill>
              <w14:schemeClr w14:val="tx1"/>
            </w14:solidFill>
          </w14:textFill>
        </w:rPr>
        <w:t>：</w:t>
      </w:r>
    </w:p>
    <w:bookmarkEnd w:id="1134"/>
    <w:bookmarkEnd w:id="1135"/>
    <w:bookmarkEnd w:id="1136"/>
    <w:bookmarkEnd w:id="1137"/>
    <w:bookmarkEnd w:id="1138"/>
    <w:bookmarkEnd w:id="1139"/>
    <w:bookmarkEnd w:id="1140"/>
    <w:p w14:paraId="457E620E">
      <w:pPr>
        <w:spacing w:before="156" w:beforeLines="50" w:after="156" w:afterLines="50" w:line="440" w:lineRule="exact"/>
        <w:jc w:val="center"/>
        <w:rPr>
          <w:rFonts w:eastAsia="黑体"/>
          <w:color w:val="000000" w:themeColor="text1"/>
          <w:sz w:val="30"/>
          <w:szCs w:val="30"/>
          <w:highlight w:val="none"/>
          <w14:textFill>
            <w14:solidFill>
              <w14:schemeClr w14:val="tx1"/>
            </w14:solidFill>
          </w14:textFill>
        </w:rPr>
      </w:pPr>
      <w:r>
        <w:rPr>
          <w:rFonts w:hint="eastAsia" w:eastAsia="黑体" w:cs="黑体"/>
          <w:color w:val="000000" w:themeColor="text1"/>
          <w:sz w:val="30"/>
          <w:szCs w:val="30"/>
          <w:highlight w:val="none"/>
          <w14:textFill>
            <w14:solidFill>
              <w14:schemeClr w14:val="tx1"/>
            </w14:solidFill>
          </w14:textFill>
        </w:rPr>
        <w:t>承包人主要施工管理人员表</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42AC8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1CA71FD6">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名称</w:t>
            </w:r>
          </w:p>
        </w:tc>
        <w:tc>
          <w:tcPr>
            <w:tcW w:w="1418" w:type="dxa"/>
            <w:vAlign w:val="center"/>
          </w:tcPr>
          <w:p w14:paraId="3EF955DF">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姓名</w:t>
            </w:r>
          </w:p>
        </w:tc>
        <w:tc>
          <w:tcPr>
            <w:tcW w:w="1134" w:type="dxa"/>
            <w:vAlign w:val="center"/>
          </w:tcPr>
          <w:p w14:paraId="33276129">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r>
              <w:rPr>
                <w:rFonts w:hint="eastAsia" w:eastAsia="仿宋_GB2312" w:cs="仿宋_GB2312"/>
                <w:color w:val="000000" w:themeColor="text1"/>
                <w:sz w:val="30"/>
                <w:szCs w:val="30"/>
                <w:highlight w:val="none"/>
                <w14:textFill>
                  <w14:solidFill>
                    <w14:schemeClr w14:val="tx1"/>
                  </w14:solidFill>
                </w14:textFill>
              </w:rPr>
              <w:t>职务</w:t>
            </w:r>
          </w:p>
        </w:tc>
        <w:tc>
          <w:tcPr>
            <w:tcW w:w="1134" w:type="dxa"/>
            <w:vAlign w:val="center"/>
          </w:tcPr>
          <w:p w14:paraId="02B540DB">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r>
              <w:rPr>
                <w:rFonts w:hint="eastAsia" w:eastAsia="仿宋_GB2312" w:cs="仿宋_GB2312"/>
                <w:color w:val="000000" w:themeColor="text1"/>
                <w:sz w:val="30"/>
                <w:szCs w:val="30"/>
                <w:highlight w:val="none"/>
                <w14:textFill>
                  <w14:solidFill>
                    <w14:schemeClr w14:val="tx1"/>
                  </w14:solidFill>
                </w14:textFill>
              </w:rPr>
              <w:t>职称</w:t>
            </w:r>
          </w:p>
        </w:tc>
        <w:tc>
          <w:tcPr>
            <w:tcW w:w="4252" w:type="dxa"/>
            <w:vAlign w:val="center"/>
          </w:tcPr>
          <w:p w14:paraId="3166E16C">
            <w:pPr>
              <w:keepNext/>
              <w:adjustRightInd w:val="0"/>
              <w:spacing w:line="440" w:lineRule="exact"/>
              <w:ind w:right="63" w:rightChars="30"/>
              <w:jc w:val="center"/>
              <w:textAlignment w:val="baseline"/>
              <w:rPr>
                <w:rFonts w:eastAsia="仿宋_GB2312"/>
                <w:color w:val="000000" w:themeColor="text1"/>
                <w:sz w:val="30"/>
                <w:szCs w:val="30"/>
                <w:highlight w:val="none"/>
                <w14:textFill>
                  <w14:solidFill>
                    <w14:schemeClr w14:val="tx1"/>
                  </w14:solidFill>
                </w14:textFill>
              </w:rPr>
            </w:pPr>
            <w:r>
              <w:rPr>
                <w:rFonts w:hint="eastAsia" w:eastAsia="仿宋_GB2312" w:cs="仿宋_GB2312"/>
                <w:color w:val="000000" w:themeColor="text1"/>
                <w:sz w:val="30"/>
                <w:szCs w:val="30"/>
                <w:highlight w:val="none"/>
                <w14:textFill>
                  <w14:solidFill>
                    <w14:schemeClr w14:val="tx1"/>
                  </w14:solidFill>
                </w14:textFill>
              </w:rPr>
              <w:t>计划进场时间</w:t>
            </w:r>
          </w:p>
        </w:tc>
      </w:tr>
      <w:tr w14:paraId="79BFE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50A44715">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一、总部人员</w:t>
            </w:r>
          </w:p>
        </w:tc>
      </w:tr>
      <w:tr w14:paraId="64C52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6FA91CB5">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项目主管</w:t>
            </w:r>
          </w:p>
        </w:tc>
        <w:tc>
          <w:tcPr>
            <w:tcW w:w="1418" w:type="dxa"/>
            <w:vAlign w:val="center"/>
          </w:tcPr>
          <w:p w14:paraId="1011D00A">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0C9B04B9">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6D28045C">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1D8F0497">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38746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777BE90F">
            <w:pPr>
              <w:keepNext/>
              <w:adjustRightInd w:val="0"/>
              <w:spacing w:after="60"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其他人员</w:t>
            </w:r>
          </w:p>
        </w:tc>
        <w:tc>
          <w:tcPr>
            <w:tcW w:w="1418" w:type="dxa"/>
            <w:vAlign w:val="center"/>
          </w:tcPr>
          <w:p w14:paraId="6BE86A1A">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5E4E4C9E">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1F7F40C3">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6F8EC5C9">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08EE7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0944E8A">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418" w:type="dxa"/>
            <w:vAlign w:val="center"/>
          </w:tcPr>
          <w:p w14:paraId="15D45D56">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6C66780A">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073F0EAB">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7A1CD8FD">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07B48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0807F3DB">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418" w:type="dxa"/>
            <w:vAlign w:val="center"/>
          </w:tcPr>
          <w:p w14:paraId="6B7FD266">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2880DD7D">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3B051632">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1B3F4957">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3A4CE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4418D18B">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二、现场人员</w:t>
            </w:r>
          </w:p>
        </w:tc>
      </w:tr>
      <w:tr w14:paraId="25072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9A8672A">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项目经理</w:t>
            </w:r>
          </w:p>
        </w:tc>
        <w:tc>
          <w:tcPr>
            <w:tcW w:w="1418" w:type="dxa"/>
            <w:vAlign w:val="center"/>
          </w:tcPr>
          <w:p w14:paraId="035E628F">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419D17CC">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559CF006">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5FA2E948">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19DC1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229D9A08">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项目副经理</w:t>
            </w:r>
          </w:p>
        </w:tc>
        <w:tc>
          <w:tcPr>
            <w:tcW w:w="1418" w:type="dxa"/>
            <w:vAlign w:val="center"/>
          </w:tcPr>
          <w:p w14:paraId="4B750BA1">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02465CAF">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6BE727FD">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380F5DD8">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2B779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2A4BD526">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技术负责人</w:t>
            </w:r>
          </w:p>
        </w:tc>
        <w:tc>
          <w:tcPr>
            <w:tcW w:w="1418" w:type="dxa"/>
            <w:vAlign w:val="center"/>
          </w:tcPr>
          <w:p w14:paraId="7EDA5B53">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1CC8207C">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36F9C25F">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295849F0">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3ABBB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0A2C3ADB">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造价管理</w:t>
            </w:r>
          </w:p>
        </w:tc>
        <w:tc>
          <w:tcPr>
            <w:tcW w:w="1418" w:type="dxa"/>
            <w:vAlign w:val="center"/>
          </w:tcPr>
          <w:p w14:paraId="72C54782">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0B8712D8">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01116FDE">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6144817C">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42385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7546F743">
            <w:pPr>
              <w:keepNext/>
              <w:adjustRightInd w:val="0"/>
              <w:spacing w:after="60"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质量管理</w:t>
            </w:r>
          </w:p>
        </w:tc>
        <w:tc>
          <w:tcPr>
            <w:tcW w:w="1418" w:type="dxa"/>
            <w:vAlign w:val="center"/>
          </w:tcPr>
          <w:p w14:paraId="4CC8A70C">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5E5A81AE">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56D69886">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3D06B505">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70194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49223B33">
            <w:pPr>
              <w:keepNext/>
              <w:adjustRightInd w:val="0"/>
              <w:spacing w:after="60"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418" w:type="dxa"/>
            <w:vAlign w:val="center"/>
          </w:tcPr>
          <w:p w14:paraId="26659594">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6E89B6D6">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2A3611E5">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00F4D0AB">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59D38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23EF365F">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418" w:type="dxa"/>
            <w:vAlign w:val="center"/>
          </w:tcPr>
          <w:p w14:paraId="0CDF5422">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1C9EDF71">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64E8EF0C">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61A7FA00">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089BC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637F6712">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材料管理</w:t>
            </w:r>
          </w:p>
        </w:tc>
        <w:tc>
          <w:tcPr>
            <w:tcW w:w="1418" w:type="dxa"/>
            <w:vAlign w:val="center"/>
          </w:tcPr>
          <w:p w14:paraId="3074F50F">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36B8B089">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3EE398E6">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5AD37A1E">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64C2F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5BBC603D">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计划管理</w:t>
            </w:r>
          </w:p>
        </w:tc>
        <w:tc>
          <w:tcPr>
            <w:tcW w:w="1418" w:type="dxa"/>
            <w:vAlign w:val="center"/>
          </w:tcPr>
          <w:p w14:paraId="27914AEB">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395A16B2">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1DFE5C0F">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44CA6794">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4284B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5EB8BBC7">
            <w:pPr>
              <w:keepNext/>
              <w:adjustRightInd w:val="0"/>
              <w:spacing w:after="60"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安全管理</w:t>
            </w:r>
          </w:p>
        </w:tc>
        <w:tc>
          <w:tcPr>
            <w:tcW w:w="1418" w:type="dxa"/>
            <w:vAlign w:val="center"/>
          </w:tcPr>
          <w:p w14:paraId="7AD78F3E">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0B89F98D">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2AF30CDF">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673547F0">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3E8AB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6D3C5006">
            <w:pPr>
              <w:keepNext/>
              <w:adjustRightInd w:val="0"/>
              <w:spacing w:after="60"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418" w:type="dxa"/>
            <w:vAlign w:val="center"/>
          </w:tcPr>
          <w:p w14:paraId="6A8E677B">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79CB6411">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6C293D1E">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2377E957">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3E44F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19E67152">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418" w:type="dxa"/>
            <w:vAlign w:val="center"/>
          </w:tcPr>
          <w:p w14:paraId="438EE7DF">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43894C22">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7D586A8C">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3A2B22BA">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6139E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243FF289">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其他人员</w:t>
            </w:r>
          </w:p>
        </w:tc>
        <w:tc>
          <w:tcPr>
            <w:tcW w:w="1418" w:type="dxa"/>
            <w:vAlign w:val="center"/>
          </w:tcPr>
          <w:p w14:paraId="47DFA7BC">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4D1FCFC4">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4E5C38E3">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76661835">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2AB2F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198A4D3A">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418" w:type="dxa"/>
            <w:vAlign w:val="center"/>
          </w:tcPr>
          <w:p w14:paraId="1B3F85AF">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1E2C6557">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4D5A2B14">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62E25BF9">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17052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500D185">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418" w:type="dxa"/>
            <w:vAlign w:val="center"/>
          </w:tcPr>
          <w:p w14:paraId="3B1F2125">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7056EB9B">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005738A2">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7CB163BD">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0CC40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0DF43D35">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418" w:type="dxa"/>
            <w:vAlign w:val="center"/>
          </w:tcPr>
          <w:p w14:paraId="5ECBCF0C">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5958FC5D">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57F9B88E">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4F358CB6">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2DF42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B3EEE44">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418" w:type="dxa"/>
            <w:vAlign w:val="center"/>
          </w:tcPr>
          <w:p w14:paraId="64B165CB">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19D05A3F">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047A4DA5">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3C11978A">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1C058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4F29A6C5">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418" w:type="dxa"/>
            <w:vAlign w:val="center"/>
          </w:tcPr>
          <w:p w14:paraId="5CA7E00C">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271BE193">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79390DF5">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7820641B">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bl>
    <w:p w14:paraId="7DBBDDC0">
      <w:pPr>
        <w:spacing w:line="440" w:lineRule="exact"/>
        <w:rPr>
          <w:rFonts w:eastAsia="黑体"/>
          <w:color w:val="000000" w:themeColor="text1"/>
          <w:sz w:val="30"/>
          <w:szCs w:val="30"/>
          <w:highlight w:val="none"/>
          <w14:textFill>
            <w14:solidFill>
              <w14:schemeClr w14:val="tx1"/>
            </w14:solidFill>
          </w14:textFill>
        </w:rPr>
      </w:pPr>
      <w:r>
        <w:rPr>
          <w:rFonts w:eastAsia="仿宋_GB2312"/>
          <w:color w:val="000000" w:themeColor="text1"/>
          <w:sz w:val="30"/>
          <w:szCs w:val="30"/>
          <w:highlight w:val="none"/>
          <w14:textFill>
            <w14:solidFill>
              <w14:schemeClr w14:val="tx1"/>
            </w14:solidFill>
          </w14:textFill>
        </w:rPr>
        <w:br w:type="page"/>
      </w:r>
      <w:r>
        <w:rPr>
          <w:rFonts w:hint="eastAsia" w:eastAsia="仿宋_GB2312" w:cs="仿宋_GB2312"/>
          <w:color w:val="000000" w:themeColor="text1"/>
          <w:sz w:val="30"/>
          <w:szCs w:val="30"/>
          <w:highlight w:val="none"/>
          <w14:textFill>
            <w14:solidFill>
              <w14:schemeClr w14:val="tx1"/>
            </w14:solidFill>
          </w14:textFill>
        </w:rPr>
        <w:t>附</w:t>
      </w:r>
      <w:bookmarkStart w:id="1141" w:name="_Toc296503229"/>
      <w:bookmarkStart w:id="1142" w:name="_Toc296346730"/>
      <w:bookmarkStart w:id="1143" w:name="_Toc296891269"/>
      <w:bookmarkStart w:id="1144" w:name="_Toc296891057"/>
      <w:bookmarkStart w:id="1145" w:name="_Toc296347228"/>
      <w:bookmarkStart w:id="1146" w:name="_Toc296944568"/>
      <w:r>
        <w:rPr>
          <w:rFonts w:hint="eastAsia" w:eastAsia="仿宋_GB2312" w:cs="仿宋_GB2312"/>
          <w:color w:val="000000" w:themeColor="text1"/>
          <w:sz w:val="30"/>
          <w:szCs w:val="30"/>
          <w:highlight w:val="none"/>
          <w14:textFill>
            <w14:solidFill>
              <w14:schemeClr w14:val="tx1"/>
            </w14:solidFill>
          </w14:textFill>
        </w:rPr>
        <w:t>件</w:t>
      </w:r>
      <w:r>
        <w:rPr>
          <w:rFonts w:hint="eastAsia" w:eastAsia="仿宋_GB2312"/>
          <w:color w:val="000000" w:themeColor="text1"/>
          <w:sz w:val="30"/>
          <w:szCs w:val="30"/>
          <w:highlight w:val="none"/>
          <w14:textFill>
            <w14:solidFill>
              <w14:schemeClr w14:val="tx1"/>
            </w14:solidFill>
          </w14:textFill>
        </w:rPr>
        <w:t>6</w:t>
      </w:r>
      <w:r>
        <w:rPr>
          <w:rFonts w:hint="eastAsia" w:eastAsia="仿宋_GB2312" w:cs="仿宋_GB2312"/>
          <w:color w:val="000000" w:themeColor="text1"/>
          <w:sz w:val="30"/>
          <w:szCs w:val="30"/>
          <w:highlight w:val="none"/>
          <w14:textFill>
            <w14:solidFill>
              <w14:schemeClr w14:val="tx1"/>
            </w14:solidFill>
          </w14:textFill>
        </w:rPr>
        <w:t>：</w:t>
      </w:r>
    </w:p>
    <w:bookmarkEnd w:id="1141"/>
    <w:bookmarkEnd w:id="1142"/>
    <w:bookmarkEnd w:id="1143"/>
    <w:bookmarkEnd w:id="1144"/>
    <w:bookmarkEnd w:id="1145"/>
    <w:bookmarkEnd w:id="1146"/>
    <w:p w14:paraId="468B250C">
      <w:pPr>
        <w:spacing w:before="156" w:beforeLines="50" w:after="156" w:afterLines="50" w:line="440" w:lineRule="exact"/>
        <w:jc w:val="center"/>
        <w:rPr>
          <w:rFonts w:eastAsia="黑体"/>
          <w:color w:val="000000" w:themeColor="text1"/>
          <w:sz w:val="30"/>
          <w:szCs w:val="30"/>
          <w:highlight w:val="none"/>
          <w14:textFill>
            <w14:solidFill>
              <w14:schemeClr w14:val="tx1"/>
            </w14:solidFill>
          </w14:textFill>
        </w:rPr>
      </w:pPr>
      <w:r>
        <w:rPr>
          <w:rFonts w:hint="eastAsia" w:eastAsia="黑体" w:cs="黑体"/>
          <w:color w:val="000000" w:themeColor="text1"/>
          <w:sz w:val="30"/>
          <w:szCs w:val="30"/>
          <w:highlight w:val="none"/>
          <w14:textFill>
            <w14:solidFill>
              <w14:schemeClr w14:val="tx1"/>
            </w14:solidFill>
          </w14:textFill>
        </w:rPr>
        <w:t>分包人主要施工管理人员表</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7E59B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57481983">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名称</w:t>
            </w:r>
          </w:p>
        </w:tc>
        <w:tc>
          <w:tcPr>
            <w:tcW w:w="1418" w:type="dxa"/>
            <w:vAlign w:val="center"/>
          </w:tcPr>
          <w:p w14:paraId="5F29D4C8">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姓名</w:t>
            </w:r>
          </w:p>
        </w:tc>
        <w:tc>
          <w:tcPr>
            <w:tcW w:w="1134" w:type="dxa"/>
            <w:vAlign w:val="center"/>
          </w:tcPr>
          <w:p w14:paraId="17B2072C">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r>
              <w:rPr>
                <w:rFonts w:hint="eastAsia" w:eastAsia="仿宋_GB2312" w:cs="仿宋_GB2312"/>
                <w:color w:val="000000" w:themeColor="text1"/>
                <w:sz w:val="30"/>
                <w:szCs w:val="30"/>
                <w:highlight w:val="none"/>
                <w14:textFill>
                  <w14:solidFill>
                    <w14:schemeClr w14:val="tx1"/>
                  </w14:solidFill>
                </w14:textFill>
              </w:rPr>
              <w:t>职务</w:t>
            </w:r>
          </w:p>
        </w:tc>
        <w:tc>
          <w:tcPr>
            <w:tcW w:w="1134" w:type="dxa"/>
            <w:vAlign w:val="center"/>
          </w:tcPr>
          <w:p w14:paraId="53CE1C10">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r>
              <w:rPr>
                <w:rFonts w:hint="eastAsia" w:eastAsia="仿宋_GB2312" w:cs="仿宋_GB2312"/>
                <w:color w:val="000000" w:themeColor="text1"/>
                <w:sz w:val="30"/>
                <w:szCs w:val="30"/>
                <w:highlight w:val="none"/>
                <w14:textFill>
                  <w14:solidFill>
                    <w14:schemeClr w14:val="tx1"/>
                  </w14:solidFill>
                </w14:textFill>
              </w:rPr>
              <w:t>职称</w:t>
            </w:r>
          </w:p>
        </w:tc>
        <w:tc>
          <w:tcPr>
            <w:tcW w:w="4252" w:type="dxa"/>
            <w:vAlign w:val="center"/>
          </w:tcPr>
          <w:p w14:paraId="4382C29F">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r>
              <w:rPr>
                <w:rFonts w:hint="eastAsia" w:eastAsia="仿宋_GB2312" w:cs="仿宋_GB2312"/>
                <w:color w:val="000000" w:themeColor="text1"/>
                <w:sz w:val="30"/>
                <w:szCs w:val="30"/>
                <w:highlight w:val="none"/>
                <w14:textFill>
                  <w14:solidFill>
                    <w14:schemeClr w14:val="tx1"/>
                  </w14:solidFill>
                </w14:textFill>
              </w:rPr>
              <w:t>主要资历、经验及承担过的项目</w:t>
            </w:r>
          </w:p>
        </w:tc>
      </w:tr>
      <w:tr w14:paraId="5CFB9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1BFB3E85">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一、总部人员</w:t>
            </w:r>
          </w:p>
        </w:tc>
      </w:tr>
      <w:tr w14:paraId="53CD5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5F90712C">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项目主管</w:t>
            </w:r>
          </w:p>
        </w:tc>
        <w:tc>
          <w:tcPr>
            <w:tcW w:w="1418" w:type="dxa"/>
            <w:vAlign w:val="center"/>
          </w:tcPr>
          <w:p w14:paraId="7F426BFB">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49CB5E49">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589F1B04">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33E65805">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54F9F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7A291E40">
            <w:pPr>
              <w:keepNext/>
              <w:adjustRightInd w:val="0"/>
              <w:spacing w:after="60"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其他人员</w:t>
            </w:r>
          </w:p>
        </w:tc>
        <w:tc>
          <w:tcPr>
            <w:tcW w:w="1418" w:type="dxa"/>
            <w:vAlign w:val="center"/>
          </w:tcPr>
          <w:p w14:paraId="61A9830D">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556D9715">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5EC24795">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268FC0D8">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1990F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27660AC3">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418" w:type="dxa"/>
            <w:vAlign w:val="center"/>
          </w:tcPr>
          <w:p w14:paraId="48A3270F">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2BE5B2E0">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42DCB675">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26AD67A1">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3C3C4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31DF4B02">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418" w:type="dxa"/>
            <w:vAlign w:val="center"/>
          </w:tcPr>
          <w:p w14:paraId="6FA90886">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7AA6AA29">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3F914D75">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10042532">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11618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2BB0601E">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二、现场人员</w:t>
            </w:r>
          </w:p>
        </w:tc>
      </w:tr>
      <w:tr w14:paraId="0E8E2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697C937F">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项目经理</w:t>
            </w:r>
          </w:p>
        </w:tc>
        <w:tc>
          <w:tcPr>
            <w:tcW w:w="1418" w:type="dxa"/>
            <w:vAlign w:val="center"/>
          </w:tcPr>
          <w:p w14:paraId="0DD1A8C5">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0297A33A">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6B01D0E8">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73012070">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086B7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A5B59AD">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项目副经理</w:t>
            </w:r>
          </w:p>
        </w:tc>
        <w:tc>
          <w:tcPr>
            <w:tcW w:w="1418" w:type="dxa"/>
            <w:vAlign w:val="center"/>
          </w:tcPr>
          <w:p w14:paraId="3AEB59C0">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36B8BD8A">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309CDD99">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674D4882">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69B2B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83F503D">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技术负责人</w:t>
            </w:r>
          </w:p>
        </w:tc>
        <w:tc>
          <w:tcPr>
            <w:tcW w:w="1418" w:type="dxa"/>
            <w:vAlign w:val="center"/>
          </w:tcPr>
          <w:p w14:paraId="336B417B">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069DDD09">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11F9503A">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6244CA0D">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3578C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143D1E35">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造价管理</w:t>
            </w:r>
          </w:p>
        </w:tc>
        <w:tc>
          <w:tcPr>
            <w:tcW w:w="1418" w:type="dxa"/>
            <w:vAlign w:val="center"/>
          </w:tcPr>
          <w:p w14:paraId="74AAE459">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15AB5410">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1085EFF0">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11646AE3">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53E7C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6A5DB448">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质量管理</w:t>
            </w:r>
          </w:p>
        </w:tc>
        <w:tc>
          <w:tcPr>
            <w:tcW w:w="1418" w:type="dxa"/>
            <w:vAlign w:val="center"/>
          </w:tcPr>
          <w:p w14:paraId="1F737E69">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228F9C55">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64EE3946">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1F2AF92C">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1A660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47C20FC">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材料管理</w:t>
            </w:r>
          </w:p>
        </w:tc>
        <w:tc>
          <w:tcPr>
            <w:tcW w:w="1418" w:type="dxa"/>
            <w:vAlign w:val="center"/>
          </w:tcPr>
          <w:p w14:paraId="4F58716F">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63A2271C">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782DCF67">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6559041D">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59BEC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91E73E3">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计划管理</w:t>
            </w:r>
          </w:p>
        </w:tc>
        <w:tc>
          <w:tcPr>
            <w:tcW w:w="1418" w:type="dxa"/>
            <w:vAlign w:val="center"/>
          </w:tcPr>
          <w:p w14:paraId="5805C89E">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1D6A18AD">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2CDC97B9">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358FA0DD">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0A3B6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0936F16A">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安全管理</w:t>
            </w:r>
          </w:p>
        </w:tc>
        <w:tc>
          <w:tcPr>
            <w:tcW w:w="1418" w:type="dxa"/>
            <w:vAlign w:val="center"/>
          </w:tcPr>
          <w:p w14:paraId="06CA21FF">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2E007F9E">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4D105BCA">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3C3C1272">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4A1DF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6CADDCC7">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其他人员</w:t>
            </w:r>
          </w:p>
        </w:tc>
        <w:tc>
          <w:tcPr>
            <w:tcW w:w="1418" w:type="dxa"/>
            <w:vAlign w:val="center"/>
          </w:tcPr>
          <w:p w14:paraId="5F68EFA3">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2C2CEED1">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36CA8160">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224B4DD0">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3D484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385DC4C8">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418" w:type="dxa"/>
            <w:vAlign w:val="center"/>
          </w:tcPr>
          <w:p w14:paraId="74DA2470">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111699AB">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44C1ECC4">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23CBCEAF">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4F392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621A4E56">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418" w:type="dxa"/>
            <w:vAlign w:val="center"/>
          </w:tcPr>
          <w:p w14:paraId="5D1E9811">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0EC8AC9A">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08CBDBE6">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043286A9">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083D3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09403531">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418" w:type="dxa"/>
            <w:vAlign w:val="center"/>
          </w:tcPr>
          <w:p w14:paraId="2884005D">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322119E9">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51F5CB3F">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2B06D449">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4D242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1B5C52B7">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418" w:type="dxa"/>
            <w:vAlign w:val="center"/>
          </w:tcPr>
          <w:p w14:paraId="4D651B09">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217D6B71">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5F9688CD">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524BD041">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67C6E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3679125">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418" w:type="dxa"/>
            <w:vAlign w:val="center"/>
          </w:tcPr>
          <w:p w14:paraId="6E84AA92">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6F50B90F">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6F965A73">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02FF1023">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bl>
    <w:p w14:paraId="3E2B67B5">
      <w:pPr>
        <w:spacing w:line="360" w:lineRule="auto"/>
        <w:jc w:val="left"/>
        <w:rPr>
          <w:rFonts w:ascii="黑体" w:hAnsi="黑体" w:eastAsia="黑体" w:cs="黑体"/>
          <w:color w:val="000000" w:themeColor="text1"/>
          <w:sz w:val="32"/>
          <w:szCs w:val="32"/>
          <w:highlight w:val="none"/>
          <w14:textFill>
            <w14:solidFill>
              <w14:schemeClr w14:val="tx1"/>
            </w14:solidFill>
          </w14:textFill>
        </w:rPr>
      </w:pPr>
      <w:r>
        <w:rPr>
          <w:rFonts w:eastAsia="仿宋_GB2312"/>
          <w:color w:val="000000" w:themeColor="text1"/>
          <w:sz w:val="30"/>
          <w:szCs w:val="30"/>
          <w:highlight w:val="none"/>
          <w14:textFill>
            <w14:solidFill>
              <w14:schemeClr w14:val="tx1"/>
            </w14:solidFill>
          </w14:textFill>
        </w:rPr>
        <w:br w:type="page"/>
      </w:r>
      <w:bookmarkStart w:id="1147" w:name="_Toc267261701"/>
      <w:r>
        <w:rPr>
          <w:rFonts w:hint="eastAsia" w:ascii="黑体" w:hAnsi="黑体" w:eastAsia="黑体" w:cs="黑体"/>
          <w:color w:val="000000" w:themeColor="text1"/>
          <w:sz w:val="32"/>
          <w:szCs w:val="32"/>
          <w:highlight w:val="none"/>
          <w14:textFill>
            <w14:solidFill>
              <w14:schemeClr w14:val="tx1"/>
            </w14:solidFill>
          </w14:textFill>
        </w:rPr>
        <w:t>附件7</w:t>
      </w:r>
    </w:p>
    <w:p w14:paraId="401CA013">
      <w:pPr>
        <w:spacing w:line="360" w:lineRule="auto"/>
        <w:jc w:val="left"/>
        <w:rPr>
          <w:rFonts w:ascii="黑体" w:hAnsi="黑体" w:eastAsia="黑体" w:cs="黑体"/>
          <w:b/>
          <w:bCs/>
          <w:color w:val="000000" w:themeColor="text1"/>
          <w:sz w:val="32"/>
          <w:szCs w:val="32"/>
          <w:highlight w:val="none"/>
          <w14:textFill>
            <w14:solidFill>
              <w14:schemeClr w14:val="tx1"/>
            </w14:solidFill>
          </w14:textFill>
        </w:rPr>
      </w:pPr>
    </w:p>
    <w:p w14:paraId="39D429D0">
      <w:pPr>
        <w:spacing w:line="360" w:lineRule="auto"/>
        <w:jc w:val="center"/>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履约保函示范文本</w:t>
      </w:r>
    </w:p>
    <w:p w14:paraId="2CED8BC4">
      <w:pPr>
        <w:spacing w:line="360" w:lineRule="auto"/>
        <w:jc w:val="center"/>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（独立保函）</w:t>
      </w:r>
    </w:p>
    <w:p w14:paraId="0C111D01">
      <w:pPr>
        <w:wordWrap w:val="0"/>
        <w:spacing w:line="360" w:lineRule="auto"/>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编号： </w:t>
      </w:r>
    </w:p>
    <w:p w14:paraId="26242560">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申请人：</w:t>
      </w:r>
    </w:p>
    <w:p w14:paraId="20077224">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地址</w:t>
      </w:r>
      <w:r>
        <w:rPr>
          <w:rFonts w:ascii="宋体" w:hAnsi="宋体"/>
          <w:color w:val="000000" w:themeColor="text1"/>
          <w:sz w:val="24"/>
          <w:highlight w:val="none"/>
          <w14:textFill>
            <w14:solidFill>
              <w14:schemeClr w14:val="tx1"/>
            </w14:solidFill>
          </w14:textFill>
        </w:rPr>
        <w:t>：</w:t>
      </w:r>
    </w:p>
    <w:p w14:paraId="3E595FC2">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受益人：</w:t>
      </w:r>
    </w:p>
    <w:p w14:paraId="194AED34">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地址：</w:t>
      </w:r>
    </w:p>
    <w:p w14:paraId="6D6D262F">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开立人：</w:t>
      </w:r>
    </w:p>
    <w:p w14:paraId="5AA1F5ED">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地址：</w:t>
      </w:r>
    </w:p>
    <w:p w14:paraId="7EA15A0F">
      <w:pPr>
        <w:spacing w:line="360" w:lineRule="auto"/>
        <w:rPr>
          <w:rFonts w:ascii="宋体" w:hAnsi="宋体"/>
          <w:color w:val="000000" w:themeColor="text1"/>
          <w:sz w:val="24"/>
          <w:highlight w:val="none"/>
          <w14:textFill>
            <w14:solidFill>
              <w14:schemeClr w14:val="tx1"/>
            </w14:solidFill>
          </w14:textFill>
        </w:rPr>
      </w:pPr>
    </w:p>
    <w:p w14:paraId="135EC716">
      <w:pPr>
        <w:spacing w:line="360" w:lineRule="auto"/>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受益人</w:t>
      </w:r>
      <w:r>
        <w:rPr>
          <w:rFonts w:ascii="宋体" w:hAnsi="宋体"/>
          <w:color w:val="000000" w:themeColor="text1"/>
          <w:sz w:val="24"/>
          <w:highlight w:val="none"/>
          <w14:textFill>
            <w14:solidFill>
              <w14:schemeClr w14:val="tx1"/>
            </w14:solidFill>
          </w14:textFill>
        </w:rPr>
        <w:t xml:space="preserve">名称）： </w:t>
      </w:r>
    </w:p>
    <w:p w14:paraId="038CC9A1">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鉴于</w:t>
      </w:r>
      <w:r>
        <w:rPr>
          <w:rFonts w:ascii="宋体" w:hAnsi="宋体"/>
          <w:color w:val="000000" w:themeColor="text1"/>
          <w:sz w:val="24"/>
          <w:highlight w:val="none"/>
          <w14:textFill>
            <w14:solidFill>
              <w14:schemeClr w14:val="tx1"/>
            </w14:solidFill>
          </w14:textFill>
        </w:rPr>
        <w:t>（以下简称“</w:t>
      </w:r>
      <w:r>
        <w:rPr>
          <w:rFonts w:hint="eastAsia" w:ascii="宋体" w:hAnsi="宋体"/>
          <w:color w:val="000000" w:themeColor="text1"/>
          <w:sz w:val="24"/>
          <w:highlight w:val="none"/>
          <w14:textFill>
            <w14:solidFill>
              <w14:schemeClr w14:val="tx1"/>
            </w14:solidFill>
          </w14:textFill>
        </w:rPr>
        <w:t>受益人</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与</w:t>
      </w:r>
      <w:r>
        <w:rPr>
          <w:rFonts w:ascii="宋体" w:hAnsi="宋体"/>
          <w:color w:val="000000" w:themeColor="text1"/>
          <w:sz w:val="24"/>
          <w:highlight w:val="none"/>
          <w14:textFill>
            <w14:solidFill>
              <w14:schemeClr w14:val="tx1"/>
            </w14:solidFill>
          </w14:textFill>
        </w:rPr>
        <w:t>（以下简称“</w:t>
      </w:r>
      <w:r>
        <w:rPr>
          <w:rFonts w:hint="eastAsia" w:ascii="宋体" w:hAnsi="宋体"/>
          <w:color w:val="000000" w:themeColor="text1"/>
          <w:sz w:val="24"/>
          <w:highlight w:val="none"/>
          <w14:textFill>
            <w14:solidFill>
              <w14:schemeClr w14:val="tx1"/>
            </w14:solidFill>
          </w14:textFill>
        </w:rPr>
        <w:t>申请人</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于×年×月×日就工程（以下简称“本工程”）施工和有关事项协商一致共同签订</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（以下简称“基础合同”），我方（即“开立人”）根据基础合同了解到申请人为基础合同项下之承包人，受益人为基础合同项下之发包人，基于申请人</w:t>
      </w:r>
      <w:r>
        <w:rPr>
          <w:rFonts w:ascii="宋体" w:hAnsi="宋体"/>
          <w:color w:val="000000" w:themeColor="text1"/>
          <w:sz w:val="24"/>
          <w:highlight w:val="none"/>
          <w14:textFill>
            <w14:solidFill>
              <w14:schemeClr w14:val="tx1"/>
            </w14:solidFill>
          </w14:textFill>
        </w:rPr>
        <w:t>的请求，我方同意就</w:t>
      </w:r>
      <w:r>
        <w:rPr>
          <w:rFonts w:hint="eastAsia" w:ascii="宋体" w:hAnsi="宋体"/>
          <w:color w:val="000000" w:themeColor="text1"/>
          <w:sz w:val="24"/>
          <w:highlight w:val="none"/>
          <w14:textFill>
            <w14:solidFill>
              <w14:schemeClr w14:val="tx1"/>
            </w14:solidFill>
          </w14:textFill>
        </w:rPr>
        <w:t>申请人</w:t>
      </w:r>
      <w:r>
        <w:rPr>
          <w:rFonts w:ascii="宋体" w:hAnsi="宋体"/>
          <w:color w:val="000000" w:themeColor="text1"/>
          <w:sz w:val="24"/>
          <w:highlight w:val="none"/>
          <w14:textFill>
            <w14:solidFill>
              <w14:schemeClr w14:val="tx1"/>
            </w14:solidFill>
          </w14:textFill>
        </w:rPr>
        <w:t>履行</w:t>
      </w:r>
      <w:r>
        <w:rPr>
          <w:rFonts w:hint="eastAsia" w:ascii="宋体" w:hAnsi="宋体"/>
          <w:color w:val="000000" w:themeColor="text1"/>
          <w:sz w:val="24"/>
          <w:highlight w:val="none"/>
          <w14:textFill>
            <w14:solidFill>
              <w14:schemeClr w14:val="tx1"/>
            </w14:solidFill>
          </w14:textFill>
        </w:rPr>
        <w:t>与贵方签订的基础合同</w:t>
      </w:r>
      <w:r>
        <w:rPr>
          <w:rFonts w:ascii="宋体" w:hAnsi="宋体"/>
          <w:color w:val="000000" w:themeColor="text1"/>
          <w:sz w:val="24"/>
          <w:highlight w:val="none"/>
          <w14:textFill>
            <w14:solidFill>
              <w14:schemeClr w14:val="tx1"/>
            </w14:solidFill>
          </w14:textFill>
        </w:rPr>
        <w:t>项下的义务</w:t>
      </w: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向贵方提供不可撤销、</w:t>
      </w:r>
      <w:r>
        <w:rPr>
          <w:rFonts w:hint="eastAsia" w:ascii="宋体" w:hAnsi="宋体"/>
          <w:color w:val="000000" w:themeColor="text1"/>
          <w:sz w:val="24"/>
          <w:highlight w:val="none"/>
          <w14:textFill>
            <w14:solidFill>
              <w14:schemeClr w14:val="tx1"/>
            </w14:solidFill>
          </w14:textFill>
        </w:rPr>
        <w:t>不可转让的见索即付</w:t>
      </w:r>
      <w:r>
        <w:rPr>
          <w:rFonts w:ascii="宋体" w:hAnsi="宋体"/>
          <w:color w:val="000000" w:themeColor="text1"/>
          <w:sz w:val="24"/>
          <w:highlight w:val="none"/>
          <w14:textFill>
            <w14:solidFill>
              <w14:schemeClr w14:val="tx1"/>
            </w14:solidFill>
          </w14:textFill>
        </w:rPr>
        <w:t>独立</w:t>
      </w:r>
      <w:r>
        <w:rPr>
          <w:rFonts w:hint="eastAsia" w:ascii="宋体" w:hAnsi="宋体"/>
          <w:color w:val="000000" w:themeColor="text1"/>
          <w:sz w:val="24"/>
          <w:highlight w:val="none"/>
          <w14:textFill>
            <w14:solidFill>
              <w14:schemeClr w14:val="tx1"/>
            </w14:solidFill>
          </w14:textFill>
        </w:rPr>
        <w:t>保函（以下简称“本保函”）</w:t>
      </w:r>
      <w:r>
        <w:rPr>
          <w:rFonts w:ascii="宋体" w:hAnsi="宋体"/>
          <w:color w:val="000000" w:themeColor="text1"/>
          <w:sz w:val="24"/>
          <w:highlight w:val="none"/>
          <w14:textFill>
            <w14:solidFill>
              <w14:schemeClr w14:val="tx1"/>
            </w14:solidFill>
          </w14:textFill>
        </w:rPr>
        <w:t xml:space="preserve">。 </w:t>
      </w:r>
    </w:p>
    <w:p w14:paraId="6E0362C5">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一、本保函担保范围：承包人未按照基础合同的约定履行义务，应当向贵方承担的违约责任和赔偿因此造成的损失、利息、律师费、诉讼费用等实现债权的费用。</w:t>
      </w:r>
    </w:p>
    <w:p w14:paraId="27AEC157">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二、本保函担保金额最高不超过</w:t>
      </w:r>
      <w:r>
        <w:rPr>
          <w:rFonts w:ascii="宋体" w:hAnsi="宋体"/>
          <w:color w:val="000000" w:themeColor="text1"/>
          <w:sz w:val="24"/>
          <w:highlight w:val="none"/>
          <w14:textFill>
            <w14:solidFill>
              <w14:schemeClr w14:val="tx1"/>
            </w14:solidFill>
          </w14:textFill>
        </w:rPr>
        <w:t xml:space="preserve">人民币（大写）元（¥）。 </w:t>
      </w:r>
    </w:p>
    <w:p w14:paraId="69CF2BA0">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三、本保函</w:t>
      </w:r>
      <w:r>
        <w:rPr>
          <w:rFonts w:ascii="宋体" w:hAnsi="宋体"/>
          <w:color w:val="000000" w:themeColor="text1"/>
          <w:sz w:val="24"/>
          <w:highlight w:val="none"/>
          <w14:textFill>
            <w14:solidFill>
              <w14:schemeClr w14:val="tx1"/>
            </w14:solidFill>
          </w14:textFill>
        </w:rPr>
        <w:t>有效期自</w:t>
      </w:r>
      <w:r>
        <w:rPr>
          <w:rFonts w:hint="eastAsia" w:ascii="宋体" w:hAnsi="宋体"/>
          <w:color w:val="000000" w:themeColor="text1"/>
          <w:sz w:val="24"/>
          <w:highlight w:val="none"/>
          <w14:textFill>
            <w14:solidFill>
              <w14:schemeClr w14:val="tx1"/>
            </w14:solidFill>
          </w14:textFill>
        </w:rPr>
        <w:t>开立之日起</w:t>
      </w:r>
      <w:r>
        <w:rPr>
          <w:rFonts w:ascii="宋体" w:hAnsi="宋体"/>
          <w:color w:val="000000" w:themeColor="text1"/>
          <w:sz w:val="24"/>
          <w:highlight w:val="none"/>
          <w14:textFill>
            <w14:solidFill>
              <w14:schemeClr w14:val="tx1"/>
            </w14:solidFill>
          </w14:textFill>
        </w:rPr>
        <w:t>至</w:t>
      </w:r>
      <w:r>
        <w:rPr>
          <w:rFonts w:hint="eastAsia" w:ascii="宋体" w:hAnsi="宋体"/>
          <w:color w:val="000000" w:themeColor="text1"/>
          <w:sz w:val="24"/>
          <w:highlight w:val="none"/>
          <w14:textFill>
            <w14:solidFill>
              <w14:schemeClr w14:val="tx1"/>
            </w14:solidFill>
          </w14:textFill>
        </w:rPr>
        <w:t>基础合同约定的缺陷责任期</w:t>
      </w:r>
      <w:r>
        <w:rPr>
          <w:rFonts w:ascii="宋体" w:hAnsi="宋体"/>
          <w:color w:val="000000" w:themeColor="text1"/>
          <w:sz w:val="24"/>
          <w:highlight w:val="none"/>
          <w14:textFill>
            <w14:solidFill>
              <w14:schemeClr w14:val="tx1"/>
            </w14:solidFill>
          </w14:textFill>
        </w:rPr>
        <w:t>后</w:t>
      </w:r>
      <w:r>
        <w:rPr>
          <w:rFonts w:hint="eastAsia" w:ascii="宋体" w:hAnsi="宋体"/>
          <w:color w:val="000000" w:themeColor="text1"/>
          <w:sz w:val="24"/>
          <w:highlight w:val="none"/>
          <w14:textFill>
            <w14:solidFill>
              <w14:schemeClr w14:val="tx1"/>
            </w14:solidFill>
          </w14:textFill>
        </w:rPr>
        <w:t>日止，最迟不超过×年×月×日</w:t>
      </w:r>
      <w:r>
        <w:rPr>
          <w:rFonts w:ascii="宋体" w:hAnsi="宋体"/>
          <w:color w:val="000000" w:themeColor="text1"/>
          <w:sz w:val="24"/>
          <w:highlight w:val="none"/>
          <w14:textFill>
            <w14:solidFill>
              <w14:schemeClr w14:val="tx1"/>
            </w14:solidFill>
          </w14:textFill>
        </w:rPr>
        <w:t xml:space="preserve">。 </w:t>
      </w:r>
    </w:p>
    <w:p w14:paraId="4884DF0F">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四、我方承诺，在收到受益人发来的书面付款通知后的日内无条件支付，前述书面付款通知即为付款要求之单据，且应满足以下要求：</w:t>
      </w:r>
    </w:p>
    <w:p w14:paraId="44D3BD4B">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（1）付款通知到达的日期在本保函的有效期内；</w:t>
      </w:r>
    </w:p>
    <w:p w14:paraId="359BBFD9">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（2）载明要求支付的金额；</w:t>
      </w:r>
    </w:p>
    <w:p w14:paraId="1ED76377">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（3）载明申请人违反合同义务的条款和内容；</w:t>
      </w:r>
    </w:p>
    <w:p w14:paraId="4E7A5AB5">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（4）声明不存在合同文件约定或我国法律规定免除申请人或开立人支付责任的情形；</w:t>
      </w:r>
    </w:p>
    <w:p w14:paraId="5C452E38">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（5）付款通知应在本保函有效期内到达的地址是：。</w:t>
      </w:r>
    </w:p>
    <w:p w14:paraId="7B3748CF">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受益人发出的书面付款通知应由其为鉴明受益人法定代表人（负责人）或授权代理人签字并加盖公章。</w:t>
      </w:r>
    </w:p>
    <w:p w14:paraId="29E385D4">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五、</w:t>
      </w:r>
      <w:r>
        <w:rPr>
          <w:rFonts w:ascii="宋体" w:hAnsi="宋体"/>
          <w:color w:val="000000" w:themeColor="text1"/>
          <w:sz w:val="24"/>
          <w:highlight w:val="none"/>
          <w14:textFill>
            <w14:solidFill>
              <w14:schemeClr w14:val="tx1"/>
            </w14:solidFill>
          </w14:textFill>
        </w:rPr>
        <w:t>本保函项下的权利不得转让，不得设定担保。贵方未经我方书面同意转 让本保函或其项下任何权利，</w:t>
      </w:r>
      <w:r>
        <w:rPr>
          <w:rFonts w:hint="eastAsia" w:ascii="宋体" w:hAnsi="宋体"/>
          <w:color w:val="000000" w:themeColor="text1"/>
          <w:sz w:val="24"/>
          <w:highlight w:val="none"/>
          <w14:textFill>
            <w14:solidFill>
              <w14:schemeClr w14:val="tx1"/>
            </w14:solidFill>
          </w14:textFill>
        </w:rPr>
        <w:t>对我方不发生法律效力</w:t>
      </w:r>
      <w:r>
        <w:rPr>
          <w:rFonts w:ascii="宋体" w:hAnsi="宋体"/>
          <w:color w:val="000000" w:themeColor="text1"/>
          <w:sz w:val="24"/>
          <w:highlight w:val="none"/>
          <w14:textFill>
            <w14:solidFill>
              <w14:schemeClr w14:val="tx1"/>
            </w14:solidFill>
          </w14:textFill>
        </w:rPr>
        <w:t xml:space="preserve">。 </w:t>
      </w:r>
    </w:p>
    <w:p w14:paraId="0BA900A2">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六、与</w:t>
      </w:r>
      <w:r>
        <w:rPr>
          <w:rFonts w:ascii="宋体" w:hAnsi="宋体"/>
          <w:color w:val="000000" w:themeColor="text1"/>
          <w:sz w:val="24"/>
          <w:highlight w:val="none"/>
          <w14:textFill>
            <w14:solidFill>
              <w14:schemeClr w14:val="tx1"/>
            </w14:solidFill>
          </w14:textFill>
        </w:rPr>
        <w:t>本保函</w:t>
      </w:r>
      <w:r>
        <w:rPr>
          <w:rFonts w:hint="eastAsia" w:ascii="宋体" w:hAnsi="宋体"/>
          <w:color w:val="000000" w:themeColor="text1"/>
          <w:sz w:val="24"/>
          <w:highlight w:val="none"/>
          <w14:textFill>
            <w14:solidFill>
              <w14:schemeClr w14:val="tx1"/>
            </w14:solidFill>
          </w14:textFill>
        </w:rPr>
        <w:t>有关</w:t>
      </w:r>
      <w:r>
        <w:rPr>
          <w:rFonts w:ascii="宋体" w:hAnsi="宋体"/>
          <w:color w:val="000000" w:themeColor="text1"/>
          <w:sz w:val="24"/>
          <w:highlight w:val="none"/>
          <w14:textFill>
            <w14:solidFill>
              <w14:schemeClr w14:val="tx1"/>
            </w14:solidFill>
          </w14:textFill>
        </w:rPr>
        <w:t>的</w:t>
      </w:r>
      <w:r>
        <w:rPr>
          <w:rFonts w:hint="eastAsia" w:ascii="宋体" w:hAnsi="宋体"/>
          <w:color w:val="000000" w:themeColor="text1"/>
          <w:sz w:val="24"/>
          <w:highlight w:val="none"/>
          <w14:textFill>
            <w14:solidFill>
              <w14:schemeClr w14:val="tx1"/>
            </w14:solidFill>
          </w14:textFill>
        </w:rPr>
        <w:t>基础</w:t>
      </w:r>
      <w:r>
        <w:rPr>
          <w:rFonts w:ascii="宋体" w:hAnsi="宋体"/>
          <w:color w:val="000000" w:themeColor="text1"/>
          <w:sz w:val="24"/>
          <w:highlight w:val="none"/>
          <w14:textFill>
            <w14:solidFill>
              <w14:schemeClr w14:val="tx1"/>
            </w14:solidFill>
          </w14:textFill>
        </w:rPr>
        <w:t xml:space="preserve">合同不成立、不生效、无效、被撤销、被解除，不影响本保函的独立有效。 </w:t>
      </w:r>
    </w:p>
    <w:p w14:paraId="77041B82">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七、</w:t>
      </w:r>
      <w:r>
        <w:rPr>
          <w:rFonts w:ascii="宋体" w:hAnsi="宋体"/>
          <w:color w:val="000000" w:themeColor="text1"/>
          <w:sz w:val="24"/>
          <w:highlight w:val="none"/>
          <w14:textFill>
            <w14:solidFill>
              <w14:schemeClr w14:val="tx1"/>
            </w14:solidFill>
          </w14:textFill>
        </w:rPr>
        <w:t>贵方应在本保函到期后的七日内将本保函正本退回我方注销，但是不论贵方是否按此要求将本保函正本退回我方，我方在本保函项下的义务和责任均在保函</w:t>
      </w:r>
      <w:r>
        <w:rPr>
          <w:rFonts w:hint="eastAsia" w:ascii="宋体" w:hAnsi="宋体"/>
          <w:color w:val="000000" w:themeColor="text1"/>
          <w:sz w:val="24"/>
          <w:highlight w:val="none"/>
          <w14:textFill>
            <w14:solidFill>
              <w14:schemeClr w14:val="tx1"/>
            </w14:solidFill>
          </w14:textFill>
        </w:rPr>
        <w:t>有效期</w:t>
      </w:r>
      <w:r>
        <w:rPr>
          <w:rFonts w:ascii="宋体" w:hAnsi="宋体"/>
          <w:color w:val="000000" w:themeColor="text1"/>
          <w:sz w:val="24"/>
          <w:highlight w:val="none"/>
          <w14:textFill>
            <w14:solidFill>
              <w14:schemeClr w14:val="tx1"/>
            </w14:solidFill>
          </w14:textFill>
        </w:rPr>
        <w:t xml:space="preserve">到期后自动消灭。 </w:t>
      </w:r>
    </w:p>
    <w:p w14:paraId="0C0EA02B">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八、</w:t>
      </w:r>
      <w:r>
        <w:rPr>
          <w:rFonts w:ascii="宋体" w:hAnsi="宋体"/>
          <w:color w:val="000000" w:themeColor="text1"/>
          <w:sz w:val="24"/>
          <w:highlight w:val="none"/>
          <w14:textFill>
            <w14:solidFill>
              <w14:schemeClr w14:val="tx1"/>
            </w14:solidFill>
          </w14:textFill>
        </w:rPr>
        <w:t>本保函</w:t>
      </w:r>
      <w:r>
        <w:rPr>
          <w:rFonts w:hint="eastAsia" w:ascii="宋体" w:hAnsi="宋体"/>
          <w:color w:val="000000" w:themeColor="text1"/>
          <w:sz w:val="24"/>
          <w:highlight w:val="none"/>
          <w14:textFill>
            <w14:solidFill>
              <w14:schemeClr w14:val="tx1"/>
            </w14:solidFill>
          </w14:textFill>
        </w:rPr>
        <w:t>适用的法律为中华人民共和国法律，争议裁判管辖地为中华人民共和国</w:t>
      </w:r>
      <w:r>
        <w:rPr>
          <w:rFonts w:ascii="宋体" w:hAnsi="宋体"/>
          <w:color w:val="000000" w:themeColor="text1"/>
          <w:sz w:val="24"/>
          <w:highlight w:val="none"/>
          <w14:textFill>
            <w14:solidFill>
              <w14:schemeClr w14:val="tx1"/>
            </w14:solidFill>
          </w14:textFill>
        </w:rPr>
        <w:t xml:space="preserve">。 </w:t>
      </w:r>
    </w:p>
    <w:p w14:paraId="4798BAEA">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九、</w:t>
      </w:r>
      <w:r>
        <w:rPr>
          <w:rFonts w:ascii="宋体" w:hAnsi="宋体"/>
          <w:color w:val="000000" w:themeColor="text1"/>
          <w:sz w:val="24"/>
          <w:highlight w:val="none"/>
          <w14:textFill>
            <w14:solidFill>
              <w14:schemeClr w14:val="tx1"/>
            </w14:solidFill>
          </w14:textFill>
        </w:rPr>
        <w:t>本保函自我方法定代表人</w:t>
      </w:r>
      <w:r>
        <w:rPr>
          <w:rFonts w:hint="eastAsia" w:ascii="宋体" w:hAnsi="宋体"/>
          <w:color w:val="000000" w:themeColor="text1"/>
          <w:sz w:val="24"/>
          <w:highlight w:val="none"/>
          <w14:textFill>
            <w14:solidFill>
              <w14:schemeClr w14:val="tx1"/>
            </w14:solidFill>
          </w14:textFill>
        </w:rPr>
        <w:t>或授权代表</w:t>
      </w:r>
      <w:r>
        <w:rPr>
          <w:rFonts w:ascii="宋体" w:hAnsi="宋体"/>
          <w:color w:val="000000" w:themeColor="text1"/>
          <w:sz w:val="24"/>
          <w:highlight w:val="none"/>
          <w14:textFill>
            <w14:solidFill>
              <w14:schemeClr w14:val="tx1"/>
            </w14:solidFill>
          </w14:textFill>
        </w:rPr>
        <w:t>签字</w:t>
      </w:r>
      <w:r>
        <w:rPr>
          <w:rFonts w:hint="eastAsia" w:ascii="宋体" w:hAnsi="宋体"/>
          <w:color w:val="000000" w:themeColor="text1"/>
          <w:sz w:val="24"/>
          <w:highlight w:val="none"/>
          <w14:textFill>
            <w14:solidFill>
              <w14:schemeClr w14:val="tx1"/>
            </w14:solidFill>
          </w14:textFill>
        </w:rPr>
        <w:t>并</w:t>
      </w:r>
      <w:r>
        <w:rPr>
          <w:rFonts w:ascii="宋体" w:hAnsi="宋体"/>
          <w:color w:val="000000" w:themeColor="text1"/>
          <w:sz w:val="24"/>
          <w:highlight w:val="none"/>
          <w14:textFill>
            <w14:solidFill>
              <w14:schemeClr w14:val="tx1"/>
            </w14:solidFill>
          </w14:textFill>
        </w:rPr>
        <w:t xml:space="preserve">加盖公章之日起生效。 </w:t>
      </w:r>
    </w:p>
    <w:p w14:paraId="252DC84B">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开 立 人</w:t>
      </w:r>
      <w:r>
        <w:rPr>
          <w:rFonts w:ascii="宋体" w:hAnsi="宋体"/>
          <w:color w:val="000000" w:themeColor="text1"/>
          <w:sz w:val="24"/>
          <w:highlight w:val="non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公</w:t>
      </w:r>
      <w:r>
        <w:rPr>
          <w:rFonts w:ascii="宋体" w:hAnsi="宋体"/>
          <w:color w:val="000000" w:themeColor="text1"/>
          <w:sz w:val="24"/>
          <w:highlight w:val="none"/>
          <w14:textFill>
            <w14:solidFill>
              <w14:schemeClr w14:val="tx1"/>
            </w14:solidFill>
          </w14:textFill>
        </w:rPr>
        <w:t xml:space="preserve">章） </w:t>
      </w:r>
    </w:p>
    <w:p w14:paraId="751D5A4D">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法定代表人（或授权代表）：</w:t>
      </w:r>
      <w:r>
        <w:rPr>
          <w:rFonts w:ascii="宋体" w:hAnsi="宋体"/>
          <w:color w:val="000000" w:themeColor="text1"/>
          <w:sz w:val="24"/>
          <w:highlight w:val="none"/>
          <w14:textFill>
            <w14:solidFill>
              <w14:schemeClr w14:val="tx1"/>
            </w14:solidFill>
          </w14:textFill>
        </w:rPr>
        <w:t xml:space="preserve">               （签字） </w:t>
      </w:r>
    </w:p>
    <w:p w14:paraId="5D7D710B">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w:t>
      </w:r>
      <w:r>
        <w:rPr>
          <w:rFonts w:ascii="宋体" w:hAnsi="宋体"/>
          <w:color w:val="000000" w:themeColor="text1"/>
          <w:sz w:val="24"/>
          <w:highlight w:val="none"/>
          <w14:textFill>
            <w14:solidFill>
              <w14:schemeClr w14:val="tx1"/>
            </w14:solidFill>
          </w14:textFill>
        </w:rPr>
        <w:t xml:space="preserve">    址：                                       </w:t>
      </w:r>
    </w:p>
    <w:p w14:paraId="0204CCC8">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邮政编码：</w:t>
      </w:r>
    </w:p>
    <w:p w14:paraId="29282173">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电</w:t>
      </w:r>
      <w:r>
        <w:rPr>
          <w:rFonts w:ascii="宋体" w:hAnsi="宋体"/>
          <w:color w:val="000000" w:themeColor="text1"/>
          <w:sz w:val="24"/>
          <w:highlight w:val="none"/>
          <w14:textFill>
            <w14:solidFill>
              <w14:schemeClr w14:val="tx1"/>
            </w14:solidFill>
          </w14:textFill>
        </w:rPr>
        <w:t xml:space="preserve">    话：                 </w:t>
      </w:r>
    </w:p>
    <w:p w14:paraId="53818A1B">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传</w:t>
      </w:r>
      <w:r>
        <w:rPr>
          <w:rFonts w:ascii="宋体" w:hAnsi="宋体"/>
          <w:color w:val="000000" w:themeColor="text1"/>
          <w:sz w:val="24"/>
          <w:highlight w:val="none"/>
          <w14:textFill>
            <w14:solidFill>
              <w14:schemeClr w14:val="tx1"/>
            </w14:solidFill>
          </w14:textFill>
        </w:rPr>
        <w:t xml:space="preserve">    真：                 </w:t>
      </w:r>
    </w:p>
    <w:p w14:paraId="54BCB4BC">
      <w:pPr>
        <w:spacing w:line="360" w:lineRule="auto"/>
        <w:ind w:firstLine="480" w:firstLineChars="200"/>
        <w:rPr>
          <w:color w:val="000000" w:themeColor="text1"/>
          <w:szCs w:val="21"/>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开立时间：</w:t>
      </w:r>
      <w:r>
        <w:rPr>
          <w:rFonts w:ascii="宋体" w:hAnsi="宋体"/>
          <w:color w:val="000000" w:themeColor="text1"/>
          <w:sz w:val="24"/>
          <w:highlight w:val="none"/>
          <w14:textFill>
            <w14:solidFill>
              <w14:schemeClr w14:val="tx1"/>
            </w14:solidFill>
          </w14:textFill>
        </w:rPr>
        <w:t xml:space="preserve">      年      月    </w:t>
      </w:r>
    </w:p>
    <w:p w14:paraId="658BA26E">
      <w:pPr>
        <w:spacing w:line="360" w:lineRule="auto"/>
        <w:jc w:val="left"/>
        <w:rPr>
          <w:rFonts w:eastAsia="仿宋_GB2312"/>
          <w:color w:val="000000" w:themeColor="text1"/>
          <w:sz w:val="30"/>
          <w:szCs w:val="30"/>
          <w:highlight w:val="none"/>
          <w14:textFill>
            <w14:solidFill>
              <w14:schemeClr w14:val="tx1"/>
            </w14:solidFill>
          </w14:textFill>
        </w:rPr>
      </w:pPr>
    </w:p>
    <w:p w14:paraId="4D2958E4">
      <w:pPr>
        <w:spacing w:line="360" w:lineRule="auto"/>
        <w:jc w:val="left"/>
        <w:rPr>
          <w:rFonts w:eastAsia="仿宋_GB2312" w:cs="仿宋_GB2312"/>
          <w:color w:val="000000" w:themeColor="text1"/>
          <w:sz w:val="30"/>
          <w:szCs w:val="30"/>
          <w:highlight w:val="none"/>
          <w14:textFill>
            <w14:solidFill>
              <w14:schemeClr w14:val="tx1"/>
            </w14:solidFill>
          </w14:textFill>
        </w:rPr>
      </w:pPr>
    </w:p>
    <w:p w14:paraId="4EBAEFA1">
      <w:pPr>
        <w:spacing w:line="360" w:lineRule="auto"/>
        <w:jc w:val="left"/>
        <w:rPr>
          <w:rFonts w:eastAsia="仿宋_GB2312" w:cs="仿宋_GB2312"/>
          <w:color w:val="000000" w:themeColor="text1"/>
          <w:sz w:val="30"/>
          <w:szCs w:val="30"/>
          <w:highlight w:val="none"/>
          <w14:textFill>
            <w14:solidFill>
              <w14:schemeClr w14:val="tx1"/>
            </w14:solidFill>
          </w14:textFill>
        </w:rPr>
      </w:pPr>
    </w:p>
    <w:p w14:paraId="3A66A7EC">
      <w:pPr>
        <w:spacing w:line="360" w:lineRule="auto"/>
        <w:jc w:val="left"/>
        <w:rPr>
          <w:rFonts w:eastAsia="仿宋_GB2312" w:cs="仿宋_GB2312"/>
          <w:color w:val="000000" w:themeColor="text1"/>
          <w:sz w:val="30"/>
          <w:szCs w:val="30"/>
          <w:highlight w:val="none"/>
          <w14:textFill>
            <w14:solidFill>
              <w14:schemeClr w14:val="tx1"/>
            </w14:solidFill>
          </w14:textFill>
        </w:rPr>
      </w:pPr>
    </w:p>
    <w:p w14:paraId="5847D3A0">
      <w:pPr>
        <w:spacing w:line="360" w:lineRule="auto"/>
        <w:jc w:val="left"/>
        <w:rPr>
          <w:rFonts w:ascii="宋体" w:hAnsi="宋体"/>
          <w:color w:val="000000" w:themeColor="text1"/>
          <w:sz w:val="32"/>
          <w:szCs w:val="32"/>
          <w:highlight w:val="none"/>
          <w14:textFill>
            <w14:solidFill>
              <w14:schemeClr w14:val="tx1"/>
            </w14:solidFill>
          </w14:textFill>
        </w:rPr>
      </w:pPr>
      <w:r>
        <w:rPr>
          <w:rFonts w:hint="eastAsia" w:eastAsia="仿宋_GB2312" w:cs="仿宋_GB2312"/>
          <w:color w:val="000000" w:themeColor="text1"/>
          <w:sz w:val="30"/>
          <w:szCs w:val="30"/>
          <w:highlight w:val="none"/>
          <w14:textFill>
            <w14:solidFill>
              <w14:schemeClr w14:val="tx1"/>
            </w14:solidFill>
          </w14:textFill>
        </w:rPr>
        <w:t>附</w:t>
      </w:r>
      <w:bookmarkStart w:id="1148" w:name="_Toc296346732"/>
      <w:bookmarkStart w:id="1149" w:name="_Toc296891059"/>
      <w:bookmarkStart w:id="1150" w:name="_Toc296944570"/>
      <w:bookmarkStart w:id="1151" w:name="_Toc296891271"/>
      <w:bookmarkStart w:id="1152" w:name="_Toc296347230"/>
      <w:bookmarkStart w:id="1153" w:name="_Toc296503231"/>
      <w:r>
        <w:rPr>
          <w:rFonts w:hint="eastAsia" w:eastAsia="仿宋_GB2312" w:cs="仿宋_GB2312"/>
          <w:color w:val="000000" w:themeColor="text1"/>
          <w:sz w:val="30"/>
          <w:szCs w:val="30"/>
          <w:highlight w:val="none"/>
          <w14:textFill>
            <w14:solidFill>
              <w14:schemeClr w14:val="tx1"/>
            </w14:solidFill>
          </w14:textFill>
        </w:rPr>
        <w:t>件</w:t>
      </w:r>
      <w:r>
        <w:rPr>
          <w:rFonts w:hint="eastAsia" w:eastAsia="仿宋_GB2312"/>
          <w:color w:val="000000" w:themeColor="text1"/>
          <w:sz w:val="30"/>
          <w:szCs w:val="30"/>
          <w:highlight w:val="none"/>
          <w14:textFill>
            <w14:solidFill>
              <w14:schemeClr w14:val="tx1"/>
            </w14:solidFill>
          </w14:textFill>
        </w:rPr>
        <w:t>7</w:t>
      </w:r>
      <w:r>
        <w:rPr>
          <w:rFonts w:hint="eastAsia" w:eastAsia="仿宋_GB2312" w:cs="仿宋_GB2312"/>
          <w:color w:val="000000" w:themeColor="text1"/>
          <w:sz w:val="30"/>
          <w:szCs w:val="30"/>
          <w:highlight w:val="none"/>
          <w14:textFill>
            <w14:solidFill>
              <w14:schemeClr w14:val="tx1"/>
            </w14:solidFill>
          </w14:textFill>
        </w:rPr>
        <w:t>：</w:t>
      </w:r>
    </w:p>
    <w:p w14:paraId="57B695C6">
      <w:pPr>
        <w:spacing w:line="360" w:lineRule="auto"/>
        <w:rPr>
          <w:rFonts w:ascii="宋体" w:hAnsi="宋体"/>
          <w:b/>
          <w:bCs/>
          <w:color w:val="000000" w:themeColor="text1"/>
          <w:sz w:val="32"/>
          <w:szCs w:val="32"/>
          <w:highlight w:val="none"/>
          <w14:textFill>
            <w14:solidFill>
              <w14:schemeClr w14:val="tx1"/>
            </w14:solidFill>
          </w14:textFill>
        </w:rPr>
      </w:pPr>
    </w:p>
    <w:p w14:paraId="6AF0566B">
      <w:pPr>
        <w:spacing w:line="360" w:lineRule="auto"/>
        <w:jc w:val="center"/>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履约保函示范文本</w:t>
      </w:r>
    </w:p>
    <w:p w14:paraId="31D5254A">
      <w:pPr>
        <w:spacing w:line="360" w:lineRule="auto"/>
        <w:jc w:val="center"/>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（非独立保函）</w:t>
      </w:r>
    </w:p>
    <w:p w14:paraId="13923B8F">
      <w:pPr>
        <w:spacing w:line="360" w:lineRule="auto"/>
        <w:jc w:val="center"/>
        <w:rPr>
          <w:rFonts w:ascii="宋体" w:hAnsi="宋体"/>
          <w:b/>
          <w:bCs/>
          <w:color w:val="000000" w:themeColor="text1"/>
          <w:sz w:val="32"/>
          <w:szCs w:val="32"/>
          <w:highlight w:val="none"/>
          <w14:textFill>
            <w14:solidFill>
              <w14:schemeClr w14:val="tx1"/>
            </w14:solidFill>
          </w14:textFill>
        </w:rPr>
      </w:pPr>
    </w:p>
    <w:p w14:paraId="3A54E44F">
      <w:pPr>
        <w:wordWrap w:val="0"/>
        <w:spacing w:line="360" w:lineRule="auto"/>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编号： </w:t>
      </w:r>
    </w:p>
    <w:p w14:paraId="67217334">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承包人：</w:t>
      </w:r>
    </w:p>
    <w:p w14:paraId="061FC818">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地址</w:t>
      </w:r>
      <w:r>
        <w:rPr>
          <w:rFonts w:ascii="宋体" w:hAnsi="宋体"/>
          <w:color w:val="000000" w:themeColor="text1"/>
          <w:sz w:val="24"/>
          <w:highlight w:val="none"/>
          <w14:textFill>
            <w14:solidFill>
              <w14:schemeClr w14:val="tx1"/>
            </w14:solidFill>
          </w14:textFill>
        </w:rPr>
        <w:t>：</w:t>
      </w:r>
    </w:p>
    <w:p w14:paraId="7B33DE30">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担保权人/发包人：</w:t>
      </w:r>
    </w:p>
    <w:p w14:paraId="096AE7B0">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地址：</w:t>
      </w:r>
    </w:p>
    <w:p w14:paraId="22E2BD7D">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保证人：</w:t>
      </w:r>
    </w:p>
    <w:p w14:paraId="22B57659">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地址：</w:t>
      </w:r>
    </w:p>
    <w:p w14:paraId="26050140">
      <w:pPr>
        <w:spacing w:line="360" w:lineRule="auto"/>
        <w:rPr>
          <w:rFonts w:ascii="宋体" w:hAnsi="宋体"/>
          <w:color w:val="000000" w:themeColor="text1"/>
          <w:sz w:val="24"/>
          <w:highlight w:val="none"/>
          <w14:textFill>
            <w14:solidFill>
              <w14:schemeClr w14:val="tx1"/>
            </w14:solidFill>
          </w14:textFill>
        </w:rPr>
      </w:pPr>
    </w:p>
    <w:p w14:paraId="7A50B675">
      <w:pPr>
        <w:spacing w:line="360" w:lineRule="auto"/>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发包人</w:t>
      </w:r>
      <w:r>
        <w:rPr>
          <w:rFonts w:ascii="宋体" w:hAnsi="宋体"/>
          <w:color w:val="000000" w:themeColor="text1"/>
          <w:sz w:val="24"/>
          <w:highlight w:val="none"/>
          <w14:textFill>
            <w14:solidFill>
              <w14:schemeClr w14:val="tx1"/>
            </w14:solidFill>
          </w14:textFill>
        </w:rPr>
        <w:t xml:space="preserve">名称）： </w:t>
      </w:r>
    </w:p>
    <w:p w14:paraId="3CD8714B">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鉴于</w:t>
      </w:r>
      <w:r>
        <w:rPr>
          <w:rFonts w:ascii="宋体" w:hAnsi="宋体"/>
          <w:color w:val="000000" w:themeColor="text1"/>
          <w:sz w:val="24"/>
          <w:highlight w:val="none"/>
          <w14:textFill>
            <w14:solidFill>
              <w14:schemeClr w14:val="tx1"/>
            </w14:solidFill>
          </w14:textFill>
        </w:rPr>
        <w:t>（以下简称“</w:t>
      </w:r>
      <w:r>
        <w:rPr>
          <w:rFonts w:hint="eastAsia" w:ascii="宋体" w:hAnsi="宋体"/>
          <w:color w:val="000000" w:themeColor="text1"/>
          <w:sz w:val="24"/>
          <w:highlight w:val="none"/>
          <w14:textFill>
            <w14:solidFill>
              <w14:schemeClr w14:val="tx1"/>
            </w14:solidFill>
          </w14:textFill>
        </w:rPr>
        <w:t>发包人</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与</w:t>
      </w:r>
      <w:r>
        <w:rPr>
          <w:rFonts w:ascii="宋体" w:hAnsi="宋体"/>
          <w:color w:val="000000" w:themeColor="text1"/>
          <w:sz w:val="24"/>
          <w:highlight w:val="none"/>
          <w14:textFill>
            <w14:solidFill>
              <w14:schemeClr w14:val="tx1"/>
            </w14:solidFill>
          </w14:textFill>
        </w:rPr>
        <w:t>（以下简称“</w:t>
      </w:r>
      <w:r>
        <w:rPr>
          <w:rFonts w:hint="eastAsia" w:ascii="宋体" w:hAnsi="宋体"/>
          <w:color w:val="000000" w:themeColor="text1"/>
          <w:sz w:val="24"/>
          <w:highlight w:val="none"/>
          <w14:textFill>
            <w14:solidFill>
              <w14:schemeClr w14:val="tx1"/>
            </w14:solidFill>
          </w14:textFill>
        </w:rPr>
        <w:t>承包人</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于×年×月×日就工程（以下简称“本工程”）施工和有关事项协商一致共同签订</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（以下简称“主合同”），我方即保证人基于承包人</w:t>
      </w:r>
      <w:r>
        <w:rPr>
          <w:rFonts w:ascii="宋体" w:hAnsi="宋体"/>
          <w:color w:val="000000" w:themeColor="text1"/>
          <w:sz w:val="24"/>
          <w:highlight w:val="none"/>
          <w14:textFill>
            <w14:solidFill>
              <w14:schemeClr w14:val="tx1"/>
            </w14:solidFill>
          </w14:textFill>
        </w:rPr>
        <w:t>的请求，同意就</w:t>
      </w:r>
      <w:r>
        <w:rPr>
          <w:rFonts w:hint="eastAsia" w:ascii="宋体" w:hAnsi="宋体"/>
          <w:color w:val="000000" w:themeColor="text1"/>
          <w:sz w:val="24"/>
          <w:highlight w:val="none"/>
          <w14:textFill>
            <w14:solidFill>
              <w14:schemeClr w14:val="tx1"/>
            </w14:solidFill>
          </w14:textFill>
        </w:rPr>
        <w:t>承包人</w:t>
      </w:r>
      <w:r>
        <w:rPr>
          <w:rFonts w:ascii="宋体" w:hAnsi="宋体"/>
          <w:color w:val="000000" w:themeColor="text1"/>
          <w:sz w:val="24"/>
          <w:highlight w:val="none"/>
          <w14:textFill>
            <w14:solidFill>
              <w14:schemeClr w14:val="tx1"/>
            </w14:solidFill>
          </w14:textFill>
        </w:rPr>
        <w:t>履行</w:t>
      </w:r>
      <w:r>
        <w:rPr>
          <w:rFonts w:hint="eastAsia" w:ascii="宋体" w:hAnsi="宋体"/>
          <w:color w:val="000000" w:themeColor="text1"/>
          <w:sz w:val="24"/>
          <w:highlight w:val="none"/>
          <w14:textFill>
            <w14:solidFill>
              <w14:schemeClr w14:val="tx1"/>
            </w14:solidFill>
          </w14:textFill>
        </w:rPr>
        <w:t>与贵方签订的主合同</w:t>
      </w:r>
      <w:r>
        <w:rPr>
          <w:rFonts w:ascii="宋体" w:hAnsi="宋体"/>
          <w:color w:val="000000" w:themeColor="text1"/>
          <w:sz w:val="24"/>
          <w:highlight w:val="none"/>
          <w14:textFill>
            <w14:solidFill>
              <w14:schemeClr w14:val="tx1"/>
            </w14:solidFill>
          </w14:textFill>
        </w:rPr>
        <w:t>项下的义务</w:t>
      </w: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向贵方提供</w:t>
      </w:r>
      <w:r>
        <w:rPr>
          <w:rFonts w:hint="eastAsia" w:ascii="宋体" w:hAnsi="宋体"/>
          <w:color w:val="000000" w:themeColor="text1"/>
          <w:sz w:val="24"/>
          <w:highlight w:val="none"/>
          <w14:textFill>
            <w14:solidFill>
              <w14:schemeClr w14:val="tx1"/>
            </w14:solidFill>
          </w14:textFill>
        </w:rPr>
        <w:t>如下保证担保（以下简称“本保证担保”）</w:t>
      </w:r>
      <w:r>
        <w:rPr>
          <w:rFonts w:ascii="宋体" w:hAnsi="宋体"/>
          <w:color w:val="000000" w:themeColor="text1"/>
          <w:sz w:val="24"/>
          <w:highlight w:val="none"/>
          <w14:textFill>
            <w14:solidFill>
              <w14:schemeClr w14:val="tx1"/>
            </w14:solidFill>
          </w14:textFill>
        </w:rPr>
        <w:t xml:space="preserve">。 </w:t>
      </w:r>
    </w:p>
    <w:p w14:paraId="1599A518">
      <w:pPr>
        <w:spacing w:line="360" w:lineRule="auto"/>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一、保证担保的范围及保证担保金额</w:t>
      </w:r>
    </w:p>
    <w:p w14:paraId="08AC3306">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保证担保范围：承包人未按照主合同的约定履行义务，应当向贵方承担的违约责任和赔偿因此造成的损失、利息、律师费、诉讼费用等实现债权的费用。</w:t>
      </w:r>
    </w:p>
    <w:p w14:paraId="0981DA3C">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保证担保金额最高不超过</w:t>
      </w:r>
      <w:r>
        <w:rPr>
          <w:rFonts w:ascii="宋体" w:hAnsi="宋体"/>
          <w:color w:val="000000" w:themeColor="text1"/>
          <w:sz w:val="24"/>
          <w:highlight w:val="none"/>
          <w14:textFill>
            <w14:solidFill>
              <w14:schemeClr w14:val="tx1"/>
            </w14:solidFill>
          </w14:textFill>
        </w:rPr>
        <w:t xml:space="preserve">人民币（大写）元（¥）。 </w:t>
      </w:r>
    </w:p>
    <w:p w14:paraId="7901D073">
      <w:pPr>
        <w:spacing w:line="360" w:lineRule="auto"/>
        <w:ind w:firstLine="482" w:firstLineChars="200"/>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二、保证担保的方式及保证期间</w:t>
      </w:r>
    </w:p>
    <w:p w14:paraId="1B0ECD84">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1.保证担保方式：连带责任保证。</w:t>
      </w:r>
    </w:p>
    <w:p w14:paraId="14DA1FDA">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保证期间：</w:t>
      </w:r>
      <w:r>
        <w:rPr>
          <w:rFonts w:ascii="宋体" w:hAnsi="宋体"/>
          <w:color w:val="000000" w:themeColor="text1"/>
          <w:sz w:val="24"/>
          <w:highlight w:val="none"/>
          <w14:textFill>
            <w14:solidFill>
              <w14:schemeClr w14:val="tx1"/>
            </w14:solidFill>
          </w14:textFill>
        </w:rPr>
        <w:t>自</w:t>
      </w:r>
      <w:r>
        <w:rPr>
          <w:rFonts w:hint="eastAsia" w:ascii="宋体" w:hAnsi="宋体"/>
          <w:color w:val="000000" w:themeColor="text1"/>
          <w:sz w:val="24"/>
          <w:highlight w:val="none"/>
          <w14:textFill>
            <w14:solidFill>
              <w14:schemeClr w14:val="tx1"/>
            </w14:solidFill>
          </w14:textFill>
        </w:rPr>
        <w:t>出具之日起</w:t>
      </w:r>
      <w:r>
        <w:rPr>
          <w:rFonts w:ascii="宋体" w:hAnsi="宋体"/>
          <w:color w:val="000000" w:themeColor="text1"/>
          <w:sz w:val="24"/>
          <w:highlight w:val="none"/>
          <w14:textFill>
            <w14:solidFill>
              <w14:schemeClr w14:val="tx1"/>
            </w14:solidFill>
          </w14:textFill>
        </w:rPr>
        <w:t>至</w:t>
      </w:r>
      <w:r>
        <w:rPr>
          <w:rFonts w:hint="eastAsia" w:ascii="宋体" w:hAnsi="宋体"/>
          <w:color w:val="000000" w:themeColor="text1"/>
          <w:sz w:val="24"/>
          <w:highlight w:val="none"/>
          <w14:textFill>
            <w14:solidFill>
              <w14:schemeClr w14:val="tx1"/>
            </w14:solidFill>
          </w14:textFill>
        </w:rPr>
        <w:t>主合同约定的缺陷责任期</w:t>
      </w:r>
      <w:r>
        <w:rPr>
          <w:rFonts w:ascii="宋体" w:hAnsi="宋体"/>
          <w:color w:val="000000" w:themeColor="text1"/>
          <w:sz w:val="24"/>
          <w:highlight w:val="none"/>
          <w14:textFill>
            <w14:solidFill>
              <w14:schemeClr w14:val="tx1"/>
            </w14:solidFill>
          </w14:textFill>
        </w:rPr>
        <w:t>后日</w:t>
      </w:r>
      <w:r>
        <w:rPr>
          <w:rFonts w:hint="eastAsia" w:ascii="宋体" w:hAnsi="宋体"/>
          <w:color w:val="000000" w:themeColor="text1"/>
          <w:sz w:val="24"/>
          <w:highlight w:val="none"/>
          <w14:textFill>
            <w14:solidFill>
              <w14:schemeClr w14:val="tx1"/>
            </w14:solidFill>
          </w14:textFill>
        </w:rPr>
        <w:t>止，最迟不超过×年×月×日</w:t>
      </w:r>
      <w:r>
        <w:rPr>
          <w:rFonts w:ascii="宋体" w:hAnsi="宋体"/>
          <w:color w:val="000000" w:themeColor="text1"/>
          <w:sz w:val="24"/>
          <w:highlight w:val="none"/>
          <w14:textFill>
            <w14:solidFill>
              <w14:schemeClr w14:val="tx1"/>
            </w14:solidFill>
          </w14:textFill>
        </w:rPr>
        <w:t xml:space="preserve">。 </w:t>
      </w:r>
    </w:p>
    <w:p w14:paraId="3434574D">
      <w:pPr>
        <w:spacing w:line="360" w:lineRule="auto"/>
        <w:ind w:firstLine="482" w:firstLineChars="200"/>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三、承担保证担保责任的形式</w:t>
      </w:r>
    </w:p>
    <w:p w14:paraId="113B10B3">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我方按照贵方的要求以下列方式之一承担保证担保责任：</w:t>
      </w:r>
    </w:p>
    <w:p w14:paraId="128F4251">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1.向承包人资金、设备或者技术援助，使其能继续履行合同义务；</w:t>
      </w:r>
    </w:p>
    <w:p w14:paraId="4A9165FB">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2.直接接管该项工程或者委托经贵方同意的其他承包商，继续履行合同义务；</w:t>
      </w:r>
    </w:p>
    <w:p w14:paraId="720E1F13">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3.在保证担保金额最高限额内，按照合同约定，向贵方承担违约责任和赔偿因此造成的损失，以及利息和律师费、诉讼费用等实现债权的费用。</w:t>
      </w:r>
    </w:p>
    <w:p w14:paraId="765BE29D">
      <w:pPr>
        <w:spacing w:line="360" w:lineRule="auto"/>
        <w:ind w:firstLine="482" w:firstLineChars="200"/>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四、代偿的安排</w:t>
      </w:r>
    </w:p>
    <w:p w14:paraId="6008A5AC">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贵方要求我方承担保证责任的，应向我方发出书面索赔通知及承包人未履行主合同约定义务的证明材料。索赔通知应写明要求索赔的金额，支付款项应到达的账号，并附有说明承包人违反主合同造成贵方损失情况的证明材料。</w:t>
      </w:r>
    </w:p>
    <w:p w14:paraId="56D285FE">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2.贵方以工程质量不符合主合同约定标准为由，向我方提出违约索赔的，还需同时提供符合相应条件要求的工程质量检测部门出具的质量说明材料。</w:t>
      </w:r>
    </w:p>
    <w:p w14:paraId="70D760C9">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3.我方收到贵方的书面索赔通知及相应证明材料后，在工作日内进行核定后按照本保函的承诺承担保证责任。</w:t>
      </w:r>
    </w:p>
    <w:p w14:paraId="25549891">
      <w:pPr>
        <w:spacing w:line="360" w:lineRule="auto"/>
        <w:ind w:firstLine="482" w:firstLineChars="200"/>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五、保证担保责任的解除</w:t>
      </w:r>
    </w:p>
    <w:p w14:paraId="17DBA509">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w:t>
      </w:r>
      <w:r>
        <w:rPr>
          <w:rFonts w:ascii="宋体" w:hAnsi="宋体"/>
          <w:color w:val="000000" w:themeColor="text1"/>
          <w:sz w:val="24"/>
          <w:highlight w:val="none"/>
          <w14:textFill>
            <w14:solidFill>
              <w14:schemeClr w14:val="tx1"/>
            </w14:solidFill>
          </w14:textFill>
        </w:rPr>
        <w:t xml:space="preserve">保证期间届满贵方未向我方书面主张保证责任的，自保证期间届满次日起，我方解除保证责任。 </w:t>
      </w:r>
    </w:p>
    <w:p w14:paraId="5000519B">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w:t>
      </w:r>
      <w:r>
        <w:rPr>
          <w:rFonts w:ascii="宋体" w:hAnsi="宋体"/>
          <w:color w:val="000000" w:themeColor="text1"/>
          <w:sz w:val="24"/>
          <w:highlight w:val="none"/>
          <w14:textFill>
            <w14:solidFill>
              <w14:schemeClr w14:val="tx1"/>
            </w14:solidFill>
          </w14:textFill>
        </w:rPr>
        <w:t>我方按照本</w:t>
      </w:r>
      <w:r>
        <w:rPr>
          <w:rFonts w:hint="eastAsia" w:ascii="宋体" w:hAnsi="宋体"/>
          <w:color w:val="000000" w:themeColor="text1"/>
          <w:sz w:val="24"/>
          <w:highlight w:val="none"/>
          <w14:textFill>
            <w14:solidFill>
              <w14:schemeClr w14:val="tx1"/>
            </w14:solidFill>
          </w14:textFill>
        </w:rPr>
        <w:t>保证担保</w:t>
      </w:r>
      <w:r>
        <w:rPr>
          <w:rFonts w:ascii="宋体" w:hAnsi="宋体"/>
          <w:color w:val="000000" w:themeColor="text1"/>
          <w:sz w:val="24"/>
          <w:highlight w:val="none"/>
          <w14:textFill>
            <w14:solidFill>
              <w14:schemeClr w14:val="tx1"/>
            </w14:solidFill>
          </w14:textFill>
        </w:rPr>
        <w:t>向贵方履行了</w:t>
      </w:r>
      <w:r>
        <w:rPr>
          <w:rFonts w:hint="eastAsia" w:ascii="宋体" w:hAnsi="宋体"/>
          <w:color w:val="000000" w:themeColor="text1"/>
          <w:sz w:val="24"/>
          <w:highlight w:val="none"/>
          <w14:textFill>
            <w14:solidFill>
              <w14:schemeClr w14:val="tx1"/>
            </w14:solidFill>
          </w14:textFill>
        </w:rPr>
        <w:t>保证担保责任</w:t>
      </w:r>
      <w:r>
        <w:rPr>
          <w:rFonts w:ascii="宋体" w:hAnsi="宋体"/>
          <w:color w:val="000000" w:themeColor="text1"/>
          <w:sz w:val="24"/>
          <w:highlight w:val="none"/>
          <w14:textFill>
            <w14:solidFill>
              <w14:schemeClr w14:val="tx1"/>
            </w14:solidFill>
          </w14:textFill>
        </w:rPr>
        <w:t>后，自我方向贵方支付</w:t>
      </w:r>
      <w:r>
        <w:rPr>
          <w:rFonts w:hint="eastAsia" w:ascii="宋体" w:hAnsi="宋体"/>
          <w:color w:val="000000" w:themeColor="text1"/>
          <w:sz w:val="24"/>
          <w:highlight w:val="none"/>
          <w14:textFill>
            <w14:solidFill>
              <w14:schemeClr w14:val="tx1"/>
            </w14:solidFill>
          </w14:textFill>
        </w:rPr>
        <w:t>的金额达到最高保证担保金额</w:t>
      </w:r>
      <w:r>
        <w:rPr>
          <w:rFonts w:ascii="宋体" w:hAnsi="宋体"/>
          <w:color w:val="000000" w:themeColor="text1"/>
          <w:sz w:val="24"/>
          <w:highlight w:val="none"/>
          <w14:textFill>
            <w14:solidFill>
              <w14:schemeClr w14:val="tx1"/>
            </w14:solidFill>
          </w14:textFill>
        </w:rPr>
        <w:t>之日起，</w:t>
      </w:r>
      <w:r>
        <w:rPr>
          <w:rFonts w:hint="eastAsia" w:ascii="宋体" w:hAnsi="宋体"/>
          <w:color w:val="000000" w:themeColor="text1"/>
          <w:sz w:val="24"/>
          <w:highlight w:val="none"/>
          <w14:textFill>
            <w14:solidFill>
              <w14:schemeClr w14:val="tx1"/>
            </w14:solidFill>
          </w14:textFill>
        </w:rPr>
        <w:t>保证担保责任</w:t>
      </w:r>
      <w:r>
        <w:rPr>
          <w:rFonts w:ascii="宋体" w:hAnsi="宋体"/>
          <w:color w:val="000000" w:themeColor="text1"/>
          <w:sz w:val="24"/>
          <w:highlight w:val="none"/>
          <w14:textFill>
            <w14:solidFill>
              <w14:schemeClr w14:val="tx1"/>
            </w14:solidFill>
          </w14:textFill>
        </w:rPr>
        <w:t xml:space="preserve">解除。 </w:t>
      </w:r>
    </w:p>
    <w:p w14:paraId="024F49AE">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w:t>
      </w:r>
      <w:r>
        <w:rPr>
          <w:rFonts w:ascii="宋体" w:hAnsi="宋体"/>
          <w:color w:val="000000" w:themeColor="text1"/>
          <w:sz w:val="24"/>
          <w:highlight w:val="none"/>
          <w14:textFill>
            <w14:solidFill>
              <w14:schemeClr w14:val="tx1"/>
            </w14:solidFill>
          </w14:textFill>
        </w:rPr>
        <w:t>按照法律法规的规定应解除我方保证</w:t>
      </w:r>
      <w:r>
        <w:rPr>
          <w:rFonts w:hint="eastAsia" w:ascii="宋体" w:hAnsi="宋体"/>
          <w:color w:val="000000" w:themeColor="text1"/>
          <w:sz w:val="24"/>
          <w:highlight w:val="none"/>
          <w14:textFill>
            <w14:solidFill>
              <w14:schemeClr w14:val="tx1"/>
            </w14:solidFill>
          </w14:textFill>
        </w:rPr>
        <w:t>担保</w:t>
      </w:r>
      <w:r>
        <w:rPr>
          <w:rFonts w:ascii="宋体" w:hAnsi="宋体"/>
          <w:color w:val="000000" w:themeColor="text1"/>
          <w:sz w:val="24"/>
          <w:highlight w:val="none"/>
          <w14:textFill>
            <w14:solidFill>
              <w14:schemeClr w14:val="tx1"/>
            </w14:solidFill>
          </w14:textFill>
        </w:rPr>
        <w:t>责任的其它情形的，我方在本保证担保项下的保证</w:t>
      </w:r>
      <w:r>
        <w:rPr>
          <w:rFonts w:hint="eastAsia" w:ascii="宋体" w:hAnsi="宋体"/>
          <w:color w:val="000000" w:themeColor="text1"/>
          <w:sz w:val="24"/>
          <w:highlight w:val="none"/>
          <w14:textFill>
            <w14:solidFill>
              <w14:schemeClr w14:val="tx1"/>
            </w14:solidFill>
          </w14:textFill>
        </w:rPr>
        <w:t>担保</w:t>
      </w:r>
      <w:r>
        <w:rPr>
          <w:rFonts w:ascii="宋体" w:hAnsi="宋体"/>
          <w:color w:val="000000" w:themeColor="text1"/>
          <w:sz w:val="24"/>
          <w:highlight w:val="none"/>
          <w14:textFill>
            <w14:solidFill>
              <w14:schemeClr w14:val="tx1"/>
            </w14:solidFill>
          </w14:textFill>
        </w:rPr>
        <w:t xml:space="preserve">责任亦解除。 </w:t>
      </w:r>
    </w:p>
    <w:p w14:paraId="5CF08176">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4.我方解除保证责任后，贵方应按上述约定，自我方保证担保责任解除之日起七</w:t>
      </w:r>
      <w:r>
        <w:rPr>
          <w:rFonts w:ascii="宋体" w:hAnsi="宋体"/>
          <w:color w:val="000000" w:themeColor="text1"/>
          <w:sz w:val="24"/>
          <w:highlight w:val="none"/>
          <w14:textFill>
            <w14:solidFill>
              <w14:schemeClr w14:val="tx1"/>
            </w14:solidFill>
          </w14:textFill>
        </w:rPr>
        <w:t>日内，将本保证担保原件返还我方。但是不论贵方是否按此要求将本保证担保</w:t>
      </w:r>
      <w:r>
        <w:rPr>
          <w:rFonts w:hint="eastAsia" w:ascii="宋体" w:hAnsi="宋体"/>
          <w:color w:val="000000" w:themeColor="text1"/>
          <w:sz w:val="24"/>
          <w:highlight w:val="none"/>
          <w14:textFill>
            <w14:solidFill>
              <w14:schemeClr w14:val="tx1"/>
            </w14:solidFill>
          </w14:textFill>
        </w:rPr>
        <w:t>原件</w:t>
      </w:r>
      <w:r>
        <w:rPr>
          <w:rFonts w:ascii="宋体" w:hAnsi="宋体"/>
          <w:color w:val="000000" w:themeColor="text1"/>
          <w:sz w:val="24"/>
          <w:highlight w:val="none"/>
          <w14:textFill>
            <w14:solidFill>
              <w14:schemeClr w14:val="tx1"/>
            </w14:solidFill>
          </w14:textFill>
        </w:rPr>
        <w:t>退回我方，我方在本保证担保项下的义务和责任均</w:t>
      </w:r>
      <w:r>
        <w:rPr>
          <w:rFonts w:hint="eastAsia" w:ascii="宋体" w:hAnsi="宋体"/>
          <w:color w:val="000000" w:themeColor="text1"/>
          <w:sz w:val="24"/>
          <w:highlight w:val="none"/>
          <w14:textFill>
            <w14:solidFill>
              <w14:schemeClr w14:val="tx1"/>
            </w14:solidFill>
          </w14:textFill>
        </w:rPr>
        <w:t>自保证担保责任解除之日</w:t>
      </w:r>
      <w:r>
        <w:rPr>
          <w:rFonts w:ascii="宋体" w:hAnsi="宋体"/>
          <w:color w:val="000000" w:themeColor="text1"/>
          <w:sz w:val="24"/>
          <w:highlight w:val="none"/>
          <w14:textFill>
            <w14:solidFill>
              <w14:schemeClr w14:val="tx1"/>
            </w14:solidFill>
          </w14:textFill>
        </w:rPr>
        <w:t>自动消灭。</w:t>
      </w:r>
    </w:p>
    <w:p w14:paraId="409647C4">
      <w:pPr>
        <w:spacing w:line="360" w:lineRule="auto"/>
        <w:ind w:firstLine="482" w:firstLineChars="200"/>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六、免责条款</w:t>
      </w:r>
    </w:p>
    <w:p w14:paraId="64FBBB12">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w:t>
      </w:r>
      <w:r>
        <w:rPr>
          <w:rFonts w:ascii="宋体" w:hAnsi="宋体"/>
          <w:color w:val="000000" w:themeColor="text1"/>
          <w:sz w:val="24"/>
          <w:highlight w:val="none"/>
          <w14:textFill>
            <w14:solidFill>
              <w14:schemeClr w14:val="tx1"/>
            </w14:solidFill>
          </w14:textFill>
        </w:rPr>
        <w:t>因贵方</w:t>
      </w:r>
      <w:r>
        <w:rPr>
          <w:rFonts w:hint="eastAsia" w:ascii="宋体" w:hAnsi="宋体"/>
          <w:color w:val="000000" w:themeColor="text1"/>
          <w:sz w:val="24"/>
          <w:highlight w:val="none"/>
          <w14:textFill>
            <w14:solidFill>
              <w14:schemeClr w14:val="tx1"/>
            </w14:solidFill>
          </w14:textFill>
        </w:rPr>
        <w:t>原因</w:t>
      </w:r>
      <w:r>
        <w:rPr>
          <w:rFonts w:ascii="宋体" w:hAnsi="宋体"/>
          <w:color w:val="000000" w:themeColor="text1"/>
          <w:sz w:val="24"/>
          <w:highlight w:val="none"/>
          <w14:textFill>
            <w14:solidFill>
              <w14:schemeClr w14:val="tx1"/>
            </w14:solidFill>
          </w14:textFill>
        </w:rPr>
        <w:t>致使</w:t>
      </w:r>
      <w:r>
        <w:rPr>
          <w:rFonts w:hint="eastAsia" w:ascii="宋体" w:hAnsi="宋体"/>
          <w:color w:val="000000" w:themeColor="text1"/>
          <w:sz w:val="24"/>
          <w:highlight w:val="none"/>
          <w14:textFill>
            <w14:solidFill>
              <w14:schemeClr w14:val="tx1"/>
            </w14:solidFill>
          </w14:textFill>
        </w:rPr>
        <w:t>承包人未按照主合同约定履行义务的</w:t>
      </w:r>
      <w:r>
        <w:rPr>
          <w:rFonts w:ascii="宋体" w:hAnsi="宋体"/>
          <w:color w:val="000000" w:themeColor="text1"/>
          <w:sz w:val="24"/>
          <w:highlight w:val="none"/>
          <w14:textFill>
            <w14:solidFill>
              <w14:schemeClr w14:val="tx1"/>
            </w14:solidFill>
          </w14:textFill>
        </w:rPr>
        <w:t>，我方不承担保证</w:t>
      </w:r>
      <w:r>
        <w:rPr>
          <w:rFonts w:hint="eastAsia" w:ascii="宋体" w:hAnsi="宋体"/>
          <w:color w:val="000000" w:themeColor="text1"/>
          <w:sz w:val="24"/>
          <w:highlight w:val="none"/>
          <w14:textFill>
            <w14:solidFill>
              <w14:schemeClr w14:val="tx1"/>
            </w14:solidFill>
          </w14:textFill>
        </w:rPr>
        <w:t>担保</w:t>
      </w:r>
      <w:r>
        <w:rPr>
          <w:rFonts w:ascii="宋体" w:hAnsi="宋体"/>
          <w:color w:val="000000" w:themeColor="text1"/>
          <w:sz w:val="24"/>
          <w:highlight w:val="none"/>
          <w14:textFill>
            <w14:solidFill>
              <w14:schemeClr w14:val="tx1"/>
            </w14:solidFill>
          </w14:textFill>
        </w:rPr>
        <w:t xml:space="preserve">责任。 </w:t>
      </w:r>
    </w:p>
    <w:p w14:paraId="7D10EBB9">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w:t>
      </w:r>
      <w:r>
        <w:rPr>
          <w:rFonts w:ascii="宋体" w:hAnsi="宋体"/>
          <w:color w:val="000000" w:themeColor="text1"/>
          <w:sz w:val="24"/>
          <w:highlight w:val="none"/>
          <w14:textFill>
            <w14:solidFill>
              <w14:schemeClr w14:val="tx1"/>
            </w14:solidFill>
          </w14:textFill>
        </w:rPr>
        <w:t>依照法律规定或贵方与</w:t>
      </w:r>
      <w:r>
        <w:rPr>
          <w:rFonts w:hint="eastAsia" w:ascii="宋体" w:hAnsi="宋体"/>
          <w:color w:val="000000" w:themeColor="text1"/>
          <w:sz w:val="24"/>
          <w:highlight w:val="none"/>
          <w14:textFill>
            <w14:solidFill>
              <w14:schemeClr w14:val="tx1"/>
            </w14:solidFill>
          </w14:textFill>
        </w:rPr>
        <w:t>发包</w:t>
      </w:r>
      <w:r>
        <w:rPr>
          <w:rFonts w:ascii="宋体" w:hAnsi="宋体"/>
          <w:color w:val="000000" w:themeColor="text1"/>
          <w:sz w:val="24"/>
          <w:highlight w:val="none"/>
          <w14:textFill>
            <w14:solidFill>
              <w14:schemeClr w14:val="tx1"/>
            </w14:solidFill>
          </w14:textFill>
        </w:rPr>
        <w:t>人的另行约定，免除</w:t>
      </w:r>
      <w:r>
        <w:rPr>
          <w:rFonts w:hint="eastAsia" w:ascii="宋体" w:hAnsi="宋体"/>
          <w:color w:val="000000" w:themeColor="text1"/>
          <w:sz w:val="24"/>
          <w:highlight w:val="none"/>
          <w14:textFill>
            <w14:solidFill>
              <w14:schemeClr w14:val="tx1"/>
            </w14:solidFill>
          </w14:textFill>
        </w:rPr>
        <w:t>承包</w:t>
      </w:r>
      <w:r>
        <w:rPr>
          <w:rFonts w:ascii="宋体" w:hAnsi="宋体"/>
          <w:color w:val="000000" w:themeColor="text1"/>
          <w:sz w:val="24"/>
          <w:highlight w:val="none"/>
          <w14:textFill>
            <w14:solidFill>
              <w14:schemeClr w14:val="tx1"/>
            </w14:solidFill>
          </w14:textFill>
        </w:rPr>
        <w:t>人部分或全部义务的，我方亦免除其相应的保证</w:t>
      </w:r>
      <w:r>
        <w:rPr>
          <w:rFonts w:hint="eastAsia" w:ascii="宋体" w:hAnsi="宋体"/>
          <w:color w:val="000000" w:themeColor="text1"/>
          <w:sz w:val="24"/>
          <w:highlight w:val="none"/>
          <w14:textFill>
            <w14:solidFill>
              <w14:schemeClr w14:val="tx1"/>
            </w14:solidFill>
          </w14:textFill>
        </w:rPr>
        <w:t>担保</w:t>
      </w:r>
      <w:r>
        <w:rPr>
          <w:rFonts w:ascii="宋体" w:hAnsi="宋体"/>
          <w:color w:val="000000" w:themeColor="text1"/>
          <w:sz w:val="24"/>
          <w:highlight w:val="none"/>
          <w14:textFill>
            <w14:solidFill>
              <w14:schemeClr w14:val="tx1"/>
            </w14:solidFill>
          </w14:textFill>
        </w:rPr>
        <w:t xml:space="preserve">责任。 </w:t>
      </w:r>
    </w:p>
    <w:p w14:paraId="735997DC">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w:t>
      </w:r>
      <w:r>
        <w:rPr>
          <w:rFonts w:ascii="宋体" w:hAnsi="宋体"/>
          <w:color w:val="000000" w:themeColor="text1"/>
          <w:sz w:val="24"/>
          <w:highlight w:val="none"/>
          <w14:textFill>
            <w14:solidFill>
              <w14:schemeClr w14:val="tx1"/>
            </w14:solidFill>
          </w14:textFill>
        </w:rPr>
        <w:t>因不可抗力造成</w:t>
      </w:r>
      <w:r>
        <w:rPr>
          <w:rFonts w:hint="eastAsia" w:ascii="宋体" w:hAnsi="宋体"/>
          <w:color w:val="000000" w:themeColor="text1"/>
          <w:sz w:val="24"/>
          <w:highlight w:val="none"/>
          <w14:textFill>
            <w14:solidFill>
              <w14:schemeClr w14:val="tx1"/>
            </w14:solidFill>
          </w14:textFill>
        </w:rPr>
        <w:t>承包人未按照主合同约定履行义务的</w:t>
      </w:r>
      <w:r>
        <w:rPr>
          <w:rFonts w:ascii="宋体" w:hAnsi="宋体"/>
          <w:color w:val="000000" w:themeColor="text1"/>
          <w:sz w:val="24"/>
          <w:highlight w:val="none"/>
          <w14:textFill>
            <w14:solidFill>
              <w14:schemeClr w14:val="tx1"/>
            </w14:solidFill>
          </w14:textFill>
        </w:rPr>
        <w:t>，我方不承担保证</w:t>
      </w:r>
      <w:r>
        <w:rPr>
          <w:rFonts w:hint="eastAsia" w:ascii="宋体" w:hAnsi="宋体"/>
          <w:color w:val="000000" w:themeColor="text1"/>
          <w:sz w:val="24"/>
          <w:highlight w:val="none"/>
          <w14:textFill>
            <w14:solidFill>
              <w14:schemeClr w14:val="tx1"/>
            </w14:solidFill>
          </w14:textFill>
        </w:rPr>
        <w:t>担保</w:t>
      </w:r>
      <w:r>
        <w:rPr>
          <w:rFonts w:ascii="宋体" w:hAnsi="宋体"/>
          <w:color w:val="000000" w:themeColor="text1"/>
          <w:sz w:val="24"/>
          <w:highlight w:val="none"/>
          <w14:textFill>
            <w14:solidFill>
              <w14:schemeClr w14:val="tx1"/>
            </w14:solidFill>
          </w14:textFill>
        </w:rPr>
        <w:t>责任。</w:t>
      </w:r>
    </w:p>
    <w:p w14:paraId="4F5F328A">
      <w:pPr>
        <w:spacing w:line="360" w:lineRule="auto"/>
        <w:ind w:firstLine="482" w:firstLineChars="200"/>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七、其他</w:t>
      </w:r>
    </w:p>
    <w:p w14:paraId="49FB0F6C">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w:t>
      </w:r>
      <w:r>
        <w:rPr>
          <w:rFonts w:ascii="宋体" w:hAnsi="宋体"/>
          <w:color w:val="000000" w:themeColor="text1"/>
          <w:sz w:val="24"/>
          <w:highlight w:val="none"/>
          <w14:textFill>
            <w14:solidFill>
              <w14:schemeClr w14:val="tx1"/>
            </w14:solidFill>
          </w14:textFill>
        </w:rPr>
        <w:t>本保证担保项下的权利不得转让，不得设定担保。贵方未经我方书面同意转让本保证担保或其项下任何权利，</w:t>
      </w:r>
      <w:r>
        <w:rPr>
          <w:rFonts w:hint="eastAsia" w:ascii="宋体" w:hAnsi="宋体"/>
          <w:color w:val="000000" w:themeColor="text1"/>
          <w:sz w:val="24"/>
          <w:highlight w:val="none"/>
          <w14:textFill>
            <w14:solidFill>
              <w14:schemeClr w14:val="tx1"/>
            </w14:solidFill>
          </w14:textFill>
        </w:rPr>
        <w:t>对我方不发生法律效力</w:t>
      </w:r>
      <w:r>
        <w:rPr>
          <w:rFonts w:ascii="宋体" w:hAnsi="宋体"/>
          <w:color w:val="000000" w:themeColor="text1"/>
          <w:sz w:val="24"/>
          <w:highlight w:val="none"/>
          <w14:textFill>
            <w14:solidFill>
              <w14:schemeClr w14:val="tx1"/>
            </w14:solidFill>
          </w14:textFill>
        </w:rPr>
        <w:t xml:space="preserve">。 </w:t>
      </w:r>
    </w:p>
    <w:p w14:paraId="383A6E3F">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w:t>
      </w:r>
      <w:r>
        <w:rPr>
          <w:rFonts w:ascii="宋体" w:hAnsi="宋体"/>
          <w:color w:val="000000" w:themeColor="text1"/>
          <w:sz w:val="24"/>
          <w:highlight w:val="none"/>
          <w14:textFill>
            <w14:solidFill>
              <w14:schemeClr w14:val="tx1"/>
            </w14:solidFill>
          </w14:textFill>
        </w:rPr>
        <w:t>.本</w:t>
      </w:r>
      <w:r>
        <w:rPr>
          <w:rFonts w:hint="eastAsia" w:ascii="宋体" w:hAnsi="宋体"/>
          <w:color w:val="000000" w:themeColor="text1"/>
          <w:sz w:val="24"/>
          <w:highlight w:val="none"/>
          <w14:textFill>
            <w14:solidFill>
              <w14:schemeClr w14:val="tx1"/>
            </w14:solidFill>
          </w14:textFill>
        </w:rPr>
        <w:t>保证担保适用的法律为中华人民共和国法律，争议裁判管辖地为中华人民共和国。</w:t>
      </w:r>
    </w:p>
    <w:p w14:paraId="015B7E90">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w:t>
      </w:r>
      <w:r>
        <w:rPr>
          <w:rFonts w:ascii="宋体" w:hAnsi="宋体"/>
          <w:color w:val="000000" w:themeColor="text1"/>
          <w:sz w:val="24"/>
          <w:highlight w:val="none"/>
          <w14:textFill>
            <w14:solidFill>
              <w14:schemeClr w14:val="tx1"/>
            </w14:solidFill>
          </w14:textFill>
        </w:rPr>
        <w:t>.本</w:t>
      </w:r>
      <w:r>
        <w:rPr>
          <w:rFonts w:hint="eastAsia" w:ascii="宋体" w:hAnsi="宋体"/>
          <w:color w:val="000000" w:themeColor="text1"/>
          <w:sz w:val="24"/>
          <w:highlight w:val="none"/>
          <w14:textFill>
            <w14:solidFill>
              <w14:schemeClr w14:val="tx1"/>
            </w14:solidFill>
          </w14:textFill>
        </w:rPr>
        <w:t>保证担保</w:t>
      </w:r>
      <w:r>
        <w:rPr>
          <w:rFonts w:ascii="宋体" w:hAnsi="宋体"/>
          <w:color w:val="000000" w:themeColor="text1"/>
          <w:sz w:val="24"/>
          <w:highlight w:val="none"/>
          <w14:textFill>
            <w14:solidFill>
              <w14:schemeClr w14:val="tx1"/>
            </w14:solidFill>
          </w14:textFill>
        </w:rPr>
        <w:t>自我方法定代表</w:t>
      </w:r>
      <w:r>
        <w:rPr>
          <w:rFonts w:hint="eastAsia" w:ascii="宋体" w:hAnsi="宋体"/>
          <w:color w:val="000000" w:themeColor="text1"/>
          <w:sz w:val="24"/>
          <w:highlight w:val="none"/>
          <w14:textFill>
            <w14:solidFill>
              <w14:schemeClr w14:val="tx1"/>
            </w14:solidFill>
          </w14:textFill>
        </w:rPr>
        <w:t>人或授权代表</w:t>
      </w:r>
      <w:r>
        <w:rPr>
          <w:rFonts w:ascii="宋体" w:hAnsi="宋体"/>
          <w:color w:val="000000" w:themeColor="text1"/>
          <w:sz w:val="24"/>
          <w:highlight w:val="none"/>
          <w14:textFill>
            <w14:solidFill>
              <w14:schemeClr w14:val="tx1"/>
            </w14:solidFill>
          </w14:textFill>
        </w:rPr>
        <w:t>签字</w:t>
      </w:r>
      <w:r>
        <w:rPr>
          <w:rFonts w:hint="eastAsia" w:ascii="宋体" w:hAnsi="宋体"/>
          <w:color w:val="000000" w:themeColor="text1"/>
          <w:sz w:val="24"/>
          <w:highlight w:val="none"/>
          <w14:textFill>
            <w14:solidFill>
              <w14:schemeClr w14:val="tx1"/>
            </w14:solidFill>
          </w14:textFill>
        </w:rPr>
        <w:t>并</w:t>
      </w:r>
      <w:r>
        <w:rPr>
          <w:rFonts w:ascii="宋体" w:hAnsi="宋体"/>
          <w:color w:val="000000" w:themeColor="text1"/>
          <w:sz w:val="24"/>
          <w:highlight w:val="none"/>
          <w14:textFill>
            <w14:solidFill>
              <w14:schemeClr w14:val="tx1"/>
            </w14:solidFill>
          </w14:textFill>
        </w:rPr>
        <w:t xml:space="preserve">加盖公章之日起生效。 </w:t>
      </w:r>
    </w:p>
    <w:p w14:paraId="45904E51">
      <w:pPr>
        <w:spacing w:line="360" w:lineRule="auto"/>
        <w:ind w:firstLine="480" w:firstLineChars="200"/>
        <w:rPr>
          <w:rFonts w:ascii="宋体" w:hAnsi="宋体"/>
          <w:color w:val="000000" w:themeColor="text1"/>
          <w:sz w:val="24"/>
          <w:highlight w:val="none"/>
          <w14:textFill>
            <w14:solidFill>
              <w14:schemeClr w14:val="tx1"/>
            </w14:solidFill>
          </w14:textFill>
        </w:rPr>
      </w:pPr>
    </w:p>
    <w:p w14:paraId="3EE18527">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保 证 人</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（公</w:t>
      </w:r>
      <w:r>
        <w:rPr>
          <w:rFonts w:ascii="宋体" w:hAnsi="宋体"/>
          <w:color w:val="000000" w:themeColor="text1"/>
          <w:sz w:val="24"/>
          <w:highlight w:val="none"/>
          <w14:textFill>
            <w14:solidFill>
              <w14:schemeClr w14:val="tx1"/>
            </w14:solidFill>
          </w14:textFill>
        </w:rPr>
        <w:t xml:space="preserve">章） </w:t>
      </w:r>
    </w:p>
    <w:p w14:paraId="3FF62446">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法定代表人（或授权代表）：</w:t>
      </w:r>
      <w:r>
        <w:rPr>
          <w:rFonts w:ascii="宋体" w:hAnsi="宋体"/>
          <w:color w:val="000000" w:themeColor="text1"/>
          <w:sz w:val="24"/>
          <w:highlight w:val="none"/>
          <w14:textFill>
            <w14:solidFill>
              <w14:schemeClr w14:val="tx1"/>
            </w14:solidFill>
          </w14:textFill>
        </w:rPr>
        <w:t xml:space="preserve">               （签字） </w:t>
      </w:r>
    </w:p>
    <w:p w14:paraId="76FD57B2">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w:t>
      </w:r>
      <w:r>
        <w:rPr>
          <w:rFonts w:ascii="宋体" w:hAnsi="宋体"/>
          <w:color w:val="000000" w:themeColor="text1"/>
          <w:sz w:val="24"/>
          <w:highlight w:val="none"/>
          <w14:textFill>
            <w14:solidFill>
              <w14:schemeClr w14:val="tx1"/>
            </w14:solidFill>
          </w14:textFill>
        </w:rPr>
        <w:t xml:space="preserve">    址：                                       </w:t>
      </w:r>
    </w:p>
    <w:p w14:paraId="5FC6E341">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邮政编码：</w:t>
      </w:r>
    </w:p>
    <w:p w14:paraId="6123A0AA">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电</w:t>
      </w:r>
      <w:r>
        <w:rPr>
          <w:rFonts w:ascii="宋体" w:hAnsi="宋体"/>
          <w:color w:val="000000" w:themeColor="text1"/>
          <w:sz w:val="24"/>
          <w:highlight w:val="none"/>
          <w14:textFill>
            <w14:solidFill>
              <w14:schemeClr w14:val="tx1"/>
            </w14:solidFill>
          </w14:textFill>
        </w:rPr>
        <w:t xml:space="preserve">    话：                 </w:t>
      </w:r>
    </w:p>
    <w:p w14:paraId="68AFD761">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传</w:t>
      </w:r>
      <w:r>
        <w:rPr>
          <w:rFonts w:ascii="宋体" w:hAnsi="宋体"/>
          <w:color w:val="000000" w:themeColor="text1"/>
          <w:sz w:val="24"/>
          <w:highlight w:val="none"/>
          <w14:textFill>
            <w14:solidFill>
              <w14:schemeClr w14:val="tx1"/>
            </w14:solidFill>
          </w14:textFill>
        </w:rPr>
        <w:t xml:space="preserve">    真：                 </w:t>
      </w:r>
    </w:p>
    <w:p w14:paraId="0DB95A73">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时 间：</w:t>
      </w:r>
      <w:r>
        <w:rPr>
          <w:rFonts w:ascii="宋体" w:hAnsi="宋体"/>
          <w:color w:val="000000" w:themeColor="text1"/>
          <w:sz w:val="24"/>
          <w:highlight w:val="none"/>
          <w14:textFill>
            <w14:solidFill>
              <w14:schemeClr w14:val="tx1"/>
            </w14:solidFill>
          </w14:textFill>
        </w:rPr>
        <w:t xml:space="preserve">      年      月        日</w:t>
      </w:r>
    </w:p>
    <w:p w14:paraId="17C14B5F">
      <w:pPr>
        <w:rPr>
          <w:color w:val="000000" w:themeColor="text1"/>
          <w:szCs w:val="21"/>
          <w:highlight w:val="none"/>
          <w14:textFill>
            <w14:solidFill>
              <w14:schemeClr w14:val="tx1"/>
            </w14:solidFill>
          </w14:textFill>
        </w:rPr>
      </w:pPr>
    </w:p>
    <w:p w14:paraId="74D2BB0C">
      <w:pPr>
        <w:rPr>
          <w:color w:val="000000" w:themeColor="text1"/>
          <w:szCs w:val="21"/>
          <w:highlight w:val="none"/>
          <w14:textFill>
            <w14:solidFill>
              <w14:schemeClr w14:val="tx1"/>
            </w14:solidFill>
          </w14:textFill>
        </w:rPr>
      </w:pPr>
    </w:p>
    <w:bookmarkEnd w:id="1147"/>
    <w:bookmarkEnd w:id="1148"/>
    <w:bookmarkEnd w:id="1149"/>
    <w:bookmarkEnd w:id="1150"/>
    <w:bookmarkEnd w:id="1151"/>
    <w:bookmarkEnd w:id="1152"/>
    <w:bookmarkEnd w:id="1153"/>
    <w:p w14:paraId="7CFE7FD8">
      <w:pPr>
        <w:spacing w:line="360" w:lineRule="auto"/>
        <w:jc w:val="left"/>
        <w:rPr>
          <w:rFonts w:eastAsia="仿宋_GB2312" w:cs="仿宋_GB2312"/>
          <w:color w:val="000000" w:themeColor="text1"/>
          <w:sz w:val="30"/>
          <w:szCs w:val="30"/>
          <w:highlight w:val="none"/>
          <w14:textFill>
            <w14:solidFill>
              <w14:schemeClr w14:val="tx1"/>
            </w14:solidFill>
          </w14:textFill>
        </w:rPr>
      </w:pPr>
    </w:p>
    <w:p w14:paraId="12A704CA">
      <w:pPr>
        <w:spacing w:line="360" w:lineRule="auto"/>
        <w:jc w:val="left"/>
        <w:rPr>
          <w:rFonts w:eastAsia="仿宋_GB2312" w:cs="仿宋_GB2312"/>
          <w:color w:val="000000" w:themeColor="text1"/>
          <w:sz w:val="30"/>
          <w:szCs w:val="30"/>
          <w:highlight w:val="none"/>
          <w14:textFill>
            <w14:solidFill>
              <w14:schemeClr w14:val="tx1"/>
            </w14:solidFill>
          </w14:textFill>
        </w:rPr>
      </w:pPr>
    </w:p>
    <w:p w14:paraId="26B9F62A">
      <w:pPr>
        <w:spacing w:line="360" w:lineRule="auto"/>
        <w:jc w:val="left"/>
        <w:rPr>
          <w:rFonts w:eastAsia="仿宋_GB2312" w:cs="仿宋_GB2312"/>
          <w:color w:val="000000" w:themeColor="text1"/>
          <w:sz w:val="30"/>
          <w:szCs w:val="30"/>
          <w:highlight w:val="none"/>
          <w14:textFill>
            <w14:solidFill>
              <w14:schemeClr w14:val="tx1"/>
            </w14:solidFill>
          </w14:textFill>
        </w:rPr>
      </w:pPr>
    </w:p>
    <w:p w14:paraId="7B00E57B">
      <w:pPr>
        <w:spacing w:line="360" w:lineRule="auto"/>
        <w:jc w:val="left"/>
        <w:rPr>
          <w:rFonts w:eastAsia="仿宋_GB2312" w:cs="仿宋_GB2312"/>
          <w:color w:val="000000" w:themeColor="text1"/>
          <w:sz w:val="30"/>
          <w:szCs w:val="30"/>
          <w:highlight w:val="none"/>
          <w14:textFill>
            <w14:solidFill>
              <w14:schemeClr w14:val="tx1"/>
            </w14:solidFill>
          </w14:textFill>
        </w:rPr>
      </w:pPr>
    </w:p>
    <w:p w14:paraId="00B9F7E3">
      <w:pPr>
        <w:spacing w:line="360" w:lineRule="auto"/>
        <w:jc w:val="left"/>
        <w:rPr>
          <w:rFonts w:eastAsia="仿宋_GB2312" w:cs="仿宋_GB2312"/>
          <w:color w:val="000000" w:themeColor="text1"/>
          <w:sz w:val="30"/>
          <w:szCs w:val="30"/>
          <w:highlight w:val="none"/>
          <w14:textFill>
            <w14:solidFill>
              <w14:schemeClr w14:val="tx1"/>
            </w14:solidFill>
          </w14:textFill>
        </w:rPr>
      </w:pPr>
    </w:p>
    <w:p w14:paraId="591711E9">
      <w:pPr>
        <w:spacing w:line="360" w:lineRule="auto"/>
        <w:jc w:val="left"/>
        <w:rPr>
          <w:rFonts w:eastAsia="仿宋_GB2312" w:cs="仿宋_GB2312"/>
          <w:color w:val="000000" w:themeColor="text1"/>
          <w:sz w:val="30"/>
          <w:szCs w:val="30"/>
          <w:highlight w:val="none"/>
          <w14:textFill>
            <w14:solidFill>
              <w14:schemeClr w14:val="tx1"/>
            </w14:solidFill>
          </w14:textFill>
        </w:rPr>
      </w:pPr>
    </w:p>
    <w:p w14:paraId="0EC1BEBC">
      <w:pPr>
        <w:spacing w:line="360" w:lineRule="auto"/>
        <w:jc w:val="left"/>
        <w:rPr>
          <w:rFonts w:eastAsia="仿宋_GB2312" w:cs="仿宋_GB2312"/>
          <w:color w:val="000000" w:themeColor="text1"/>
          <w:sz w:val="30"/>
          <w:szCs w:val="30"/>
          <w:highlight w:val="none"/>
          <w14:textFill>
            <w14:solidFill>
              <w14:schemeClr w14:val="tx1"/>
            </w14:solidFill>
          </w14:textFill>
        </w:rPr>
      </w:pPr>
    </w:p>
    <w:p w14:paraId="2C7B9402">
      <w:pPr>
        <w:spacing w:line="360" w:lineRule="auto"/>
        <w:jc w:val="left"/>
        <w:rPr>
          <w:rFonts w:eastAsia="仿宋_GB2312" w:cs="仿宋_GB2312"/>
          <w:color w:val="000000" w:themeColor="text1"/>
          <w:sz w:val="30"/>
          <w:szCs w:val="30"/>
          <w:highlight w:val="none"/>
          <w14:textFill>
            <w14:solidFill>
              <w14:schemeClr w14:val="tx1"/>
            </w14:solidFill>
          </w14:textFill>
        </w:rPr>
      </w:pPr>
    </w:p>
    <w:p w14:paraId="4478D9B1">
      <w:pPr>
        <w:rPr>
          <w:rFonts w:hint="eastAsia" w:eastAsia="仿宋_GB2312" w:cs="仿宋_GB2312"/>
          <w:color w:val="000000" w:themeColor="text1"/>
          <w:sz w:val="30"/>
          <w:szCs w:val="30"/>
          <w:highlight w:val="none"/>
          <w14:textFill>
            <w14:solidFill>
              <w14:schemeClr w14:val="tx1"/>
            </w14:solidFill>
          </w14:textFill>
        </w:rPr>
      </w:pPr>
      <w:r>
        <w:rPr>
          <w:rFonts w:hint="eastAsia" w:eastAsia="仿宋_GB2312" w:cs="仿宋_GB2312"/>
          <w:color w:val="000000" w:themeColor="text1"/>
          <w:sz w:val="30"/>
          <w:szCs w:val="30"/>
          <w:highlight w:val="none"/>
          <w14:textFill>
            <w14:solidFill>
              <w14:schemeClr w14:val="tx1"/>
            </w14:solidFill>
          </w14:textFill>
        </w:rPr>
        <w:br w:type="page"/>
      </w:r>
    </w:p>
    <w:p w14:paraId="535191B9">
      <w:pPr>
        <w:spacing w:line="360" w:lineRule="auto"/>
        <w:jc w:val="left"/>
        <w:rPr>
          <w:rFonts w:ascii="黑体" w:hAnsi="黑体" w:eastAsia="黑体" w:cs="黑体"/>
          <w:color w:val="000000" w:themeColor="text1"/>
          <w:sz w:val="32"/>
          <w:szCs w:val="32"/>
          <w:highlight w:val="none"/>
          <w14:textFill>
            <w14:solidFill>
              <w14:schemeClr w14:val="tx1"/>
            </w14:solidFill>
          </w14:textFill>
        </w:rPr>
      </w:pPr>
      <w:r>
        <w:rPr>
          <w:rFonts w:hint="eastAsia" w:eastAsia="仿宋_GB2312" w:cs="仿宋_GB2312"/>
          <w:color w:val="000000" w:themeColor="text1"/>
          <w:sz w:val="30"/>
          <w:szCs w:val="30"/>
          <w:highlight w:val="none"/>
          <w14:textFill>
            <w14:solidFill>
              <w14:schemeClr w14:val="tx1"/>
            </w14:solidFill>
          </w14:textFill>
        </w:rPr>
        <w:t>附件</w:t>
      </w:r>
      <w:r>
        <w:rPr>
          <w:rFonts w:hint="eastAsia" w:eastAsia="仿宋_GB2312"/>
          <w:color w:val="000000" w:themeColor="text1"/>
          <w:sz w:val="30"/>
          <w:szCs w:val="30"/>
          <w:highlight w:val="none"/>
          <w14:textFill>
            <w14:solidFill>
              <w14:schemeClr w14:val="tx1"/>
            </w14:solidFill>
          </w14:textFill>
        </w:rPr>
        <w:t>8</w:t>
      </w:r>
      <w:r>
        <w:rPr>
          <w:rFonts w:hint="eastAsia" w:eastAsia="仿宋_GB2312" w:cs="仿宋_GB2312"/>
          <w:color w:val="000000" w:themeColor="text1"/>
          <w:sz w:val="30"/>
          <w:szCs w:val="30"/>
          <w:highlight w:val="none"/>
          <w14:textFill>
            <w14:solidFill>
              <w14:schemeClr w14:val="tx1"/>
            </w14:solidFill>
          </w14:textFill>
        </w:rPr>
        <w:t>：</w:t>
      </w:r>
    </w:p>
    <w:p w14:paraId="56BC5EC6">
      <w:pPr>
        <w:spacing w:line="360" w:lineRule="auto"/>
        <w:jc w:val="left"/>
        <w:rPr>
          <w:rFonts w:ascii="黑体" w:hAnsi="黑体" w:eastAsia="黑体" w:cs="黑体"/>
          <w:b/>
          <w:bCs/>
          <w:color w:val="000000" w:themeColor="text1"/>
          <w:sz w:val="32"/>
          <w:szCs w:val="32"/>
          <w:highlight w:val="none"/>
          <w14:textFill>
            <w14:solidFill>
              <w14:schemeClr w14:val="tx1"/>
            </w14:solidFill>
          </w14:textFill>
        </w:rPr>
      </w:pPr>
    </w:p>
    <w:p w14:paraId="47BDD6E5">
      <w:pPr>
        <w:spacing w:line="360" w:lineRule="auto"/>
        <w:jc w:val="center"/>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预付款保函示范文本</w:t>
      </w:r>
    </w:p>
    <w:p w14:paraId="022E3F2D">
      <w:pPr>
        <w:spacing w:line="360" w:lineRule="auto"/>
        <w:jc w:val="center"/>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（独立保函）</w:t>
      </w:r>
    </w:p>
    <w:p w14:paraId="6423D331">
      <w:pPr>
        <w:wordWrap w:val="0"/>
        <w:spacing w:line="360" w:lineRule="auto"/>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编号： </w:t>
      </w:r>
    </w:p>
    <w:p w14:paraId="62C7CA85">
      <w:pPr>
        <w:spacing w:line="360" w:lineRule="auto"/>
        <w:rPr>
          <w:rFonts w:ascii="宋体" w:hAnsi="宋体"/>
          <w:color w:val="000000" w:themeColor="text1"/>
          <w:sz w:val="24"/>
          <w:highlight w:val="none"/>
          <w14:textFill>
            <w14:solidFill>
              <w14:schemeClr w14:val="tx1"/>
            </w14:solidFill>
          </w14:textFill>
        </w:rPr>
      </w:pPr>
    </w:p>
    <w:p w14:paraId="550033D9">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申请人：</w:t>
      </w:r>
    </w:p>
    <w:p w14:paraId="10FBF49C">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地址</w:t>
      </w:r>
      <w:r>
        <w:rPr>
          <w:rFonts w:ascii="宋体" w:hAnsi="宋体"/>
          <w:color w:val="000000" w:themeColor="text1"/>
          <w:sz w:val="24"/>
          <w:highlight w:val="none"/>
          <w14:textFill>
            <w14:solidFill>
              <w14:schemeClr w14:val="tx1"/>
            </w14:solidFill>
          </w14:textFill>
        </w:rPr>
        <w:t>：</w:t>
      </w:r>
    </w:p>
    <w:p w14:paraId="6AC8D4E8">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受益人：</w:t>
      </w:r>
    </w:p>
    <w:p w14:paraId="30A31C95">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地址：</w:t>
      </w:r>
    </w:p>
    <w:p w14:paraId="362F550E">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开立人：</w:t>
      </w:r>
    </w:p>
    <w:p w14:paraId="2F8EC1B4">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地址：</w:t>
      </w:r>
    </w:p>
    <w:p w14:paraId="5FEDC686">
      <w:pPr>
        <w:spacing w:line="360" w:lineRule="auto"/>
        <w:rPr>
          <w:rFonts w:ascii="宋体" w:hAnsi="宋体"/>
          <w:color w:val="000000" w:themeColor="text1"/>
          <w:sz w:val="24"/>
          <w:highlight w:val="none"/>
          <w14:textFill>
            <w14:solidFill>
              <w14:schemeClr w14:val="tx1"/>
            </w14:solidFill>
          </w14:textFill>
        </w:rPr>
      </w:pPr>
    </w:p>
    <w:p w14:paraId="277BBE0D">
      <w:pPr>
        <w:spacing w:line="360" w:lineRule="auto"/>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受益人</w:t>
      </w:r>
      <w:r>
        <w:rPr>
          <w:rFonts w:ascii="宋体" w:hAnsi="宋体"/>
          <w:color w:val="000000" w:themeColor="text1"/>
          <w:sz w:val="24"/>
          <w:highlight w:val="none"/>
          <w14:textFill>
            <w14:solidFill>
              <w14:schemeClr w14:val="tx1"/>
            </w14:solidFill>
          </w14:textFill>
        </w:rPr>
        <w:t xml:space="preserve">名称）： </w:t>
      </w:r>
    </w:p>
    <w:p w14:paraId="254B1EA1">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鉴于</w:t>
      </w:r>
      <w:r>
        <w:rPr>
          <w:rFonts w:ascii="宋体" w:hAnsi="宋体"/>
          <w:color w:val="000000" w:themeColor="text1"/>
          <w:sz w:val="24"/>
          <w:highlight w:val="none"/>
          <w14:textFill>
            <w14:solidFill>
              <w14:schemeClr w14:val="tx1"/>
            </w14:solidFill>
          </w14:textFill>
        </w:rPr>
        <w:t>（以下简称“</w:t>
      </w:r>
      <w:r>
        <w:rPr>
          <w:rFonts w:hint="eastAsia" w:ascii="宋体" w:hAnsi="宋体"/>
          <w:color w:val="000000" w:themeColor="text1"/>
          <w:sz w:val="24"/>
          <w:highlight w:val="none"/>
          <w14:textFill>
            <w14:solidFill>
              <w14:schemeClr w14:val="tx1"/>
            </w14:solidFill>
          </w14:textFill>
        </w:rPr>
        <w:t>受益人</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与</w:t>
      </w:r>
      <w:r>
        <w:rPr>
          <w:rFonts w:ascii="宋体" w:hAnsi="宋体"/>
          <w:color w:val="000000" w:themeColor="text1"/>
          <w:sz w:val="24"/>
          <w:highlight w:val="none"/>
          <w14:textFill>
            <w14:solidFill>
              <w14:schemeClr w14:val="tx1"/>
            </w14:solidFill>
          </w14:textFill>
        </w:rPr>
        <w:t>（以下简称“</w:t>
      </w:r>
      <w:r>
        <w:rPr>
          <w:rFonts w:hint="eastAsia" w:ascii="宋体" w:hAnsi="宋体"/>
          <w:color w:val="000000" w:themeColor="text1"/>
          <w:sz w:val="24"/>
          <w:highlight w:val="none"/>
          <w14:textFill>
            <w14:solidFill>
              <w14:schemeClr w14:val="tx1"/>
            </w14:solidFill>
          </w14:textFill>
        </w:rPr>
        <w:t>申请人</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于×年×月×日就工程（以下简称“本工程”）施工和有关事项协商一致共同签订</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（以下简称“基础合同”），我方（即“开立人”）根据主合同了解到申请人为主合同项下之承包人，受益人为主合同项下之发包人，基于申请人</w:t>
      </w:r>
      <w:r>
        <w:rPr>
          <w:rFonts w:ascii="宋体" w:hAnsi="宋体"/>
          <w:color w:val="000000" w:themeColor="text1"/>
          <w:sz w:val="24"/>
          <w:highlight w:val="none"/>
          <w14:textFill>
            <w14:solidFill>
              <w14:schemeClr w14:val="tx1"/>
            </w14:solidFill>
          </w14:textFill>
        </w:rPr>
        <w:t>的请求，我方同意就</w:t>
      </w:r>
      <w:r>
        <w:rPr>
          <w:rFonts w:hint="eastAsia" w:ascii="宋体" w:hAnsi="宋体"/>
          <w:color w:val="000000" w:themeColor="text1"/>
          <w:sz w:val="24"/>
          <w:highlight w:val="none"/>
          <w14:textFill>
            <w14:solidFill>
              <w14:schemeClr w14:val="tx1"/>
            </w14:solidFill>
          </w14:textFill>
        </w:rPr>
        <w:t>申请人按照合同约定正确和合理地为合同目的使用预付款，</w:t>
      </w:r>
      <w:r>
        <w:rPr>
          <w:rFonts w:ascii="宋体" w:hAnsi="宋体"/>
          <w:color w:val="000000" w:themeColor="text1"/>
          <w:sz w:val="24"/>
          <w:highlight w:val="none"/>
          <w14:textFill>
            <w14:solidFill>
              <w14:schemeClr w14:val="tx1"/>
            </w14:solidFill>
          </w14:textFill>
        </w:rPr>
        <w:t>向贵方提供不可撤销、</w:t>
      </w:r>
      <w:r>
        <w:rPr>
          <w:rFonts w:hint="eastAsia" w:ascii="宋体" w:hAnsi="宋体"/>
          <w:color w:val="000000" w:themeColor="text1"/>
          <w:sz w:val="24"/>
          <w:highlight w:val="none"/>
          <w14:textFill>
            <w14:solidFill>
              <w14:schemeClr w14:val="tx1"/>
            </w14:solidFill>
          </w14:textFill>
        </w:rPr>
        <w:t>不可转让的见索即付</w:t>
      </w:r>
      <w:r>
        <w:rPr>
          <w:rFonts w:ascii="宋体" w:hAnsi="宋体"/>
          <w:color w:val="000000" w:themeColor="text1"/>
          <w:sz w:val="24"/>
          <w:highlight w:val="none"/>
          <w14:textFill>
            <w14:solidFill>
              <w14:schemeClr w14:val="tx1"/>
            </w14:solidFill>
          </w14:textFill>
        </w:rPr>
        <w:t>独立</w:t>
      </w:r>
      <w:r>
        <w:rPr>
          <w:rFonts w:hint="eastAsia" w:ascii="宋体" w:hAnsi="宋体"/>
          <w:color w:val="000000" w:themeColor="text1"/>
          <w:sz w:val="24"/>
          <w:highlight w:val="none"/>
          <w14:textFill>
            <w14:solidFill>
              <w14:schemeClr w14:val="tx1"/>
            </w14:solidFill>
          </w14:textFill>
        </w:rPr>
        <w:t>保函（以下简称“本保函”）</w:t>
      </w:r>
      <w:r>
        <w:rPr>
          <w:rFonts w:ascii="宋体" w:hAnsi="宋体"/>
          <w:color w:val="000000" w:themeColor="text1"/>
          <w:sz w:val="24"/>
          <w:highlight w:val="none"/>
          <w14:textFill>
            <w14:solidFill>
              <w14:schemeClr w14:val="tx1"/>
            </w14:solidFill>
          </w14:textFill>
        </w:rPr>
        <w:t xml:space="preserve">。 </w:t>
      </w:r>
    </w:p>
    <w:p w14:paraId="474B7B0D">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一、本保函担保范围：申请人未按照合同约定正确和合理地为合同目的使用预付款，应当向贵方承担的违约责任和赔偿因此造成的损失、利息、律师费、诉讼费用等实现债权的费用。</w:t>
      </w:r>
    </w:p>
    <w:p w14:paraId="23EB4375">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二、本保函担保金额最高不超过</w:t>
      </w:r>
      <w:r>
        <w:rPr>
          <w:rFonts w:ascii="宋体" w:hAnsi="宋体"/>
          <w:color w:val="000000" w:themeColor="text1"/>
          <w:sz w:val="24"/>
          <w:highlight w:val="none"/>
          <w14:textFill>
            <w14:solidFill>
              <w14:schemeClr w14:val="tx1"/>
            </w14:solidFill>
          </w14:textFill>
        </w:rPr>
        <w:t xml:space="preserve">人民币（大写）元（¥）。 </w:t>
      </w:r>
    </w:p>
    <w:p w14:paraId="4B81CFE2">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三、本保函</w:t>
      </w:r>
      <w:r>
        <w:rPr>
          <w:rFonts w:ascii="宋体" w:hAnsi="宋体"/>
          <w:color w:val="000000" w:themeColor="text1"/>
          <w:sz w:val="24"/>
          <w:highlight w:val="none"/>
          <w14:textFill>
            <w14:solidFill>
              <w14:schemeClr w14:val="tx1"/>
            </w14:solidFill>
          </w14:textFill>
        </w:rPr>
        <w:t>有效期自</w:t>
      </w:r>
      <w:r>
        <w:rPr>
          <w:rFonts w:hint="eastAsia" w:ascii="宋体" w:hAnsi="宋体"/>
          <w:color w:val="000000" w:themeColor="text1"/>
          <w:sz w:val="24"/>
          <w:highlight w:val="none"/>
          <w14:textFill>
            <w14:solidFill>
              <w14:schemeClr w14:val="tx1"/>
            </w14:solidFill>
          </w14:textFill>
        </w:rPr>
        <w:t>开立之日起</w:t>
      </w:r>
      <w:r>
        <w:rPr>
          <w:rFonts w:ascii="宋体" w:hAnsi="宋体"/>
          <w:color w:val="000000" w:themeColor="text1"/>
          <w:sz w:val="24"/>
          <w:highlight w:val="none"/>
          <w14:textFill>
            <w14:solidFill>
              <w14:schemeClr w14:val="tx1"/>
            </w14:solidFill>
          </w14:textFill>
        </w:rPr>
        <w:t>至</w:t>
      </w:r>
      <w:r>
        <w:rPr>
          <w:rFonts w:hint="eastAsia" w:ascii="宋体" w:hAnsi="宋体"/>
          <w:color w:val="000000" w:themeColor="text1"/>
          <w:sz w:val="24"/>
          <w:highlight w:val="none"/>
          <w14:textFill>
            <w14:solidFill>
              <w14:schemeClr w14:val="tx1"/>
            </w14:solidFill>
          </w14:textFill>
        </w:rPr>
        <w:t>发包人全额扣回预付款后</w:t>
      </w:r>
      <w:r>
        <w:rPr>
          <w:rFonts w:ascii="宋体" w:hAnsi="宋体"/>
          <w:color w:val="000000" w:themeColor="text1"/>
          <w:sz w:val="24"/>
          <w:highlight w:val="none"/>
          <w14:textFill>
            <w14:solidFill>
              <w14:schemeClr w14:val="tx1"/>
            </w14:solidFill>
          </w14:textFill>
        </w:rPr>
        <w:t>日</w:t>
      </w:r>
      <w:r>
        <w:rPr>
          <w:rFonts w:hint="eastAsia" w:ascii="宋体" w:hAnsi="宋体"/>
          <w:color w:val="000000" w:themeColor="text1"/>
          <w:sz w:val="24"/>
          <w:highlight w:val="none"/>
          <w14:textFill>
            <w14:solidFill>
              <w14:schemeClr w14:val="tx1"/>
            </w14:solidFill>
          </w14:textFill>
        </w:rPr>
        <w:t>止，最迟不超过×年×月×日。</w:t>
      </w:r>
    </w:p>
    <w:p w14:paraId="1FB345D2">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四、我方承诺，在收到受益人发来的书面付款通知后的日内无条件支付，前述书面付款通知即为付款要求之单据，且应满足以下要求：</w:t>
      </w:r>
    </w:p>
    <w:p w14:paraId="7AD01C75">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（1）付款通知到达的日期在本保函的有效期内；</w:t>
      </w:r>
    </w:p>
    <w:p w14:paraId="70B99F97">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（2）载明要求支付的金额；</w:t>
      </w:r>
    </w:p>
    <w:p w14:paraId="18CCD216">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（3）载明申请人违反合同义务的条款和内容；</w:t>
      </w:r>
    </w:p>
    <w:p w14:paraId="59311BA5">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（4）声明不存在合同文件约定或我国法律规定免除申请人或开立人支付责任的情形；</w:t>
      </w:r>
    </w:p>
    <w:p w14:paraId="0E56E963">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（5）付款通知应在本保函有效期内到达的地址是：。</w:t>
      </w:r>
    </w:p>
    <w:p w14:paraId="6DF2349A">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受益人发出的书面付款通知应由其为鉴明受益人法定代表人（负责人）或授权代理人签字并加盖公章。</w:t>
      </w:r>
    </w:p>
    <w:p w14:paraId="485D0EC8">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五、</w:t>
      </w:r>
      <w:r>
        <w:rPr>
          <w:rFonts w:ascii="宋体" w:hAnsi="宋体"/>
          <w:color w:val="000000" w:themeColor="text1"/>
          <w:sz w:val="24"/>
          <w:highlight w:val="none"/>
          <w14:textFill>
            <w14:solidFill>
              <w14:schemeClr w14:val="tx1"/>
            </w14:solidFill>
          </w14:textFill>
        </w:rPr>
        <w:t>本保函项下的权利不得转让，不得设定担保。贵方未经我方书面同意转 让本保函或其项下任何权利，</w:t>
      </w:r>
      <w:r>
        <w:rPr>
          <w:rFonts w:hint="eastAsia" w:ascii="宋体" w:hAnsi="宋体"/>
          <w:color w:val="000000" w:themeColor="text1"/>
          <w:sz w:val="24"/>
          <w:highlight w:val="none"/>
          <w14:textFill>
            <w14:solidFill>
              <w14:schemeClr w14:val="tx1"/>
            </w14:solidFill>
          </w14:textFill>
        </w:rPr>
        <w:t>对我方不发生法律效力</w:t>
      </w:r>
      <w:r>
        <w:rPr>
          <w:rFonts w:ascii="宋体" w:hAnsi="宋体"/>
          <w:color w:val="000000" w:themeColor="text1"/>
          <w:sz w:val="24"/>
          <w:highlight w:val="none"/>
          <w14:textFill>
            <w14:solidFill>
              <w14:schemeClr w14:val="tx1"/>
            </w14:solidFill>
          </w14:textFill>
        </w:rPr>
        <w:t xml:space="preserve">。 </w:t>
      </w:r>
    </w:p>
    <w:p w14:paraId="23D1CC38">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六、与</w:t>
      </w:r>
      <w:r>
        <w:rPr>
          <w:rFonts w:ascii="宋体" w:hAnsi="宋体"/>
          <w:color w:val="000000" w:themeColor="text1"/>
          <w:sz w:val="24"/>
          <w:highlight w:val="none"/>
          <w14:textFill>
            <w14:solidFill>
              <w14:schemeClr w14:val="tx1"/>
            </w14:solidFill>
          </w14:textFill>
        </w:rPr>
        <w:t>本保函</w:t>
      </w:r>
      <w:r>
        <w:rPr>
          <w:rFonts w:hint="eastAsia" w:ascii="宋体" w:hAnsi="宋体"/>
          <w:color w:val="000000" w:themeColor="text1"/>
          <w:sz w:val="24"/>
          <w:highlight w:val="none"/>
          <w14:textFill>
            <w14:solidFill>
              <w14:schemeClr w14:val="tx1"/>
            </w14:solidFill>
          </w14:textFill>
        </w:rPr>
        <w:t>有关</w:t>
      </w:r>
      <w:r>
        <w:rPr>
          <w:rFonts w:ascii="宋体" w:hAnsi="宋体"/>
          <w:color w:val="000000" w:themeColor="text1"/>
          <w:sz w:val="24"/>
          <w:highlight w:val="none"/>
          <w14:textFill>
            <w14:solidFill>
              <w14:schemeClr w14:val="tx1"/>
            </w14:solidFill>
          </w14:textFill>
        </w:rPr>
        <w:t>的</w:t>
      </w:r>
      <w:r>
        <w:rPr>
          <w:rFonts w:hint="eastAsia" w:ascii="宋体" w:hAnsi="宋体"/>
          <w:color w:val="000000" w:themeColor="text1"/>
          <w:sz w:val="24"/>
          <w:highlight w:val="none"/>
          <w14:textFill>
            <w14:solidFill>
              <w14:schemeClr w14:val="tx1"/>
            </w14:solidFill>
          </w14:textFill>
        </w:rPr>
        <w:t>基础</w:t>
      </w:r>
      <w:r>
        <w:rPr>
          <w:rFonts w:ascii="宋体" w:hAnsi="宋体"/>
          <w:color w:val="000000" w:themeColor="text1"/>
          <w:sz w:val="24"/>
          <w:highlight w:val="none"/>
          <w14:textFill>
            <w14:solidFill>
              <w14:schemeClr w14:val="tx1"/>
            </w14:solidFill>
          </w14:textFill>
        </w:rPr>
        <w:t xml:space="preserve">合同不成立、不生效、无效、被撤销、被解除，不影响本保函的独立有效。 </w:t>
      </w:r>
    </w:p>
    <w:p w14:paraId="3964871A">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七、</w:t>
      </w:r>
      <w:r>
        <w:rPr>
          <w:rFonts w:ascii="宋体" w:hAnsi="宋体"/>
          <w:color w:val="000000" w:themeColor="text1"/>
          <w:sz w:val="24"/>
          <w:highlight w:val="none"/>
          <w14:textFill>
            <w14:solidFill>
              <w14:schemeClr w14:val="tx1"/>
            </w14:solidFill>
          </w14:textFill>
        </w:rPr>
        <w:t>贵方应在本保函到期后的七日内将本保函正本退回我方注销，但是不论贵方是否按此要求将本保函正本退回我方，我方在本保函项下的义务和责任均在保函</w:t>
      </w:r>
      <w:r>
        <w:rPr>
          <w:rFonts w:hint="eastAsia" w:ascii="宋体" w:hAnsi="宋体"/>
          <w:color w:val="000000" w:themeColor="text1"/>
          <w:sz w:val="24"/>
          <w:highlight w:val="none"/>
          <w14:textFill>
            <w14:solidFill>
              <w14:schemeClr w14:val="tx1"/>
            </w14:solidFill>
          </w14:textFill>
        </w:rPr>
        <w:t>有效期</w:t>
      </w:r>
      <w:r>
        <w:rPr>
          <w:rFonts w:ascii="宋体" w:hAnsi="宋体"/>
          <w:color w:val="000000" w:themeColor="text1"/>
          <w:sz w:val="24"/>
          <w:highlight w:val="none"/>
          <w14:textFill>
            <w14:solidFill>
              <w14:schemeClr w14:val="tx1"/>
            </w14:solidFill>
          </w14:textFill>
        </w:rPr>
        <w:t xml:space="preserve">到期后自动消灭。 </w:t>
      </w:r>
    </w:p>
    <w:p w14:paraId="344E519C">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八、</w:t>
      </w:r>
      <w:r>
        <w:rPr>
          <w:rFonts w:ascii="宋体" w:hAnsi="宋体"/>
          <w:color w:val="000000" w:themeColor="text1"/>
          <w:sz w:val="24"/>
          <w:highlight w:val="none"/>
          <w14:textFill>
            <w14:solidFill>
              <w14:schemeClr w14:val="tx1"/>
            </w14:solidFill>
          </w14:textFill>
        </w:rPr>
        <w:t>本保函</w:t>
      </w:r>
      <w:r>
        <w:rPr>
          <w:rFonts w:hint="eastAsia" w:ascii="宋体" w:hAnsi="宋体"/>
          <w:color w:val="000000" w:themeColor="text1"/>
          <w:sz w:val="24"/>
          <w:highlight w:val="none"/>
          <w14:textFill>
            <w14:solidFill>
              <w14:schemeClr w14:val="tx1"/>
            </w14:solidFill>
          </w14:textFill>
        </w:rPr>
        <w:t>适用的法律为中华人民共和国法律，争议裁判管辖地为中华人民共和国</w:t>
      </w:r>
      <w:r>
        <w:rPr>
          <w:rFonts w:ascii="宋体" w:hAnsi="宋体"/>
          <w:color w:val="000000" w:themeColor="text1"/>
          <w:sz w:val="24"/>
          <w:highlight w:val="none"/>
          <w14:textFill>
            <w14:solidFill>
              <w14:schemeClr w14:val="tx1"/>
            </w14:solidFill>
          </w14:textFill>
        </w:rPr>
        <w:t xml:space="preserve">。 </w:t>
      </w:r>
    </w:p>
    <w:p w14:paraId="60BCF2CB">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九、</w:t>
      </w:r>
      <w:r>
        <w:rPr>
          <w:rFonts w:ascii="宋体" w:hAnsi="宋体"/>
          <w:color w:val="000000" w:themeColor="text1"/>
          <w:sz w:val="24"/>
          <w:highlight w:val="none"/>
          <w14:textFill>
            <w14:solidFill>
              <w14:schemeClr w14:val="tx1"/>
            </w14:solidFill>
          </w14:textFill>
        </w:rPr>
        <w:t>本保函自我方法定代表人</w:t>
      </w:r>
      <w:r>
        <w:rPr>
          <w:rFonts w:hint="eastAsia" w:ascii="宋体" w:hAnsi="宋体"/>
          <w:color w:val="000000" w:themeColor="text1"/>
          <w:sz w:val="24"/>
          <w:highlight w:val="none"/>
          <w14:textFill>
            <w14:solidFill>
              <w14:schemeClr w14:val="tx1"/>
            </w14:solidFill>
          </w14:textFill>
        </w:rPr>
        <w:t>或授权代表</w:t>
      </w:r>
      <w:r>
        <w:rPr>
          <w:rFonts w:ascii="宋体" w:hAnsi="宋体"/>
          <w:color w:val="000000" w:themeColor="text1"/>
          <w:sz w:val="24"/>
          <w:highlight w:val="none"/>
          <w14:textFill>
            <w14:solidFill>
              <w14:schemeClr w14:val="tx1"/>
            </w14:solidFill>
          </w14:textFill>
        </w:rPr>
        <w:t>签字</w:t>
      </w:r>
      <w:r>
        <w:rPr>
          <w:rFonts w:hint="eastAsia" w:ascii="宋体" w:hAnsi="宋体"/>
          <w:color w:val="000000" w:themeColor="text1"/>
          <w:sz w:val="24"/>
          <w:highlight w:val="none"/>
          <w14:textFill>
            <w14:solidFill>
              <w14:schemeClr w14:val="tx1"/>
            </w14:solidFill>
          </w14:textFill>
        </w:rPr>
        <w:t>并</w:t>
      </w:r>
      <w:r>
        <w:rPr>
          <w:rFonts w:ascii="宋体" w:hAnsi="宋体"/>
          <w:color w:val="000000" w:themeColor="text1"/>
          <w:sz w:val="24"/>
          <w:highlight w:val="none"/>
          <w14:textFill>
            <w14:solidFill>
              <w14:schemeClr w14:val="tx1"/>
            </w14:solidFill>
          </w14:textFill>
        </w:rPr>
        <w:t xml:space="preserve">加盖公章之日起生效。 </w:t>
      </w:r>
    </w:p>
    <w:p w14:paraId="7976A32E">
      <w:pPr>
        <w:spacing w:line="360" w:lineRule="auto"/>
        <w:ind w:firstLine="480" w:firstLineChars="200"/>
        <w:rPr>
          <w:rFonts w:ascii="宋体" w:hAnsi="宋体"/>
          <w:color w:val="000000" w:themeColor="text1"/>
          <w:sz w:val="24"/>
          <w:highlight w:val="none"/>
          <w14:textFill>
            <w14:solidFill>
              <w14:schemeClr w14:val="tx1"/>
            </w14:solidFill>
          </w14:textFill>
        </w:rPr>
      </w:pPr>
    </w:p>
    <w:p w14:paraId="162F8076">
      <w:pPr>
        <w:spacing w:line="360" w:lineRule="auto"/>
        <w:ind w:firstLine="480" w:firstLineChars="200"/>
        <w:rPr>
          <w:rFonts w:ascii="宋体" w:hAnsi="宋体"/>
          <w:color w:val="000000" w:themeColor="text1"/>
          <w:sz w:val="24"/>
          <w:highlight w:val="none"/>
          <w14:textFill>
            <w14:solidFill>
              <w14:schemeClr w14:val="tx1"/>
            </w14:solidFill>
          </w14:textFill>
        </w:rPr>
      </w:pPr>
    </w:p>
    <w:p w14:paraId="1B125E4D">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开 立 人</w:t>
      </w:r>
      <w:r>
        <w:rPr>
          <w:rFonts w:ascii="宋体" w:hAnsi="宋体"/>
          <w:color w:val="000000" w:themeColor="text1"/>
          <w:sz w:val="24"/>
          <w:highlight w:val="non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公</w:t>
      </w:r>
      <w:r>
        <w:rPr>
          <w:rFonts w:ascii="宋体" w:hAnsi="宋体"/>
          <w:color w:val="000000" w:themeColor="text1"/>
          <w:sz w:val="24"/>
          <w:highlight w:val="none"/>
          <w14:textFill>
            <w14:solidFill>
              <w14:schemeClr w14:val="tx1"/>
            </w14:solidFill>
          </w14:textFill>
        </w:rPr>
        <w:t xml:space="preserve">章） </w:t>
      </w:r>
    </w:p>
    <w:p w14:paraId="680D1063">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法定代表人（或授权代表）：</w:t>
      </w:r>
      <w:r>
        <w:rPr>
          <w:rFonts w:ascii="宋体" w:hAnsi="宋体"/>
          <w:color w:val="000000" w:themeColor="text1"/>
          <w:sz w:val="24"/>
          <w:highlight w:val="none"/>
          <w14:textFill>
            <w14:solidFill>
              <w14:schemeClr w14:val="tx1"/>
            </w14:solidFill>
          </w14:textFill>
        </w:rPr>
        <w:t xml:space="preserve">               （签字） </w:t>
      </w:r>
    </w:p>
    <w:p w14:paraId="15EA0626">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w:t>
      </w:r>
      <w:r>
        <w:rPr>
          <w:rFonts w:ascii="宋体" w:hAnsi="宋体"/>
          <w:color w:val="000000" w:themeColor="text1"/>
          <w:sz w:val="24"/>
          <w:highlight w:val="none"/>
          <w14:textFill>
            <w14:solidFill>
              <w14:schemeClr w14:val="tx1"/>
            </w14:solidFill>
          </w14:textFill>
        </w:rPr>
        <w:t xml:space="preserve">    址：                                       </w:t>
      </w:r>
    </w:p>
    <w:p w14:paraId="2E78DAFC">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邮政编码：</w:t>
      </w:r>
    </w:p>
    <w:p w14:paraId="22DF6806">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电</w:t>
      </w:r>
      <w:r>
        <w:rPr>
          <w:rFonts w:ascii="宋体" w:hAnsi="宋体"/>
          <w:color w:val="000000" w:themeColor="text1"/>
          <w:sz w:val="24"/>
          <w:highlight w:val="none"/>
          <w14:textFill>
            <w14:solidFill>
              <w14:schemeClr w14:val="tx1"/>
            </w14:solidFill>
          </w14:textFill>
        </w:rPr>
        <w:t xml:space="preserve">    话：                 </w:t>
      </w:r>
    </w:p>
    <w:p w14:paraId="09F76DBB">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传</w:t>
      </w:r>
      <w:r>
        <w:rPr>
          <w:rFonts w:ascii="宋体" w:hAnsi="宋体"/>
          <w:color w:val="000000" w:themeColor="text1"/>
          <w:sz w:val="24"/>
          <w:highlight w:val="none"/>
          <w14:textFill>
            <w14:solidFill>
              <w14:schemeClr w14:val="tx1"/>
            </w14:solidFill>
          </w14:textFill>
        </w:rPr>
        <w:t xml:space="preserve">    真：                 </w:t>
      </w:r>
    </w:p>
    <w:p w14:paraId="23422798">
      <w:pPr>
        <w:rPr>
          <w:color w:val="000000" w:themeColor="text1"/>
          <w:szCs w:val="21"/>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开立时间：</w:t>
      </w:r>
      <w:r>
        <w:rPr>
          <w:rFonts w:ascii="宋体" w:hAnsi="宋体"/>
          <w:color w:val="000000" w:themeColor="text1"/>
          <w:sz w:val="24"/>
          <w:highlight w:val="none"/>
          <w14:textFill>
            <w14:solidFill>
              <w14:schemeClr w14:val="tx1"/>
            </w14:solidFill>
          </w14:textFill>
        </w:rPr>
        <w:t xml:space="preserve">      年      月        日</w:t>
      </w:r>
    </w:p>
    <w:p w14:paraId="5A058202">
      <w:pPr>
        <w:spacing w:line="360" w:lineRule="auto"/>
        <w:jc w:val="center"/>
        <w:rPr>
          <w:rFonts w:ascii="宋体" w:hAnsi="宋体"/>
          <w:b/>
          <w:bCs/>
          <w:color w:val="000000" w:themeColor="text1"/>
          <w:sz w:val="32"/>
          <w:szCs w:val="32"/>
          <w:highlight w:val="none"/>
          <w14:textFill>
            <w14:solidFill>
              <w14:schemeClr w14:val="tx1"/>
            </w14:solidFill>
          </w14:textFill>
        </w:rPr>
      </w:pPr>
    </w:p>
    <w:p w14:paraId="301B5F46">
      <w:pPr>
        <w:spacing w:line="360" w:lineRule="auto"/>
        <w:jc w:val="left"/>
        <w:rPr>
          <w:rFonts w:hint="eastAsia" w:ascii="黑体" w:hAnsi="黑体" w:eastAsia="黑体" w:cs="黑体"/>
          <w:color w:val="000000" w:themeColor="text1"/>
          <w:sz w:val="32"/>
          <w:szCs w:val="32"/>
          <w:highlight w:val="none"/>
          <w14:textFill>
            <w14:solidFill>
              <w14:schemeClr w14:val="tx1"/>
            </w14:solidFill>
          </w14:textFill>
        </w:rPr>
      </w:pPr>
    </w:p>
    <w:p w14:paraId="50A41F99">
      <w:pPr>
        <w:spacing w:line="360" w:lineRule="auto"/>
        <w:jc w:val="left"/>
        <w:rPr>
          <w:rFonts w:ascii="黑体" w:hAnsi="黑体" w:eastAsia="黑体" w:cs="黑体"/>
          <w:b/>
          <w:bCs/>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附件</w:t>
      </w:r>
      <w:r>
        <w:rPr>
          <w:rFonts w:ascii="黑体" w:hAnsi="黑体" w:eastAsia="黑体" w:cs="黑体"/>
          <w:color w:val="000000" w:themeColor="text1"/>
          <w:sz w:val="32"/>
          <w:szCs w:val="32"/>
          <w:highlight w:val="none"/>
          <w14:textFill>
            <w14:solidFill>
              <w14:schemeClr w14:val="tx1"/>
            </w14:solidFill>
          </w14:textFill>
        </w:rPr>
        <w:t>8</w:t>
      </w:r>
    </w:p>
    <w:p w14:paraId="44644B66">
      <w:pPr>
        <w:spacing w:line="360" w:lineRule="auto"/>
        <w:jc w:val="left"/>
        <w:rPr>
          <w:rFonts w:ascii="黑体" w:hAnsi="黑体" w:eastAsia="黑体" w:cs="黑体"/>
          <w:b/>
          <w:bCs/>
          <w:color w:val="000000" w:themeColor="text1"/>
          <w:sz w:val="32"/>
          <w:szCs w:val="32"/>
          <w:highlight w:val="none"/>
          <w14:textFill>
            <w14:solidFill>
              <w14:schemeClr w14:val="tx1"/>
            </w14:solidFill>
          </w14:textFill>
        </w:rPr>
      </w:pPr>
    </w:p>
    <w:p w14:paraId="30AD7958">
      <w:pPr>
        <w:spacing w:line="360" w:lineRule="auto"/>
        <w:jc w:val="center"/>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预付款保函示范文本</w:t>
      </w:r>
    </w:p>
    <w:p w14:paraId="7C50780B">
      <w:pPr>
        <w:spacing w:line="360" w:lineRule="auto"/>
        <w:jc w:val="center"/>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（非独立保函）</w:t>
      </w:r>
    </w:p>
    <w:p w14:paraId="70CB7157">
      <w:pPr>
        <w:wordWrap w:val="0"/>
        <w:spacing w:line="360" w:lineRule="auto"/>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编号： </w:t>
      </w:r>
    </w:p>
    <w:p w14:paraId="6CA5959F">
      <w:pPr>
        <w:spacing w:line="360" w:lineRule="auto"/>
        <w:rPr>
          <w:rFonts w:ascii="宋体" w:hAnsi="宋体"/>
          <w:color w:val="000000" w:themeColor="text1"/>
          <w:sz w:val="24"/>
          <w:highlight w:val="none"/>
          <w14:textFill>
            <w14:solidFill>
              <w14:schemeClr w14:val="tx1"/>
            </w14:solidFill>
          </w14:textFill>
        </w:rPr>
      </w:pPr>
    </w:p>
    <w:p w14:paraId="2D777904">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担保权人/发包人：</w:t>
      </w:r>
    </w:p>
    <w:p w14:paraId="1F89EC0E">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地址</w:t>
      </w:r>
      <w:r>
        <w:rPr>
          <w:rFonts w:ascii="宋体" w:hAnsi="宋体"/>
          <w:color w:val="000000" w:themeColor="text1"/>
          <w:sz w:val="24"/>
          <w:highlight w:val="none"/>
          <w14:textFill>
            <w14:solidFill>
              <w14:schemeClr w14:val="tx1"/>
            </w14:solidFill>
          </w14:textFill>
        </w:rPr>
        <w:t>：</w:t>
      </w:r>
    </w:p>
    <w:p w14:paraId="532FBC5A">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承包人：</w:t>
      </w:r>
    </w:p>
    <w:p w14:paraId="74D88DE9">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地址：</w:t>
      </w:r>
    </w:p>
    <w:p w14:paraId="20EB5AEC">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保证人：</w:t>
      </w:r>
    </w:p>
    <w:p w14:paraId="5D89FE02">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地址：</w:t>
      </w:r>
    </w:p>
    <w:p w14:paraId="4D5E63AF">
      <w:pPr>
        <w:spacing w:line="360" w:lineRule="auto"/>
        <w:rPr>
          <w:rFonts w:ascii="宋体" w:hAnsi="宋体"/>
          <w:color w:val="000000" w:themeColor="text1"/>
          <w:sz w:val="24"/>
          <w:highlight w:val="none"/>
          <w14:textFill>
            <w14:solidFill>
              <w14:schemeClr w14:val="tx1"/>
            </w14:solidFill>
          </w14:textFill>
        </w:rPr>
      </w:pPr>
    </w:p>
    <w:p w14:paraId="2E55DB99">
      <w:pPr>
        <w:spacing w:line="360" w:lineRule="auto"/>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发包人</w:t>
      </w:r>
      <w:r>
        <w:rPr>
          <w:rFonts w:ascii="宋体" w:hAnsi="宋体"/>
          <w:color w:val="000000" w:themeColor="text1"/>
          <w:sz w:val="24"/>
          <w:highlight w:val="none"/>
          <w14:textFill>
            <w14:solidFill>
              <w14:schemeClr w14:val="tx1"/>
            </w14:solidFill>
          </w14:textFill>
        </w:rPr>
        <w:t xml:space="preserve">名称）： </w:t>
      </w:r>
    </w:p>
    <w:p w14:paraId="60375E59">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鉴于</w:t>
      </w:r>
      <w:r>
        <w:rPr>
          <w:rFonts w:ascii="宋体" w:hAnsi="宋体"/>
          <w:color w:val="000000" w:themeColor="text1"/>
          <w:sz w:val="24"/>
          <w:highlight w:val="none"/>
          <w14:textFill>
            <w14:solidFill>
              <w14:schemeClr w14:val="tx1"/>
            </w14:solidFill>
          </w14:textFill>
        </w:rPr>
        <w:t>（以下简称“</w:t>
      </w:r>
      <w:r>
        <w:rPr>
          <w:rFonts w:hint="eastAsia" w:ascii="宋体" w:hAnsi="宋体"/>
          <w:color w:val="000000" w:themeColor="text1"/>
          <w:sz w:val="24"/>
          <w:highlight w:val="none"/>
          <w14:textFill>
            <w14:solidFill>
              <w14:schemeClr w14:val="tx1"/>
            </w14:solidFill>
          </w14:textFill>
        </w:rPr>
        <w:t>发包人</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与</w:t>
      </w:r>
      <w:r>
        <w:rPr>
          <w:rFonts w:ascii="宋体" w:hAnsi="宋体"/>
          <w:color w:val="000000" w:themeColor="text1"/>
          <w:sz w:val="24"/>
          <w:highlight w:val="none"/>
          <w14:textFill>
            <w14:solidFill>
              <w14:schemeClr w14:val="tx1"/>
            </w14:solidFill>
          </w14:textFill>
        </w:rPr>
        <w:t>（以下简称“</w:t>
      </w:r>
      <w:r>
        <w:rPr>
          <w:rFonts w:hint="eastAsia" w:ascii="宋体" w:hAnsi="宋体"/>
          <w:color w:val="000000" w:themeColor="text1"/>
          <w:sz w:val="24"/>
          <w:highlight w:val="none"/>
          <w14:textFill>
            <w14:solidFill>
              <w14:schemeClr w14:val="tx1"/>
            </w14:solidFill>
          </w14:textFill>
        </w:rPr>
        <w:t>承包人</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于×年×月×日就工程（以下简称“本工程”）施工和有关事项协商一致共同签订</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（以下简称“主合同”），我方即保证人基于承包人</w:t>
      </w:r>
      <w:r>
        <w:rPr>
          <w:rFonts w:ascii="宋体" w:hAnsi="宋体"/>
          <w:color w:val="000000" w:themeColor="text1"/>
          <w:sz w:val="24"/>
          <w:highlight w:val="none"/>
          <w14:textFill>
            <w14:solidFill>
              <w14:schemeClr w14:val="tx1"/>
            </w14:solidFill>
          </w14:textFill>
        </w:rPr>
        <w:t>的请求，同意就</w:t>
      </w:r>
      <w:r>
        <w:rPr>
          <w:rFonts w:hint="eastAsia" w:ascii="宋体" w:hAnsi="宋体"/>
          <w:color w:val="000000" w:themeColor="text1"/>
          <w:sz w:val="24"/>
          <w:highlight w:val="none"/>
          <w14:textFill>
            <w14:solidFill>
              <w14:schemeClr w14:val="tx1"/>
            </w14:solidFill>
          </w14:textFill>
        </w:rPr>
        <w:t>承包人按照合同约定正确和合理地为合同目的使用预付款，不将预付款挪作他用，</w:t>
      </w:r>
      <w:r>
        <w:rPr>
          <w:rFonts w:ascii="宋体" w:hAnsi="宋体"/>
          <w:color w:val="000000" w:themeColor="text1"/>
          <w:sz w:val="24"/>
          <w:highlight w:val="none"/>
          <w14:textFill>
            <w14:solidFill>
              <w14:schemeClr w14:val="tx1"/>
            </w14:solidFill>
          </w14:textFill>
        </w:rPr>
        <w:t>向贵方提供</w:t>
      </w:r>
      <w:r>
        <w:rPr>
          <w:rFonts w:hint="eastAsia" w:ascii="宋体" w:hAnsi="宋体"/>
          <w:color w:val="000000" w:themeColor="text1"/>
          <w:sz w:val="24"/>
          <w:highlight w:val="none"/>
          <w14:textFill>
            <w14:solidFill>
              <w14:schemeClr w14:val="tx1"/>
            </w14:solidFill>
          </w14:textFill>
        </w:rPr>
        <w:t>如下保证担保（以下简称“本保证担保”）</w:t>
      </w:r>
      <w:r>
        <w:rPr>
          <w:rFonts w:ascii="宋体" w:hAnsi="宋体"/>
          <w:color w:val="000000" w:themeColor="text1"/>
          <w:sz w:val="24"/>
          <w:highlight w:val="none"/>
          <w14:textFill>
            <w14:solidFill>
              <w14:schemeClr w14:val="tx1"/>
            </w14:solidFill>
          </w14:textFill>
        </w:rPr>
        <w:t xml:space="preserve">。 </w:t>
      </w:r>
    </w:p>
    <w:p w14:paraId="695CD230">
      <w:pPr>
        <w:spacing w:line="360" w:lineRule="auto"/>
        <w:ind w:firstLine="482" w:firstLineChars="200"/>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一、保证担保的范围及保证担保金额</w:t>
      </w:r>
    </w:p>
    <w:p w14:paraId="262F7858">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保证担保范围：申请人未按照合同约定正确和合理地为合同目的使用预付款，应当向贵方承担的违约责任和赔偿因此造成的损失、利息、律师费、诉讼费用等实现债权的费用。</w:t>
      </w:r>
    </w:p>
    <w:p w14:paraId="42F3C3AF">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保证担保金额最高不超过</w:t>
      </w:r>
      <w:r>
        <w:rPr>
          <w:rFonts w:ascii="宋体" w:hAnsi="宋体"/>
          <w:color w:val="000000" w:themeColor="text1"/>
          <w:sz w:val="24"/>
          <w:highlight w:val="none"/>
          <w14:textFill>
            <w14:solidFill>
              <w14:schemeClr w14:val="tx1"/>
            </w14:solidFill>
          </w14:textFill>
        </w:rPr>
        <w:t xml:space="preserve">人民币（大写）元（¥）。 </w:t>
      </w:r>
    </w:p>
    <w:p w14:paraId="17DE895A">
      <w:pPr>
        <w:spacing w:line="360" w:lineRule="auto"/>
        <w:ind w:firstLine="482" w:firstLineChars="200"/>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二、保证担保的方式及保证期间</w:t>
      </w:r>
    </w:p>
    <w:p w14:paraId="0622AA35">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1.保证担保方式：连带责任保证。</w:t>
      </w:r>
    </w:p>
    <w:p w14:paraId="26EC2AA6">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保证期间：</w:t>
      </w:r>
      <w:r>
        <w:rPr>
          <w:rFonts w:ascii="宋体" w:hAnsi="宋体"/>
          <w:color w:val="000000" w:themeColor="text1"/>
          <w:sz w:val="24"/>
          <w:highlight w:val="none"/>
          <w14:textFill>
            <w14:solidFill>
              <w14:schemeClr w14:val="tx1"/>
            </w14:solidFill>
          </w14:textFill>
        </w:rPr>
        <w:t>自</w:t>
      </w:r>
      <w:r>
        <w:rPr>
          <w:rFonts w:hint="eastAsia" w:ascii="宋体" w:hAnsi="宋体"/>
          <w:color w:val="000000" w:themeColor="text1"/>
          <w:sz w:val="24"/>
          <w:highlight w:val="none"/>
          <w14:textFill>
            <w14:solidFill>
              <w14:schemeClr w14:val="tx1"/>
            </w14:solidFill>
          </w14:textFill>
        </w:rPr>
        <w:t>出具之日起</w:t>
      </w:r>
      <w:r>
        <w:rPr>
          <w:rFonts w:ascii="宋体" w:hAnsi="宋体"/>
          <w:color w:val="000000" w:themeColor="text1"/>
          <w:sz w:val="24"/>
          <w:highlight w:val="none"/>
          <w14:textFill>
            <w14:solidFill>
              <w14:schemeClr w14:val="tx1"/>
            </w14:solidFill>
          </w14:textFill>
        </w:rPr>
        <w:t>至</w:t>
      </w:r>
      <w:r>
        <w:rPr>
          <w:rFonts w:hint="eastAsia" w:ascii="宋体" w:hAnsi="宋体"/>
          <w:color w:val="000000" w:themeColor="text1"/>
          <w:sz w:val="24"/>
          <w:highlight w:val="none"/>
          <w14:textFill>
            <w14:solidFill>
              <w14:schemeClr w14:val="tx1"/>
            </w14:solidFill>
          </w14:textFill>
        </w:rPr>
        <w:t>发包人全额扣回预付款后</w:t>
      </w:r>
      <w:r>
        <w:rPr>
          <w:rFonts w:ascii="宋体" w:hAnsi="宋体"/>
          <w:color w:val="000000" w:themeColor="text1"/>
          <w:sz w:val="24"/>
          <w:highlight w:val="none"/>
          <w14:textFill>
            <w14:solidFill>
              <w14:schemeClr w14:val="tx1"/>
            </w14:solidFill>
          </w14:textFill>
        </w:rPr>
        <w:t>日</w:t>
      </w:r>
      <w:r>
        <w:rPr>
          <w:rFonts w:hint="eastAsia" w:ascii="宋体" w:hAnsi="宋体"/>
          <w:color w:val="000000" w:themeColor="text1"/>
          <w:sz w:val="24"/>
          <w:highlight w:val="none"/>
          <w14:textFill>
            <w14:solidFill>
              <w14:schemeClr w14:val="tx1"/>
            </w14:solidFill>
          </w14:textFill>
        </w:rPr>
        <w:t>止，最迟不超过×年×月×日</w:t>
      </w:r>
      <w:r>
        <w:rPr>
          <w:rFonts w:ascii="宋体" w:hAnsi="宋体"/>
          <w:color w:val="000000" w:themeColor="text1"/>
          <w:sz w:val="24"/>
          <w:highlight w:val="none"/>
          <w14:textFill>
            <w14:solidFill>
              <w14:schemeClr w14:val="tx1"/>
            </w14:solidFill>
          </w14:textFill>
        </w:rPr>
        <w:t xml:space="preserve">。 </w:t>
      </w:r>
    </w:p>
    <w:p w14:paraId="71955348">
      <w:pPr>
        <w:spacing w:line="360" w:lineRule="auto"/>
        <w:ind w:firstLine="482" w:firstLineChars="200"/>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三、承担保证担保责任的形式</w:t>
      </w:r>
    </w:p>
    <w:p w14:paraId="3D93761A">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发生应承担保证责任情形的，我方在保证金额内向贵方支付，并赔偿因此给贵方造成的损失，以及利息和律师费、诉讼费用等实现债权的费用。</w:t>
      </w:r>
    </w:p>
    <w:p w14:paraId="4966D578">
      <w:pPr>
        <w:spacing w:line="360" w:lineRule="auto"/>
        <w:ind w:firstLine="482" w:firstLineChars="200"/>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四、代偿的安排</w:t>
      </w:r>
    </w:p>
    <w:p w14:paraId="0B3F76BB">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贵方要求我方承担保证责任的，应向我方发出书面索赔通知及承包人未履行主合同约定义务的证明材料。索赔通知应写明要求索赔的金额，支付款项应到达的账号，并附有说明承包人违反主合同造成贵方损失情况的证明材料。</w:t>
      </w:r>
    </w:p>
    <w:p w14:paraId="331149DA">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2.我方收到贵方的书面索赔通知及相应证明材料后，在工作日内进行核定后按照本保函的承诺承担保证责任。</w:t>
      </w:r>
    </w:p>
    <w:p w14:paraId="2DB12F6B">
      <w:pPr>
        <w:spacing w:line="360" w:lineRule="auto"/>
        <w:ind w:firstLine="482" w:firstLineChars="200"/>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五、保证担保责任的解除</w:t>
      </w:r>
    </w:p>
    <w:p w14:paraId="29AEA728">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w:t>
      </w:r>
      <w:r>
        <w:rPr>
          <w:rFonts w:ascii="宋体" w:hAnsi="宋体"/>
          <w:color w:val="000000" w:themeColor="text1"/>
          <w:sz w:val="24"/>
          <w:highlight w:val="none"/>
          <w14:textFill>
            <w14:solidFill>
              <w14:schemeClr w14:val="tx1"/>
            </w14:solidFill>
          </w14:textFill>
        </w:rPr>
        <w:t xml:space="preserve">保证期间届满贵方未向我方书面主张保证责任的，自保证期间届满次日起，我方解除保证责任。 </w:t>
      </w:r>
    </w:p>
    <w:p w14:paraId="1DBD1480">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w:t>
      </w:r>
      <w:r>
        <w:rPr>
          <w:rFonts w:ascii="宋体" w:hAnsi="宋体"/>
          <w:color w:val="000000" w:themeColor="text1"/>
          <w:sz w:val="24"/>
          <w:highlight w:val="none"/>
          <w14:textFill>
            <w14:solidFill>
              <w14:schemeClr w14:val="tx1"/>
            </w14:solidFill>
          </w14:textFill>
        </w:rPr>
        <w:t>我方按照本</w:t>
      </w:r>
      <w:r>
        <w:rPr>
          <w:rFonts w:hint="eastAsia" w:ascii="宋体" w:hAnsi="宋体"/>
          <w:color w:val="000000" w:themeColor="text1"/>
          <w:sz w:val="24"/>
          <w:highlight w:val="none"/>
          <w14:textFill>
            <w14:solidFill>
              <w14:schemeClr w14:val="tx1"/>
            </w14:solidFill>
          </w14:textFill>
        </w:rPr>
        <w:t>保证担保</w:t>
      </w:r>
      <w:r>
        <w:rPr>
          <w:rFonts w:ascii="宋体" w:hAnsi="宋体"/>
          <w:color w:val="000000" w:themeColor="text1"/>
          <w:sz w:val="24"/>
          <w:highlight w:val="none"/>
          <w14:textFill>
            <w14:solidFill>
              <w14:schemeClr w14:val="tx1"/>
            </w14:solidFill>
          </w14:textFill>
        </w:rPr>
        <w:t>向贵方履行了</w:t>
      </w:r>
      <w:r>
        <w:rPr>
          <w:rFonts w:hint="eastAsia" w:ascii="宋体" w:hAnsi="宋体"/>
          <w:color w:val="000000" w:themeColor="text1"/>
          <w:sz w:val="24"/>
          <w:highlight w:val="none"/>
          <w14:textFill>
            <w14:solidFill>
              <w14:schemeClr w14:val="tx1"/>
            </w14:solidFill>
          </w14:textFill>
        </w:rPr>
        <w:t>保证担保责任</w:t>
      </w:r>
      <w:r>
        <w:rPr>
          <w:rFonts w:ascii="宋体" w:hAnsi="宋体"/>
          <w:color w:val="000000" w:themeColor="text1"/>
          <w:sz w:val="24"/>
          <w:highlight w:val="none"/>
          <w14:textFill>
            <w14:solidFill>
              <w14:schemeClr w14:val="tx1"/>
            </w14:solidFill>
          </w14:textFill>
        </w:rPr>
        <w:t>后，自我方向贵方支付</w:t>
      </w:r>
      <w:r>
        <w:rPr>
          <w:rFonts w:hint="eastAsia" w:ascii="宋体" w:hAnsi="宋体"/>
          <w:color w:val="000000" w:themeColor="text1"/>
          <w:sz w:val="24"/>
          <w:highlight w:val="none"/>
          <w14:textFill>
            <w14:solidFill>
              <w14:schemeClr w14:val="tx1"/>
            </w14:solidFill>
          </w14:textFill>
        </w:rPr>
        <w:t>的金额达到最高保证担保金额</w:t>
      </w:r>
      <w:r>
        <w:rPr>
          <w:rFonts w:ascii="宋体" w:hAnsi="宋体"/>
          <w:color w:val="000000" w:themeColor="text1"/>
          <w:sz w:val="24"/>
          <w:highlight w:val="none"/>
          <w14:textFill>
            <w14:solidFill>
              <w14:schemeClr w14:val="tx1"/>
            </w14:solidFill>
          </w14:textFill>
        </w:rPr>
        <w:t>之日起，</w:t>
      </w:r>
      <w:r>
        <w:rPr>
          <w:rFonts w:hint="eastAsia" w:ascii="宋体" w:hAnsi="宋体"/>
          <w:color w:val="000000" w:themeColor="text1"/>
          <w:sz w:val="24"/>
          <w:highlight w:val="none"/>
          <w14:textFill>
            <w14:solidFill>
              <w14:schemeClr w14:val="tx1"/>
            </w14:solidFill>
          </w14:textFill>
        </w:rPr>
        <w:t>保证担保责任</w:t>
      </w:r>
      <w:r>
        <w:rPr>
          <w:rFonts w:ascii="宋体" w:hAnsi="宋体"/>
          <w:color w:val="000000" w:themeColor="text1"/>
          <w:sz w:val="24"/>
          <w:highlight w:val="none"/>
          <w14:textFill>
            <w14:solidFill>
              <w14:schemeClr w14:val="tx1"/>
            </w14:solidFill>
          </w14:textFill>
        </w:rPr>
        <w:t xml:space="preserve">解除。 </w:t>
      </w:r>
    </w:p>
    <w:p w14:paraId="5E256C50">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w:t>
      </w:r>
      <w:r>
        <w:rPr>
          <w:rFonts w:ascii="宋体" w:hAnsi="宋体"/>
          <w:color w:val="000000" w:themeColor="text1"/>
          <w:sz w:val="24"/>
          <w:highlight w:val="none"/>
          <w14:textFill>
            <w14:solidFill>
              <w14:schemeClr w14:val="tx1"/>
            </w14:solidFill>
          </w14:textFill>
        </w:rPr>
        <w:t>按照法律法规的规定应解除我方保证</w:t>
      </w:r>
      <w:r>
        <w:rPr>
          <w:rFonts w:hint="eastAsia" w:ascii="宋体" w:hAnsi="宋体"/>
          <w:color w:val="000000" w:themeColor="text1"/>
          <w:sz w:val="24"/>
          <w:highlight w:val="none"/>
          <w14:textFill>
            <w14:solidFill>
              <w14:schemeClr w14:val="tx1"/>
            </w14:solidFill>
          </w14:textFill>
        </w:rPr>
        <w:t>担保</w:t>
      </w:r>
      <w:r>
        <w:rPr>
          <w:rFonts w:ascii="宋体" w:hAnsi="宋体"/>
          <w:color w:val="000000" w:themeColor="text1"/>
          <w:sz w:val="24"/>
          <w:highlight w:val="none"/>
          <w14:textFill>
            <w14:solidFill>
              <w14:schemeClr w14:val="tx1"/>
            </w14:solidFill>
          </w14:textFill>
        </w:rPr>
        <w:t>责任的其它情形的，我方在本保证担保项下的保证</w:t>
      </w:r>
      <w:r>
        <w:rPr>
          <w:rFonts w:hint="eastAsia" w:ascii="宋体" w:hAnsi="宋体"/>
          <w:color w:val="000000" w:themeColor="text1"/>
          <w:sz w:val="24"/>
          <w:highlight w:val="none"/>
          <w14:textFill>
            <w14:solidFill>
              <w14:schemeClr w14:val="tx1"/>
            </w14:solidFill>
          </w14:textFill>
        </w:rPr>
        <w:t>担保</w:t>
      </w:r>
      <w:r>
        <w:rPr>
          <w:rFonts w:ascii="宋体" w:hAnsi="宋体"/>
          <w:color w:val="000000" w:themeColor="text1"/>
          <w:sz w:val="24"/>
          <w:highlight w:val="none"/>
          <w14:textFill>
            <w14:solidFill>
              <w14:schemeClr w14:val="tx1"/>
            </w14:solidFill>
          </w14:textFill>
        </w:rPr>
        <w:t xml:space="preserve">责任亦解除。 </w:t>
      </w:r>
    </w:p>
    <w:p w14:paraId="73DD4131">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4.我方解除保证责任后，贵方应按上述约定，自我方保证担保责任解除之日起七</w:t>
      </w:r>
      <w:r>
        <w:rPr>
          <w:rFonts w:ascii="宋体" w:hAnsi="宋体"/>
          <w:color w:val="000000" w:themeColor="text1"/>
          <w:sz w:val="24"/>
          <w:highlight w:val="none"/>
          <w14:textFill>
            <w14:solidFill>
              <w14:schemeClr w14:val="tx1"/>
            </w14:solidFill>
          </w14:textFill>
        </w:rPr>
        <w:t>日内，将本保证担保原件返还我方。但是不论贵方是否按此要求将本保证担保</w:t>
      </w:r>
      <w:r>
        <w:rPr>
          <w:rFonts w:hint="eastAsia" w:ascii="宋体" w:hAnsi="宋体"/>
          <w:color w:val="000000" w:themeColor="text1"/>
          <w:sz w:val="24"/>
          <w:highlight w:val="none"/>
          <w14:textFill>
            <w14:solidFill>
              <w14:schemeClr w14:val="tx1"/>
            </w14:solidFill>
          </w14:textFill>
        </w:rPr>
        <w:t>原件</w:t>
      </w:r>
      <w:r>
        <w:rPr>
          <w:rFonts w:ascii="宋体" w:hAnsi="宋体"/>
          <w:color w:val="000000" w:themeColor="text1"/>
          <w:sz w:val="24"/>
          <w:highlight w:val="none"/>
          <w14:textFill>
            <w14:solidFill>
              <w14:schemeClr w14:val="tx1"/>
            </w14:solidFill>
          </w14:textFill>
        </w:rPr>
        <w:t>退回我方，我方在本保证担保项下的义务和责任均</w:t>
      </w:r>
      <w:r>
        <w:rPr>
          <w:rFonts w:hint="eastAsia" w:ascii="宋体" w:hAnsi="宋体"/>
          <w:color w:val="000000" w:themeColor="text1"/>
          <w:sz w:val="24"/>
          <w:highlight w:val="none"/>
          <w14:textFill>
            <w14:solidFill>
              <w14:schemeClr w14:val="tx1"/>
            </w14:solidFill>
          </w14:textFill>
        </w:rPr>
        <w:t>自保证担保责任解除之日</w:t>
      </w:r>
      <w:r>
        <w:rPr>
          <w:rFonts w:ascii="宋体" w:hAnsi="宋体"/>
          <w:color w:val="000000" w:themeColor="text1"/>
          <w:sz w:val="24"/>
          <w:highlight w:val="none"/>
          <w14:textFill>
            <w14:solidFill>
              <w14:schemeClr w14:val="tx1"/>
            </w14:solidFill>
          </w14:textFill>
        </w:rPr>
        <w:t>自动消灭。</w:t>
      </w:r>
    </w:p>
    <w:p w14:paraId="0AF3F744">
      <w:pPr>
        <w:spacing w:line="360" w:lineRule="auto"/>
        <w:ind w:firstLine="482" w:firstLineChars="200"/>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六、免责条款</w:t>
      </w:r>
    </w:p>
    <w:p w14:paraId="5A00B723">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w:t>
      </w:r>
      <w:r>
        <w:rPr>
          <w:rFonts w:ascii="宋体" w:hAnsi="宋体"/>
          <w:color w:val="000000" w:themeColor="text1"/>
          <w:sz w:val="24"/>
          <w:highlight w:val="none"/>
          <w14:textFill>
            <w14:solidFill>
              <w14:schemeClr w14:val="tx1"/>
            </w14:solidFill>
          </w14:textFill>
        </w:rPr>
        <w:t>因贵方</w:t>
      </w:r>
      <w:r>
        <w:rPr>
          <w:rFonts w:hint="eastAsia" w:ascii="宋体" w:hAnsi="宋体"/>
          <w:color w:val="000000" w:themeColor="text1"/>
          <w:sz w:val="24"/>
          <w:highlight w:val="none"/>
          <w14:textFill>
            <w14:solidFill>
              <w14:schemeClr w14:val="tx1"/>
            </w14:solidFill>
          </w14:textFill>
        </w:rPr>
        <w:t>原因</w:t>
      </w:r>
      <w:r>
        <w:rPr>
          <w:rFonts w:ascii="宋体" w:hAnsi="宋体"/>
          <w:color w:val="000000" w:themeColor="text1"/>
          <w:sz w:val="24"/>
          <w:highlight w:val="none"/>
          <w14:textFill>
            <w14:solidFill>
              <w14:schemeClr w14:val="tx1"/>
            </w14:solidFill>
          </w14:textFill>
        </w:rPr>
        <w:t>致使</w:t>
      </w:r>
      <w:r>
        <w:rPr>
          <w:rFonts w:hint="eastAsia" w:ascii="宋体" w:hAnsi="宋体"/>
          <w:color w:val="000000" w:themeColor="text1"/>
          <w:sz w:val="24"/>
          <w:highlight w:val="none"/>
          <w14:textFill>
            <w14:solidFill>
              <w14:schemeClr w14:val="tx1"/>
            </w14:solidFill>
          </w14:textFill>
        </w:rPr>
        <w:t>发生应承担保证责任情形的</w:t>
      </w:r>
      <w:r>
        <w:rPr>
          <w:rFonts w:ascii="宋体" w:hAnsi="宋体"/>
          <w:color w:val="000000" w:themeColor="text1"/>
          <w:sz w:val="24"/>
          <w:highlight w:val="none"/>
          <w14:textFill>
            <w14:solidFill>
              <w14:schemeClr w14:val="tx1"/>
            </w14:solidFill>
          </w14:textFill>
        </w:rPr>
        <w:t>，我方不承担保证</w:t>
      </w:r>
      <w:r>
        <w:rPr>
          <w:rFonts w:hint="eastAsia" w:ascii="宋体" w:hAnsi="宋体"/>
          <w:color w:val="000000" w:themeColor="text1"/>
          <w:sz w:val="24"/>
          <w:highlight w:val="none"/>
          <w14:textFill>
            <w14:solidFill>
              <w14:schemeClr w14:val="tx1"/>
            </w14:solidFill>
          </w14:textFill>
        </w:rPr>
        <w:t>担保</w:t>
      </w:r>
      <w:r>
        <w:rPr>
          <w:rFonts w:ascii="宋体" w:hAnsi="宋体"/>
          <w:color w:val="000000" w:themeColor="text1"/>
          <w:sz w:val="24"/>
          <w:highlight w:val="none"/>
          <w14:textFill>
            <w14:solidFill>
              <w14:schemeClr w14:val="tx1"/>
            </w14:solidFill>
          </w14:textFill>
        </w:rPr>
        <w:t xml:space="preserve">责任。 </w:t>
      </w:r>
    </w:p>
    <w:p w14:paraId="15AB6C3B">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w:t>
      </w:r>
      <w:r>
        <w:rPr>
          <w:rFonts w:ascii="宋体" w:hAnsi="宋体"/>
          <w:color w:val="000000" w:themeColor="text1"/>
          <w:sz w:val="24"/>
          <w:highlight w:val="none"/>
          <w14:textFill>
            <w14:solidFill>
              <w14:schemeClr w14:val="tx1"/>
            </w14:solidFill>
          </w14:textFill>
        </w:rPr>
        <w:t>依照法律规定或贵方与</w:t>
      </w:r>
      <w:r>
        <w:rPr>
          <w:rFonts w:hint="eastAsia" w:ascii="宋体" w:hAnsi="宋体"/>
          <w:color w:val="000000" w:themeColor="text1"/>
          <w:sz w:val="24"/>
          <w:highlight w:val="none"/>
          <w14:textFill>
            <w14:solidFill>
              <w14:schemeClr w14:val="tx1"/>
            </w14:solidFill>
          </w14:textFill>
        </w:rPr>
        <w:t>承包</w:t>
      </w:r>
      <w:r>
        <w:rPr>
          <w:rFonts w:ascii="宋体" w:hAnsi="宋体"/>
          <w:color w:val="000000" w:themeColor="text1"/>
          <w:sz w:val="24"/>
          <w:highlight w:val="none"/>
          <w14:textFill>
            <w14:solidFill>
              <w14:schemeClr w14:val="tx1"/>
            </w14:solidFill>
          </w14:textFill>
        </w:rPr>
        <w:t>人的另行约定，免除</w:t>
      </w:r>
      <w:r>
        <w:rPr>
          <w:rFonts w:hint="eastAsia" w:ascii="宋体" w:hAnsi="宋体"/>
          <w:color w:val="000000" w:themeColor="text1"/>
          <w:sz w:val="24"/>
          <w:highlight w:val="none"/>
          <w14:textFill>
            <w14:solidFill>
              <w14:schemeClr w14:val="tx1"/>
            </w14:solidFill>
          </w14:textFill>
        </w:rPr>
        <w:t>承包</w:t>
      </w:r>
      <w:r>
        <w:rPr>
          <w:rFonts w:ascii="宋体" w:hAnsi="宋体"/>
          <w:color w:val="000000" w:themeColor="text1"/>
          <w:sz w:val="24"/>
          <w:highlight w:val="none"/>
          <w14:textFill>
            <w14:solidFill>
              <w14:schemeClr w14:val="tx1"/>
            </w14:solidFill>
          </w14:textFill>
        </w:rPr>
        <w:t>人部分或全部义务的，我方亦免除其相应的保证</w:t>
      </w:r>
      <w:r>
        <w:rPr>
          <w:rFonts w:hint="eastAsia" w:ascii="宋体" w:hAnsi="宋体"/>
          <w:color w:val="000000" w:themeColor="text1"/>
          <w:sz w:val="24"/>
          <w:highlight w:val="none"/>
          <w14:textFill>
            <w14:solidFill>
              <w14:schemeClr w14:val="tx1"/>
            </w14:solidFill>
          </w14:textFill>
        </w:rPr>
        <w:t>担保</w:t>
      </w:r>
      <w:r>
        <w:rPr>
          <w:rFonts w:ascii="宋体" w:hAnsi="宋体"/>
          <w:color w:val="000000" w:themeColor="text1"/>
          <w:sz w:val="24"/>
          <w:highlight w:val="none"/>
          <w14:textFill>
            <w14:solidFill>
              <w14:schemeClr w14:val="tx1"/>
            </w14:solidFill>
          </w14:textFill>
        </w:rPr>
        <w:t xml:space="preserve">责任。 </w:t>
      </w:r>
    </w:p>
    <w:p w14:paraId="75FAB460">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w:t>
      </w:r>
      <w:r>
        <w:rPr>
          <w:rFonts w:ascii="宋体" w:hAnsi="宋体"/>
          <w:color w:val="000000" w:themeColor="text1"/>
          <w:sz w:val="24"/>
          <w:highlight w:val="none"/>
          <w14:textFill>
            <w14:solidFill>
              <w14:schemeClr w14:val="tx1"/>
            </w14:solidFill>
          </w14:textFill>
        </w:rPr>
        <w:t>因不可抗力造成</w:t>
      </w:r>
      <w:r>
        <w:rPr>
          <w:rFonts w:hint="eastAsia" w:ascii="宋体" w:hAnsi="宋体"/>
          <w:color w:val="000000" w:themeColor="text1"/>
          <w:sz w:val="24"/>
          <w:highlight w:val="none"/>
          <w14:textFill>
            <w14:solidFill>
              <w14:schemeClr w14:val="tx1"/>
            </w14:solidFill>
          </w14:textFill>
        </w:rPr>
        <w:t>发生应承担保证责任情形的</w:t>
      </w:r>
      <w:r>
        <w:rPr>
          <w:rFonts w:ascii="宋体" w:hAnsi="宋体"/>
          <w:color w:val="000000" w:themeColor="text1"/>
          <w:sz w:val="24"/>
          <w:highlight w:val="none"/>
          <w14:textFill>
            <w14:solidFill>
              <w14:schemeClr w14:val="tx1"/>
            </w14:solidFill>
          </w14:textFill>
        </w:rPr>
        <w:t>，我方不承担保证</w:t>
      </w:r>
      <w:r>
        <w:rPr>
          <w:rFonts w:hint="eastAsia" w:ascii="宋体" w:hAnsi="宋体"/>
          <w:color w:val="000000" w:themeColor="text1"/>
          <w:sz w:val="24"/>
          <w:highlight w:val="none"/>
          <w14:textFill>
            <w14:solidFill>
              <w14:schemeClr w14:val="tx1"/>
            </w14:solidFill>
          </w14:textFill>
        </w:rPr>
        <w:t>担保</w:t>
      </w:r>
      <w:r>
        <w:rPr>
          <w:rFonts w:ascii="宋体" w:hAnsi="宋体"/>
          <w:color w:val="000000" w:themeColor="text1"/>
          <w:sz w:val="24"/>
          <w:highlight w:val="none"/>
          <w14:textFill>
            <w14:solidFill>
              <w14:schemeClr w14:val="tx1"/>
            </w14:solidFill>
          </w14:textFill>
        </w:rPr>
        <w:t>责任。</w:t>
      </w:r>
    </w:p>
    <w:p w14:paraId="35DF6AEB">
      <w:pPr>
        <w:spacing w:line="360" w:lineRule="auto"/>
        <w:ind w:firstLine="482" w:firstLineChars="200"/>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七、其他</w:t>
      </w:r>
    </w:p>
    <w:p w14:paraId="3254251F">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w:t>
      </w:r>
      <w:r>
        <w:rPr>
          <w:rFonts w:ascii="宋体" w:hAnsi="宋体"/>
          <w:color w:val="000000" w:themeColor="text1"/>
          <w:sz w:val="24"/>
          <w:highlight w:val="none"/>
          <w14:textFill>
            <w14:solidFill>
              <w14:schemeClr w14:val="tx1"/>
            </w14:solidFill>
          </w14:textFill>
        </w:rPr>
        <w:t>本保证担保项下的权利不得转让，不得设定担保。贵方未经我方书面同意转让本保证担保或其项下任何权利，</w:t>
      </w:r>
      <w:r>
        <w:rPr>
          <w:rFonts w:hint="eastAsia" w:ascii="宋体" w:hAnsi="宋体"/>
          <w:color w:val="000000" w:themeColor="text1"/>
          <w:sz w:val="24"/>
          <w:highlight w:val="none"/>
          <w14:textFill>
            <w14:solidFill>
              <w14:schemeClr w14:val="tx1"/>
            </w14:solidFill>
          </w14:textFill>
        </w:rPr>
        <w:t>对我方不发生法律效力</w:t>
      </w:r>
      <w:r>
        <w:rPr>
          <w:rFonts w:ascii="宋体" w:hAnsi="宋体"/>
          <w:color w:val="000000" w:themeColor="text1"/>
          <w:sz w:val="24"/>
          <w:highlight w:val="none"/>
          <w14:textFill>
            <w14:solidFill>
              <w14:schemeClr w14:val="tx1"/>
            </w14:solidFill>
          </w14:textFill>
        </w:rPr>
        <w:t xml:space="preserve">。 </w:t>
      </w:r>
    </w:p>
    <w:p w14:paraId="7611B0D5">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w:t>
      </w:r>
      <w:r>
        <w:rPr>
          <w:rFonts w:ascii="宋体" w:hAnsi="宋体"/>
          <w:color w:val="000000" w:themeColor="text1"/>
          <w:sz w:val="24"/>
          <w:highlight w:val="none"/>
          <w14:textFill>
            <w14:solidFill>
              <w14:schemeClr w14:val="tx1"/>
            </w14:solidFill>
          </w14:textFill>
        </w:rPr>
        <w:t>.本</w:t>
      </w:r>
      <w:r>
        <w:rPr>
          <w:rFonts w:hint="eastAsia" w:ascii="宋体" w:hAnsi="宋体"/>
          <w:color w:val="000000" w:themeColor="text1"/>
          <w:sz w:val="24"/>
          <w:highlight w:val="none"/>
          <w14:textFill>
            <w14:solidFill>
              <w14:schemeClr w14:val="tx1"/>
            </w14:solidFill>
          </w14:textFill>
        </w:rPr>
        <w:t>保证担保适用的法律为中华人民共和国法律，争议裁判管辖地为中华人民共和国。</w:t>
      </w:r>
    </w:p>
    <w:p w14:paraId="2FC8A189">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w:t>
      </w:r>
      <w:r>
        <w:rPr>
          <w:rFonts w:ascii="宋体" w:hAnsi="宋体"/>
          <w:color w:val="000000" w:themeColor="text1"/>
          <w:sz w:val="24"/>
          <w:highlight w:val="none"/>
          <w14:textFill>
            <w14:solidFill>
              <w14:schemeClr w14:val="tx1"/>
            </w14:solidFill>
          </w14:textFill>
        </w:rPr>
        <w:t>.本</w:t>
      </w:r>
      <w:r>
        <w:rPr>
          <w:rFonts w:hint="eastAsia" w:ascii="宋体" w:hAnsi="宋体"/>
          <w:color w:val="000000" w:themeColor="text1"/>
          <w:sz w:val="24"/>
          <w:highlight w:val="none"/>
          <w14:textFill>
            <w14:solidFill>
              <w14:schemeClr w14:val="tx1"/>
            </w14:solidFill>
          </w14:textFill>
        </w:rPr>
        <w:t>保证担保</w:t>
      </w:r>
      <w:r>
        <w:rPr>
          <w:rFonts w:ascii="宋体" w:hAnsi="宋体"/>
          <w:color w:val="000000" w:themeColor="text1"/>
          <w:sz w:val="24"/>
          <w:highlight w:val="none"/>
          <w14:textFill>
            <w14:solidFill>
              <w14:schemeClr w14:val="tx1"/>
            </w14:solidFill>
          </w14:textFill>
        </w:rPr>
        <w:t>自我方法定代表</w:t>
      </w:r>
      <w:r>
        <w:rPr>
          <w:rFonts w:hint="eastAsia" w:ascii="宋体" w:hAnsi="宋体"/>
          <w:color w:val="000000" w:themeColor="text1"/>
          <w:sz w:val="24"/>
          <w:highlight w:val="none"/>
          <w14:textFill>
            <w14:solidFill>
              <w14:schemeClr w14:val="tx1"/>
            </w14:solidFill>
          </w14:textFill>
        </w:rPr>
        <w:t>人或授权代表</w:t>
      </w:r>
      <w:r>
        <w:rPr>
          <w:rFonts w:ascii="宋体" w:hAnsi="宋体"/>
          <w:color w:val="000000" w:themeColor="text1"/>
          <w:sz w:val="24"/>
          <w:highlight w:val="none"/>
          <w14:textFill>
            <w14:solidFill>
              <w14:schemeClr w14:val="tx1"/>
            </w14:solidFill>
          </w14:textFill>
        </w:rPr>
        <w:t>签字</w:t>
      </w:r>
      <w:r>
        <w:rPr>
          <w:rFonts w:hint="eastAsia" w:ascii="宋体" w:hAnsi="宋体"/>
          <w:color w:val="000000" w:themeColor="text1"/>
          <w:sz w:val="24"/>
          <w:highlight w:val="none"/>
          <w14:textFill>
            <w14:solidFill>
              <w14:schemeClr w14:val="tx1"/>
            </w14:solidFill>
          </w14:textFill>
        </w:rPr>
        <w:t>并</w:t>
      </w:r>
      <w:r>
        <w:rPr>
          <w:rFonts w:ascii="宋体" w:hAnsi="宋体"/>
          <w:color w:val="000000" w:themeColor="text1"/>
          <w:sz w:val="24"/>
          <w:highlight w:val="none"/>
          <w14:textFill>
            <w14:solidFill>
              <w14:schemeClr w14:val="tx1"/>
            </w14:solidFill>
          </w14:textFill>
        </w:rPr>
        <w:t xml:space="preserve">加盖公章之日起生效。 </w:t>
      </w:r>
    </w:p>
    <w:p w14:paraId="6C9D3C17">
      <w:pPr>
        <w:spacing w:line="360" w:lineRule="auto"/>
        <w:ind w:firstLine="480" w:firstLineChars="200"/>
        <w:rPr>
          <w:rFonts w:ascii="宋体" w:hAnsi="宋体"/>
          <w:color w:val="000000" w:themeColor="text1"/>
          <w:sz w:val="24"/>
          <w:highlight w:val="none"/>
          <w14:textFill>
            <w14:solidFill>
              <w14:schemeClr w14:val="tx1"/>
            </w14:solidFill>
          </w14:textFill>
        </w:rPr>
      </w:pPr>
    </w:p>
    <w:p w14:paraId="759037D5">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保 证 人</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（公</w:t>
      </w:r>
      <w:r>
        <w:rPr>
          <w:rFonts w:ascii="宋体" w:hAnsi="宋体"/>
          <w:color w:val="000000" w:themeColor="text1"/>
          <w:sz w:val="24"/>
          <w:highlight w:val="none"/>
          <w14:textFill>
            <w14:solidFill>
              <w14:schemeClr w14:val="tx1"/>
            </w14:solidFill>
          </w14:textFill>
        </w:rPr>
        <w:t xml:space="preserve">章） </w:t>
      </w:r>
    </w:p>
    <w:p w14:paraId="36A69613">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法定代表人（或授权代表）：</w:t>
      </w:r>
      <w:r>
        <w:rPr>
          <w:rFonts w:ascii="宋体" w:hAnsi="宋体"/>
          <w:color w:val="000000" w:themeColor="text1"/>
          <w:sz w:val="24"/>
          <w:highlight w:val="none"/>
          <w14:textFill>
            <w14:solidFill>
              <w14:schemeClr w14:val="tx1"/>
            </w14:solidFill>
          </w14:textFill>
        </w:rPr>
        <w:t xml:space="preserve">               （签字） </w:t>
      </w:r>
    </w:p>
    <w:p w14:paraId="56910F00">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w:t>
      </w:r>
      <w:r>
        <w:rPr>
          <w:rFonts w:ascii="宋体" w:hAnsi="宋体"/>
          <w:color w:val="000000" w:themeColor="text1"/>
          <w:sz w:val="24"/>
          <w:highlight w:val="none"/>
          <w14:textFill>
            <w14:solidFill>
              <w14:schemeClr w14:val="tx1"/>
            </w14:solidFill>
          </w14:textFill>
        </w:rPr>
        <w:t xml:space="preserve">    址：                                       </w:t>
      </w:r>
    </w:p>
    <w:p w14:paraId="01889837">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邮政编码：</w:t>
      </w:r>
    </w:p>
    <w:p w14:paraId="7044F468">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电</w:t>
      </w:r>
      <w:r>
        <w:rPr>
          <w:rFonts w:ascii="宋体" w:hAnsi="宋体"/>
          <w:color w:val="000000" w:themeColor="text1"/>
          <w:sz w:val="24"/>
          <w:highlight w:val="none"/>
          <w14:textFill>
            <w14:solidFill>
              <w14:schemeClr w14:val="tx1"/>
            </w14:solidFill>
          </w14:textFill>
        </w:rPr>
        <w:t xml:space="preserve">    话：                 </w:t>
      </w:r>
    </w:p>
    <w:p w14:paraId="0565B305">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传</w:t>
      </w:r>
      <w:r>
        <w:rPr>
          <w:rFonts w:ascii="宋体" w:hAnsi="宋体"/>
          <w:color w:val="000000" w:themeColor="text1"/>
          <w:sz w:val="24"/>
          <w:highlight w:val="none"/>
          <w14:textFill>
            <w14:solidFill>
              <w14:schemeClr w14:val="tx1"/>
            </w14:solidFill>
          </w14:textFill>
        </w:rPr>
        <w:t xml:space="preserve">    真：                 </w:t>
      </w:r>
    </w:p>
    <w:p w14:paraId="084756CE">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时 间：</w:t>
      </w:r>
      <w:r>
        <w:rPr>
          <w:rFonts w:ascii="宋体" w:hAnsi="宋体"/>
          <w:color w:val="000000" w:themeColor="text1"/>
          <w:sz w:val="24"/>
          <w:highlight w:val="none"/>
          <w14:textFill>
            <w14:solidFill>
              <w14:schemeClr w14:val="tx1"/>
            </w14:solidFill>
          </w14:textFill>
        </w:rPr>
        <w:t xml:space="preserve">      年      月        日</w:t>
      </w:r>
    </w:p>
    <w:p w14:paraId="3A6E3101">
      <w:pPr>
        <w:rPr>
          <w:color w:val="000000" w:themeColor="text1"/>
          <w:szCs w:val="21"/>
          <w:highlight w:val="none"/>
          <w14:textFill>
            <w14:solidFill>
              <w14:schemeClr w14:val="tx1"/>
            </w14:solidFill>
          </w14:textFill>
        </w:rPr>
      </w:pPr>
    </w:p>
    <w:p w14:paraId="32171D7A">
      <w:pPr>
        <w:spacing w:line="360" w:lineRule="auto"/>
        <w:jc w:val="center"/>
        <w:rPr>
          <w:rFonts w:ascii="宋体" w:hAnsi="宋体"/>
          <w:b/>
          <w:bCs/>
          <w:color w:val="000000" w:themeColor="text1"/>
          <w:sz w:val="32"/>
          <w:szCs w:val="32"/>
          <w:highlight w:val="none"/>
          <w14:textFill>
            <w14:solidFill>
              <w14:schemeClr w14:val="tx1"/>
            </w14:solidFill>
          </w14:textFill>
        </w:rPr>
      </w:pPr>
    </w:p>
    <w:p w14:paraId="0A836428">
      <w:pPr>
        <w:spacing w:line="440" w:lineRule="exact"/>
        <w:rPr>
          <w:rFonts w:eastAsia="仿宋_GB2312" w:cs="仿宋_GB2312"/>
          <w:color w:val="000000" w:themeColor="text1"/>
          <w:sz w:val="30"/>
          <w:szCs w:val="30"/>
          <w:highlight w:val="none"/>
          <w14:textFill>
            <w14:solidFill>
              <w14:schemeClr w14:val="tx1"/>
            </w14:solidFill>
          </w14:textFill>
        </w:rPr>
      </w:pPr>
    </w:p>
    <w:p w14:paraId="478F60FE">
      <w:pPr>
        <w:spacing w:line="440" w:lineRule="exact"/>
        <w:rPr>
          <w:rFonts w:eastAsia="仿宋_GB2312" w:cs="仿宋_GB2312"/>
          <w:color w:val="000000" w:themeColor="text1"/>
          <w:sz w:val="30"/>
          <w:szCs w:val="30"/>
          <w:highlight w:val="none"/>
          <w14:textFill>
            <w14:solidFill>
              <w14:schemeClr w14:val="tx1"/>
            </w14:solidFill>
          </w14:textFill>
        </w:rPr>
      </w:pPr>
    </w:p>
    <w:p w14:paraId="30934473">
      <w:pPr>
        <w:spacing w:line="440" w:lineRule="exact"/>
        <w:rPr>
          <w:rFonts w:eastAsia="仿宋_GB2312" w:cs="仿宋_GB2312"/>
          <w:color w:val="000000" w:themeColor="text1"/>
          <w:sz w:val="30"/>
          <w:szCs w:val="30"/>
          <w:highlight w:val="none"/>
          <w14:textFill>
            <w14:solidFill>
              <w14:schemeClr w14:val="tx1"/>
            </w14:solidFill>
          </w14:textFill>
        </w:rPr>
      </w:pPr>
    </w:p>
    <w:p w14:paraId="607BF506">
      <w:pPr>
        <w:spacing w:line="440" w:lineRule="exact"/>
        <w:rPr>
          <w:rFonts w:eastAsia="仿宋_GB2312" w:cs="仿宋_GB2312"/>
          <w:color w:val="000000" w:themeColor="text1"/>
          <w:sz w:val="30"/>
          <w:szCs w:val="30"/>
          <w:highlight w:val="none"/>
          <w14:textFill>
            <w14:solidFill>
              <w14:schemeClr w14:val="tx1"/>
            </w14:solidFill>
          </w14:textFill>
        </w:rPr>
      </w:pPr>
    </w:p>
    <w:p w14:paraId="716FB0D5">
      <w:pPr>
        <w:spacing w:line="440" w:lineRule="exact"/>
        <w:rPr>
          <w:rFonts w:eastAsia="仿宋_GB2312" w:cs="仿宋_GB2312"/>
          <w:color w:val="000000" w:themeColor="text1"/>
          <w:sz w:val="30"/>
          <w:szCs w:val="30"/>
          <w:highlight w:val="none"/>
          <w14:textFill>
            <w14:solidFill>
              <w14:schemeClr w14:val="tx1"/>
            </w14:solidFill>
          </w14:textFill>
        </w:rPr>
      </w:pPr>
    </w:p>
    <w:p w14:paraId="430969D4">
      <w:pPr>
        <w:spacing w:line="440" w:lineRule="exact"/>
        <w:rPr>
          <w:rFonts w:eastAsia="仿宋_GB2312" w:cs="仿宋_GB2312"/>
          <w:color w:val="000000" w:themeColor="text1"/>
          <w:sz w:val="30"/>
          <w:szCs w:val="30"/>
          <w:highlight w:val="none"/>
          <w14:textFill>
            <w14:solidFill>
              <w14:schemeClr w14:val="tx1"/>
            </w14:solidFill>
          </w14:textFill>
        </w:rPr>
      </w:pPr>
    </w:p>
    <w:p w14:paraId="29299590">
      <w:pPr>
        <w:spacing w:line="440" w:lineRule="exact"/>
        <w:rPr>
          <w:rFonts w:eastAsia="仿宋_GB2312" w:cs="仿宋_GB2312"/>
          <w:color w:val="000000" w:themeColor="text1"/>
          <w:sz w:val="30"/>
          <w:szCs w:val="30"/>
          <w:highlight w:val="none"/>
          <w14:textFill>
            <w14:solidFill>
              <w14:schemeClr w14:val="tx1"/>
            </w14:solidFill>
          </w14:textFill>
        </w:rPr>
      </w:pPr>
    </w:p>
    <w:p w14:paraId="3854051E">
      <w:pPr>
        <w:spacing w:line="440" w:lineRule="exact"/>
        <w:rPr>
          <w:rFonts w:eastAsia="仿宋_GB2312" w:cs="仿宋_GB2312"/>
          <w:color w:val="000000" w:themeColor="text1"/>
          <w:sz w:val="30"/>
          <w:szCs w:val="30"/>
          <w:highlight w:val="none"/>
          <w14:textFill>
            <w14:solidFill>
              <w14:schemeClr w14:val="tx1"/>
            </w14:solidFill>
          </w14:textFill>
        </w:rPr>
      </w:pPr>
    </w:p>
    <w:p w14:paraId="1DAB3165">
      <w:pPr>
        <w:spacing w:line="440" w:lineRule="exact"/>
        <w:rPr>
          <w:rFonts w:eastAsia="仿宋_GB2312" w:cs="仿宋_GB2312"/>
          <w:color w:val="000000" w:themeColor="text1"/>
          <w:sz w:val="30"/>
          <w:szCs w:val="30"/>
          <w:highlight w:val="none"/>
          <w14:textFill>
            <w14:solidFill>
              <w14:schemeClr w14:val="tx1"/>
            </w14:solidFill>
          </w14:textFill>
        </w:rPr>
      </w:pPr>
    </w:p>
    <w:p w14:paraId="70CE11E0">
      <w:pPr>
        <w:spacing w:line="440" w:lineRule="exact"/>
        <w:rPr>
          <w:rFonts w:eastAsia="仿宋_GB2312" w:cs="仿宋_GB2312"/>
          <w:color w:val="000000" w:themeColor="text1"/>
          <w:sz w:val="30"/>
          <w:szCs w:val="30"/>
          <w:highlight w:val="none"/>
          <w14:textFill>
            <w14:solidFill>
              <w14:schemeClr w14:val="tx1"/>
            </w14:solidFill>
          </w14:textFill>
        </w:rPr>
      </w:pPr>
    </w:p>
    <w:p w14:paraId="7827D266">
      <w:pPr>
        <w:spacing w:line="440" w:lineRule="exact"/>
        <w:rPr>
          <w:rFonts w:eastAsia="仿宋_GB2312" w:cs="仿宋_GB2312"/>
          <w:color w:val="000000" w:themeColor="text1"/>
          <w:sz w:val="30"/>
          <w:szCs w:val="30"/>
          <w:highlight w:val="none"/>
          <w14:textFill>
            <w14:solidFill>
              <w14:schemeClr w14:val="tx1"/>
            </w14:solidFill>
          </w14:textFill>
        </w:rPr>
      </w:pPr>
    </w:p>
    <w:p w14:paraId="50366C59">
      <w:pPr>
        <w:spacing w:line="440" w:lineRule="exact"/>
        <w:rPr>
          <w:rFonts w:eastAsia="仿宋_GB2312" w:cs="仿宋_GB2312"/>
          <w:color w:val="000000" w:themeColor="text1"/>
          <w:sz w:val="30"/>
          <w:szCs w:val="30"/>
          <w:highlight w:val="none"/>
          <w14:textFill>
            <w14:solidFill>
              <w14:schemeClr w14:val="tx1"/>
            </w14:solidFill>
          </w14:textFill>
        </w:rPr>
      </w:pPr>
    </w:p>
    <w:p w14:paraId="4E9A72FF">
      <w:pPr>
        <w:spacing w:line="440" w:lineRule="exact"/>
        <w:rPr>
          <w:rFonts w:eastAsia="仿宋_GB2312" w:cs="仿宋_GB2312"/>
          <w:color w:val="000000" w:themeColor="text1"/>
          <w:sz w:val="30"/>
          <w:szCs w:val="30"/>
          <w:highlight w:val="none"/>
          <w14:textFill>
            <w14:solidFill>
              <w14:schemeClr w14:val="tx1"/>
            </w14:solidFill>
          </w14:textFill>
        </w:rPr>
      </w:pPr>
    </w:p>
    <w:p w14:paraId="4C0D8CBF">
      <w:pPr>
        <w:spacing w:line="440" w:lineRule="exact"/>
        <w:rPr>
          <w:rFonts w:eastAsia="仿宋_GB2312" w:cs="仿宋_GB2312"/>
          <w:color w:val="000000" w:themeColor="text1"/>
          <w:sz w:val="30"/>
          <w:szCs w:val="30"/>
          <w:highlight w:val="none"/>
          <w14:textFill>
            <w14:solidFill>
              <w14:schemeClr w14:val="tx1"/>
            </w14:solidFill>
          </w14:textFill>
        </w:rPr>
      </w:pPr>
    </w:p>
    <w:p w14:paraId="126C8FE7">
      <w:pPr>
        <w:spacing w:line="440" w:lineRule="exact"/>
        <w:rPr>
          <w:rFonts w:eastAsia="仿宋_GB2312" w:cs="仿宋_GB2312"/>
          <w:color w:val="000000" w:themeColor="text1"/>
          <w:sz w:val="30"/>
          <w:szCs w:val="30"/>
          <w:highlight w:val="none"/>
          <w14:textFill>
            <w14:solidFill>
              <w14:schemeClr w14:val="tx1"/>
            </w14:solidFill>
          </w14:textFill>
        </w:rPr>
      </w:pPr>
    </w:p>
    <w:p w14:paraId="49F0DC33">
      <w:pPr>
        <w:rPr>
          <w:rFonts w:hint="eastAsia" w:eastAsia="仿宋_GB2312" w:cs="仿宋_GB2312"/>
          <w:color w:val="000000" w:themeColor="text1"/>
          <w:sz w:val="30"/>
          <w:szCs w:val="30"/>
          <w:highlight w:val="none"/>
          <w14:textFill>
            <w14:solidFill>
              <w14:schemeClr w14:val="tx1"/>
            </w14:solidFill>
          </w14:textFill>
        </w:rPr>
      </w:pPr>
      <w:r>
        <w:rPr>
          <w:rFonts w:hint="eastAsia" w:eastAsia="仿宋_GB2312" w:cs="仿宋_GB2312"/>
          <w:color w:val="000000" w:themeColor="text1"/>
          <w:sz w:val="30"/>
          <w:szCs w:val="30"/>
          <w:highlight w:val="none"/>
          <w14:textFill>
            <w14:solidFill>
              <w14:schemeClr w14:val="tx1"/>
            </w14:solidFill>
          </w14:textFill>
        </w:rPr>
        <w:br w:type="page"/>
      </w:r>
    </w:p>
    <w:p w14:paraId="09243DE9">
      <w:pPr>
        <w:spacing w:line="440" w:lineRule="exact"/>
        <w:rPr>
          <w:rFonts w:eastAsia="黑体"/>
          <w:color w:val="000000" w:themeColor="text1"/>
          <w:sz w:val="30"/>
          <w:szCs w:val="30"/>
          <w:highlight w:val="none"/>
          <w14:textFill>
            <w14:solidFill>
              <w14:schemeClr w14:val="tx1"/>
            </w14:solidFill>
          </w14:textFill>
        </w:rPr>
      </w:pPr>
      <w:r>
        <w:rPr>
          <w:rFonts w:hint="eastAsia" w:eastAsia="仿宋_GB2312" w:cs="仿宋_GB2312"/>
          <w:color w:val="000000" w:themeColor="text1"/>
          <w:sz w:val="30"/>
          <w:szCs w:val="30"/>
          <w:highlight w:val="none"/>
          <w14:textFill>
            <w14:solidFill>
              <w14:schemeClr w14:val="tx1"/>
            </w14:solidFill>
          </w14:textFill>
        </w:rPr>
        <w:t>附件</w:t>
      </w:r>
      <w:r>
        <w:rPr>
          <w:rFonts w:hint="eastAsia" w:eastAsia="仿宋_GB2312"/>
          <w:color w:val="000000" w:themeColor="text1"/>
          <w:sz w:val="30"/>
          <w:szCs w:val="30"/>
          <w:highlight w:val="none"/>
          <w14:textFill>
            <w14:solidFill>
              <w14:schemeClr w14:val="tx1"/>
            </w14:solidFill>
          </w14:textFill>
        </w:rPr>
        <w:t>9</w:t>
      </w:r>
      <w:r>
        <w:rPr>
          <w:rFonts w:hint="eastAsia" w:eastAsia="仿宋_GB2312" w:cs="仿宋_GB2312"/>
          <w:color w:val="000000" w:themeColor="text1"/>
          <w:sz w:val="30"/>
          <w:szCs w:val="30"/>
          <w:highlight w:val="none"/>
          <w14:textFill>
            <w14:solidFill>
              <w14:schemeClr w14:val="tx1"/>
            </w14:solidFill>
          </w14:textFill>
        </w:rPr>
        <w:t>：</w:t>
      </w:r>
    </w:p>
    <w:p w14:paraId="58784784">
      <w:pPr>
        <w:spacing w:line="360" w:lineRule="auto"/>
        <w:jc w:val="left"/>
        <w:rPr>
          <w:rFonts w:ascii="黑体" w:hAnsi="黑体" w:eastAsia="黑体" w:cs="黑体"/>
          <w:b/>
          <w:bCs/>
          <w:color w:val="000000" w:themeColor="text1"/>
          <w:sz w:val="32"/>
          <w:szCs w:val="32"/>
          <w:highlight w:val="none"/>
          <w14:textFill>
            <w14:solidFill>
              <w14:schemeClr w14:val="tx1"/>
            </w14:solidFill>
          </w14:textFill>
        </w:rPr>
      </w:pPr>
    </w:p>
    <w:p w14:paraId="36EBE8E3">
      <w:pPr>
        <w:spacing w:line="360" w:lineRule="auto"/>
        <w:jc w:val="center"/>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支付保函示范文本</w:t>
      </w:r>
    </w:p>
    <w:p w14:paraId="4317FE66">
      <w:pPr>
        <w:spacing w:line="360" w:lineRule="auto"/>
        <w:jc w:val="center"/>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（独立保函）</w:t>
      </w:r>
    </w:p>
    <w:p w14:paraId="55208743">
      <w:pPr>
        <w:wordWrap w:val="0"/>
        <w:spacing w:line="360" w:lineRule="auto"/>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编号： </w:t>
      </w:r>
    </w:p>
    <w:p w14:paraId="6B0A7556">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申请人：</w:t>
      </w:r>
    </w:p>
    <w:p w14:paraId="57BADB3E">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地址</w:t>
      </w:r>
      <w:r>
        <w:rPr>
          <w:rFonts w:ascii="宋体" w:hAnsi="宋体"/>
          <w:color w:val="000000" w:themeColor="text1"/>
          <w:sz w:val="24"/>
          <w:highlight w:val="none"/>
          <w14:textFill>
            <w14:solidFill>
              <w14:schemeClr w14:val="tx1"/>
            </w14:solidFill>
          </w14:textFill>
        </w:rPr>
        <w:t>：</w:t>
      </w:r>
    </w:p>
    <w:p w14:paraId="6DEB63B4">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受益人：</w:t>
      </w:r>
    </w:p>
    <w:p w14:paraId="1FBFF5C1">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地址：</w:t>
      </w:r>
    </w:p>
    <w:p w14:paraId="51CBB9D4">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开立人：</w:t>
      </w:r>
    </w:p>
    <w:p w14:paraId="3FAECAD7">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地址：</w:t>
      </w:r>
    </w:p>
    <w:p w14:paraId="57788BCB">
      <w:pPr>
        <w:spacing w:line="360" w:lineRule="auto"/>
        <w:rPr>
          <w:rFonts w:ascii="宋体" w:hAnsi="宋体"/>
          <w:color w:val="000000" w:themeColor="text1"/>
          <w:sz w:val="24"/>
          <w:highlight w:val="none"/>
          <w14:textFill>
            <w14:solidFill>
              <w14:schemeClr w14:val="tx1"/>
            </w14:solidFill>
          </w14:textFill>
        </w:rPr>
      </w:pPr>
    </w:p>
    <w:p w14:paraId="50514ACE">
      <w:pPr>
        <w:spacing w:line="360" w:lineRule="auto"/>
        <w:rPr>
          <w:rFonts w:ascii="宋体" w:hAnsi="宋体"/>
          <w:color w:val="000000" w:themeColor="text1"/>
          <w:sz w:val="24"/>
          <w:highlight w:val="none"/>
          <w14:textFill>
            <w14:solidFill>
              <w14:schemeClr w14:val="tx1"/>
            </w14:solidFill>
          </w14:textFill>
        </w:rPr>
      </w:pPr>
      <w:bookmarkStart w:id="1154" w:name="_Hlk40355074"/>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受益人</w:t>
      </w:r>
      <w:r>
        <w:rPr>
          <w:rFonts w:ascii="宋体" w:hAnsi="宋体"/>
          <w:color w:val="000000" w:themeColor="text1"/>
          <w:sz w:val="24"/>
          <w:highlight w:val="none"/>
          <w14:textFill>
            <w14:solidFill>
              <w14:schemeClr w14:val="tx1"/>
            </w14:solidFill>
          </w14:textFill>
        </w:rPr>
        <w:t xml:space="preserve">名称）： </w:t>
      </w:r>
    </w:p>
    <w:bookmarkEnd w:id="1154"/>
    <w:p w14:paraId="10D0BA8A">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鉴于</w:t>
      </w:r>
      <w:r>
        <w:rPr>
          <w:rFonts w:ascii="宋体" w:hAnsi="宋体"/>
          <w:color w:val="000000" w:themeColor="text1"/>
          <w:sz w:val="24"/>
          <w:highlight w:val="none"/>
          <w14:textFill>
            <w14:solidFill>
              <w14:schemeClr w14:val="tx1"/>
            </w14:solidFill>
          </w14:textFill>
        </w:rPr>
        <w:t>（以下简称“</w:t>
      </w:r>
      <w:r>
        <w:rPr>
          <w:rFonts w:hint="eastAsia" w:ascii="宋体" w:hAnsi="宋体"/>
          <w:color w:val="000000" w:themeColor="text1"/>
          <w:sz w:val="24"/>
          <w:highlight w:val="none"/>
          <w14:textFill>
            <w14:solidFill>
              <w14:schemeClr w14:val="tx1"/>
            </w14:solidFill>
          </w14:textFill>
        </w:rPr>
        <w:t>受益人</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与</w:t>
      </w:r>
      <w:r>
        <w:rPr>
          <w:rFonts w:ascii="宋体" w:hAnsi="宋体"/>
          <w:color w:val="000000" w:themeColor="text1"/>
          <w:sz w:val="24"/>
          <w:highlight w:val="none"/>
          <w14:textFill>
            <w14:solidFill>
              <w14:schemeClr w14:val="tx1"/>
            </w14:solidFill>
          </w14:textFill>
        </w:rPr>
        <w:t>（以下简称“</w:t>
      </w:r>
      <w:r>
        <w:rPr>
          <w:rFonts w:hint="eastAsia" w:ascii="宋体" w:hAnsi="宋体"/>
          <w:color w:val="000000" w:themeColor="text1"/>
          <w:sz w:val="24"/>
          <w:highlight w:val="none"/>
          <w14:textFill>
            <w14:solidFill>
              <w14:schemeClr w14:val="tx1"/>
            </w14:solidFill>
          </w14:textFill>
        </w:rPr>
        <w:t>申请人</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于×年×月×日就工程（以下简称“本工程”）施工和有关事项协商一致共同签订</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（以下简称基础合同”），我方（即“开立人”）根据基础合同了解到申请人为基础合同项下之发包人，受益人为基础合同项下之承包人，基于申请人</w:t>
      </w:r>
      <w:r>
        <w:rPr>
          <w:rFonts w:ascii="宋体" w:hAnsi="宋体"/>
          <w:color w:val="000000" w:themeColor="text1"/>
          <w:sz w:val="24"/>
          <w:highlight w:val="none"/>
          <w14:textFill>
            <w14:solidFill>
              <w14:schemeClr w14:val="tx1"/>
            </w14:solidFill>
          </w14:textFill>
        </w:rPr>
        <w:t>的请求，我方同意就</w:t>
      </w:r>
      <w:r>
        <w:rPr>
          <w:rFonts w:hint="eastAsia" w:ascii="宋体" w:hAnsi="宋体"/>
          <w:color w:val="000000" w:themeColor="text1"/>
          <w:sz w:val="24"/>
          <w:highlight w:val="none"/>
          <w14:textFill>
            <w14:solidFill>
              <w14:schemeClr w14:val="tx1"/>
            </w14:solidFill>
          </w14:textFill>
        </w:rPr>
        <w:t>申请人</w:t>
      </w:r>
      <w:r>
        <w:rPr>
          <w:rFonts w:ascii="宋体" w:hAnsi="宋体"/>
          <w:color w:val="000000" w:themeColor="text1"/>
          <w:sz w:val="24"/>
          <w:highlight w:val="none"/>
          <w14:textFill>
            <w14:solidFill>
              <w14:schemeClr w14:val="tx1"/>
            </w14:solidFill>
          </w14:textFill>
        </w:rPr>
        <w:t>履行</w:t>
      </w:r>
      <w:r>
        <w:rPr>
          <w:rFonts w:hint="eastAsia" w:ascii="宋体" w:hAnsi="宋体"/>
          <w:color w:val="000000" w:themeColor="text1"/>
          <w:sz w:val="24"/>
          <w:highlight w:val="none"/>
          <w14:textFill>
            <w14:solidFill>
              <w14:schemeClr w14:val="tx1"/>
            </w14:solidFill>
          </w14:textFill>
        </w:rPr>
        <w:t>与贵方签订的基础合同</w:t>
      </w:r>
      <w:r>
        <w:rPr>
          <w:rFonts w:ascii="宋体" w:hAnsi="宋体"/>
          <w:color w:val="000000" w:themeColor="text1"/>
          <w:sz w:val="24"/>
          <w:highlight w:val="none"/>
          <w14:textFill>
            <w14:solidFill>
              <w14:schemeClr w14:val="tx1"/>
            </w14:solidFill>
          </w14:textFill>
        </w:rPr>
        <w:t>项下的</w:t>
      </w:r>
      <w:r>
        <w:rPr>
          <w:rFonts w:hint="eastAsia" w:ascii="宋体" w:hAnsi="宋体"/>
          <w:color w:val="000000" w:themeColor="text1"/>
          <w:sz w:val="24"/>
          <w:highlight w:val="none"/>
          <w14:textFill>
            <w14:solidFill>
              <w14:schemeClr w14:val="tx1"/>
            </w14:solidFill>
          </w14:textFill>
        </w:rPr>
        <w:t>工程款（指基础合同约定的除工程质量保修金以外的工程款）付款</w:t>
      </w:r>
      <w:r>
        <w:rPr>
          <w:rFonts w:ascii="宋体" w:hAnsi="宋体"/>
          <w:color w:val="000000" w:themeColor="text1"/>
          <w:sz w:val="24"/>
          <w:highlight w:val="none"/>
          <w14:textFill>
            <w14:solidFill>
              <w14:schemeClr w14:val="tx1"/>
            </w14:solidFill>
          </w14:textFill>
        </w:rPr>
        <w:t>义务</w:t>
      </w: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向贵方提供不可撤销、</w:t>
      </w:r>
      <w:r>
        <w:rPr>
          <w:rFonts w:hint="eastAsia" w:ascii="宋体" w:hAnsi="宋体"/>
          <w:color w:val="000000" w:themeColor="text1"/>
          <w:sz w:val="24"/>
          <w:highlight w:val="none"/>
          <w14:textFill>
            <w14:solidFill>
              <w14:schemeClr w14:val="tx1"/>
            </w14:solidFill>
          </w14:textFill>
        </w:rPr>
        <w:t>不可转让的见索即付</w:t>
      </w:r>
      <w:r>
        <w:rPr>
          <w:rFonts w:ascii="宋体" w:hAnsi="宋体"/>
          <w:color w:val="000000" w:themeColor="text1"/>
          <w:sz w:val="24"/>
          <w:highlight w:val="none"/>
          <w14:textFill>
            <w14:solidFill>
              <w14:schemeClr w14:val="tx1"/>
            </w14:solidFill>
          </w14:textFill>
        </w:rPr>
        <w:t>独立</w:t>
      </w:r>
      <w:r>
        <w:rPr>
          <w:rFonts w:hint="eastAsia" w:ascii="宋体" w:hAnsi="宋体"/>
          <w:color w:val="000000" w:themeColor="text1"/>
          <w:sz w:val="24"/>
          <w:highlight w:val="none"/>
          <w14:textFill>
            <w14:solidFill>
              <w14:schemeClr w14:val="tx1"/>
            </w14:solidFill>
          </w14:textFill>
        </w:rPr>
        <w:t>保函（以下简称“本保函”）</w:t>
      </w:r>
      <w:r>
        <w:rPr>
          <w:rFonts w:ascii="宋体" w:hAnsi="宋体"/>
          <w:color w:val="000000" w:themeColor="text1"/>
          <w:sz w:val="24"/>
          <w:highlight w:val="none"/>
          <w14:textFill>
            <w14:solidFill>
              <w14:schemeClr w14:val="tx1"/>
            </w14:solidFill>
          </w14:textFill>
        </w:rPr>
        <w:t xml:space="preserve">。 </w:t>
      </w:r>
    </w:p>
    <w:p w14:paraId="5A4BFBB8">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一、本保函担保范围：申请人未履行基础合同约定的工程款支付义务，应当向贵方承担的违约责任和赔偿因此造成的损失、利息、律师费、诉讼费用等实现债权的费用。</w:t>
      </w:r>
    </w:p>
    <w:p w14:paraId="25A96B92">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二、本保函担保金额最高不超过</w:t>
      </w:r>
      <w:r>
        <w:rPr>
          <w:rFonts w:ascii="宋体" w:hAnsi="宋体"/>
          <w:color w:val="000000" w:themeColor="text1"/>
          <w:sz w:val="24"/>
          <w:highlight w:val="none"/>
          <w14:textFill>
            <w14:solidFill>
              <w14:schemeClr w14:val="tx1"/>
            </w14:solidFill>
          </w14:textFill>
        </w:rPr>
        <w:t xml:space="preserve">人民币（大写）元（¥）。 </w:t>
      </w:r>
    </w:p>
    <w:p w14:paraId="711D5584">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三、本保函</w:t>
      </w:r>
      <w:r>
        <w:rPr>
          <w:rFonts w:ascii="宋体" w:hAnsi="宋体"/>
          <w:color w:val="000000" w:themeColor="text1"/>
          <w:sz w:val="24"/>
          <w:highlight w:val="none"/>
          <w14:textFill>
            <w14:solidFill>
              <w14:schemeClr w14:val="tx1"/>
            </w14:solidFill>
          </w14:textFill>
        </w:rPr>
        <w:t>有效期自</w:t>
      </w:r>
      <w:r>
        <w:rPr>
          <w:rFonts w:hint="eastAsia" w:ascii="宋体" w:hAnsi="宋体"/>
          <w:color w:val="000000" w:themeColor="text1"/>
          <w:sz w:val="24"/>
          <w:highlight w:val="none"/>
          <w14:textFill>
            <w14:solidFill>
              <w14:schemeClr w14:val="tx1"/>
            </w14:solidFill>
          </w14:textFill>
        </w:rPr>
        <w:t>开立之日起</w:t>
      </w:r>
      <w:r>
        <w:rPr>
          <w:rFonts w:ascii="宋体" w:hAnsi="宋体"/>
          <w:color w:val="000000" w:themeColor="text1"/>
          <w:sz w:val="24"/>
          <w:highlight w:val="none"/>
          <w14:textFill>
            <w14:solidFill>
              <w14:schemeClr w14:val="tx1"/>
            </w14:solidFill>
          </w14:textFill>
        </w:rPr>
        <w:t>至</w:t>
      </w:r>
      <w:r>
        <w:rPr>
          <w:rFonts w:hint="eastAsia" w:ascii="宋体" w:hAnsi="宋体"/>
          <w:color w:val="000000" w:themeColor="text1"/>
          <w:sz w:val="24"/>
          <w:highlight w:val="none"/>
          <w14:textFill>
            <w14:solidFill>
              <w14:schemeClr w14:val="tx1"/>
            </w14:solidFill>
          </w14:textFill>
        </w:rPr>
        <w:t>基础合同约定的除工程质量保修金以外的全部工程结算款项支付之日后</w:t>
      </w:r>
      <w:r>
        <w:rPr>
          <w:rFonts w:ascii="宋体" w:hAnsi="宋体"/>
          <w:color w:val="000000" w:themeColor="text1"/>
          <w:sz w:val="24"/>
          <w:highlight w:val="none"/>
          <w14:textFill>
            <w14:solidFill>
              <w14:schemeClr w14:val="tx1"/>
            </w14:solidFill>
          </w14:textFill>
        </w:rPr>
        <w:t>日</w:t>
      </w:r>
      <w:r>
        <w:rPr>
          <w:rFonts w:hint="eastAsia" w:ascii="宋体" w:hAnsi="宋体"/>
          <w:color w:val="000000" w:themeColor="text1"/>
          <w:sz w:val="24"/>
          <w:highlight w:val="none"/>
          <w14:textFill>
            <w14:solidFill>
              <w14:schemeClr w14:val="tx1"/>
            </w14:solidFill>
          </w14:textFill>
        </w:rPr>
        <w:t>止，最迟不超过×年×月×日</w:t>
      </w:r>
      <w:r>
        <w:rPr>
          <w:rFonts w:ascii="宋体" w:hAnsi="宋体"/>
          <w:color w:val="000000" w:themeColor="text1"/>
          <w:sz w:val="24"/>
          <w:highlight w:val="none"/>
          <w14:textFill>
            <w14:solidFill>
              <w14:schemeClr w14:val="tx1"/>
            </w14:solidFill>
          </w14:textFill>
        </w:rPr>
        <w:t xml:space="preserve">。 </w:t>
      </w:r>
    </w:p>
    <w:p w14:paraId="64F94F0A">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四、我方承诺，在收到受益人发来的书面付款通知后的日内无条件支付，前述书面付款通知即为付款要求之单据，且应满足以下要求：</w:t>
      </w:r>
    </w:p>
    <w:p w14:paraId="50F97B13">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（1）付款通知到达的日期在本保函的有效期内；</w:t>
      </w:r>
    </w:p>
    <w:p w14:paraId="61449612">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（2）载明要求支付的金额；</w:t>
      </w:r>
    </w:p>
    <w:p w14:paraId="57544580">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（3）载明申请人违反合同义务的条款和内容；</w:t>
      </w:r>
    </w:p>
    <w:p w14:paraId="3621FC5B">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（4）声明不存在合同文件约定或我国法律规定免除申请人或开立人支付责任的情形；</w:t>
      </w:r>
    </w:p>
    <w:p w14:paraId="0D43A441">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（5）付款通知应在本保函有效期内到达的地址是：。</w:t>
      </w:r>
    </w:p>
    <w:p w14:paraId="3DE274E5">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受益人发出的书面付款通知应由其为鉴明受益人法定代表人（负责人）或授权代理人签字并加盖公章。</w:t>
      </w:r>
    </w:p>
    <w:p w14:paraId="3BC5D9E4">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五、</w:t>
      </w:r>
      <w:r>
        <w:rPr>
          <w:rFonts w:ascii="宋体" w:hAnsi="宋体"/>
          <w:color w:val="000000" w:themeColor="text1"/>
          <w:sz w:val="24"/>
          <w:highlight w:val="none"/>
          <w14:textFill>
            <w14:solidFill>
              <w14:schemeClr w14:val="tx1"/>
            </w14:solidFill>
          </w14:textFill>
        </w:rPr>
        <w:t>本保函项下的权利不得转让，不得设定担保。贵方未经我方书面同意转 让本保函或其项下任何权利，</w:t>
      </w:r>
      <w:r>
        <w:rPr>
          <w:rFonts w:hint="eastAsia" w:ascii="宋体" w:hAnsi="宋体"/>
          <w:color w:val="000000" w:themeColor="text1"/>
          <w:sz w:val="24"/>
          <w:highlight w:val="none"/>
          <w14:textFill>
            <w14:solidFill>
              <w14:schemeClr w14:val="tx1"/>
            </w14:solidFill>
          </w14:textFill>
        </w:rPr>
        <w:t>对我方不发生法律效力</w:t>
      </w:r>
      <w:r>
        <w:rPr>
          <w:rFonts w:ascii="宋体" w:hAnsi="宋体"/>
          <w:color w:val="000000" w:themeColor="text1"/>
          <w:sz w:val="24"/>
          <w:highlight w:val="none"/>
          <w14:textFill>
            <w14:solidFill>
              <w14:schemeClr w14:val="tx1"/>
            </w14:solidFill>
          </w14:textFill>
        </w:rPr>
        <w:t xml:space="preserve">。 </w:t>
      </w:r>
    </w:p>
    <w:p w14:paraId="169C87D4">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六、与</w:t>
      </w:r>
      <w:r>
        <w:rPr>
          <w:rFonts w:ascii="宋体" w:hAnsi="宋体"/>
          <w:color w:val="000000" w:themeColor="text1"/>
          <w:sz w:val="24"/>
          <w:highlight w:val="none"/>
          <w14:textFill>
            <w14:solidFill>
              <w14:schemeClr w14:val="tx1"/>
            </w14:solidFill>
          </w14:textFill>
        </w:rPr>
        <w:t>本保函</w:t>
      </w:r>
      <w:r>
        <w:rPr>
          <w:rFonts w:hint="eastAsia" w:ascii="宋体" w:hAnsi="宋体"/>
          <w:color w:val="000000" w:themeColor="text1"/>
          <w:sz w:val="24"/>
          <w:highlight w:val="none"/>
          <w14:textFill>
            <w14:solidFill>
              <w14:schemeClr w14:val="tx1"/>
            </w14:solidFill>
          </w14:textFill>
        </w:rPr>
        <w:t>有关</w:t>
      </w:r>
      <w:r>
        <w:rPr>
          <w:rFonts w:ascii="宋体" w:hAnsi="宋体"/>
          <w:color w:val="000000" w:themeColor="text1"/>
          <w:sz w:val="24"/>
          <w:highlight w:val="none"/>
          <w14:textFill>
            <w14:solidFill>
              <w14:schemeClr w14:val="tx1"/>
            </w14:solidFill>
          </w14:textFill>
        </w:rPr>
        <w:t>的基础</w:t>
      </w:r>
      <w:r>
        <w:rPr>
          <w:rFonts w:hint="eastAsia" w:ascii="宋体" w:hAnsi="宋体"/>
          <w:color w:val="000000" w:themeColor="text1"/>
          <w:sz w:val="24"/>
          <w:highlight w:val="none"/>
          <w14:textFill>
            <w14:solidFill>
              <w14:schemeClr w14:val="tx1"/>
            </w14:solidFill>
          </w14:textFill>
        </w:rPr>
        <w:t>合同</w:t>
      </w:r>
      <w:r>
        <w:rPr>
          <w:rFonts w:ascii="宋体" w:hAnsi="宋体"/>
          <w:color w:val="000000" w:themeColor="text1"/>
          <w:sz w:val="24"/>
          <w:highlight w:val="none"/>
          <w14:textFill>
            <w14:solidFill>
              <w14:schemeClr w14:val="tx1"/>
            </w14:solidFill>
          </w14:textFill>
        </w:rPr>
        <w:t xml:space="preserve">不成立、不生效、无效、被撤销、被解除，不影响本保函的独立有效。 </w:t>
      </w:r>
    </w:p>
    <w:p w14:paraId="67B93BCE">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七、</w:t>
      </w:r>
      <w:r>
        <w:rPr>
          <w:rFonts w:ascii="宋体" w:hAnsi="宋体"/>
          <w:color w:val="000000" w:themeColor="text1"/>
          <w:sz w:val="24"/>
          <w:highlight w:val="none"/>
          <w14:textFill>
            <w14:solidFill>
              <w14:schemeClr w14:val="tx1"/>
            </w14:solidFill>
          </w14:textFill>
        </w:rPr>
        <w:t>贵方应在本保函到期后的七日内将本保函正本退回我方注销，但是不论贵方是否按此要求将本保函正本退回我方，我方在本保函项下的义务和责任均在保函</w:t>
      </w:r>
      <w:r>
        <w:rPr>
          <w:rFonts w:hint="eastAsia" w:ascii="宋体" w:hAnsi="宋体"/>
          <w:color w:val="000000" w:themeColor="text1"/>
          <w:sz w:val="24"/>
          <w:highlight w:val="none"/>
          <w14:textFill>
            <w14:solidFill>
              <w14:schemeClr w14:val="tx1"/>
            </w14:solidFill>
          </w14:textFill>
        </w:rPr>
        <w:t>有效期</w:t>
      </w:r>
      <w:r>
        <w:rPr>
          <w:rFonts w:ascii="宋体" w:hAnsi="宋体"/>
          <w:color w:val="000000" w:themeColor="text1"/>
          <w:sz w:val="24"/>
          <w:highlight w:val="none"/>
          <w14:textFill>
            <w14:solidFill>
              <w14:schemeClr w14:val="tx1"/>
            </w14:solidFill>
          </w14:textFill>
        </w:rPr>
        <w:t xml:space="preserve">到期后自动消灭。 </w:t>
      </w:r>
    </w:p>
    <w:p w14:paraId="73D08101">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八、</w:t>
      </w:r>
      <w:r>
        <w:rPr>
          <w:rFonts w:ascii="宋体" w:hAnsi="宋体"/>
          <w:color w:val="000000" w:themeColor="text1"/>
          <w:sz w:val="24"/>
          <w:highlight w:val="none"/>
          <w14:textFill>
            <w14:solidFill>
              <w14:schemeClr w14:val="tx1"/>
            </w14:solidFill>
          </w14:textFill>
        </w:rPr>
        <w:t>本保函</w:t>
      </w:r>
      <w:r>
        <w:rPr>
          <w:rFonts w:hint="eastAsia" w:ascii="宋体" w:hAnsi="宋体"/>
          <w:color w:val="000000" w:themeColor="text1"/>
          <w:sz w:val="24"/>
          <w:highlight w:val="none"/>
          <w14:textFill>
            <w14:solidFill>
              <w14:schemeClr w14:val="tx1"/>
            </w14:solidFill>
          </w14:textFill>
        </w:rPr>
        <w:t>适用的法律为中华人民共和国法律，争议裁判管辖地为中华人民共和国</w:t>
      </w:r>
      <w:r>
        <w:rPr>
          <w:rFonts w:ascii="宋体" w:hAnsi="宋体"/>
          <w:color w:val="000000" w:themeColor="text1"/>
          <w:sz w:val="24"/>
          <w:highlight w:val="none"/>
          <w14:textFill>
            <w14:solidFill>
              <w14:schemeClr w14:val="tx1"/>
            </w14:solidFill>
          </w14:textFill>
        </w:rPr>
        <w:t xml:space="preserve">。 </w:t>
      </w:r>
    </w:p>
    <w:p w14:paraId="53D2C502">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九、</w:t>
      </w:r>
      <w:r>
        <w:rPr>
          <w:rFonts w:ascii="宋体" w:hAnsi="宋体"/>
          <w:color w:val="000000" w:themeColor="text1"/>
          <w:sz w:val="24"/>
          <w:highlight w:val="none"/>
          <w14:textFill>
            <w14:solidFill>
              <w14:schemeClr w14:val="tx1"/>
            </w14:solidFill>
          </w14:textFill>
        </w:rPr>
        <w:t>本保函自我方法定代表人</w:t>
      </w:r>
      <w:bookmarkStart w:id="1155" w:name="_Hlk58487855"/>
      <w:r>
        <w:rPr>
          <w:rFonts w:hint="eastAsia" w:ascii="宋体" w:hAnsi="宋体"/>
          <w:color w:val="000000" w:themeColor="text1"/>
          <w:sz w:val="24"/>
          <w:highlight w:val="none"/>
          <w14:textFill>
            <w14:solidFill>
              <w14:schemeClr w14:val="tx1"/>
            </w14:solidFill>
          </w14:textFill>
        </w:rPr>
        <w:t>或授权代表</w:t>
      </w:r>
      <w:bookmarkEnd w:id="1155"/>
      <w:r>
        <w:rPr>
          <w:rFonts w:ascii="宋体" w:hAnsi="宋体"/>
          <w:color w:val="000000" w:themeColor="text1"/>
          <w:sz w:val="24"/>
          <w:highlight w:val="none"/>
          <w14:textFill>
            <w14:solidFill>
              <w14:schemeClr w14:val="tx1"/>
            </w14:solidFill>
          </w14:textFill>
        </w:rPr>
        <w:t>签字</w:t>
      </w:r>
      <w:r>
        <w:rPr>
          <w:rFonts w:hint="eastAsia" w:ascii="宋体" w:hAnsi="宋体"/>
          <w:color w:val="000000" w:themeColor="text1"/>
          <w:sz w:val="24"/>
          <w:highlight w:val="none"/>
          <w14:textFill>
            <w14:solidFill>
              <w14:schemeClr w14:val="tx1"/>
            </w14:solidFill>
          </w14:textFill>
        </w:rPr>
        <w:t>并</w:t>
      </w:r>
      <w:r>
        <w:rPr>
          <w:rFonts w:ascii="宋体" w:hAnsi="宋体"/>
          <w:color w:val="000000" w:themeColor="text1"/>
          <w:sz w:val="24"/>
          <w:highlight w:val="none"/>
          <w14:textFill>
            <w14:solidFill>
              <w14:schemeClr w14:val="tx1"/>
            </w14:solidFill>
          </w14:textFill>
        </w:rPr>
        <w:t xml:space="preserve">加盖公章之日起生效。 </w:t>
      </w:r>
    </w:p>
    <w:p w14:paraId="6CCC3A5D">
      <w:pPr>
        <w:spacing w:line="360" w:lineRule="auto"/>
        <w:ind w:firstLine="480" w:firstLineChars="200"/>
        <w:rPr>
          <w:rFonts w:ascii="宋体" w:hAnsi="宋体"/>
          <w:color w:val="000000" w:themeColor="text1"/>
          <w:sz w:val="24"/>
          <w:highlight w:val="none"/>
          <w14:textFill>
            <w14:solidFill>
              <w14:schemeClr w14:val="tx1"/>
            </w14:solidFill>
          </w14:textFill>
        </w:rPr>
      </w:pPr>
    </w:p>
    <w:p w14:paraId="08367F8A">
      <w:pPr>
        <w:spacing w:line="360" w:lineRule="auto"/>
        <w:ind w:firstLine="480" w:firstLineChars="200"/>
        <w:rPr>
          <w:rFonts w:ascii="宋体" w:hAnsi="宋体"/>
          <w:color w:val="000000" w:themeColor="text1"/>
          <w:sz w:val="24"/>
          <w:highlight w:val="none"/>
          <w14:textFill>
            <w14:solidFill>
              <w14:schemeClr w14:val="tx1"/>
            </w14:solidFill>
          </w14:textFill>
        </w:rPr>
      </w:pPr>
    </w:p>
    <w:p w14:paraId="3B693B55">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开 立 人</w:t>
      </w:r>
      <w:r>
        <w:rPr>
          <w:rFonts w:ascii="宋体" w:hAnsi="宋体"/>
          <w:color w:val="000000" w:themeColor="text1"/>
          <w:sz w:val="24"/>
          <w:highlight w:val="non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公</w:t>
      </w:r>
      <w:r>
        <w:rPr>
          <w:rFonts w:ascii="宋体" w:hAnsi="宋体"/>
          <w:color w:val="000000" w:themeColor="text1"/>
          <w:sz w:val="24"/>
          <w:highlight w:val="none"/>
          <w14:textFill>
            <w14:solidFill>
              <w14:schemeClr w14:val="tx1"/>
            </w14:solidFill>
          </w14:textFill>
        </w:rPr>
        <w:t xml:space="preserve">章） </w:t>
      </w:r>
    </w:p>
    <w:p w14:paraId="1CA9D38D">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法定代表人（或授权代表）：</w:t>
      </w:r>
      <w:r>
        <w:rPr>
          <w:rFonts w:ascii="宋体" w:hAnsi="宋体"/>
          <w:color w:val="000000" w:themeColor="text1"/>
          <w:sz w:val="24"/>
          <w:highlight w:val="none"/>
          <w14:textFill>
            <w14:solidFill>
              <w14:schemeClr w14:val="tx1"/>
            </w14:solidFill>
          </w14:textFill>
        </w:rPr>
        <w:t xml:space="preserve">               （签字） </w:t>
      </w:r>
    </w:p>
    <w:p w14:paraId="18B0709B">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w:t>
      </w:r>
      <w:r>
        <w:rPr>
          <w:rFonts w:ascii="宋体" w:hAnsi="宋体"/>
          <w:color w:val="000000" w:themeColor="text1"/>
          <w:sz w:val="24"/>
          <w:highlight w:val="none"/>
          <w14:textFill>
            <w14:solidFill>
              <w14:schemeClr w14:val="tx1"/>
            </w14:solidFill>
          </w14:textFill>
        </w:rPr>
        <w:t xml:space="preserve">    址：                                       </w:t>
      </w:r>
    </w:p>
    <w:p w14:paraId="551E6466">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邮政编码：</w:t>
      </w:r>
    </w:p>
    <w:p w14:paraId="7924297E">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电</w:t>
      </w:r>
      <w:r>
        <w:rPr>
          <w:rFonts w:ascii="宋体" w:hAnsi="宋体"/>
          <w:color w:val="000000" w:themeColor="text1"/>
          <w:sz w:val="24"/>
          <w:highlight w:val="none"/>
          <w14:textFill>
            <w14:solidFill>
              <w14:schemeClr w14:val="tx1"/>
            </w14:solidFill>
          </w14:textFill>
        </w:rPr>
        <w:t xml:space="preserve">    话：                 </w:t>
      </w:r>
    </w:p>
    <w:p w14:paraId="36C4F9FF">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传</w:t>
      </w:r>
      <w:r>
        <w:rPr>
          <w:rFonts w:ascii="宋体" w:hAnsi="宋体"/>
          <w:color w:val="000000" w:themeColor="text1"/>
          <w:sz w:val="24"/>
          <w:highlight w:val="none"/>
          <w14:textFill>
            <w14:solidFill>
              <w14:schemeClr w14:val="tx1"/>
            </w14:solidFill>
          </w14:textFill>
        </w:rPr>
        <w:t xml:space="preserve">    真：                 </w:t>
      </w:r>
    </w:p>
    <w:p w14:paraId="2D3C4E80">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开立时间：</w:t>
      </w:r>
      <w:r>
        <w:rPr>
          <w:rFonts w:ascii="宋体" w:hAnsi="宋体"/>
          <w:color w:val="000000" w:themeColor="text1"/>
          <w:sz w:val="24"/>
          <w:highlight w:val="none"/>
          <w14:textFill>
            <w14:solidFill>
              <w14:schemeClr w14:val="tx1"/>
            </w14:solidFill>
          </w14:textFill>
        </w:rPr>
        <w:t xml:space="preserve">      年      月        日</w:t>
      </w:r>
    </w:p>
    <w:p w14:paraId="639DF64A">
      <w:pPr>
        <w:spacing w:line="360" w:lineRule="auto"/>
        <w:ind w:firstLine="480" w:firstLineChars="200"/>
        <w:rPr>
          <w:rFonts w:ascii="宋体" w:hAnsi="宋体"/>
          <w:color w:val="000000" w:themeColor="text1"/>
          <w:sz w:val="24"/>
          <w:highlight w:val="none"/>
          <w14:textFill>
            <w14:solidFill>
              <w14:schemeClr w14:val="tx1"/>
            </w14:solidFill>
          </w14:textFill>
        </w:rPr>
      </w:pPr>
    </w:p>
    <w:p w14:paraId="45E8391B">
      <w:pPr>
        <w:spacing w:line="360" w:lineRule="auto"/>
        <w:jc w:val="left"/>
        <w:rPr>
          <w:rFonts w:ascii="黑体" w:hAnsi="黑体" w:eastAsia="黑体" w:cs="黑体"/>
          <w:color w:val="000000" w:themeColor="text1"/>
          <w:sz w:val="32"/>
          <w:szCs w:val="32"/>
          <w:highlight w:val="none"/>
          <w14:textFill>
            <w14:solidFill>
              <w14:schemeClr w14:val="tx1"/>
            </w14:solidFill>
          </w14:textFill>
        </w:rPr>
      </w:pPr>
    </w:p>
    <w:p w14:paraId="5EE8B54C">
      <w:pPr>
        <w:spacing w:line="360" w:lineRule="auto"/>
        <w:jc w:val="left"/>
        <w:rPr>
          <w:rFonts w:ascii="黑体" w:hAnsi="黑体" w:eastAsia="黑体" w:cs="黑体"/>
          <w:color w:val="000000" w:themeColor="text1"/>
          <w:sz w:val="32"/>
          <w:szCs w:val="32"/>
          <w:highlight w:val="none"/>
          <w14:textFill>
            <w14:solidFill>
              <w14:schemeClr w14:val="tx1"/>
            </w14:solidFill>
          </w14:textFill>
        </w:rPr>
      </w:pPr>
    </w:p>
    <w:p w14:paraId="50253620">
      <w:pPr>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br w:type="page"/>
      </w:r>
    </w:p>
    <w:p w14:paraId="7A3ADEA6">
      <w:pPr>
        <w:spacing w:line="360" w:lineRule="auto"/>
        <w:jc w:val="left"/>
        <w:rPr>
          <w:rFonts w:ascii="黑体" w:hAnsi="黑体" w:eastAsia="黑体" w:cs="黑体"/>
          <w:b/>
          <w:bCs/>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附件</w:t>
      </w:r>
      <w:r>
        <w:rPr>
          <w:rFonts w:ascii="黑体" w:hAnsi="黑体" w:eastAsia="黑体" w:cs="黑体"/>
          <w:color w:val="000000" w:themeColor="text1"/>
          <w:sz w:val="32"/>
          <w:szCs w:val="32"/>
          <w:highlight w:val="none"/>
          <w14:textFill>
            <w14:solidFill>
              <w14:schemeClr w14:val="tx1"/>
            </w14:solidFill>
          </w14:textFill>
        </w:rPr>
        <w:t>9</w:t>
      </w:r>
      <w:r>
        <w:rPr>
          <w:rFonts w:hint="eastAsia" w:ascii="黑体" w:hAnsi="黑体" w:eastAsia="黑体" w:cs="黑体"/>
          <w:color w:val="000000" w:themeColor="text1"/>
          <w:sz w:val="32"/>
          <w:szCs w:val="32"/>
          <w:highlight w:val="none"/>
          <w14:textFill>
            <w14:solidFill>
              <w14:schemeClr w14:val="tx1"/>
            </w14:solidFill>
          </w14:textFill>
        </w:rPr>
        <w:t>：</w:t>
      </w:r>
    </w:p>
    <w:p w14:paraId="5AB583D2">
      <w:pPr>
        <w:spacing w:line="360" w:lineRule="auto"/>
        <w:jc w:val="left"/>
        <w:rPr>
          <w:rFonts w:ascii="黑体" w:hAnsi="黑体" w:eastAsia="黑体" w:cs="黑体"/>
          <w:b/>
          <w:bCs/>
          <w:color w:val="000000" w:themeColor="text1"/>
          <w:sz w:val="32"/>
          <w:szCs w:val="32"/>
          <w:highlight w:val="none"/>
          <w14:textFill>
            <w14:solidFill>
              <w14:schemeClr w14:val="tx1"/>
            </w14:solidFill>
          </w14:textFill>
        </w:rPr>
      </w:pPr>
    </w:p>
    <w:p w14:paraId="5C03176A">
      <w:pPr>
        <w:spacing w:line="360" w:lineRule="auto"/>
        <w:jc w:val="center"/>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支付保函示范文本</w:t>
      </w:r>
    </w:p>
    <w:p w14:paraId="7963A289">
      <w:pPr>
        <w:spacing w:line="360" w:lineRule="auto"/>
        <w:jc w:val="center"/>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（非独立保函）</w:t>
      </w:r>
    </w:p>
    <w:p w14:paraId="0465CD91">
      <w:pPr>
        <w:wordWrap w:val="0"/>
        <w:spacing w:line="360" w:lineRule="auto"/>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编号： </w:t>
      </w:r>
    </w:p>
    <w:p w14:paraId="23CC0822">
      <w:pPr>
        <w:wordWrap w:val="0"/>
        <w:spacing w:line="360" w:lineRule="auto"/>
        <w:jc w:val="right"/>
        <w:rPr>
          <w:rFonts w:ascii="宋体" w:hAnsi="宋体"/>
          <w:color w:val="000000" w:themeColor="text1"/>
          <w:szCs w:val="21"/>
          <w:highlight w:val="none"/>
          <w14:textFill>
            <w14:solidFill>
              <w14:schemeClr w14:val="tx1"/>
            </w14:solidFill>
          </w14:textFill>
        </w:rPr>
      </w:pPr>
    </w:p>
    <w:p w14:paraId="74FA87FE">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发包人：</w:t>
      </w:r>
    </w:p>
    <w:p w14:paraId="2B842F29">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地址</w:t>
      </w:r>
      <w:r>
        <w:rPr>
          <w:rFonts w:ascii="宋体" w:hAnsi="宋体"/>
          <w:color w:val="000000" w:themeColor="text1"/>
          <w:sz w:val="24"/>
          <w:highlight w:val="none"/>
          <w14:textFill>
            <w14:solidFill>
              <w14:schemeClr w14:val="tx1"/>
            </w14:solidFill>
          </w14:textFill>
        </w:rPr>
        <w:t>：</w:t>
      </w:r>
    </w:p>
    <w:p w14:paraId="0F40896E">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担保权人/承包人：</w:t>
      </w:r>
    </w:p>
    <w:p w14:paraId="2DD55E9E">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地址：</w:t>
      </w:r>
    </w:p>
    <w:p w14:paraId="3704C0DA">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保证人：</w:t>
      </w:r>
    </w:p>
    <w:p w14:paraId="11F0739F">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地址：</w:t>
      </w:r>
    </w:p>
    <w:p w14:paraId="5F4310B9">
      <w:pPr>
        <w:spacing w:line="360" w:lineRule="auto"/>
        <w:rPr>
          <w:rFonts w:ascii="宋体" w:hAnsi="宋体"/>
          <w:color w:val="000000" w:themeColor="text1"/>
          <w:sz w:val="24"/>
          <w:highlight w:val="none"/>
          <w14:textFill>
            <w14:solidFill>
              <w14:schemeClr w14:val="tx1"/>
            </w14:solidFill>
          </w14:textFill>
        </w:rPr>
      </w:pPr>
    </w:p>
    <w:p w14:paraId="5D459665">
      <w:pPr>
        <w:spacing w:line="360" w:lineRule="auto"/>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承包人</w:t>
      </w:r>
      <w:r>
        <w:rPr>
          <w:rFonts w:ascii="宋体" w:hAnsi="宋体"/>
          <w:color w:val="000000" w:themeColor="text1"/>
          <w:sz w:val="24"/>
          <w:highlight w:val="none"/>
          <w14:textFill>
            <w14:solidFill>
              <w14:schemeClr w14:val="tx1"/>
            </w14:solidFill>
          </w14:textFill>
        </w:rPr>
        <w:t xml:space="preserve">名称）： </w:t>
      </w:r>
    </w:p>
    <w:p w14:paraId="2A7629C7">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鉴于</w:t>
      </w:r>
      <w:r>
        <w:rPr>
          <w:rFonts w:ascii="宋体" w:hAnsi="宋体"/>
          <w:color w:val="000000" w:themeColor="text1"/>
          <w:sz w:val="24"/>
          <w:highlight w:val="none"/>
          <w14:textFill>
            <w14:solidFill>
              <w14:schemeClr w14:val="tx1"/>
            </w14:solidFill>
          </w14:textFill>
        </w:rPr>
        <w:t>（以下简称“</w:t>
      </w:r>
      <w:r>
        <w:rPr>
          <w:rFonts w:hint="eastAsia" w:ascii="宋体" w:hAnsi="宋体"/>
          <w:color w:val="000000" w:themeColor="text1"/>
          <w:sz w:val="24"/>
          <w:highlight w:val="none"/>
          <w14:textFill>
            <w14:solidFill>
              <w14:schemeClr w14:val="tx1"/>
            </w14:solidFill>
          </w14:textFill>
        </w:rPr>
        <w:t>发包人</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与</w:t>
      </w:r>
      <w:r>
        <w:rPr>
          <w:rFonts w:ascii="宋体" w:hAnsi="宋体"/>
          <w:color w:val="000000" w:themeColor="text1"/>
          <w:sz w:val="24"/>
          <w:highlight w:val="none"/>
          <w14:textFill>
            <w14:solidFill>
              <w14:schemeClr w14:val="tx1"/>
            </w14:solidFill>
          </w14:textFill>
        </w:rPr>
        <w:t>（以下简称“</w:t>
      </w:r>
      <w:r>
        <w:rPr>
          <w:rFonts w:hint="eastAsia" w:ascii="宋体" w:hAnsi="宋体"/>
          <w:color w:val="000000" w:themeColor="text1"/>
          <w:sz w:val="24"/>
          <w:highlight w:val="none"/>
          <w14:textFill>
            <w14:solidFill>
              <w14:schemeClr w14:val="tx1"/>
            </w14:solidFill>
          </w14:textFill>
        </w:rPr>
        <w:t>承包人</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于×年×月×日就工程（以下简称“本工程”）施工和有关事项协商一致共同签订</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（以下简称“主合同”），我方即保证人基于发包人</w:t>
      </w:r>
      <w:r>
        <w:rPr>
          <w:rFonts w:ascii="宋体" w:hAnsi="宋体"/>
          <w:color w:val="000000" w:themeColor="text1"/>
          <w:sz w:val="24"/>
          <w:highlight w:val="none"/>
          <w14:textFill>
            <w14:solidFill>
              <w14:schemeClr w14:val="tx1"/>
            </w14:solidFill>
          </w14:textFill>
        </w:rPr>
        <w:t>的请求，同意就</w:t>
      </w:r>
      <w:r>
        <w:rPr>
          <w:rFonts w:hint="eastAsia" w:ascii="宋体" w:hAnsi="宋体"/>
          <w:color w:val="000000" w:themeColor="text1"/>
          <w:sz w:val="24"/>
          <w:highlight w:val="none"/>
          <w14:textFill>
            <w14:solidFill>
              <w14:schemeClr w14:val="tx1"/>
            </w14:solidFill>
          </w14:textFill>
        </w:rPr>
        <w:t>发包人</w:t>
      </w:r>
      <w:r>
        <w:rPr>
          <w:rFonts w:ascii="宋体" w:hAnsi="宋体"/>
          <w:color w:val="000000" w:themeColor="text1"/>
          <w:sz w:val="24"/>
          <w:highlight w:val="none"/>
          <w14:textFill>
            <w14:solidFill>
              <w14:schemeClr w14:val="tx1"/>
            </w14:solidFill>
          </w14:textFill>
        </w:rPr>
        <w:t>履行</w:t>
      </w:r>
      <w:r>
        <w:rPr>
          <w:rFonts w:hint="eastAsia" w:ascii="宋体" w:hAnsi="宋体"/>
          <w:color w:val="000000" w:themeColor="text1"/>
          <w:sz w:val="24"/>
          <w:highlight w:val="none"/>
          <w14:textFill>
            <w14:solidFill>
              <w14:schemeClr w14:val="tx1"/>
            </w14:solidFill>
          </w14:textFill>
        </w:rPr>
        <w:t>与贵方签订的主合同</w:t>
      </w:r>
      <w:r>
        <w:rPr>
          <w:rFonts w:ascii="宋体" w:hAnsi="宋体"/>
          <w:color w:val="000000" w:themeColor="text1"/>
          <w:sz w:val="24"/>
          <w:highlight w:val="none"/>
          <w14:textFill>
            <w14:solidFill>
              <w14:schemeClr w14:val="tx1"/>
            </w14:solidFill>
          </w14:textFill>
        </w:rPr>
        <w:t>项下的</w:t>
      </w:r>
      <w:r>
        <w:rPr>
          <w:rFonts w:hint="eastAsia" w:ascii="宋体" w:hAnsi="宋体"/>
          <w:color w:val="000000" w:themeColor="text1"/>
          <w:sz w:val="24"/>
          <w:highlight w:val="none"/>
          <w14:textFill>
            <w14:solidFill>
              <w14:schemeClr w14:val="tx1"/>
            </w14:solidFill>
          </w14:textFill>
        </w:rPr>
        <w:t>工程款（指主合同约定的除工程质量保修金以外的全部工程结算款项）付款</w:t>
      </w:r>
      <w:r>
        <w:rPr>
          <w:rFonts w:ascii="宋体" w:hAnsi="宋体"/>
          <w:color w:val="000000" w:themeColor="text1"/>
          <w:sz w:val="24"/>
          <w:highlight w:val="none"/>
          <w14:textFill>
            <w14:solidFill>
              <w14:schemeClr w14:val="tx1"/>
            </w14:solidFill>
          </w14:textFill>
        </w:rPr>
        <w:t>义务</w:t>
      </w: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向贵方提供</w:t>
      </w:r>
      <w:r>
        <w:rPr>
          <w:rFonts w:hint="eastAsia" w:ascii="宋体" w:hAnsi="宋体"/>
          <w:color w:val="000000" w:themeColor="text1"/>
          <w:sz w:val="24"/>
          <w:highlight w:val="none"/>
          <w14:textFill>
            <w14:solidFill>
              <w14:schemeClr w14:val="tx1"/>
            </w14:solidFill>
          </w14:textFill>
        </w:rPr>
        <w:t>如下保证担保（以下简称“本保证担保”）</w:t>
      </w:r>
      <w:r>
        <w:rPr>
          <w:rFonts w:ascii="宋体" w:hAnsi="宋体"/>
          <w:color w:val="000000" w:themeColor="text1"/>
          <w:sz w:val="24"/>
          <w:highlight w:val="none"/>
          <w14:textFill>
            <w14:solidFill>
              <w14:schemeClr w14:val="tx1"/>
            </w14:solidFill>
          </w14:textFill>
        </w:rPr>
        <w:t xml:space="preserve">。 </w:t>
      </w:r>
    </w:p>
    <w:p w14:paraId="5A8A905E">
      <w:pPr>
        <w:spacing w:line="360" w:lineRule="auto"/>
        <w:ind w:firstLine="482" w:firstLineChars="200"/>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一、保证担保的范围及保证担保金额</w:t>
      </w:r>
    </w:p>
    <w:p w14:paraId="642DD5CB">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保证担保范围：申请人未履行主合同约定的工程款支付义务，应当向贵方承担的违约责任和赔偿因此造成的损失、利息、律师费、诉讼费用等实现债权的费用。</w:t>
      </w:r>
    </w:p>
    <w:p w14:paraId="4361AA2F">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保证担保金额最高不超过</w:t>
      </w:r>
      <w:r>
        <w:rPr>
          <w:rFonts w:ascii="宋体" w:hAnsi="宋体"/>
          <w:color w:val="000000" w:themeColor="text1"/>
          <w:sz w:val="24"/>
          <w:highlight w:val="none"/>
          <w14:textFill>
            <w14:solidFill>
              <w14:schemeClr w14:val="tx1"/>
            </w14:solidFill>
          </w14:textFill>
        </w:rPr>
        <w:t xml:space="preserve">人民币（大写）元（¥）。 </w:t>
      </w:r>
    </w:p>
    <w:p w14:paraId="7354E89C">
      <w:pPr>
        <w:spacing w:line="360" w:lineRule="auto"/>
        <w:ind w:firstLine="482" w:firstLineChars="200"/>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二、保证担保的方式及保证期间</w:t>
      </w:r>
    </w:p>
    <w:p w14:paraId="34FA1B7F">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1.保证担保方式：连带责任保证。</w:t>
      </w:r>
    </w:p>
    <w:p w14:paraId="230EB0C3">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保证期间：</w:t>
      </w:r>
      <w:r>
        <w:rPr>
          <w:rFonts w:ascii="宋体" w:hAnsi="宋体"/>
          <w:color w:val="000000" w:themeColor="text1"/>
          <w:sz w:val="24"/>
          <w:highlight w:val="none"/>
          <w14:textFill>
            <w14:solidFill>
              <w14:schemeClr w14:val="tx1"/>
            </w14:solidFill>
          </w14:textFill>
        </w:rPr>
        <w:t>自</w:t>
      </w:r>
      <w:r>
        <w:rPr>
          <w:rFonts w:hint="eastAsia" w:ascii="宋体" w:hAnsi="宋体"/>
          <w:color w:val="000000" w:themeColor="text1"/>
          <w:sz w:val="24"/>
          <w:highlight w:val="none"/>
          <w14:textFill>
            <w14:solidFill>
              <w14:schemeClr w14:val="tx1"/>
            </w14:solidFill>
          </w14:textFill>
        </w:rPr>
        <w:t>出具之日起</w:t>
      </w:r>
      <w:r>
        <w:rPr>
          <w:rFonts w:ascii="宋体" w:hAnsi="宋体"/>
          <w:color w:val="000000" w:themeColor="text1"/>
          <w:sz w:val="24"/>
          <w:highlight w:val="none"/>
          <w14:textFill>
            <w14:solidFill>
              <w14:schemeClr w14:val="tx1"/>
            </w14:solidFill>
          </w14:textFill>
        </w:rPr>
        <w:t>至</w:t>
      </w:r>
      <w:r>
        <w:rPr>
          <w:rFonts w:hint="eastAsia" w:ascii="宋体" w:hAnsi="宋体"/>
          <w:color w:val="000000" w:themeColor="text1"/>
          <w:sz w:val="24"/>
          <w:highlight w:val="none"/>
          <w14:textFill>
            <w14:solidFill>
              <w14:schemeClr w14:val="tx1"/>
            </w14:solidFill>
          </w14:textFill>
        </w:rPr>
        <w:t>主合同约定的除工程质量保修金以外的工程款支付之日后</w:t>
      </w:r>
      <w:r>
        <w:rPr>
          <w:rFonts w:ascii="宋体" w:hAnsi="宋体"/>
          <w:color w:val="000000" w:themeColor="text1"/>
          <w:sz w:val="24"/>
          <w:highlight w:val="none"/>
          <w14:textFill>
            <w14:solidFill>
              <w14:schemeClr w14:val="tx1"/>
            </w14:solidFill>
          </w14:textFill>
        </w:rPr>
        <w:t>日</w:t>
      </w:r>
      <w:r>
        <w:rPr>
          <w:rFonts w:hint="eastAsia" w:ascii="宋体" w:hAnsi="宋体"/>
          <w:color w:val="000000" w:themeColor="text1"/>
          <w:sz w:val="24"/>
          <w:highlight w:val="none"/>
          <w14:textFill>
            <w14:solidFill>
              <w14:schemeClr w14:val="tx1"/>
            </w14:solidFill>
          </w14:textFill>
        </w:rPr>
        <w:t>止，最迟不超过×年×月×日</w:t>
      </w:r>
      <w:r>
        <w:rPr>
          <w:rFonts w:ascii="宋体" w:hAnsi="宋体"/>
          <w:color w:val="000000" w:themeColor="text1"/>
          <w:sz w:val="24"/>
          <w:highlight w:val="none"/>
          <w14:textFill>
            <w14:solidFill>
              <w14:schemeClr w14:val="tx1"/>
            </w14:solidFill>
          </w14:textFill>
        </w:rPr>
        <w:t xml:space="preserve">。 </w:t>
      </w:r>
    </w:p>
    <w:p w14:paraId="6974A107">
      <w:pPr>
        <w:spacing w:line="360" w:lineRule="auto"/>
        <w:ind w:firstLine="482" w:firstLineChars="200"/>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三、承担保证担保责任的形式</w:t>
      </w:r>
    </w:p>
    <w:p w14:paraId="6235207D">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发包人未按合同约定向贵方支付主合同项下工程款的，由我方在保证金额内代为支付，并赔偿因此给贵方造成的损失，以及利息和律师费、诉讼费用等实现债权的费用。</w:t>
      </w:r>
    </w:p>
    <w:p w14:paraId="0A117DF0">
      <w:pPr>
        <w:spacing w:line="360" w:lineRule="auto"/>
        <w:ind w:firstLine="482" w:firstLineChars="200"/>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四、代偿的安排</w:t>
      </w:r>
    </w:p>
    <w:p w14:paraId="00132884">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1.贵方要求我方承担保证责任的，应向我方发出书面索赔通知及发包人未支付主合同约定工程款的证明材料。索赔通知应写明要求索赔的金额，支付款项应到达的账号。</w:t>
      </w:r>
    </w:p>
    <w:p w14:paraId="35FE8595">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在出现贵方与发包人因工程质量发生争议，发包人拒绝向贵方支付工程款的情形时，贵方要求我方履行保证责任代为支付的，还需提供项目总监理工程师、监理单位或符合相应条件要求的工程质量检测机构出具的质量说明材料。</w:t>
      </w:r>
    </w:p>
    <w:p w14:paraId="33AAB70E">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3.我方收到贵方的书面索赔通知及相应证明材料后，在工作日内进行核定后按照本保函的承诺承担保证责任。</w:t>
      </w:r>
    </w:p>
    <w:p w14:paraId="3094C3FD">
      <w:pPr>
        <w:spacing w:line="360" w:lineRule="auto"/>
        <w:ind w:firstLine="482" w:firstLineChars="200"/>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五、保证担保责任的解除</w:t>
      </w:r>
    </w:p>
    <w:p w14:paraId="6591E05F">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w:t>
      </w:r>
      <w:r>
        <w:rPr>
          <w:rFonts w:ascii="宋体" w:hAnsi="宋体"/>
          <w:color w:val="000000" w:themeColor="text1"/>
          <w:sz w:val="24"/>
          <w:highlight w:val="none"/>
          <w14:textFill>
            <w14:solidFill>
              <w14:schemeClr w14:val="tx1"/>
            </w14:solidFill>
          </w14:textFill>
        </w:rPr>
        <w:t xml:space="preserve">保证期间届满贵方未向我方书面主张保证责任的，自保证期间届满次日起，我方解除保证责任。 </w:t>
      </w:r>
    </w:p>
    <w:p w14:paraId="4977B41E">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w:t>
      </w:r>
      <w:r>
        <w:rPr>
          <w:rFonts w:ascii="宋体" w:hAnsi="宋体"/>
          <w:color w:val="000000" w:themeColor="text1"/>
          <w:sz w:val="24"/>
          <w:highlight w:val="none"/>
          <w14:textFill>
            <w14:solidFill>
              <w14:schemeClr w14:val="tx1"/>
            </w14:solidFill>
          </w14:textFill>
        </w:rPr>
        <w:t>我方按照本</w:t>
      </w:r>
      <w:r>
        <w:rPr>
          <w:rFonts w:hint="eastAsia" w:ascii="宋体" w:hAnsi="宋体"/>
          <w:color w:val="000000" w:themeColor="text1"/>
          <w:sz w:val="24"/>
          <w:highlight w:val="none"/>
          <w14:textFill>
            <w14:solidFill>
              <w14:schemeClr w14:val="tx1"/>
            </w14:solidFill>
          </w14:textFill>
        </w:rPr>
        <w:t>保证担保</w:t>
      </w:r>
      <w:r>
        <w:rPr>
          <w:rFonts w:ascii="宋体" w:hAnsi="宋体"/>
          <w:color w:val="000000" w:themeColor="text1"/>
          <w:sz w:val="24"/>
          <w:highlight w:val="none"/>
          <w14:textFill>
            <w14:solidFill>
              <w14:schemeClr w14:val="tx1"/>
            </w14:solidFill>
          </w14:textFill>
        </w:rPr>
        <w:t>向贵方履行了</w:t>
      </w:r>
      <w:r>
        <w:rPr>
          <w:rFonts w:hint="eastAsia" w:ascii="宋体" w:hAnsi="宋体"/>
          <w:color w:val="000000" w:themeColor="text1"/>
          <w:sz w:val="24"/>
          <w:highlight w:val="none"/>
          <w14:textFill>
            <w14:solidFill>
              <w14:schemeClr w14:val="tx1"/>
            </w14:solidFill>
          </w14:textFill>
        </w:rPr>
        <w:t>保证担保责任</w:t>
      </w:r>
      <w:r>
        <w:rPr>
          <w:rFonts w:ascii="宋体" w:hAnsi="宋体"/>
          <w:color w:val="000000" w:themeColor="text1"/>
          <w:sz w:val="24"/>
          <w:highlight w:val="none"/>
          <w14:textFill>
            <w14:solidFill>
              <w14:schemeClr w14:val="tx1"/>
            </w14:solidFill>
          </w14:textFill>
        </w:rPr>
        <w:t>后，自我方向贵方支付</w:t>
      </w:r>
      <w:r>
        <w:rPr>
          <w:rFonts w:hint="eastAsia" w:ascii="宋体" w:hAnsi="宋体"/>
          <w:color w:val="000000" w:themeColor="text1"/>
          <w:sz w:val="24"/>
          <w:highlight w:val="none"/>
          <w14:textFill>
            <w14:solidFill>
              <w14:schemeClr w14:val="tx1"/>
            </w14:solidFill>
          </w14:textFill>
        </w:rPr>
        <w:t>的金额达到最高保证担保金额</w:t>
      </w:r>
      <w:r>
        <w:rPr>
          <w:rFonts w:ascii="宋体" w:hAnsi="宋体"/>
          <w:color w:val="000000" w:themeColor="text1"/>
          <w:sz w:val="24"/>
          <w:highlight w:val="none"/>
          <w14:textFill>
            <w14:solidFill>
              <w14:schemeClr w14:val="tx1"/>
            </w14:solidFill>
          </w14:textFill>
        </w:rPr>
        <w:t>之日起，</w:t>
      </w:r>
      <w:r>
        <w:rPr>
          <w:rFonts w:hint="eastAsia" w:ascii="宋体" w:hAnsi="宋体"/>
          <w:color w:val="000000" w:themeColor="text1"/>
          <w:sz w:val="24"/>
          <w:highlight w:val="none"/>
          <w14:textFill>
            <w14:solidFill>
              <w14:schemeClr w14:val="tx1"/>
            </w14:solidFill>
          </w14:textFill>
        </w:rPr>
        <w:t>保证担保责任</w:t>
      </w:r>
      <w:r>
        <w:rPr>
          <w:rFonts w:ascii="宋体" w:hAnsi="宋体"/>
          <w:color w:val="000000" w:themeColor="text1"/>
          <w:sz w:val="24"/>
          <w:highlight w:val="none"/>
          <w14:textFill>
            <w14:solidFill>
              <w14:schemeClr w14:val="tx1"/>
            </w14:solidFill>
          </w14:textFill>
        </w:rPr>
        <w:t xml:space="preserve">解除。 </w:t>
      </w:r>
    </w:p>
    <w:p w14:paraId="3BB3AEFC">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w:t>
      </w:r>
      <w:r>
        <w:rPr>
          <w:rFonts w:ascii="宋体" w:hAnsi="宋体"/>
          <w:color w:val="000000" w:themeColor="text1"/>
          <w:sz w:val="24"/>
          <w:highlight w:val="none"/>
          <w14:textFill>
            <w14:solidFill>
              <w14:schemeClr w14:val="tx1"/>
            </w14:solidFill>
          </w14:textFill>
        </w:rPr>
        <w:t>按照法律法规的规定应解除我方保证</w:t>
      </w:r>
      <w:r>
        <w:rPr>
          <w:rFonts w:hint="eastAsia" w:ascii="宋体" w:hAnsi="宋体"/>
          <w:color w:val="000000" w:themeColor="text1"/>
          <w:sz w:val="24"/>
          <w:highlight w:val="none"/>
          <w14:textFill>
            <w14:solidFill>
              <w14:schemeClr w14:val="tx1"/>
            </w14:solidFill>
          </w14:textFill>
        </w:rPr>
        <w:t>担保</w:t>
      </w:r>
      <w:r>
        <w:rPr>
          <w:rFonts w:ascii="宋体" w:hAnsi="宋体"/>
          <w:color w:val="000000" w:themeColor="text1"/>
          <w:sz w:val="24"/>
          <w:highlight w:val="none"/>
          <w14:textFill>
            <w14:solidFill>
              <w14:schemeClr w14:val="tx1"/>
            </w14:solidFill>
          </w14:textFill>
        </w:rPr>
        <w:t>责任的其它情形的，我方在本保证担保项下的保证</w:t>
      </w:r>
      <w:r>
        <w:rPr>
          <w:rFonts w:hint="eastAsia" w:ascii="宋体" w:hAnsi="宋体"/>
          <w:color w:val="000000" w:themeColor="text1"/>
          <w:sz w:val="24"/>
          <w:highlight w:val="none"/>
          <w14:textFill>
            <w14:solidFill>
              <w14:schemeClr w14:val="tx1"/>
            </w14:solidFill>
          </w14:textFill>
        </w:rPr>
        <w:t>担保</w:t>
      </w:r>
      <w:r>
        <w:rPr>
          <w:rFonts w:ascii="宋体" w:hAnsi="宋体"/>
          <w:color w:val="000000" w:themeColor="text1"/>
          <w:sz w:val="24"/>
          <w:highlight w:val="none"/>
          <w14:textFill>
            <w14:solidFill>
              <w14:schemeClr w14:val="tx1"/>
            </w14:solidFill>
          </w14:textFill>
        </w:rPr>
        <w:t xml:space="preserve">责任亦解除。 </w:t>
      </w:r>
    </w:p>
    <w:p w14:paraId="7C2975AA">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4.我方解除保证责任后，贵方应按上述约定，自我方保证担保责任解除之日起七</w:t>
      </w:r>
      <w:r>
        <w:rPr>
          <w:rFonts w:ascii="宋体" w:hAnsi="宋体"/>
          <w:color w:val="000000" w:themeColor="text1"/>
          <w:sz w:val="24"/>
          <w:highlight w:val="none"/>
          <w14:textFill>
            <w14:solidFill>
              <w14:schemeClr w14:val="tx1"/>
            </w14:solidFill>
          </w14:textFill>
        </w:rPr>
        <w:t>日内，将本保证担保原件返还我方。但是不论贵方是否按此要求将本保证担保</w:t>
      </w:r>
      <w:r>
        <w:rPr>
          <w:rFonts w:hint="eastAsia" w:ascii="宋体" w:hAnsi="宋体"/>
          <w:color w:val="000000" w:themeColor="text1"/>
          <w:sz w:val="24"/>
          <w:highlight w:val="none"/>
          <w14:textFill>
            <w14:solidFill>
              <w14:schemeClr w14:val="tx1"/>
            </w14:solidFill>
          </w14:textFill>
        </w:rPr>
        <w:t>原件</w:t>
      </w:r>
      <w:r>
        <w:rPr>
          <w:rFonts w:ascii="宋体" w:hAnsi="宋体"/>
          <w:color w:val="000000" w:themeColor="text1"/>
          <w:sz w:val="24"/>
          <w:highlight w:val="none"/>
          <w14:textFill>
            <w14:solidFill>
              <w14:schemeClr w14:val="tx1"/>
            </w14:solidFill>
          </w14:textFill>
        </w:rPr>
        <w:t>退回我方，我方在本保证担保项下的义务和责任均</w:t>
      </w:r>
      <w:r>
        <w:rPr>
          <w:rFonts w:hint="eastAsia" w:ascii="宋体" w:hAnsi="宋体"/>
          <w:color w:val="000000" w:themeColor="text1"/>
          <w:sz w:val="24"/>
          <w:highlight w:val="none"/>
          <w14:textFill>
            <w14:solidFill>
              <w14:schemeClr w14:val="tx1"/>
            </w14:solidFill>
          </w14:textFill>
        </w:rPr>
        <w:t>自保证担保责任解除之日</w:t>
      </w:r>
      <w:r>
        <w:rPr>
          <w:rFonts w:ascii="宋体" w:hAnsi="宋体"/>
          <w:color w:val="000000" w:themeColor="text1"/>
          <w:sz w:val="24"/>
          <w:highlight w:val="none"/>
          <w14:textFill>
            <w14:solidFill>
              <w14:schemeClr w14:val="tx1"/>
            </w14:solidFill>
          </w14:textFill>
        </w:rPr>
        <w:t>自动消灭。</w:t>
      </w:r>
    </w:p>
    <w:p w14:paraId="6B3D09FB">
      <w:pPr>
        <w:spacing w:line="360" w:lineRule="auto"/>
        <w:ind w:firstLine="482" w:firstLineChars="200"/>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六、免责条款</w:t>
      </w:r>
    </w:p>
    <w:p w14:paraId="4A9CEB3C">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w:t>
      </w:r>
      <w:r>
        <w:rPr>
          <w:rFonts w:ascii="宋体" w:hAnsi="宋体"/>
          <w:color w:val="000000" w:themeColor="text1"/>
          <w:sz w:val="24"/>
          <w:highlight w:val="none"/>
          <w14:textFill>
            <w14:solidFill>
              <w14:schemeClr w14:val="tx1"/>
            </w14:solidFill>
          </w14:textFill>
        </w:rPr>
        <w:t>因贵方</w:t>
      </w:r>
      <w:r>
        <w:rPr>
          <w:rFonts w:hint="eastAsia" w:ascii="宋体" w:hAnsi="宋体"/>
          <w:color w:val="000000" w:themeColor="text1"/>
          <w:sz w:val="24"/>
          <w:highlight w:val="none"/>
          <w14:textFill>
            <w14:solidFill>
              <w14:schemeClr w14:val="tx1"/>
            </w14:solidFill>
          </w14:textFill>
        </w:rPr>
        <w:t>原因</w:t>
      </w:r>
      <w:r>
        <w:rPr>
          <w:rFonts w:ascii="宋体" w:hAnsi="宋体"/>
          <w:color w:val="000000" w:themeColor="text1"/>
          <w:sz w:val="24"/>
          <w:highlight w:val="none"/>
          <w14:textFill>
            <w14:solidFill>
              <w14:schemeClr w14:val="tx1"/>
            </w14:solidFill>
          </w14:textFill>
        </w:rPr>
        <w:t>致使</w:t>
      </w:r>
      <w:r>
        <w:rPr>
          <w:rFonts w:hint="eastAsia" w:ascii="宋体" w:hAnsi="宋体"/>
          <w:color w:val="000000" w:themeColor="text1"/>
          <w:sz w:val="24"/>
          <w:highlight w:val="none"/>
          <w14:textFill>
            <w14:solidFill>
              <w14:schemeClr w14:val="tx1"/>
            </w14:solidFill>
          </w14:textFill>
        </w:rPr>
        <w:t>发包人未履行主合同项下工程款付款义务的</w:t>
      </w:r>
      <w:r>
        <w:rPr>
          <w:rFonts w:ascii="宋体" w:hAnsi="宋体"/>
          <w:color w:val="000000" w:themeColor="text1"/>
          <w:sz w:val="24"/>
          <w:highlight w:val="none"/>
          <w14:textFill>
            <w14:solidFill>
              <w14:schemeClr w14:val="tx1"/>
            </w14:solidFill>
          </w14:textFill>
        </w:rPr>
        <w:t>，我方不承担保证</w:t>
      </w:r>
      <w:r>
        <w:rPr>
          <w:rFonts w:hint="eastAsia" w:ascii="宋体" w:hAnsi="宋体"/>
          <w:color w:val="000000" w:themeColor="text1"/>
          <w:sz w:val="24"/>
          <w:highlight w:val="none"/>
          <w14:textFill>
            <w14:solidFill>
              <w14:schemeClr w14:val="tx1"/>
            </w14:solidFill>
          </w14:textFill>
        </w:rPr>
        <w:t>担保</w:t>
      </w:r>
      <w:r>
        <w:rPr>
          <w:rFonts w:ascii="宋体" w:hAnsi="宋体"/>
          <w:color w:val="000000" w:themeColor="text1"/>
          <w:sz w:val="24"/>
          <w:highlight w:val="none"/>
          <w14:textFill>
            <w14:solidFill>
              <w14:schemeClr w14:val="tx1"/>
            </w14:solidFill>
          </w14:textFill>
        </w:rPr>
        <w:t xml:space="preserve">责任。 </w:t>
      </w:r>
    </w:p>
    <w:p w14:paraId="2073C45D">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w:t>
      </w:r>
      <w:r>
        <w:rPr>
          <w:rFonts w:ascii="宋体" w:hAnsi="宋体"/>
          <w:color w:val="000000" w:themeColor="text1"/>
          <w:sz w:val="24"/>
          <w:highlight w:val="none"/>
          <w14:textFill>
            <w14:solidFill>
              <w14:schemeClr w14:val="tx1"/>
            </w14:solidFill>
          </w14:textFill>
        </w:rPr>
        <w:t>依照法律规定或贵方与</w:t>
      </w:r>
      <w:r>
        <w:rPr>
          <w:rFonts w:hint="eastAsia" w:ascii="宋体" w:hAnsi="宋体"/>
          <w:color w:val="000000" w:themeColor="text1"/>
          <w:sz w:val="24"/>
          <w:highlight w:val="none"/>
          <w14:textFill>
            <w14:solidFill>
              <w14:schemeClr w14:val="tx1"/>
            </w14:solidFill>
          </w14:textFill>
        </w:rPr>
        <w:t>发包</w:t>
      </w:r>
      <w:r>
        <w:rPr>
          <w:rFonts w:ascii="宋体" w:hAnsi="宋体"/>
          <w:color w:val="000000" w:themeColor="text1"/>
          <w:sz w:val="24"/>
          <w:highlight w:val="none"/>
          <w14:textFill>
            <w14:solidFill>
              <w14:schemeClr w14:val="tx1"/>
            </w14:solidFill>
          </w14:textFill>
        </w:rPr>
        <w:t>人的另行约定，免除</w:t>
      </w:r>
      <w:r>
        <w:rPr>
          <w:rFonts w:hint="eastAsia" w:ascii="宋体" w:hAnsi="宋体"/>
          <w:color w:val="000000" w:themeColor="text1"/>
          <w:sz w:val="24"/>
          <w:highlight w:val="none"/>
          <w14:textFill>
            <w14:solidFill>
              <w14:schemeClr w14:val="tx1"/>
            </w14:solidFill>
          </w14:textFill>
        </w:rPr>
        <w:t>发包</w:t>
      </w:r>
      <w:r>
        <w:rPr>
          <w:rFonts w:ascii="宋体" w:hAnsi="宋体"/>
          <w:color w:val="000000" w:themeColor="text1"/>
          <w:sz w:val="24"/>
          <w:highlight w:val="none"/>
          <w14:textFill>
            <w14:solidFill>
              <w14:schemeClr w14:val="tx1"/>
            </w14:solidFill>
          </w14:textFill>
        </w:rPr>
        <w:t>人部分或全部义务的，我方亦免除其相应的保证</w:t>
      </w:r>
      <w:r>
        <w:rPr>
          <w:rFonts w:hint="eastAsia" w:ascii="宋体" w:hAnsi="宋体"/>
          <w:color w:val="000000" w:themeColor="text1"/>
          <w:sz w:val="24"/>
          <w:highlight w:val="none"/>
          <w14:textFill>
            <w14:solidFill>
              <w14:schemeClr w14:val="tx1"/>
            </w14:solidFill>
          </w14:textFill>
        </w:rPr>
        <w:t>担保</w:t>
      </w:r>
      <w:r>
        <w:rPr>
          <w:rFonts w:ascii="宋体" w:hAnsi="宋体"/>
          <w:color w:val="000000" w:themeColor="text1"/>
          <w:sz w:val="24"/>
          <w:highlight w:val="none"/>
          <w14:textFill>
            <w14:solidFill>
              <w14:schemeClr w14:val="tx1"/>
            </w14:solidFill>
          </w14:textFill>
        </w:rPr>
        <w:t xml:space="preserve">责任。 </w:t>
      </w:r>
    </w:p>
    <w:p w14:paraId="68D08079">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w:t>
      </w:r>
      <w:r>
        <w:rPr>
          <w:rFonts w:ascii="宋体" w:hAnsi="宋体"/>
          <w:color w:val="000000" w:themeColor="text1"/>
          <w:sz w:val="24"/>
          <w:highlight w:val="none"/>
          <w14:textFill>
            <w14:solidFill>
              <w14:schemeClr w14:val="tx1"/>
            </w14:solidFill>
          </w14:textFill>
        </w:rPr>
        <w:t>因不可抗力造成</w:t>
      </w:r>
      <w:r>
        <w:rPr>
          <w:rFonts w:hint="eastAsia" w:ascii="宋体" w:hAnsi="宋体"/>
          <w:color w:val="000000" w:themeColor="text1"/>
          <w:sz w:val="24"/>
          <w:highlight w:val="none"/>
          <w14:textFill>
            <w14:solidFill>
              <w14:schemeClr w14:val="tx1"/>
            </w14:solidFill>
          </w14:textFill>
        </w:rPr>
        <w:t>发包</w:t>
      </w:r>
      <w:r>
        <w:rPr>
          <w:rFonts w:ascii="宋体" w:hAnsi="宋体"/>
          <w:color w:val="000000" w:themeColor="text1"/>
          <w:sz w:val="24"/>
          <w:highlight w:val="none"/>
          <w14:textFill>
            <w14:solidFill>
              <w14:schemeClr w14:val="tx1"/>
            </w14:solidFill>
          </w14:textFill>
        </w:rPr>
        <w:t>人</w:t>
      </w:r>
      <w:r>
        <w:rPr>
          <w:rFonts w:hint="eastAsia" w:ascii="宋体" w:hAnsi="宋体"/>
          <w:color w:val="000000" w:themeColor="text1"/>
          <w:sz w:val="24"/>
          <w:highlight w:val="none"/>
          <w14:textFill>
            <w14:solidFill>
              <w14:schemeClr w14:val="tx1"/>
            </w14:solidFill>
          </w14:textFill>
        </w:rPr>
        <w:t>未履行主合同项下工程款付款义务的</w:t>
      </w:r>
      <w:r>
        <w:rPr>
          <w:rFonts w:ascii="宋体" w:hAnsi="宋体"/>
          <w:color w:val="000000" w:themeColor="text1"/>
          <w:sz w:val="24"/>
          <w:highlight w:val="none"/>
          <w14:textFill>
            <w14:solidFill>
              <w14:schemeClr w14:val="tx1"/>
            </w14:solidFill>
          </w14:textFill>
        </w:rPr>
        <w:t>，我方不承担保证</w:t>
      </w:r>
      <w:r>
        <w:rPr>
          <w:rFonts w:hint="eastAsia" w:ascii="宋体" w:hAnsi="宋体"/>
          <w:color w:val="000000" w:themeColor="text1"/>
          <w:sz w:val="24"/>
          <w:highlight w:val="none"/>
          <w14:textFill>
            <w14:solidFill>
              <w14:schemeClr w14:val="tx1"/>
            </w14:solidFill>
          </w14:textFill>
        </w:rPr>
        <w:t>担保</w:t>
      </w:r>
      <w:r>
        <w:rPr>
          <w:rFonts w:ascii="宋体" w:hAnsi="宋体"/>
          <w:color w:val="000000" w:themeColor="text1"/>
          <w:sz w:val="24"/>
          <w:highlight w:val="none"/>
          <w14:textFill>
            <w14:solidFill>
              <w14:schemeClr w14:val="tx1"/>
            </w14:solidFill>
          </w14:textFill>
        </w:rPr>
        <w:t>责任。</w:t>
      </w:r>
    </w:p>
    <w:p w14:paraId="6E4D6D61">
      <w:pPr>
        <w:spacing w:line="360" w:lineRule="auto"/>
        <w:ind w:firstLine="482" w:firstLineChars="200"/>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七、其他</w:t>
      </w:r>
    </w:p>
    <w:p w14:paraId="387087FF">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w:t>
      </w:r>
      <w:r>
        <w:rPr>
          <w:rFonts w:ascii="宋体" w:hAnsi="宋体"/>
          <w:color w:val="000000" w:themeColor="text1"/>
          <w:sz w:val="24"/>
          <w:highlight w:val="none"/>
          <w14:textFill>
            <w14:solidFill>
              <w14:schemeClr w14:val="tx1"/>
            </w14:solidFill>
          </w14:textFill>
        </w:rPr>
        <w:t>本保证担保项下的权利不得转让，不得设定担保。贵方未经我方书面同意转让本保证担保或其项下任何权利，</w:t>
      </w:r>
      <w:r>
        <w:rPr>
          <w:rFonts w:hint="eastAsia" w:ascii="宋体" w:hAnsi="宋体"/>
          <w:color w:val="000000" w:themeColor="text1"/>
          <w:sz w:val="24"/>
          <w:highlight w:val="none"/>
          <w14:textFill>
            <w14:solidFill>
              <w14:schemeClr w14:val="tx1"/>
            </w14:solidFill>
          </w14:textFill>
        </w:rPr>
        <w:t>对我方不发生法律效力</w:t>
      </w:r>
      <w:r>
        <w:rPr>
          <w:rFonts w:ascii="宋体" w:hAnsi="宋体"/>
          <w:color w:val="000000" w:themeColor="text1"/>
          <w:sz w:val="24"/>
          <w:highlight w:val="none"/>
          <w14:textFill>
            <w14:solidFill>
              <w14:schemeClr w14:val="tx1"/>
            </w14:solidFill>
          </w14:textFill>
        </w:rPr>
        <w:t xml:space="preserve">。 </w:t>
      </w:r>
    </w:p>
    <w:p w14:paraId="486B98D7">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w:t>
      </w:r>
      <w:r>
        <w:rPr>
          <w:rFonts w:ascii="宋体" w:hAnsi="宋体"/>
          <w:color w:val="000000" w:themeColor="text1"/>
          <w:sz w:val="24"/>
          <w:highlight w:val="none"/>
          <w14:textFill>
            <w14:solidFill>
              <w14:schemeClr w14:val="tx1"/>
            </w14:solidFill>
          </w14:textFill>
        </w:rPr>
        <w:t>.本</w:t>
      </w:r>
      <w:r>
        <w:rPr>
          <w:rFonts w:hint="eastAsia" w:ascii="宋体" w:hAnsi="宋体"/>
          <w:color w:val="000000" w:themeColor="text1"/>
          <w:sz w:val="24"/>
          <w:highlight w:val="none"/>
          <w14:textFill>
            <w14:solidFill>
              <w14:schemeClr w14:val="tx1"/>
            </w14:solidFill>
          </w14:textFill>
        </w:rPr>
        <w:t>保证担保适用的法律为中华人民共和国法律，争议裁判管辖地为中华人民共和国。</w:t>
      </w:r>
    </w:p>
    <w:p w14:paraId="3AEEB734">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w:t>
      </w:r>
      <w:r>
        <w:rPr>
          <w:rFonts w:ascii="宋体" w:hAnsi="宋体"/>
          <w:color w:val="000000" w:themeColor="text1"/>
          <w:sz w:val="24"/>
          <w:highlight w:val="none"/>
          <w14:textFill>
            <w14:solidFill>
              <w14:schemeClr w14:val="tx1"/>
            </w14:solidFill>
          </w14:textFill>
        </w:rPr>
        <w:t>.本</w:t>
      </w:r>
      <w:r>
        <w:rPr>
          <w:rFonts w:hint="eastAsia" w:ascii="宋体" w:hAnsi="宋体"/>
          <w:color w:val="000000" w:themeColor="text1"/>
          <w:sz w:val="24"/>
          <w:highlight w:val="none"/>
          <w14:textFill>
            <w14:solidFill>
              <w14:schemeClr w14:val="tx1"/>
            </w14:solidFill>
          </w14:textFill>
        </w:rPr>
        <w:t>保证担保</w:t>
      </w:r>
      <w:r>
        <w:rPr>
          <w:rFonts w:ascii="宋体" w:hAnsi="宋体"/>
          <w:color w:val="000000" w:themeColor="text1"/>
          <w:sz w:val="24"/>
          <w:highlight w:val="none"/>
          <w14:textFill>
            <w14:solidFill>
              <w14:schemeClr w14:val="tx1"/>
            </w14:solidFill>
          </w14:textFill>
        </w:rPr>
        <w:t>自我方法定代表</w:t>
      </w:r>
      <w:r>
        <w:rPr>
          <w:rFonts w:hint="eastAsia" w:ascii="宋体" w:hAnsi="宋体"/>
          <w:color w:val="000000" w:themeColor="text1"/>
          <w:sz w:val="24"/>
          <w:highlight w:val="none"/>
          <w14:textFill>
            <w14:solidFill>
              <w14:schemeClr w14:val="tx1"/>
            </w14:solidFill>
          </w14:textFill>
        </w:rPr>
        <w:t>人或授权代表</w:t>
      </w:r>
      <w:r>
        <w:rPr>
          <w:rFonts w:ascii="宋体" w:hAnsi="宋体"/>
          <w:color w:val="000000" w:themeColor="text1"/>
          <w:sz w:val="24"/>
          <w:highlight w:val="none"/>
          <w14:textFill>
            <w14:solidFill>
              <w14:schemeClr w14:val="tx1"/>
            </w14:solidFill>
          </w14:textFill>
        </w:rPr>
        <w:t>签字</w:t>
      </w:r>
      <w:r>
        <w:rPr>
          <w:rFonts w:hint="eastAsia" w:ascii="宋体" w:hAnsi="宋体"/>
          <w:color w:val="000000" w:themeColor="text1"/>
          <w:sz w:val="24"/>
          <w:highlight w:val="none"/>
          <w14:textFill>
            <w14:solidFill>
              <w14:schemeClr w14:val="tx1"/>
            </w14:solidFill>
          </w14:textFill>
        </w:rPr>
        <w:t>并</w:t>
      </w:r>
      <w:r>
        <w:rPr>
          <w:rFonts w:ascii="宋体" w:hAnsi="宋体"/>
          <w:color w:val="000000" w:themeColor="text1"/>
          <w:sz w:val="24"/>
          <w:highlight w:val="none"/>
          <w14:textFill>
            <w14:solidFill>
              <w14:schemeClr w14:val="tx1"/>
            </w14:solidFill>
          </w14:textFill>
        </w:rPr>
        <w:t xml:space="preserve">加盖公章之日起生效。 </w:t>
      </w:r>
    </w:p>
    <w:p w14:paraId="5C9A505B">
      <w:pPr>
        <w:spacing w:line="360" w:lineRule="auto"/>
        <w:ind w:firstLine="480" w:firstLineChars="200"/>
        <w:rPr>
          <w:rFonts w:ascii="宋体" w:hAnsi="宋体"/>
          <w:color w:val="000000" w:themeColor="text1"/>
          <w:sz w:val="24"/>
          <w:highlight w:val="none"/>
          <w14:textFill>
            <w14:solidFill>
              <w14:schemeClr w14:val="tx1"/>
            </w14:solidFill>
          </w14:textFill>
        </w:rPr>
      </w:pPr>
    </w:p>
    <w:p w14:paraId="0633A105">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保 证 人</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（公</w:t>
      </w:r>
      <w:r>
        <w:rPr>
          <w:rFonts w:ascii="宋体" w:hAnsi="宋体"/>
          <w:color w:val="000000" w:themeColor="text1"/>
          <w:sz w:val="24"/>
          <w:highlight w:val="none"/>
          <w14:textFill>
            <w14:solidFill>
              <w14:schemeClr w14:val="tx1"/>
            </w14:solidFill>
          </w14:textFill>
        </w:rPr>
        <w:t xml:space="preserve">章） </w:t>
      </w:r>
    </w:p>
    <w:p w14:paraId="131F948E">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法定代表人（或授权代表）：</w:t>
      </w:r>
      <w:r>
        <w:rPr>
          <w:rFonts w:ascii="宋体" w:hAnsi="宋体"/>
          <w:color w:val="000000" w:themeColor="text1"/>
          <w:sz w:val="24"/>
          <w:highlight w:val="none"/>
          <w14:textFill>
            <w14:solidFill>
              <w14:schemeClr w14:val="tx1"/>
            </w14:solidFill>
          </w14:textFill>
        </w:rPr>
        <w:t xml:space="preserve">               （签字） </w:t>
      </w:r>
    </w:p>
    <w:p w14:paraId="2AAA52A5">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w:t>
      </w:r>
      <w:r>
        <w:rPr>
          <w:rFonts w:ascii="宋体" w:hAnsi="宋体"/>
          <w:color w:val="000000" w:themeColor="text1"/>
          <w:sz w:val="24"/>
          <w:highlight w:val="none"/>
          <w14:textFill>
            <w14:solidFill>
              <w14:schemeClr w14:val="tx1"/>
            </w14:solidFill>
          </w14:textFill>
        </w:rPr>
        <w:t xml:space="preserve">    址：                                       </w:t>
      </w:r>
    </w:p>
    <w:p w14:paraId="5B019873">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邮政编码：</w:t>
      </w:r>
    </w:p>
    <w:p w14:paraId="748A8AE5">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电</w:t>
      </w:r>
      <w:r>
        <w:rPr>
          <w:rFonts w:ascii="宋体" w:hAnsi="宋体"/>
          <w:color w:val="000000" w:themeColor="text1"/>
          <w:sz w:val="24"/>
          <w:highlight w:val="none"/>
          <w14:textFill>
            <w14:solidFill>
              <w14:schemeClr w14:val="tx1"/>
            </w14:solidFill>
          </w14:textFill>
        </w:rPr>
        <w:t xml:space="preserve">    话：                 </w:t>
      </w:r>
    </w:p>
    <w:p w14:paraId="25AF211A">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传</w:t>
      </w:r>
      <w:r>
        <w:rPr>
          <w:rFonts w:ascii="宋体" w:hAnsi="宋体"/>
          <w:color w:val="000000" w:themeColor="text1"/>
          <w:sz w:val="24"/>
          <w:highlight w:val="none"/>
          <w14:textFill>
            <w14:solidFill>
              <w14:schemeClr w14:val="tx1"/>
            </w14:solidFill>
          </w14:textFill>
        </w:rPr>
        <w:t xml:space="preserve">    真：                 </w:t>
      </w:r>
    </w:p>
    <w:p w14:paraId="3BFA55A0">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时 间：</w:t>
      </w:r>
      <w:r>
        <w:rPr>
          <w:rFonts w:ascii="宋体" w:hAnsi="宋体"/>
          <w:color w:val="000000" w:themeColor="text1"/>
          <w:sz w:val="24"/>
          <w:highlight w:val="none"/>
          <w14:textFill>
            <w14:solidFill>
              <w14:schemeClr w14:val="tx1"/>
            </w14:solidFill>
          </w14:textFill>
        </w:rPr>
        <w:t xml:space="preserve">      年      月        日</w:t>
      </w:r>
    </w:p>
    <w:p w14:paraId="3887E44A">
      <w:pPr>
        <w:rPr>
          <w:color w:val="000000" w:themeColor="text1"/>
          <w:szCs w:val="21"/>
          <w:highlight w:val="none"/>
          <w14:textFill>
            <w14:solidFill>
              <w14:schemeClr w14:val="tx1"/>
            </w14:solidFill>
          </w14:textFill>
        </w:rPr>
      </w:pPr>
    </w:p>
    <w:p w14:paraId="62D535C1">
      <w:pPr>
        <w:spacing w:line="360" w:lineRule="auto"/>
        <w:ind w:firstLine="480" w:firstLineChars="200"/>
        <w:rPr>
          <w:rFonts w:ascii="宋体" w:hAnsi="宋体"/>
          <w:color w:val="000000" w:themeColor="text1"/>
          <w:sz w:val="24"/>
          <w:highlight w:val="none"/>
          <w14:textFill>
            <w14:solidFill>
              <w14:schemeClr w14:val="tx1"/>
            </w14:solidFill>
          </w14:textFill>
        </w:rPr>
      </w:pPr>
    </w:p>
    <w:p w14:paraId="47CF5B4A">
      <w:pPr>
        <w:spacing w:line="360" w:lineRule="auto"/>
        <w:ind w:firstLine="420" w:firstLineChars="200"/>
        <w:rPr>
          <w:color w:val="000000" w:themeColor="text1"/>
          <w:szCs w:val="21"/>
          <w:highlight w:val="none"/>
          <w14:textFill>
            <w14:solidFill>
              <w14:schemeClr w14:val="tx1"/>
            </w14:solidFill>
          </w14:textFill>
        </w:rPr>
      </w:pPr>
    </w:p>
    <w:p w14:paraId="0471DF77">
      <w:pPr>
        <w:jc w:val="left"/>
        <w:rPr>
          <w:rFonts w:eastAsia="仿宋_GB2312"/>
          <w:color w:val="000000" w:themeColor="text1"/>
          <w:sz w:val="30"/>
          <w:szCs w:val="30"/>
          <w:highlight w:val="none"/>
          <w14:textFill>
            <w14:solidFill>
              <w14:schemeClr w14:val="tx1"/>
            </w14:solidFill>
          </w14:textFill>
        </w:rPr>
      </w:pPr>
    </w:p>
    <w:p w14:paraId="24254E6E">
      <w:pPr>
        <w:jc w:val="left"/>
        <w:rPr>
          <w:rFonts w:eastAsia="仿宋_GB2312"/>
          <w:color w:val="000000" w:themeColor="text1"/>
          <w:sz w:val="30"/>
          <w:szCs w:val="30"/>
          <w:highlight w:val="none"/>
          <w14:textFill>
            <w14:solidFill>
              <w14:schemeClr w14:val="tx1"/>
            </w14:solidFill>
          </w14:textFill>
        </w:rPr>
      </w:pPr>
    </w:p>
    <w:p w14:paraId="505027D7">
      <w:pPr>
        <w:jc w:val="left"/>
        <w:rPr>
          <w:rFonts w:eastAsia="仿宋_GB2312"/>
          <w:color w:val="000000" w:themeColor="text1"/>
          <w:sz w:val="30"/>
          <w:szCs w:val="30"/>
          <w:highlight w:val="none"/>
          <w14:textFill>
            <w14:solidFill>
              <w14:schemeClr w14:val="tx1"/>
            </w14:solidFill>
          </w14:textFill>
        </w:rPr>
      </w:pPr>
    </w:p>
    <w:p w14:paraId="21DD20A8">
      <w:pPr>
        <w:jc w:val="left"/>
        <w:rPr>
          <w:rFonts w:eastAsia="仿宋_GB2312"/>
          <w:color w:val="000000" w:themeColor="text1"/>
          <w:sz w:val="30"/>
          <w:szCs w:val="30"/>
          <w:highlight w:val="none"/>
          <w14:textFill>
            <w14:solidFill>
              <w14:schemeClr w14:val="tx1"/>
            </w14:solidFill>
          </w14:textFill>
        </w:rPr>
      </w:pPr>
    </w:p>
    <w:p w14:paraId="70203D18">
      <w:pPr>
        <w:jc w:val="left"/>
        <w:rPr>
          <w:rFonts w:eastAsia="仿宋_GB2312"/>
          <w:color w:val="000000" w:themeColor="text1"/>
          <w:sz w:val="30"/>
          <w:szCs w:val="30"/>
          <w:highlight w:val="none"/>
          <w14:textFill>
            <w14:solidFill>
              <w14:schemeClr w14:val="tx1"/>
            </w14:solidFill>
          </w14:textFill>
        </w:rPr>
      </w:pPr>
    </w:p>
    <w:p w14:paraId="08495BED">
      <w:pPr>
        <w:jc w:val="left"/>
        <w:rPr>
          <w:rFonts w:eastAsia="仿宋_GB2312"/>
          <w:color w:val="000000" w:themeColor="text1"/>
          <w:sz w:val="30"/>
          <w:szCs w:val="30"/>
          <w:highlight w:val="none"/>
          <w14:textFill>
            <w14:solidFill>
              <w14:schemeClr w14:val="tx1"/>
            </w14:solidFill>
          </w14:textFill>
        </w:rPr>
      </w:pPr>
    </w:p>
    <w:p w14:paraId="28A2A4D6">
      <w:pPr>
        <w:jc w:val="left"/>
        <w:rPr>
          <w:rFonts w:eastAsia="仿宋_GB2312"/>
          <w:color w:val="000000" w:themeColor="text1"/>
          <w:sz w:val="30"/>
          <w:szCs w:val="30"/>
          <w:highlight w:val="none"/>
          <w14:textFill>
            <w14:solidFill>
              <w14:schemeClr w14:val="tx1"/>
            </w14:solidFill>
          </w14:textFill>
        </w:rPr>
      </w:pPr>
    </w:p>
    <w:p w14:paraId="6E0F38CA">
      <w:pPr>
        <w:jc w:val="left"/>
        <w:rPr>
          <w:rFonts w:eastAsia="仿宋_GB2312"/>
          <w:color w:val="000000" w:themeColor="text1"/>
          <w:sz w:val="30"/>
          <w:szCs w:val="30"/>
          <w:highlight w:val="none"/>
          <w14:textFill>
            <w14:solidFill>
              <w14:schemeClr w14:val="tx1"/>
            </w14:solidFill>
          </w14:textFill>
        </w:rPr>
      </w:pPr>
    </w:p>
    <w:p w14:paraId="191D21FF">
      <w:pPr>
        <w:jc w:val="left"/>
        <w:rPr>
          <w:rFonts w:hAnsi="宋体" w:cs="宋体"/>
          <w:color w:val="000000" w:themeColor="text1"/>
          <w:sz w:val="30"/>
          <w:szCs w:val="30"/>
          <w:highlight w:val="none"/>
          <w14:textFill>
            <w14:solidFill>
              <w14:schemeClr w14:val="tx1"/>
            </w14:solidFill>
          </w14:textFill>
        </w:rPr>
      </w:pPr>
      <w:r>
        <w:rPr>
          <w:rFonts w:hint="eastAsia" w:hAnsi="宋体" w:cs="宋体"/>
          <w:color w:val="000000" w:themeColor="text1"/>
          <w:sz w:val="30"/>
          <w:szCs w:val="30"/>
          <w:highlight w:val="none"/>
          <w14:textFill>
            <w14:solidFill>
              <w14:schemeClr w14:val="tx1"/>
            </w14:solidFill>
          </w14:textFill>
        </w:rPr>
        <w:t>附件10：</w:t>
      </w:r>
    </w:p>
    <w:p w14:paraId="2BC97830">
      <w:pPr>
        <w:jc w:val="center"/>
        <w:rPr>
          <w:b/>
          <w:color w:val="000000" w:themeColor="text1"/>
          <w:sz w:val="36"/>
          <w:szCs w:val="36"/>
          <w:highlight w:val="none"/>
          <w14:textFill>
            <w14:solidFill>
              <w14:schemeClr w14:val="tx1"/>
            </w14:solidFill>
          </w14:textFill>
        </w:rPr>
      </w:pPr>
      <w:r>
        <w:rPr>
          <w:rFonts w:hint="eastAsia"/>
          <w:b/>
          <w:color w:val="000000" w:themeColor="text1"/>
          <w:sz w:val="36"/>
          <w:szCs w:val="36"/>
          <w:highlight w:val="none"/>
          <w14:textFill>
            <w14:solidFill>
              <w14:schemeClr w14:val="tx1"/>
            </w14:solidFill>
          </w14:textFill>
        </w:rPr>
        <w:t>预付款支付申请（核准）表</w:t>
      </w:r>
    </w:p>
    <w:p w14:paraId="657E2FC8">
      <w:pP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工程名称：                                             编号：</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8"/>
        <w:gridCol w:w="4697"/>
      </w:tblGrid>
      <w:tr w14:paraId="3C3B2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185" w:type="dxa"/>
            <w:gridSpan w:val="2"/>
          </w:tcPr>
          <w:p w14:paraId="77F7117D">
            <w:pPr>
              <w:spacing w:line="480" w:lineRule="exact"/>
              <w:ind w:left="525" w:leftChars="149" w:hanging="212" w:hangingChars="101"/>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致：</w:t>
            </w:r>
            <w:r>
              <w:rPr>
                <w:rFonts w:hint="eastAsia"/>
                <w:color w:val="000000" w:themeColor="text1"/>
                <w:szCs w:val="21"/>
                <w:highlight w:val="none"/>
                <w:u w:val="single"/>
                <w14:textFill>
                  <w14:solidFill>
                    <w14:schemeClr w14:val="tx1"/>
                  </w14:solidFill>
                </w14:textFill>
              </w:rPr>
              <w:t xml:space="preserve">                                   （发包人全称）</w:t>
            </w:r>
          </w:p>
          <w:p w14:paraId="473F53DC">
            <w:pPr>
              <w:spacing w:line="400" w:lineRule="exact"/>
              <w:ind w:left="-4" w:leftChars="-2" w:firstLine="315" w:firstLineChars="15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我方根据施工合同的约定，现申请支付工程预付款额为(大写)元，(小写)</w:t>
            </w:r>
          </w:p>
          <w:p w14:paraId="0D6AC98E">
            <w:pPr>
              <w:spacing w:line="40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元，请予核准。</w:t>
            </w:r>
          </w:p>
          <w:tbl>
            <w:tblPr>
              <w:tblStyle w:val="44"/>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340"/>
              <w:gridCol w:w="1764"/>
              <w:gridCol w:w="2240"/>
              <w:gridCol w:w="1080"/>
            </w:tblGrid>
            <w:tr w14:paraId="451B8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vAlign w:val="center"/>
                </w:tcPr>
                <w:p w14:paraId="25EFC709">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序号</w:t>
                  </w:r>
                </w:p>
              </w:tc>
              <w:tc>
                <w:tcPr>
                  <w:tcW w:w="3340" w:type="dxa"/>
                  <w:vAlign w:val="center"/>
                </w:tcPr>
                <w:p w14:paraId="1BBB3A30">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名      称</w:t>
                  </w:r>
                </w:p>
              </w:tc>
              <w:tc>
                <w:tcPr>
                  <w:tcW w:w="1764" w:type="dxa"/>
                  <w:vAlign w:val="center"/>
                </w:tcPr>
                <w:p w14:paraId="1A09CB2C">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申请金额（元）</w:t>
                  </w:r>
                </w:p>
              </w:tc>
              <w:tc>
                <w:tcPr>
                  <w:tcW w:w="2240" w:type="dxa"/>
                  <w:vAlign w:val="center"/>
                </w:tcPr>
                <w:p w14:paraId="054F342F">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复核金额（元）</w:t>
                  </w:r>
                </w:p>
              </w:tc>
              <w:tc>
                <w:tcPr>
                  <w:tcW w:w="1080" w:type="dxa"/>
                  <w:vAlign w:val="center"/>
                </w:tcPr>
                <w:p w14:paraId="024C4E6C">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备注</w:t>
                  </w:r>
                </w:p>
              </w:tc>
            </w:tr>
            <w:tr w14:paraId="5C208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428B961A">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w:t>
                  </w:r>
                </w:p>
              </w:tc>
              <w:tc>
                <w:tcPr>
                  <w:tcW w:w="3340" w:type="dxa"/>
                </w:tcPr>
                <w:p w14:paraId="4E7D46D1">
                  <w:pPr>
                    <w:spacing w:line="28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已签约合同价款金额</w:t>
                  </w:r>
                </w:p>
              </w:tc>
              <w:tc>
                <w:tcPr>
                  <w:tcW w:w="1764" w:type="dxa"/>
                </w:tcPr>
                <w:p w14:paraId="53F31B12">
                  <w:pPr>
                    <w:spacing w:line="280" w:lineRule="exact"/>
                    <w:rPr>
                      <w:color w:val="000000" w:themeColor="text1"/>
                      <w:szCs w:val="21"/>
                      <w:highlight w:val="none"/>
                      <w14:textFill>
                        <w14:solidFill>
                          <w14:schemeClr w14:val="tx1"/>
                        </w14:solidFill>
                      </w14:textFill>
                    </w:rPr>
                  </w:pPr>
                </w:p>
              </w:tc>
              <w:tc>
                <w:tcPr>
                  <w:tcW w:w="2240" w:type="dxa"/>
                </w:tcPr>
                <w:p w14:paraId="5F244859">
                  <w:pPr>
                    <w:spacing w:line="280" w:lineRule="exact"/>
                    <w:rPr>
                      <w:color w:val="000000" w:themeColor="text1"/>
                      <w:szCs w:val="21"/>
                      <w:highlight w:val="none"/>
                      <w14:textFill>
                        <w14:solidFill>
                          <w14:schemeClr w14:val="tx1"/>
                        </w14:solidFill>
                      </w14:textFill>
                    </w:rPr>
                  </w:pPr>
                </w:p>
              </w:tc>
              <w:tc>
                <w:tcPr>
                  <w:tcW w:w="1080" w:type="dxa"/>
                </w:tcPr>
                <w:p w14:paraId="0B183FD9">
                  <w:pPr>
                    <w:spacing w:line="280" w:lineRule="exact"/>
                    <w:rPr>
                      <w:color w:val="000000" w:themeColor="text1"/>
                      <w:szCs w:val="21"/>
                      <w:highlight w:val="none"/>
                      <w14:textFill>
                        <w14:solidFill>
                          <w14:schemeClr w14:val="tx1"/>
                        </w14:solidFill>
                      </w14:textFill>
                    </w:rPr>
                  </w:pPr>
                </w:p>
              </w:tc>
            </w:tr>
            <w:tr w14:paraId="530A9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352AD367">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w:t>
                  </w:r>
                </w:p>
              </w:tc>
              <w:tc>
                <w:tcPr>
                  <w:tcW w:w="3340" w:type="dxa"/>
                </w:tcPr>
                <w:p w14:paraId="0AF40FA3">
                  <w:pPr>
                    <w:spacing w:line="28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其中：安全文明施工费</w:t>
                  </w:r>
                </w:p>
              </w:tc>
              <w:tc>
                <w:tcPr>
                  <w:tcW w:w="1764" w:type="dxa"/>
                </w:tcPr>
                <w:p w14:paraId="1F70ED20">
                  <w:pPr>
                    <w:spacing w:line="280" w:lineRule="exact"/>
                    <w:rPr>
                      <w:color w:val="000000" w:themeColor="text1"/>
                      <w:szCs w:val="21"/>
                      <w:highlight w:val="none"/>
                      <w14:textFill>
                        <w14:solidFill>
                          <w14:schemeClr w14:val="tx1"/>
                        </w14:solidFill>
                      </w14:textFill>
                    </w:rPr>
                  </w:pPr>
                </w:p>
              </w:tc>
              <w:tc>
                <w:tcPr>
                  <w:tcW w:w="2240" w:type="dxa"/>
                </w:tcPr>
                <w:p w14:paraId="5F2F4339">
                  <w:pPr>
                    <w:spacing w:line="280" w:lineRule="exact"/>
                    <w:rPr>
                      <w:color w:val="000000" w:themeColor="text1"/>
                      <w:szCs w:val="21"/>
                      <w:highlight w:val="none"/>
                      <w14:textFill>
                        <w14:solidFill>
                          <w14:schemeClr w14:val="tx1"/>
                        </w14:solidFill>
                      </w14:textFill>
                    </w:rPr>
                  </w:pPr>
                </w:p>
              </w:tc>
              <w:tc>
                <w:tcPr>
                  <w:tcW w:w="1080" w:type="dxa"/>
                </w:tcPr>
                <w:p w14:paraId="1346D360">
                  <w:pPr>
                    <w:spacing w:line="280" w:lineRule="exact"/>
                    <w:rPr>
                      <w:color w:val="000000" w:themeColor="text1"/>
                      <w:szCs w:val="21"/>
                      <w:highlight w:val="none"/>
                      <w14:textFill>
                        <w14:solidFill>
                          <w14:schemeClr w14:val="tx1"/>
                        </w14:solidFill>
                      </w14:textFill>
                    </w:rPr>
                  </w:pPr>
                </w:p>
              </w:tc>
            </w:tr>
            <w:tr w14:paraId="4A099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5CB02492">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w:t>
                  </w:r>
                </w:p>
              </w:tc>
              <w:tc>
                <w:tcPr>
                  <w:tcW w:w="3340" w:type="dxa"/>
                </w:tcPr>
                <w:p w14:paraId="11962DD0">
                  <w:pPr>
                    <w:spacing w:line="28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应支付的预付款</w:t>
                  </w:r>
                </w:p>
              </w:tc>
              <w:tc>
                <w:tcPr>
                  <w:tcW w:w="1764" w:type="dxa"/>
                </w:tcPr>
                <w:p w14:paraId="52610E9D">
                  <w:pPr>
                    <w:spacing w:line="280" w:lineRule="exact"/>
                    <w:rPr>
                      <w:color w:val="000000" w:themeColor="text1"/>
                      <w:szCs w:val="21"/>
                      <w:highlight w:val="none"/>
                      <w14:textFill>
                        <w14:solidFill>
                          <w14:schemeClr w14:val="tx1"/>
                        </w14:solidFill>
                      </w14:textFill>
                    </w:rPr>
                  </w:pPr>
                </w:p>
              </w:tc>
              <w:tc>
                <w:tcPr>
                  <w:tcW w:w="2240" w:type="dxa"/>
                </w:tcPr>
                <w:p w14:paraId="174CAF49">
                  <w:pPr>
                    <w:spacing w:line="280" w:lineRule="exact"/>
                    <w:rPr>
                      <w:color w:val="000000" w:themeColor="text1"/>
                      <w:szCs w:val="21"/>
                      <w:highlight w:val="none"/>
                      <w14:textFill>
                        <w14:solidFill>
                          <w14:schemeClr w14:val="tx1"/>
                        </w14:solidFill>
                      </w14:textFill>
                    </w:rPr>
                  </w:pPr>
                </w:p>
              </w:tc>
              <w:tc>
                <w:tcPr>
                  <w:tcW w:w="1080" w:type="dxa"/>
                </w:tcPr>
                <w:p w14:paraId="32F44FB9">
                  <w:pPr>
                    <w:spacing w:line="280" w:lineRule="exact"/>
                    <w:rPr>
                      <w:color w:val="000000" w:themeColor="text1"/>
                      <w:szCs w:val="21"/>
                      <w:highlight w:val="none"/>
                      <w14:textFill>
                        <w14:solidFill>
                          <w14:schemeClr w14:val="tx1"/>
                        </w14:solidFill>
                      </w14:textFill>
                    </w:rPr>
                  </w:pPr>
                </w:p>
              </w:tc>
            </w:tr>
            <w:tr w14:paraId="4E833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212BC26A">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w:t>
                  </w:r>
                </w:p>
              </w:tc>
              <w:tc>
                <w:tcPr>
                  <w:tcW w:w="3340" w:type="dxa"/>
                </w:tcPr>
                <w:p w14:paraId="15765B6A">
                  <w:pPr>
                    <w:spacing w:line="28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应支付的安全文明施工费预付款</w:t>
                  </w:r>
                </w:p>
              </w:tc>
              <w:tc>
                <w:tcPr>
                  <w:tcW w:w="1764" w:type="dxa"/>
                </w:tcPr>
                <w:p w14:paraId="043C045B">
                  <w:pPr>
                    <w:spacing w:line="280" w:lineRule="exact"/>
                    <w:rPr>
                      <w:color w:val="000000" w:themeColor="text1"/>
                      <w:szCs w:val="21"/>
                      <w:highlight w:val="none"/>
                      <w14:textFill>
                        <w14:solidFill>
                          <w14:schemeClr w14:val="tx1"/>
                        </w14:solidFill>
                      </w14:textFill>
                    </w:rPr>
                  </w:pPr>
                </w:p>
              </w:tc>
              <w:tc>
                <w:tcPr>
                  <w:tcW w:w="2240" w:type="dxa"/>
                </w:tcPr>
                <w:p w14:paraId="1187D3F1">
                  <w:pPr>
                    <w:spacing w:line="280" w:lineRule="exact"/>
                    <w:rPr>
                      <w:color w:val="000000" w:themeColor="text1"/>
                      <w:szCs w:val="21"/>
                      <w:highlight w:val="none"/>
                      <w14:textFill>
                        <w14:solidFill>
                          <w14:schemeClr w14:val="tx1"/>
                        </w14:solidFill>
                      </w14:textFill>
                    </w:rPr>
                  </w:pPr>
                </w:p>
              </w:tc>
              <w:tc>
                <w:tcPr>
                  <w:tcW w:w="1080" w:type="dxa"/>
                </w:tcPr>
                <w:p w14:paraId="0CD709B2">
                  <w:pPr>
                    <w:spacing w:line="280" w:lineRule="exact"/>
                    <w:rPr>
                      <w:color w:val="000000" w:themeColor="text1"/>
                      <w:szCs w:val="21"/>
                      <w:highlight w:val="none"/>
                      <w14:textFill>
                        <w14:solidFill>
                          <w14:schemeClr w14:val="tx1"/>
                        </w14:solidFill>
                      </w14:textFill>
                    </w:rPr>
                  </w:pPr>
                </w:p>
              </w:tc>
            </w:tr>
            <w:tr w14:paraId="4A93A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0094386B">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5</w:t>
                  </w:r>
                </w:p>
              </w:tc>
              <w:tc>
                <w:tcPr>
                  <w:tcW w:w="3340" w:type="dxa"/>
                </w:tcPr>
                <w:p w14:paraId="00957F4D">
                  <w:pPr>
                    <w:spacing w:line="28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合计应支付的预付款</w:t>
                  </w:r>
                </w:p>
              </w:tc>
              <w:tc>
                <w:tcPr>
                  <w:tcW w:w="1764" w:type="dxa"/>
                </w:tcPr>
                <w:p w14:paraId="37990F11">
                  <w:pPr>
                    <w:spacing w:line="280" w:lineRule="exact"/>
                    <w:rPr>
                      <w:color w:val="000000" w:themeColor="text1"/>
                      <w:szCs w:val="21"/>
                      <w:highlight w:val="none"/>
                      <w14:textFill>
                        <w14:solidFill>
                          <w14:schemeClr w14:val="tx1"/>
                        </w14:solidFill>
                      </w14:textFill>
                    </w:rPr>
                  </w:pPr>
                </w:p>
              </w:tc>
              <w:tc>
                <w:tcPr>
                  <w:tcW w:w="2240" w:type="dxa"/>
                </w:tcPr>
                <w:p w14:paraId="36861D07">
                  <w:pPr>
                    <w:spacing w:line="280" w:lineRule="exact"/>
                    <w:rPr>
                      <w:color w:val="000000" w:themeColor="text1"/>
                      <w:szCs w:val="21"/>
                      <w:highlight w:val="none"/>
                      <w14:textFill>
                        <w14:solidFill>
                          <w14:schemeClr w14:val="tx1"/>
                        </w14:solidFill>
                      </w14:textFill>
                    </w:rPr>
                  </w:pPr>
                </w:p>
              </w:tc>
              <w:tc>
                <w:tcPr>
                  <w:tcW w:w="1080" w:type="dxa"/>
                </w:tcPr>
                <w:p w14:paraId="78AF3822">
                  <w:pPr>
                    <w:spacing w:line="280" w:lineRule="exact"/>
                    <w:rPr>
                      <w:color w:val="000000" w:themeColor="text1"/>
                      <w:szCs w:val="21"/>
                      <w:highlight w:val="none"/>
                      <w14:textFill>
                        <w14:solidFill>
                          <w14:schemeClr w14:val="tx1"/>
                        </w14:solidFill>
                      </w14:textFill>
                    </w:rPr>
                  </w:pPr>
                </w:p>
              </w:tc>
            </w:tr>
            <w:tr w14:paraId="32E4C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4561DAE9">
                  <w:pPr>
                    <w:spacing w:line="280" w:lineRule="exact"/>
                    <w:jc w:val="center"/>
                    <w:rPr>
                      <w:color w:val="000000" w:themeColor="text1"/>
                      <w:szCs w:val="21"/>
                      <w:highlight w:val="none"/>
                      <w14:textFill>
                        <w14:solidFill>
                          <w14:schemeClr w14:val="tx1"/>
                        </w14:solidFill>
                      </w14:textFill>
                    </w:rPr>
                  </w:pPr>
                </w:p>
              </w:tc>
              <w:tc>
                <w:tcPr>
                  <w:tcW w:w="3340" w:type="dxa"/>
                </w:tcPr>
                <w:p w14:paraId="63C63DDA">
                  <w:pPr>
                    <w:spacing w:line="280" w:lineRule="exact"/>
                    <w:rPr>
                      <w:color w:val="000000" w:themeColor="text1"/>
                      <w:szCs w:val="21"/>
                      <w:highlight w:val="none"/>
                      <w14:textFill>
                        <w14:solidFill>
                          <w14:schemeClr w14:val="tx1"/>
                        </w14:solidFill>
                      </w14:textFill>
                    </w:rPr>
                  </w:pPr>
                </w:p>
              </w:tc>
              <w:tc>
                <w:tcPr>
                  <w:tcW w:w="1764" w:type="dxa"/>
                </w:tcPr>
                <w:p w14:paraId="4E6F818E">
                  <w:pPr>
                    <w:spacing w:line="280" w:lineRule="exact"/>
                    <w:rPr>
                      <w:color w:val="000000" w:themeColor="text1"/>
                      <w:szCs w:val="21"/>
                      <w:highlight w:val="none"/>
                      <w14:textFill>
                        <w14:solidFill>
                          <w14:schemeClr w14:val="tx1"/>
                        </w14:solidFill>
                      </w14:textFill>
                    </w:rPr>
                  </w:pPr>
                </w:p>
              </w:tc>
              <w:tc>
                <w:tcPr>
                  <w:tcW w:w="2240" w:type="dxa"/>
                </w:tcPr>
                <w:p w14:paraId="3E9108A9">
                  <w:pPr>
                    <w:spacing w:line="280" w:lineRule="exact"/>
                    <w:rPr>
                      <w:color w:val="000000" w:themeColor="text1"/>
                      <w:szCs w:val="21"/>
                      <w:highlight w:val="none"/>
                      <w14:textFill>
                        <w14:solidFill>
                          <w14:schemeClr w14:val="tx1"/>
                        </w14:solidFill>
                      </w14:textFill>
                    </w:rPr>
                  </w:pPr>
                </w:p>
              </w:tc>
              <w:tc>
                <w:tcPr>
                  <w:tcW w:w="1080" w:type="dxa"/>
                </w:tcPr>
                <w:p w14:paraId="0F5BBAD4">
                  <w:pPr>
                    <w:spacing w:line="280" w:lineRule="exact"/>
                    <w:rPr>
                      <w:color w:val="000000" w:themeColor="text1"/>
                      <w:szCs w:val="21"/>
                      <w:highlight w:val="none"/>
                      <w14:textFill>
                        <w14:solidFill>
                          <w14:schemeClr w14:val="tx1"/>
                        </w14:solidFill>
                      </w14:textFill>
                    </w:rPr>
                  </w:pPr>
                </w:p>
              </w:tc>
            </w:tr>
          </w:tbl>
          <w:p w14:paraId="1B7FF1B9">
            <w:pPr>
              <w:wordWrap w:val="0"/>
              <w:spacing w:line="400" w:lineRule="exact"/>
              <w:ind w:right="420"/>
              <w:rPr>
                <w:color w:val="000000" w:themeColor="text1"/>
                <w:szCs w:val="21"/>
                <w:highlight w:val="none"/>
                <w14:textFill>
                  <w14:solidFill>
                    <w14:schemeClr w14:val="tx1"/>
                  </w14:solidFill>
                </w14:textFill>
              </w:rPr>
            </w:pPr>
          </w:p>
          <w:p w14:paraId="1F40ED15">
            <w:pPr>
              <w:wordWrap w:val="0"/>
              <w:spacing w:line="400" w:lineRule="exact"/>
              <w:ind w:right="42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                                            承包人（章）             </w:t>
            </w:r>
          </w:p>
          <w:p w14:paraId="5EEF1A97">
            <w:pPr>
              <w:spacing w:line="400" w:lineRule="exact"/>
              <w:ind w:right="420" w:firstLine="435"/>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造价人员承包人代表日      期</w:t>
            </w:r>
          </w:p>
        </w:tc>
      </w:tr>
      <w:tr w14:paraId="6423F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488" w:type="dxa"/>
          </w:tcPr>
          <w:p w14:paraId="4E154255">
            <w:pPr>
              <w:spacing w:line="36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复核意见：</w:t>
            </w:r>
          </w:p>
          <w:p w14:paraId="24973DC2">
            <w:pPr>
              <w:spacing w:line="360" w:lineRule="exact"/>
              <w:ind w:firstLine="312"/>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□与合同约定不相符，修改意见见附件。</w:t>
            </w:r>
          </w:p>
          <w:p w14:paraId="3EE5657E">
            <w:pPr>
              <w:spacing w:line="360" w:lineRule="exact"/>
              <w:ind w:firstLine="312"/>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□与合同约定相符，具体金额由造价工程师复核。</w:t>
            </w:r>
          </w:p>
          <w:p w14:paraId="40DE0BE1">
            <w:pPr>
              <w:spacing w:line="360" w:lineRule="exact"/>
              <w:ind w:firstLine="435"/>
              <w:jc w:val="right"/>
              <w:rPr>
                <w:color w:val="000000" w:themeColor="text1"/>
                <w:szCs w:val="21"/>
                <w:highlight w:val="none"/>
                <w14:textFill>
                  <w14:solidFill>
                    <w14:schemeClr w14:val="tx1"/>
                  </w14:solidFill>
                </w14:textFill>
              </w:rPr>
            </w:pPr>
          </w:p>
          <w:p w14:paraId="4141E1DE">
            <w:pPr>
              <w:spacing w:line="360" w:lineRule="exact"/>
              <w:ind w:firstLine="435"/>
              <w:jc w:val="center"/>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     监理工程师</w:t>
            </w:r>
          </w:p>
          <w:p w14:paraId="38A24359">
            <w:pPr>
              <w:spacing w:line="360" w:lineRule="exact"/>
              <w:ind w:firstLine="435"/>
              <w:jc w:val="center"/>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    日      期</w:t>
            </w:r>
          </w:p>
        </w:tc>
        <w:tc>
          <w:tcPr>
            <w:tcW w:w="4697" w:type="dxa"/>
          </w:tcPr>
          <w:p w14:paraId="3A6E4BF3">
            <w:pPr>
              <w:spacing w:line="36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复核意见：</w:t>
            </w:r>
          </w:p>
          <w:p w14:paraId="5B5F04D3">
            <w:pPr>
              <w:spacing w:line="360" w:lineRule="exact"/>
              <w:ind w:firstLine="435"/>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你方提出的支付申请经复核，应支付预付款金额为(大写)元，（小写）</w:t>
            </w:r>
          </w:p>
          <w:p w14:paraId="4456E4C3">
            <w:pPr>
              <w:spacing w:line="36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 元。</w:t>
            </w:r>
          </w:p>
          <w:p w14:paraId="7CF84229">
            <w:pPr>
              <w:spacing w:line="360" w:lineRule="exact"/>
              <w:rPr>
                <w:color w:val="000000" w:themeColor="text1"/>
                <w:szCs w:val="21"/>
                <w:highlight w:val="none"/>
                <w:u w:val="single"/>
                <w14:textFill>
                  <w14:solidFill>
                    <w14:schemeClr w14:val="tx1"/>
                  </w14:solidFill>
                </w14:textFill>
              </w:rPr>
            </w:pPr>
          </w:p>
          <w:p w14:paraId="3CC1AEB7">
            <w:pPr>
              <w:spacing w:line="360" w:lineRule="exact"/>
              <w:ind w:firstLine="435"/>
              <w:jc w:val="center"/>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    造价工程师</w:t>
            </w:r>
          </w:p>
          <w:p w14:paraId="5DDA2D57">
            <w:pPr>
              <w:spacing w:line="360" w:lineRule="exact"/>
              <w:ind w:firstLine="435"/>
              <w:jc w:val="center"/>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    日      期</w:t>
            </w:r>
          </w:p>
        </w:tc>
      </w:tr>
      <w:tr w14:paraId="22C50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185" w:type="dxa"/>
            <w:gridSpan w:val="2"/>
          </w:tcPr>
          <w:p w14:paraId="576A59C1">
            <w:pPr>
              <w:spacing w:line="40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审核意见：</w:t>
            </w:r>
          </w:p>
          <w:p w14:paraId="1220F15E">
            <w:pPr>
              <w:spacing w:line="400" w:lineRule="exact"/>
              <w:ind w:firstLine="435"/>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□不同意。</w:t>
            </w:r>
          </w:p>
          <w:p w14:paraId="3D61D86C">
            <w:pPr>
              <w:spacing w:line="400" w:lineRule="exac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□同意，支付时间为本表签发后的15天内。</w:t>
            </w:r>
          </w:p>
          <w:p w14:paraId="7FD4FE93">
            <w:pPr>
              <w:wordWrap w:val="0"/>
              <w:spacing w:line="400" w:lineRule="exact"/>
              <w:ind w:firstLine="420" w:firstLineChars="200"/>
              <w:jc w:val="righ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发包人（章）           </w:t>
            </w:r>
          </w:p>
          <w:p w14:paraId="10D6A165">
            <w:pPr>
              <w:wordWrap w:val="0"/>
              <w:spacing w:line="400" w:lineRule="exact"/>
              <w:ind w:firstLine="420" w:firstLineChars="200"/>
              <w:jc w:val="right"/>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发包人代表</w:t>
            </w:r>
          </w:p>
          <w:p w14:paraId="3D0D47E8">
            <w:pPr>
              <w:wordWrap w:val="0"/>
              <w:spacing w:line="400" w:lineRule="exact"/>
              <w:ind w:firstLine="420" w:firstLineChars="200"/>
              <w:jc w:val="right"/>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日      期</w:t>
            </w:r>
          </w:p>
        </w:tc>
      </w:tr>
    </w:tbl>
    <w:p w14:paraId="4870BC79">
      <w:pPr>
        <w:spacing w:before="156" w:beforeLines="50"/>
        <w:ind w:firstLine="360" w:firstLineChars="200"/>
        <w:rPr>
          <w:color w:val="000000" w:themeColor="text1"/>
          <w:sz w:val="18"/>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 xml:space="preserve">注：1.在选择栏中的“□”内作标识“√”。 </w:t>
      </w:r>
    </w:p>
    <w:p w14:paraId="7327F3CD">
      <w:pPr>
        <w:spacing w:before="156" w:beforeLines="50"/>
        <w:ind w:left="720" w:hanging="720" w:hangingChars="400"/>
        <w:rPr>
          <w:rFonts w:eastAsia="仿宋_GB2312"/>
          <w:color w:val="000000" w:themeColor="text1"/>
          <w:sz w:val="30"/>
          <w:szCs w:val="30"/>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 xml:space="preserve">  2.本表一式四份，由承包人填报，发包人、监理人、造价咨询人、承包人各存一份。</w:t>
      </w:r>
    </w:p>
    <w:p w14:paraId="6CDB4E6F">
      <w:pPr>
        <w:spacing w:before="156" w:beforeLines="50"/>
        <w:ind w:left="1200" w:hanging="1200" w:hangingChars="400"/>
        <w:rPr>
          <w:rFonts w:eastAsia="仿宋_GB2312"/>
          <w:color w:val="000000" w:themeColor="text1"/>
          <w:sz w:val="30"/>
          <w:szCs w:val="30"/>
          <w:highlight w:val="none"/>
          <w14:textFill>
            <w14:solidFill>
              <w14:schemeClr w14:val="tx1"/>
            </w14:solidFill>
          </w14:textFill>
        </w:rPr>
      </w:pPr>
      <w:r>
        <w:rPr>
          <w:rFonts w:hint="eastAsia" w:eastAsia="仿宋_GB2312"/>
          <w:color w:val="000000" w:themeColor="text1"/>
          <w:sz w:val="30"/>
          <w:szCs w:val="30"/>
          <w:highlight w:val="none"/>
          <w14:textFill>
            <w14:solidFill>
              <w14:schemeClr w14:val="tx1"/>
            </w14:solidFill>
          </w14:textFill>
        </w:rPr>
        <w:t>附件11：</w:t>
      </w:r>
    </w:p>
    <w:p w14:paraId="6EC51071">
      <w:pPr>
        <w:jc w:val="center"/>
        <w:rPr>
          <w:b/>
          <w:color w:val="000000" w:themeColor="text1"/>
          <w:sz w:val="36"/>
          <w:szCs w:val="36"/>
          <w:highlight w:val="none"/>
          <w14:textFill>
            <w14:solidFill>
              <w14:schemeClr w14:val="tx1"/>
            </w14:solidFill>
          </w14:textFill>
        </w:rPr>
      </w:pPr>
      <w:r>
        <w:rPr>
          <w:rFonts w:hint="eastAsia"/>
          <w:b/>
          <w:color w:val="000000" w:themeColor="text1"/>
          <w:sz w:val="36"/>
          <w:szCs w:val="36"/>
          <w:highlight w:val="none"/>
          <w14:textFill>
            <w14:solidFill>
              <w14:schemeClr w14:val="tx1"/>
            </w14:solidFill>
          </w14:textFill>
        </w:rPr>
        <w:t>进度款支付申请（核准）表</w:t>
      </w:r>
    </w:p>
    <w:p w14:paraId="48C16A1F">
      <w:pP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工程名称：                                             编号：</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0"/>
        <w:gridCol w:w="4552"/>
      </w:tblGrid>
      <w:tr w14:paraId="4C9F5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072" w:type="dxa"/>
            <w:gridSpan w:val="2"/>
          </w:tcPr>
          <w:p w14:paraId="55946758">
            <w:pPr>
              <w:spacing w:line="480" w:lineRule="exact"/>
              <w:ind w:left="525" w:leftChars="149" w:hanging="212" w:hangingChars="101"/>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致：</w:t>
            </w:r>
            <w:r>
              <w:rPr>
                <w:rFonts w:hint="eastAsia"/>
                <w:color w:val="000000" w:themeColor="text1"/>
                <w:szCs w:val="21"/>
                <w:highlight w:val="none"/>
                <w:u w:val="single"/>
                <w14:textFill>
                  <w14:solidFill>
                    <w14:schemeClr w14:val="tx1"/>
                  </w14:solidFill>
                </w14:textFill>
              </w:rPr>
              <w:t xml:space="preserve">                                   （发包人全称）</w:t>
            </w:r>
          </w:p>
          <w:p w14:paraId="2A6BA427">
            <w:pPr>
              <w:spacing w:line="400" w:lineRule="exact"/>
              <w:ind w:left="-4" w:leftChars="-2" w:firstLine="315" w:firstLineChars="15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我方于至期间已完成了工作，根据施工合同的约定，现申请支付本期的合同款额为(大写)元，(小写)元，请予核准。</w:t>
            </w:r>
          </w:p>
          <w:tbl>
            <w:tblPr>
              <w:tblStyle w:val="44"/>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340"/>
              <w:gridCol w:w="1340"/>
              <w:gridCol w:w="1440"/>
              <w:gridCol w:w="1260"/>
              <w:gridCol w:w="931"/>
            </w:tblGrid>
            <w:tr w14:paraId="7847A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vAlign w:val="center"/>
                </w:tcPr>
                <w:p w14:paraId="6DF7EBA8">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序号</w:t>
                  </w:r>
                </w:p>
              </w:tc>
              <w:tc>
                <w:tcPr>
                  <w:tcW w:w="3340" w:type="dxa"/>
                  <w:vAlign w:val="center"/>
                </w:tcPr>
                <w:p w14:paraId="11FB17A6">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名      称</w:t>
                  </w:r>
                </w:p>
              </w:tc>
              <w:tc>
                <w:tcPr>
                  <w:tcW w:w="1340" w:type="dxa"/>
                  <w:vAlign w:val="center"/>
                </w:tcPr>
                <w:p w14:paraId="672FAA30">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实际金额（元）</w:t>
                  </w:r>
                </w:p>
              </w:tc>
              <w:tc>
                <w:tcPr>
                  <w:tcW w:w="1440" w:type="dxa"/>
                  <w:vAlign w:val="center"/>
                </w:tcPr>
                <w:p w14:paraId="60F78583">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申请金额（元）</w:t>
                  </w:r>
                </w:p>
              </w:tc>
              <w:tc>
                <w:tcPr>
                  <w:tcW w:w="1260" w:type="dxa"/>
                  <w:vAlign w:val="center"/>
                </w:tcPr>
                <w:p w14:paraId="630A92BC">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复核金额（元）</w:t>
                  </w:r>
                </w:p>
              </w:tc>
              <w:tc>
                <w:tcPr>
                  <w:tcW w:w="931" w:type="dxa"/>
                  <w:vAlign w:val="center"/>
                </w:tcPr>
                <w:p w14:paraId="012BA062">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备注</w:t>
                  </w:r>
                </w:p>
              </w:tc>
            </w:tr>
            <w:tr w14:paraId="0C78A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3DE5F0CA">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w:t>
                  </w:r>
                </w:p>
              </w:tc>
              <w:tc>
                <w:tcPr>
                  <w:tcW w:w="3340" w:type="dxa"/>
                </w:tcPr>
                <w:p w14:paraId="23F88FF2">
                  <w:pPr>
                    <w:spacing w:line="28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累计已完成的工程价款</w:t>
                  </w:r>
                </w:p>
              </w:tc>
              <w:tc>
                <w:tcPr>
                  <w:tcW w:w="1340" w:type="dxa"/>
                </w:tcPr>
                <w:p w14:paraId="7B29F236">
                  <w:pPr>
                    <w:spacing w:line="280" w:lineRule="exact"/>
                    <w:rPr>
                      <w:color w:val="000000" w:themeColor="text1"/>
                      <w:szCs w:val="21"/>
                      <w:highlight w:val="none"/>
                      <w14:textFill>
                        <w14:solidFill>
                          <w14:schemeClr w14:val="tx1"/>
                        </w14:solidFill>
                      </w14:textFill>
                    </w:rPr>
                  </w:pPr>
                </w:p>
              </w:tc>
              <w:tc>
                <w:tcPr>
                  <w:tcW w:w="1440" w:type="dxa"/>
                </w:tcPr>
                <w:p w14:paraId="4D0A0B75">
                  <w:pPr>
                    <w:spacing w:line="280" w:lineRule="exact"/>
                    <w:rPr>
                      <w:color w:val="000000" w:themeColor="text1"/>
                      <w:szCs w:val="21"/>
                      <w:highlight w:val="none"/>
                      <w14:textFill>
                        <w14:solidFill>
                          <w14:schemeClr w14:val="tx1"/>
                        </w14:solidFill>
                      </w14:textFill>
                    </w:rPr>
                  </w:pPr>
                </w:p>
              </w:tc>
              <w:tc>
                <w:tcPr>
                  <w:tcW w:w="1260" w:type="dxa"/>
                </w:tcPr>
                <w:p w14:paraId="1FC7DA25">
                  <w:pPr>
                    <w:spacing w:line="280" w:lineRule="exact"/>
                    <w:rPr>
                      <w:color w:val="000000" w:themeColor="text1"/>
                      <w:szCs w:val="21"/>
                      <w:highlight w:val="none"/>
                      <w14:textFill>
                        <w14:solidFill>
                          <w14:schemeClr w14:val="tx1"/>
                        </w14:solidFill>
                      </w14:textFill>
                    </w:rPr>
                  </w:pPr>
                </w:p>
              </w:tc>
              <w:tc>
                <w:tcPr>
                  <w:tcW w:w="931" w:type="dxa"/>
                </w:tcPr>
                <w:p w14:paraId="5B913D8C">
                  <w:pPr>
                    <w:spacing w:line="280" w:lineRule="exact"/>
                    <w:rPr>
                      <w:color w:val="000000" w:themeColor="text1"/>
                      <w:szCs w:val="21"/>
                      <w:highlight w:val="none"/>
                      <w14:textFill>
                        <w14:solidFill>
                          <w14:schemeClr w14:val="tx1"/>
                        </w14:solidFill>
                      </w14:textFill>
                    </w:rPr>
                  </w:pPr>
                </w:p>
              </w:tc>
            </w:tr>
            <w:tr w14:paraId="1BB51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5B702600">
                  <w:pPr>
                    <w:spacing w:line="280" w:lineRule="exact"/>
                    <w:jc w:val="center"/>
                    <w:rPr>
                      <w:color w:val="000000" w:themeColor="text1"/>
                      <w:szCs w:val="21"/>
                      <w:highlight w:val="none"/>
                      <w14:textFill>
                        <w14:solidFill>
                          <w14:schemeClr w14:val="tx1"/>
                        </w14:solidFill>
                      </w14:textFill>
                    </w:rPr>
                  </w:pPr>
                </w:p>
              </w:tc>
              <w:tc>
                <w:tcPr>
                  <w:tcW w:w="3340" w:type="dxa"/>
                </w:tcPr>
                <w:p w14:paraId="526CBA60">
                  <w:pPr>
                    <w:spacing w:line="28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其中：人工费</w:t>
                  </w:r>
                </w:p>
              </w:tc>
              <w:tc>
                <w:tcPr>
                  <w:tcW w:w="1340" w:type="dxa"/>
                </w:tcPr>
                <w:p w14:paraId="1AB810E1">
                  <w:pPr>
                    <w:spacing w:line="280" w:lineRule="exact"/>
                    <w:rPr>
                      <w:color w:val="000000" w:themeColor="text1"/>
                      <w:szCs w:val="21"/>
                      <w:highlight w:val="none"/>
                      <w14:textFill>
                        <w14:solidFill>
                          <w14:schemeClr w14:val="tx1"/>
                        </w14:solidFill>
                      </w14:textFill>
                    </w:rPr>
                  </w:pPr>
                </w:p>
              </w:tc>
              <w:tc>
                <w:tcPr>
                  <w:tcW w:w="1440" w:type="dxa"/>
                </w:tcPr>
                <w:p w14:paraId="3A44358D">
                  <w:pPr>
                    <w:spacing w:line="280" w:lineRule="exact"/>
                    <w:rPr>
                      <w:color w:val="000000" w:themeColor="text1"/>
                      <w:szCs w:val="21"/>
                      <w:highlight w:val="none"/>
                      <w14:textFill>
                        <w14:solidFill>
                          <w14:schemeClr w14:val="tx1"/>
                        </w14:solidFill>
                      </w14:textFill>
                    </w:rPr>
                  </w:pPr>
                </w:p>
              </w:tc>
              <w:tc>
                <w:tcPr>
                  <w:tcW w:w="1260" w:type="dxa"/>
                </w:tcPr>
                <w:p w14:paraId="469539DD">
                  <w:pPr>
                    <w:spacing w:line="280" w:lineRule="exact"/>
                    <w:rPr>
                      <w:color w:val="000000" w:themeColor="text1"/>
                      <w:szCs w:val="21"/>
                      <w:highlight w:val="none"/>
                      <w14:textFill>
                        <w14:solidFill>
                          <w14:schemeClr w14:val="tx1"/>
                        </w14:solidFill>
                      </w14:textFill>
                    </w:rPr>
                  </w:pPr>
                </w:p>
              </w:tc>
              <w:tc>
                <w:tcPr>
                  <w:tcW w:w="931" w:type="dxa"/>
                </w:tcPr>
                <w:p w14:paraId="544970A3">
                  <w:pPr>
                    <w:spacing w:line="280" w:lineRule="exact"/>
                    <w:rPr>
                      <w:color w:val="000000" w:themeColor="text1"/>
                      <w:szCs w:val="21"/>
                      <w:highlight w:val="none"/>
                      <w14:textFill>
                        <w14:solidFill>
                          <w14:schemeClr w14:val="tx1"/>
                        </w14:solidFill>
                      </w14:textFill>
                    </w:rPr>
                  </w:pPr>
                </w:p>
              </w:tc>
            </w:tr>
            <w:tr w14:paraId="79B96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4FA42F2F">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w:t>
                  </w:r>
                </w:p>
              </w:tc>
              <w:tc>
                <w:tcPr>
                  <w:tcW w:w="3340" w:type="dxa"/>
                </w:tcPr>
                <w:p w14:paraId="67830781">
                  <w:pPr>
                    <w:spacing w:line="28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累计已实际支付的工程价款</w:t>
                  </w:r>
                </w:p>
              </w:tc>
              <w:tc>
                <w:tcPr>
                  <w:tcW w:w="1340" w:type="dxa"/>
                </w:tcPr>
                <w:p w14:paraId="76CDC866">
                  <w:pPr>
                    <w:spacing w:line="280" w:lineRule="exact"/>
                    <w:rPr>
                      <w:color w:val="000000" w:themeColor="text1"/>
                      <w:szCs w:val="21"/>
                      <w:highlight w:val="none"/>
                      <w14:textFill>
                        <w14:solidFill>
                          <w14:schemeClr w14:val="tx1"/>
                        </w14:solidFill>
                      </w14:textFill>
                    </w:rPr>
                  </w:pPr>
                </w:p>
              </w:tc>
              <w:tc>
                <w:tcPr>
                  <w:tcW w:w="1440" w:type="dxa"/>
                </w:tcPr>
                <w:p w14:paraId="389ED938">
                  <w:pPr>
                    <w:spacing w:line="280" w:lineRule="exact"/>
                    <w:rPr>
                      <w:color w:val="000000" w:themeColor="text1"/>
                      <w:szCs w:val="21"/>
                      <w:highlight w:val="none"/>
                      <w14:textFill>
                        <w14:solidFill>
                          <w14:schemeClr w14:val="tx1"/>
                        </w14:solidFill>
                      </w14:textFill>
                    </w:rPr>
                  </w:pPr>
                </w:p>
              </w:tc>
              <w:tc>
                <w:tcPr>
                  <w:tcW w:w="1260" w:type="dxa"/>
                </w:tcPr>
                <w:p w14:paraId="766DE9D6">
                  <w:pPr>
                    <w:spacing w:line="280" w:lineRule="exact"/>
                    <w:rPr>
                      <w:color w:val="000000" w:themeColor="text1"/>
                      <w:szCs w:val="21"/>
                      <w:highlight w:val="none"/>
                      <w14:textFill>
                        <w14:solidFill>
                          <w14:schemeClr w14:val="tx1"/>
                        </w14:solidFill>
                      </w14:textFill>
                    </w:rPr>
                  </w:pPr>
                </w:p>
              </w:tc>
              <w:tc>
                <w:tcPr>
                  <w:tcW w:w="931" w:type="dxa"/>
                </w:tcPr>
                <w:p w14:paraId="720AEEE9">
                  <w:pPr>
                    <w:spacing w:line="280" w:lineRule="exact"/>
                    <w:rPr>
                      <w:color w:val="000000" w:themeColor="text1"/>
                      <w:szCs w:val="21"/>
                      <w:highlight w:val="none"/>
                      <w14:textFill>
                        <w14:solidFill>
                          <w14:schemeClr w14:val="tx1"/>
                        </w14:solidFill>
                      </w14:textFill>
                    </w:rPr>
                  </w:pPr>
                </w:p>
              </w:tc>
            </w:tr>
            <w:tr w14:paraId="2D4D4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3E5CEE06">
                  <w:pPr>
                    <w:spacing w:line="280" w:lineRule="exact"/>
                    <w:jc w:val="center"/>
                    <w:rPr>
                      <w:color w:val="000000" w:themeColor="text1"/>
                      <w:szCs w:val="21"/>
                      <w:highlight w:val="none"/>
                      <w14:textFill>
                        <w14:solidFill>
                          <w14:schemeClr w14:val="tx1"/>
                        </w14:solidFill>
                      </w14:textFill>
                    </w:rPr>
                  </w:pPr>
                </w:p>
              </w:tc>
              <w:tc>
                <w:tcPr>
                  <w:tcW w:w="3340" w:type="dxa"/>
                </w:tcPr>
                <w:p w14:paraId="36067F1D">
                  <w:pPr>
                    <w:spacing w:line="28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其中：人工费</w:t>
                  </w:r>
                </w:p>
              </w:tc>
              <w:tc>
                <w:tcPr>
                  <w:tcW w:w="1340" w:type="dxa"/>
                </w:tcPr>
                <w:p w14:paraId="6E8E7CA1">
                  <w:pPr>
                    <w:spacing w:line="280" w:lineRule="exact"/>
                    <w:rPr>
                      <w:color w:val="000000" w:themeColor="text1"/>
                      <w:szCs w:val="21"/>
                      <w:highlight w:val="none"/>
                      <w14:textFill>
                        <w14:solidFill>
                          <w14:schemeClr w14:val="tx1"/>
                        </w14:solidFill>
                      </w14:textFill>
                    </w:rPr>
                  </w:pPr>
                </w:p>
              </w:tc>
              <w:tc>
                <w:tcPr>
                  <w:tcW w:w="1440" w:type="dxa"/>
                </w:tcPr>
                <w:p w14:paraId="1C78EC5B">
                  <w:pPr>
                    <w:spacing w:line="280" w:lineRule="exact"/>
                    <w:rPr>
                      <w:color w:val="000000" w:themeColor="text1"/>
                      <w:szCs w:val="21"/>
                      <w:highlight w:val="none"/>
                      <w14:textFill>
                        <w14:solidFill>
                          <w14:schemeClr w14:val="tx1"/>
                        </w14:solidFill>
                      </w14:textFill>
                    </w:rPr>
                  </w:pPr>
                </w:p>
              </w:tc>
              <w:tc>
                <w:tcPr>
                  <w:tcW w:w="1260" w:type="dxa"/>
                </w:tcPr>
                <w:p w14:paraId="1114CCA9">
                  <w:pPr>
                    <w:spacing w:line="280" w:lineRule="exact"/>
                    <w:rPr>
                      <w:color w:val="000000" w:themeColor="text1"/>
                      <w:szCs w:val="21"/>
                      <w:highlight w:val="none"/>
                      <w14:textFill>
                        <w14:solidFill>
                          <w14:schemeClr w14:val="tx1"/>
                        </w14:solidFill>
                      </w14:textFill>
                    </w:rPr>
                  </w:pPr>
                </w:p>
              </w:tc>
              <w:tc>
                <w:tcPr>
                  <w:tcW w:w="931" w:type="dxa"/>
                </w:tcPr>
                <w:p w14:paraId="3DBDC6C5">
                  <w:pPr>
                    <w:spacing w:line="280" w:lineRule="exact"/>
                    <w:rPr>
                      <w:color w:val="000000" w:themeColor="text1"/>
                      <w:szCs w:val="21"/>
                      <w:highlight w:val="none"/>
                      <w14:textFill>
                        <w14:solidFill>
                          <w14:schemeClr w14:val="tx1"/>
                        </w14:solidFill>
                      </w14:textFill>
                    </w:rPr>
                  </w:pPr>
                </w:p>
              </w:tc>
            </w:tr>
            <w:tr w14:paraId="3B5E9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159A8009">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w:t>
                  </w:r>
                </w:p>
              </w:tc>
              <w:tc>
                <w:tcPr>
                  <w:tcW w:w="3340" w:type="dxa"/>
                </w:tcPr>
                <w:p w14:paraId="6D3BAF84">
                  <w:pPr>
                    <w:spacing w:line="28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本周期已完成的工程价款</w:t>
                  </w:r>
                </w:p>
              </w:tc>
              <w:tc>
                <w:tcPr>
                  <w:tcW w:w="1340" w:type="dxa"/>
                </w:tcPr>
                <w:p w14:paraId="775BB2D9">
                  <w:pPr>
                    <w:spacing w:line="280" w:lineRule="exact"/>
                    <w:rPr>
                      <w:color w:val="000000" w:themeColor="text1"/>
                      <w:szCs w:val="21"/>
                      <w:highlight w:val="none"/>
                      <w14:textFill>
                        <w14:solidFill>
                          <w14:schemeClr w14:val="tx1"/>
                        </w14:solidFill>
                      </w14:textFill>
                    </w:rPr>
                  </w:pPr>
                </w:p>
              </w:tc>
              <w:tc>
                <w:tcPr>
                  <w:tcW w:w="1440" w:type="dxa"/>
                </w:tcPr>
                <w:p w14:paraId="29276942">
                  <w:pPr>
                    <w:spacing w:line="280" w:lineRule="exact"/>
                    <w:rPr>
                      <w:color w:val="000000" w:themeColor="text1"/>
                      <w:szCs w:val="21"/>
                      <w:highlight w:val="none"/>
                      <w14:textFill>
                        <w14:solidFill>
                          <w14:schemeClr w14:val="tx1"/>
                        </w14:solidFill>
                      </w14:textFill>
                    </w:rPr>
                  </w:pPr>
                </w:p>
              </w:tc>
              <w:tc>
                <w:tcPr>
                  <w:tcW w:w="1260" w:type="dxa"/>
                </w:tcPr>
                <w:p w14:paraId="3C5FE798">
                  <w:pPr>
                    <w:spacing w:line="280" w:lineRule="exact"/>
                    <w:rPr>
                      <w:color w:val="000000" w:themeColor="text1"/>
                      <w:szCs w:val="21"/>
                      <w:highlight w:val="none"/>
                      <w14:textFill>
                        <w14:solidFill>
                          <w14:schemeClr w14:val="tx1"/>
                        </w14:solidFill>
                      </w14:textFill>
                    </w:rPr>
                  </w:pPr>
                </w:p>
              </w:tc>
              <w:tc>
                <w:tcPr>
                  <w:tcW w:w="931" w:type="dxa"/>
                </w:tcPr>
                <w:p w14:paraId="2C0CE7A4">
                  <w:pPr>
                    <w:spacing w:line="280" w:lineRule="exact"/>
                    <w:rPr>
                      <w:color w:val="000000" w:themeColor="text1"/>
                      <w:szCs w:val="21"/>
                      <w:highlight w:val="none"/>
                      <w14:textFill>
                        <w14:solidFill>
                          <w14:schemeClr w14:val="tx1"/>
                        </w14:solidFill>
                      </w14:textFill>
                    </w:rPr>
                  </w:pPr>
                </w:p>
              </w:tc>
            </w:tr>
            <w:tr w14:paraId="3C4F6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179D5745">
                  <w:pPr>
                    <w:spacing w:line="280" w:lineRule="exact"/>
                    <w:jc w:val="center"/>
                    <w:rPr>
                      <w:color w:val="000000" w:themeColor="text1"/>
                      <w:szCs w:val="21"/>
                      <w:highlight w:val="none"/>
                      <w14:textFill>
                        <w14:solidFill>
                          <w14:schemeClr w14:val="tx1"/>
                        </w14:solidFill>
                      </w14:textFill>
                    </w:rPr>
                  </w:pPr>
                </w:p>
              </w:tc>
              <w:tc>
                <w:tcPr>
                  <w:tcW w:w="3340" w:type="dxa"/>
                </w:tcPr>
                <w:p w14:paraId="15FE384B">
                  <w:pPr>
                    <w:spacing w:line="28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其中：人工费</w:t>
                  </w:r>
                </w:p>
              </w:tc>
              <w:tc>
                <w:tcPr>
                  <w:tcW w:w="1340" w:type="dxa"/>
                </w:tcPr>
                <w:p w14:paraId="46601EB0">
                  <w:pPr>
                    <w:spacing w:line="280" w:lineRule="exact"/>
                    <w:rPr>
                      <w:color w:val="000000" w:themeColor="text1"/>
                      <w:szCs w:val="21"/>
                      <w:highlight w:val="none"/>
                      <w14:textFill>
                        <w14:solidFill>
                          <w14:schemeClr w14:val="tx1"/>
                        </w14:solidFill>
                      </w14:textFill>
                    </w:rPr>
                  </w:pPr>
                </w:p>
              </w:tc>
              <w:tc>
                <w:tcPr>
                  <w:tcW w:w="1440" w:type="dxa"/>
                </w:tcPr>
                <w:p w14:paraId="1A69441F">
                  <w:pPr>
                    <w:spacing w:line="280" w:lineRule="exact"/>
                    <w:rPr>
                      <w:color w:val="000000" w:themeColor="text1"/>
                      <w:szCs w:val="21"/>
                      <w:highlight w:val="none"/>
                      <w14:textFill>
                        <w14:solidFill>
                          <w14:schemeClr w14:val="tx1"/>
                        </w14:solidFill>
                      </w14:textFill>
                    </w:rPr>
                  </w:pPr>
                </w:p>
              </w:tc>
              <w:tc>
                <w:tcPr>
                  <w:tcW w:w="1260" w:type="dxa"/>
                </w:tcPr>
                <w:p w14:paraId="1827C92D">
                  <w:pPr>
                    <w:spacing w:line="280" w:lineRule="exact"/>
                    <w:rPr>
                      <w:color w:val="000000" w:themeColor="text1"/>
                      <w:szCs w:val="21"/>
                      <w:highlight w:val="none"/>
                      <w14:textFill>
                        <w14:solidFill>
                          <w14:schemeClr w14:val="tx1"/>
                        </w14:solidFill>
                      </w14:textFill>
                    </w:rPr>
                  </w:pPr>
                </w:p>
              </w:tc>
              <w:tc>
                <w:tcPr>
                  <w:tcW w:w="931" w:type="dxa"/>
                </w:tcPr>
                <w:p w14:paraId="273E0078">
                  <w:pPr>
                    <w:spacing w:line="280" w:lineRule="exact"/>
                    <w:rPr>
                      <w:color w:val="000000" w:themeColor="text1"/>
                      <w:szCs w:val="21"/>
                      <w:highlight w:val="none"/>
                      <w14:textFill>
                        <w14:solidFill>
                          <w14:schemeClr w14:val="tx1"/>
                        </w14:solidFill>
                      </w14:textFill>
                    </w:rPr>
                  </w:pPr>
                </w:p>
              </w:tc>
            </w:tr>
            <w:tr w14:paraId="76C07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555A20F6">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w:t>
                  </w:r>
                </w:p>
              </w:tc>
              <w:tc>
                <w:tcPr>
                  <w:tcW w:w="3340" w:type="dxa"/>
                </w:tcPr>
                <w:p w14:paraId="2C805008">
                  <w:pPr>
                    <w:spacing w:line="28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本周期应扣减的金额</w:t>
                  </w:r>
                </w:p>
              </w:tc>
              <w:tc>
                <w:tcPr>
                  <w:tcW w:w="1340" w:type="dxa"/>
                </w:tcPr>
                <w:p w14:paraId="54F9E686">
                  <w:pPr>
                    <w:spacing w:line="280" w:lineRule="exact"/>
                    <w:rPr>
                      <w:color w:val="000000" w:themeColor="text1"/>
                      <w:szCs w:val="21"/>
                      <w:highlight w:val="none"/>
                      <w14:textFill>
                        <w14:solidFill>
                          <w14:schemeClr w14:val="tx1"/>
                        </w14:solidFill>
                      </w14:textFill>
                    </w:rPr>
                  </w:pPr>
                </w:p>
              </w:tc>
              <w:tc>
                <w:tcPr>
                  <w:tcW w:w="1440" w:type="dxa"/>
                </w:tcPr>
                <w:p w14:paraId="06D9AE9C">
                  <w:pPr>
                    <w:spacing w:line="280" w:lineRule="exact"/>
                    <w:rPr>
                      <w:color w:val="000000" w:themeColor="text1"/>
                      <w:szCs w:val="21"/>
                      <w:highlight w:val="none"/>
                      <w14:textFill>
                        <w14:solidFill>
                          <w14:schemeClr w14:val="tx1"/>
                        </w14:solidFill>
                      </w14:textFill>
                    </w:rPr>
                  </w:pPr>
                </w:p>
              </w:tc>
              <w:tc>
                <w:tcPr>
                  <w:tcW w:w="1260" w:type="dxa"/>
                </w:tcPr>
                <w:p w14:paraId="5804E6FA">
                  <w:pPr>
                    <w:spacing w:line="280" w:lineRule="exact"/>
                    <w:rPr>
                      <w:color w:val="000000" w:themeColor="text1"/>
                      <w:szCs w:val="21"/>
                      <w:highlight w:val="none"/>
                      <w14:textFill>
                        <w14:solidFill>
                          <w14:schemeClr w14:val="tx1"/>
                        </w14:solidFill>
                      </w14:textFill>
                    </w:rPr>
                  </w:pPr>
                </w:p>
              </w:tc>
              <w:tc>
                <w:tcPr>
                  <w:tcW w:w="931" w:type="dxa"/>
                </w:tcPr>
                <w:p w14:paraId="335B85D9">
                  <w:pPr>
                    <w:spacing w:line="280" w:lineRule="exact"/>
                    <w:rPr>
                      <w:color w:val="000000" w:themeColor="text1"/>
                      <w:szCs w:val="21"/>
                      <w:highlight w:val="none"/>
                      <w14:textFill>
                        <w14:solidFill>
                          <w14:schemeClr w14:val="tx1"/>
                        </w14:solidFill>
                      </w14:textFill>
                    </w:rPr>
                  </w:pPr>
                </w:p>
              </w:tc>
            </w:tr>
            <w:tr w14:paraId="26F68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4AEE995C">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4.1</w:t>
                  </w:r>
                </w:p>
              </w:tc>
              <w:tc>
                <w:tcPr>
                  <w:tcW w:w="3340" w:type="dxa"/>
                </w:tcPr>
                <w:p w14:paraId="5EB9D9C6">
                  <w:pPr>
                    <w:spacing w:line="28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本周期实际应抵扣的预付款</w:t>
                  </w:r>
                </w:p>
              </w:tc>
              <w:tc>
                <w:tcPr>
                  <w:tcW w:w="1340" w:type="dxa"/>
                </w:tcPr>
                <w:p w14:paraId="740D5D37">
                  <w:pPr>
                    <w:spacing w:line="280" w:lineRule="exact"/>
                    <w:rPr>
                      <w:color w:val="000000" w:themeColor="text1"/>
                      <w:szCs w:val="21"/>
                      <w:highlight w:val="none"/>
                      <w14:textFill>
                        <w14:solidFill>
                          <w14:schemeClr w14:val="tx1"/>
                        </w14:solidFill>
                      </w14:textFill>
                    </w:rPr>
                  </w:pPr>
                </w:p>
              </w:tc>
              <w:tc>
                <w:tcPr>
                  <w:tcW w:w="1440" w:type="dxa"/>
                </w:tcPr>
                <w:p w14:paraId="58AADE36">
                  <w:pPr>
                    <w:spacing w:line="280" w:lineRule="exact"/>
                    <w:rPr>
                      <w:color w:val="000000" w:themeColor="text1"/>
                      <w:szCs w:val="21"/>
                      <w:highlight w:val="none"/>
                      <w14:textFill>
                        <w14:solidFill>
                          <w14:schemeClr w14:val="tx1"/>
                        </w14:solidFill>
                      </w14:textFill>
                    </w:rPr>
                  </w:pPr>
                </w:p>
              </w:tc>
              <w:tc>
                <w:tcPr>
                  <w:tcW w:w="1260" w:type="dxa"/>
                </w:tcPr>
                <w:p w14:paraId="11A8D1E3">
                  <w:pPr>
                    <w:spacing w:line="280" w:lineRule="exact"/>
                    <w:rPr>
                      <w:color w:val="000000" w:themeColor="text1"/>
                      <w:szCs w:val="21"/>
                      <w:highlight w:val="none"/>
                      <w14:textFill>
                        <w14:solidFill>
                          <w14:schemeClr w14:val="tx1"/>
                        </w14:solidFill>
                      </w14:textFill>
                    </w:rPr>
                  </w:pPr>
                </w:p>
              </w:tc>
              <w:tc>
                <w:tcPr>
                  <w:tcW w:w="931" w:type="dxa"/>
                </w:tcPr>
                <w:p w14:paraId="1957A18A">
                  <w:pPr>
                    <w:spacing w:line="280" w:lineRule="exact"/>
                    <w:rPr>
                      <w:color w:val="000000" w:themeColor="text1"/>
                      <w:szCs w:val="21"/>
                      <w:highlight w:val="none"/>
                      <w14:textFill>
                        <w14:solidFill>
                          <w14:schemeClr w14:val="tx1"/>
                        </w14:solidFill>
                      </w14:textFill>
                    </w:rPr>
                  </w:pPr>
                </w:p>
              </w:tc>
            </w:tr>
            <w:tr w14:paraId="4F7BD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3F4B31C8">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4.2</w:t>
                  </w:r>
                </w:p>
              </w:tc>
              <w:tc>
                <w:tcPr>
                  <w:tcW w:w="3340" w:type="dxa"/>
                </w:tcPr>
                <w:p w14:paraId="525E5128">
                  <w:pPr>
                    <w:spacing w:line="28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本周期应扣减的金额</w:t>
                  </w:r>
                </w:p>
              </w:tc>
              <w:tc>
                <w:tcPr>
                  <w:tcW w:w="1340" w:type="dxa"/>
                </w:tcPr>
                <w:p w14:paraId="0CD746AF">
                  <w:pPr>
                    <w:spacing w:line="280" w:lineRule="exact"/>
                    <w:rPr>
                      <w:color w:val="000000" w:themeColor="text1"/>
                      <w:szCs w:val="21"/>
                      <w:highlight w:val="none"/>
                      <w14:textFill>
                        <w14:solidFill>
                          <w14:schemeClr w14:val="tx1"/>
                        </w14:solidFill>
                      </w14:textFill>
                    </w:rPr>
                  </w:pPr>
                </w:p>
              </w:tc>
              <w:tc>
                <w:tcPr>
                  <w:tcW w:w="1440" w:type="dxa"/>
                </w:tcPr>
                <w:p w14:paraId="033609D8">
                  <w:pPr>
                    <w:spacing w:line="280" w:lineRule="exact"/>
                    <w:rPr>
                      <w:color w:val="000000" w:themeColor="text1"/>
                      <w:szCs w:val="21"/>
                      <w:highlight w:val="none"/>
                      <w14:textFill>
                        <w14:solidFill>
                          <w14:schemeClr w14:val="tx1"/>
                        </w14:solidFill>
                      </w14:textFill>
                    </w:rPr>
                  </w:pPr>
                </w:p>
              </w:tc>
              <w:tc>
                <w:tcPr>
                  <w:tcW w:w="1260" w:type="dxa"/>
                </w:tcPr>
                <w:p w14:paraId="0456753A">
                  <w:pPr>
                    <w:spacing w:line="280" w:lineRule="exact"/>
                    <w:rPr>
                      <w:color w:val="000000" w:themeColor="text1"/>
                      <w:szCs w:val="21"/>
                      <w:highlight w:val="none"/>
                      <w14:textFill>
                        <w14:solidFill>
                          <w14:schemeClr w14:val="tx1"/>
                        </w14:solidFill>
                      </w14:textFill>
                    </w:rPr>
                  </w:pPr>
                </w:p>
              </w:tc>
              <w:tc>
                <w:tcPr>
                  <w:tcW w:w="931" w:type="dxa"/>
                </w:tcPr>
                <w:p w14:paraId="66D7CD6B">
                  <w:pPr>
                    <w:spacing w:line="280" w:lineRule="exact"/>
                    <w:rPr>
                      <w:color w:val="000000" w:themeColor="text1"/>
                      <w:szCs w:val="21"/>
                      <w:highlight w:val="none"/>
                      <w14:textFill>
                        <w14:solidFill>
                          <w14:schemeClr w14:val="tx1"/>
                        </w14:solidFill>
                      </w14:textFill>
                    </w:rPr>
                  </w:pPr>
                </w:p>
              </w:tc>
            </w:tr>
            <w:tr w14:paraId="68866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74BB1E9D">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5</w:t>
                  </w:r>
                </w:p>
              </w:tc>
              <w:tc>
                <w:tcPr>
                  <w:tcW w:w="3340" w:type="dxa"/>
                </w:tcPr>
                <w:p w14:paraId="7214F557">
                  <w:pPr>
                    <w:spacing w:line="28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本周期应支付的合同价款</w:t>
                  </w:r>
                </w:p>
              </w:tc>
              <w:tc>
                <w:tcPr>
                  <w:tcW w:w="1340" w:type="dxa"/>
                </w:tcPr>
                <w:p w14:paraId="29D546F5">
                  <w:pPr>
                    <w:spacing w:line="280" w:lineRule="exact"/>
                    <w:rPr>
                      <w:color w:val="000000" w:themeColor="text1"/>
                      <w:szCs w:val="21"/>
                      <w:highlight w:val="none"/>
                      <w14:textFill>
                        <w14:solidFill>
                          <w14:schemeClr w14:val="tx1"/>
                        </w14:solidFill>
                      </w14:textFill>
                    </w:rPr>
                  </w:pPr>
                </w:p>
              </w:tc>
              <w:tc>
                <w:tcPr>
                  <w:tcW w:w="1440" w:type="dxa"/>
                </w:tcPr>
                <w:p w14:paraId="3089D93A">
                  <w:pPr>
                    <w:spacing w:line="280" w:lineRule="exact"/>
                    <w:rPr>
                      <w:color w:val="000000" w:themeColor="text1"/>
                      <w:szCs w:val="21"/>
                      <w:highlight w:val="none"/>
                      <w14:textFill>
                        <w14:solidFill>
                          <w14:schemeClr w14:val="tx1"/>
                        </w14:solidFill>
                      </w14:textFill>
                    </w:rPr>
                  </w:pPr>
                </w:p>
              </w:tc>
              <w:tc>
                <w:tcPr>
                  <w:tcW w:w="1260" w:type="dxa"/>
                </w:tcPr>
                <w:p w14:paraId="2FA0BA3A">
                  <w:pPr>
                    <w:spacing w:line="280" w:lineRule="exact"/>
                    <w:rPr>
                      <w:color w:val="000000" w:themeColor="text1"/>
                      <w:szCs w:val="21"/>
                      <w:highlight w:val="none"/>
                      <w14:textFill>
                        <w14:solidFill>
                          <w14:schemeClr w14:val="tx1"/>
                        </w14:solidFill>
                      </w14:textFill>
                    </w:rPr>
                  </w:pPr>
                </w:p>
              </w:tc>
              <w:tc>
                <w:tcPr>
                  <w:tcW w:w="931" w:type="dxa"/>
                </w:tcPr>
                <w:p w14:paraId="763644BA">
                  <w:pPr>
                    <w:spacing w:line="280" w:lineRule="exact"/>
                    <w:rPr>
                      <w:color w:val="000000" w:themeColor="text1"/>
                      <w:szCs w:val="21"/>
                      <w:highlight w:val="none"/>
                      <w14:textFill>
                        <w14:solidFill>
                          <w14:schemeClr w14:val="tx1"/>
                        </w14:solidFill>
                      </w14:textFill>
                    </w:rPr>
                  </w:pPr>
                </w:p>
              </w:tc>
            </w:tr>
            <w:tr w14:paraId="7F90D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51D82891">
                  <w:pPr>
                    <w:spacing w:line="280" w:lineRule="exact"/>
                    <w:jc w:val="center"/>
                    <w:rPr>
                      <w:color w:val="000000" w:themeColor="text1"/>
                      <w:szCs w:val="21"/>
                      <w:highlight w:val="none"/>
                      <w14:textFill>
                        <w14:solidFill>
                          <w14:schemeClr w14:val="tx1"/>
                        </w14:solidFill>
                      </w14:textFill>
                    </w:rPr>
                  </w:pPr>
                </w:p>
              </w:tc>
              <w:tc>
                <w:tcPr>
                  <w:tcW w:w="3340" w:type="dxa"/>
                </w:tcPr>
                <w:p w14:paraId="39C56EEA">
                  <w:pPr>
                    <w:spacing w:line="28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其中：人工费</w:t>
                  </w:r>
                </w:p>
              </w:tc>
              <w:tc>
                <w:tcPr>
                  <w:tcW w:w="1340" w:type="dxa"/>
                </w:tcPr>
                <w:p w14:paraId="2FF55089">
                  <w:pPr>
                    <w:spacing w:line="280" w:lineRule="exact"/>
                    <w:rPr>
                      <w:color w:val="000000" w:themeColor="text1"/>
                      <w:szCs w:val="21"/>
                      <w:highlight w:val="none"/>
                      <w14:textFill>
                        <w14:solidFill>
                          <w14:schemeClr w14:val="tx1"/>
                        </w14:solidFill>
                      </w14:textFill>
                    </w:rPr>
                  </w:pPr>
                </w:p>
              </w:tc>
              <w:tc>
                <w:tcPr>
                  <w:tcW w:w="1440" w:type="dxa"/>
                </w:tcPr>
                <w:p w14:paraId="669844C5">
                  <w:pPr>
                    <w:spacing w:line="280" w:lineRule="exact"/>
                    <w:rPr>
                      <w:color w:val="000000" w:themeColor="text1"/>
                      <w:szCs w:val="21"/>
                      <w:highlight w:val="none"/>
                      <w14:textFill>
                        <w14:solidFill>
                          <w14:schemeClr w14:val="tx1"/>
                        </w14:solidFill>
                      </w14:textFill>
                    </w:rPr>
                  </w:pPr>
                </w:p>
              </w:tc>
              <w:tc>
                <w:tcPr>
                  <w:tcW w:w="1260" w:type="dxa"/>
                </w:tcPr>
                <w:p w14:paraId="6CA64613">
                  <w:pPr>
                    <w:spacing w:line="280" w:lineRule="exact"/>
                    <w:rPr>
                      <w:color w:val="000000" w:themeColor="text1"/>
                      <w:szCs w:val="21"/>
                      <w:highlight w:val="none"/>
                      <w14:textFill>
                        <w14:solidFill>
                          <w14:schemeClr w14:val="tx1"/>
                        </w14:solidFill>
                      </w14:textFill>
                    </w:rPr>
                  </w:pPr>
                </w:p>
              </w:tc>
              <w:tc>
                <w:tcPr>
                  <w:tcW w:w="931" w:type="dxa"/>
                </w:tcPr>
                <w:p w14:paraId="57A15F89">
                  <w:pPr>
                    <w:spacing w:line="280" w:lineRule="exact"/>
                    <w:rPr>
                      <w:color w:val="000000" w:themeColor="text1"/>
                      <w:szCs w:val="21"/>
                      <w:highlight w:val="none"/>
                      <w14:textFill>
                        <w14:solidFill>
                          <w14:schemeClr w14:val="tx1"/>
                        </w14:solidFill>
                      </w14:textFill>
                    </w:rPr>
                  </w:pPr>
                </w:p>
              </w:tc>
            </w:tr>
          </w:tbl>
          <w:p w14:paraId="2CA9BC47">
            <w:pPr>
              <w:wordWrap w:val="0"/>
              <w:spacing w:line="400" w:lineRule="exact"/>
              <w:ind w:right="42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附：上述3、4详见附件清单。</w:t>
            </w:r>
          </w:p>
          <w:p w14:paraId="2330CD53">
            <w:pPr>
              <w:wordWrap w:val="0"/>
              <w:spacing w:line="400" w:lineRule="exact"/>
              <w:ind w:right="42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                                            承包人（章）             </w:t>
            </w:r>
          </w:p>
          <w:p w14:paraId="4E55623D">
            <w:pPr>
              <w:spacing w:line="400" w:lineRule="exact"/>
              <w:ind w:right="420" w:firstLine="435"/>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造价人员承包人代表日      期</w:t>
            </w:r>
          </w:p>
        </w:tc>
      </w:tr>
      <w:tr w14:paraId="4F64C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20" w:type="dxa"/>
          </w:tcPr>
          <w:p w14:paraId="4BB7D708">
            <w:pPr>
              <w:spacing w:line="36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复核意见：</w:t>
            </w:r>
          </w:p>
          <w:p w14:paraId="60D4F78C">
            <w:pPr>
              <w:spacing w:line="360" w:lineRule="exact"/>
              <w:ind w:firstLine="312"/>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□与实际施工情况不相符，修改意见见附件。</w:t>
            </w:r>
          </w:p>
          <w:p w14:paraId="421E6620">
            <w:pPr>
              <w:spacing w:line="360" w:lineRule="exact"/>
              <w:ind w:firstLine="312"/>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□与实际施工情况相符，具体金额由造价工程师复核。</w:t>
            </w:r>
          </w:p>
          <w:p w14:paraId="6D0B9987">
            <w:pPr>
              <w:spacing w:line="360" w:lineRule="exact"/>
              <w:ind w:firstLine="435"/>
              <w:jc w:val="right"/>
              <w:rPr>
                <w:color w:val="000000" w:themeColor="text1"/>
                <w:szCs w:val="21"/>
                <w:highlight w:val="none"/>
                <w14:textFill>
                  <w14:solidFill>
                    <w14:schemeClr w14:val="tx1"/>
                  </w14:solidFill>
                </w14:textFill>
              </w:rPr>
            </w:pPr>
          </w:p>
          <w:p w14:paraId="6147623C">
            <w:pPr>
              <w:spacing w:line="360" w:lineRule="exact"/>
              <w:ind w:firstLine="435"/>
              <w:jc w:val="center"/>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     监理工程师</w:t>
            </w:r>
          </w:p>
          <w:p w14:paraId="6A7DF34C">
            <w:pPr>
              <w:spacing w:line="360" w:lineRule="exact"/>
              <w:ind w:firstLine="435"/>
              <w:jc w:val="center"/>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    日      期</w:t>
            </w:r>
          </w:p>
        </w:tc>
        <w:tc>
          <w:tcPr>
            <w:tcW w:w="4552" w:type="dxa"/>
          </w:tcPr>
          <w:p w14:paraId="5A64690B">
            <w:pPr>
              <w:spacing w:line="36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复核意见：</w:t>
            </w:r>
          </w:p>
          <w:p w14:paraId="47195FE9">
            <w:pPr>
              <w:spacing w:line="360" w:lineRule="exact"/>
              <w:ind w:firstLine="435"/>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你方提出的支付申请经复核，本周期已完成工程价款为(大写)元，（小写）</w:t>
            </w:r>
          </w:p>
          <w:p w14:paraId="0CBE82A1">
            <w:pPr>
              <w:spacing w:line="36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 元，本期间应支付金额为（大写）</w:t>
            </w:r>
          </w:p>
          <w:p w14:paraId="5FB74C34">
            <w:pPr>
              <w:spacing w:line="360" w:lineRule="exact"/>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元，（小写）元。</w:t>
            </w:r>
          </w:p>
          <w:p w14:paraId="223A2268">
            <w:pPr>
              <w:spacing w:line="360" w:lineRule="exact"/>
              <w:ind w:firstLine="435"/>
              <w:jc w:val="center"/>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    造价工程师</w:t>
            </w:r>
          </w:p>
          <w:p w14:paraId="014C9D66">
            <w:pPr>
              <w:spacing w:line="360" w:lineRule="exact"/>
              <w:ind w:firstLine="435"/>
              <w:jc w:val="center"/>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日      期</w:t>
            </w:r>
          </w:p>
        </w:tc>
      </w:tr>
      <w:tr w14:paraId="11A7A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Pr>
          <w:p w14:paraId="5C7CAEC0">
            <w:pPr>
              <w:spacing w:line="40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审核意见：</w:t>
            </w:r>
          </w:p>
          <w:p w14:paraId="5278FA09">
            <w:pPr>
              <w:spacing w:line="400" w:lineRule="exact"/>
              <w:ind w:firstLine="435"/>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□不同意。</w:t>
            </w:r>
          </w:p>
          <w:p w14:paraId="1FC75816">
            <w:pPr>
              <w:spacing w:line="400" w:lineRule="exac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□同意，支付时间为本表签发后的15天内。</w:t>
            </w:r>
          </w:p>
          <w:p w14:paraId="046FE3CE">
            <w:pPr>
              <w:wordWrap w:val="0"/>
              <w:spacing w:line="400" w:lineRule="exact"/>
              <w:ind w:firstLine="420" w:firstLineChars="200"/>
              <w:jc w:val="righ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发包人（章）           </w:t>
            </w:r>
          </w:p>
          <w:p w14:paraId="52B4856D">
            <w:pPr>
              <w:wordWrap w:val="0"/>
              <w:spacing w:line="400" w:lineRule="exact"/>
              <w:ind w:firstLine="420" w:firstLineChars="200"/>
              <w:jc w:val="right"/>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发包人代表</w:t>
            </w:r>
          </w:p>
          <w:p w14:paraId="6AE77207">
            <w:pPr>
              <w:wordWrap w:val="0"/>
              <w:spacing w:line="400" w:lineRule="exact"/>
              <w:ind w:firstLine="420" w:firstLineChars="200"/>
              <w:jc w:val="right"/>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日      期</w:t>
            </w:r>
          </w:p>
        </w:tc>
      </w:tr>
    </w:tbl>
    <w:p w14:paraId="714A6694">
      <w:pPr>
        <w:spacing w:before="156" w:beforeLines="50"/>
        <w:ind w:firstLine="360" w:firstLineChars="200"/>
        <w:rPr>
          <w:color w:val="000000" w:themeColor="text1"/>
          <w:sz w:val="18"/>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 xml:space="preserve">注：1.在选择栏中的“□”内作标识“√”。 </w:t>
      </w:r>
    </w:p>
    <w:p w14:paraId="501B4E1E">
      <w:pPr>
        <w:spacing w:before="156" w:beforeLines="50"/>
        <w:ind w:left="720" w:hanging="720" w:hangingChars="400"/>
        <w:rPr>
          <w:color w:val="000000" w:themeColor="text1"/>
          <w:sz w:val="18"/>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 xml:space="preserve">  2.本表一式四份，由承包人填报，发包人、监理人、造价咨询人、承包人各存一份。</w:t>
      </w:r>
    </w:p>
    <w:p w14:paraId="2EB8B110">
      <w:pPr>
        <w:jc w:val="left"/>
        <w:rPr>
          <w:color w:val="000000" w:themeColor="text1"/>
          <w:sz w:val="30"/>
          <w:szCs w:val="30"/>
          <w:highlight w:val="none"/>
          <w14:textFill>
            <w14:solidFill>
              <w14:schemeClr w14:val="tx1"/>
            </w14:solidFill>
          </w14:textFill>
        </w:rPr>
      </w:pPr>
      <w:r>
        <w:rPr>
          <w:rFonts w:hint="eastAsia"/>
          <w:color w:val="000000" w:themeColor="text1"/>
          <w:sz w:val="30"/>
          <w:szCs w:val="30"/>
          <w:highlight w:val="none"/>
          <w14:textFill>
            <w14:solidFill>
              <w14:schemeClr w14:val="tx1"/>
            </w14:solidFill>
          </w14:textFill>
        </w:rPr>
        <w:t>附件12</w:t>
      </w:r>
    </w:p>
    <w:p w14:paraId="6CC25631">
      <w:pPr>
        <w:jc w:val="center"/>
        <w:rPr>
          <w:b/>
          <w:color w:val="000000" w:themeColor="text1"/>
          <w:sz w:val="36"/>
          <w:szCs w:val="36"/>
          <w:highlight w:val="none"/>
          <w14:textFill>
            <w14:solidFill>
              <w14:schemeClr w14:val="tx1"/>
            </w14:solidFill>
          </w14:textFill>
        </w:rPr>
      </w:pPr>
      <w:r>
        <w:rPr>
          <w:rFonts w:hint="eastAsia"/>
          <w:b/>
          <w:color w:val="000000" w:themeColor="text1"/>
          <w:sz w:val="36"/>
          <w:szCs w:val="36"/>
          <w:highlight w:val="none"/>
          <w14:textFill>
            <w14:solidFill>
              <w14:schemeClr w14:val="tx1"/>
            </w14:solidFill>
          </w14:textFill>
        </w:rPr>
        <w:t>竣工结算款支付申请（核准）表</w:t>
      </w:r>
    </w:p>
    <w:p w14:paraId="369AC5AF">
      <w:pP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工程名称：                                              编号：</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9"/>
        <w:gridCol w:w="4533"/>
      </w:tblGrid>
      <w:tr w14:paraId="0CE68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0" w:hRule="atLeast"/>
          <w:jc w:val="center"/>
        </w:trPr>
        <w:tc>
          <w:tcPr>
            <w:tcW w:w="9072" w:type="dxa"/>
            <w:gridSpan w:val="2"/>
          </w:tcPr>
          <w:p w14:paraId="67E04748">
            <w:pPr>
              <w:spacing w:line="480" w:lineRule="exact"/>
              <w:ind w:left="525" w:leftChars="149" w:hanging="212" w:hangingChars="101"/>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致：</w:t>
            </w:r>
            <w:r>
              <w:rPr>
                <w:rFonts w:hint="eastAsia"/>
                <w:color w:val="000000" w:themeColor="text1"/>
                <w:szCs w:val="21"/>
                <w:highlight w:val="none"/>
                <w:u w:val="single"/>
                <w14:textFill>
                  <w14:solidFill>
                    <w14:schemeClr w14:val="tx1"/>
                  </w14:solidFill>
                </w14:textFill>
              </w:rPr>
              <w:t xml:space="preserve">                                   （发包人全称）</w:t>
            </w:r>
          </w:p>
          <w:p w14:paraId="5619E209">
            <w:pPr>
              <w:spacing w:line="400" w:lineRule="exact"/>
              <w:ind w:left="-4" w:leftChars="-2" w:firstLine="315" w:firstLineChars="15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我方于至期间已完成了合同约定的工作，根据施工合同的约定，现申请支付竣工结算的工程款额为(大写)元，(小写)元，请予核准。</w:t>
            </w:r>
          </w:p>
          <w:tbl>
            <w:tblPr>
              <w:tblStyle w:val="44"/>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420"/>
              <w:gridCol w:w="1620"/>
              <w:gridCol w:w="1620"/>
              <w:gridCol w:w="1651"/>
            </w:tblGrid>
            <w:tr w14:paraId="3530C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vAlign w:val="center"/>
                </w:tcPr>
                <w:p w14:paraId="524E7359">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序号</w:t>
                  </w:r>
                </w:p>
              </w:tc>
              <w:tc>
                <w:tcPr>
                  <w:tcW w:w="3420" w:type="dxa"/>
                  <w:vAlign w:val="center"/>
                </w:tcPr>
                <w:p w14:paraId="3229B4CD">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名      称</w:t>
                  </w:r>
                </w:p>
              </w:tc>
              <w:tc>
                <w:tcPr>
                  <w:tcW w:w="1620" w:type="dxa"/>
                  <w:vAlign w:val="center"/>
                </w:tcPr>
                <w:p w14:paraId="1B19749D">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申请金额（元）</w:t>
                  </w:r>
                </w:p>
              </w:tc>
              <w:tc>
                <w:tcPr>
                  <w:tcW w:w="1620" w:type="dxa"/>
                  <w:vAlign w:val="center"/>
                </w:tcPr>
                <w:p w14:paraId="143E96E1">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复核金额（元）</w:t>
                  </w:r>
                </w:p>
              </w:tc>
              <w:tc>
                <w:tcPr>
                  <w:tcW w:w="1651" w:type="dxa"/>
                  <w:vAlign w:val="center"/>
                </w:tcPr>
                <w:p w14:paraId="1C4D5079">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备注</w:t>
                  </w:r>
                </w:p>
              </w:tc>
            </w:tr>
            <w:tr w14:paraId="2752D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5822FABA">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w:t>
                  </w:r>
                </w:p>
              </w:tc>
              <w:tc>
                <w:tcPr>
                  <w:tcW w:w="3420" w:type="dxa"/>
                </w:tcPr>
                <w:p w14:paraId="51B0D720">
                  <w:pPr>
                    <w:spacing w:line="28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竣工结算合同价款总额</w:t>
                  </w:r>
                </w:p>
              </w:tc>
              <w:tc>
                <w:tcPr>
                  <w:tcW w:w="1620" w:type="dxa"/>
                </w:tcPr>
                <w:p w14:paraId="0F5538AA">
                  <w:pPr>
                    <w:spacing w:line="280" w:lineRule="exact"/>
                    <w:rPr>
                      <w:color w:val="000000" w:themeColor="text1"/>
                      <w:szCs w:val="21"/>
                      <w:highlight w:val="none"/>
                      <w14:textFill>
                        <w14:solidFill>
                          <w14:schemeClr w14:val="tx1"/>
                        </w14:solidFill>
                      </w14:textFill>
                    </w:rPr>
                  </w:pPr>
                </w:p>
              </w:tc>
              <w:tc>
                <w:tcPr>
                  <w:tcW w:w="1620" w:type="dxa"/>
                </w:tcPr>
                <w:p w14:paraId="426D7C47">
                  <w:pPr>
                    <w:spacing w:line="280" w:lineRule="exact"/>
                    <w:rPr>
                      <w:color w:val="000000" w:themeColor="text1"/>
                      <w:szCs w:val="21"/>
                      <w:highlight w:val="none"/>
                      <w14:textFill>
                        <w14:solidFill>
                          <w14:schemeClr w14:val="tx1"/>
                        </w14:solidFill>
                      </w14:textFill>
                    </w:rPr>
                  </w:pPr>
                </w:p>
              </w:tc>
              <w:tc>
                <w:tcPr>
                  <w:tcW w:w="1651" w:type="dxa"/>
                </w:tcPr>
                <w:p w14:paraId="702B3AF1">
                  <w:pPr>
                    <w:spacing w:line="280" w:lineRule="exact"/>
                    <w:rPr>
                      <w:color w:val="000000" w:themeColor="text1"/>
                      <w:szCs w:val="21"/>
                      <w:highlight w:val="none"/>
                      <w14:textFill>
                        <w14:solidFill>
                          <w14:schemeClr w14:val="tx1"/>
                        </w14:solidFill>
                      </w14:textFill>
                    </w:rPr>
                  </w:pPr>
                </w:p>
              </w:tc>
            </w:tr>
            <w:tr w14:paraId="59ACC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757C7F67">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w:t>
                  </w:r>
                </w:p>
              </w:tc>
              <w:tc>
                <w:tcPr>
                  <w:tcW w:w="3420" w:type="dxa"/>
                </w:tcPr>
                <w:p w14:paraId="17A673BE">
                  <w:pPr>
                    <w:spacing w:line="28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累计已实际支付的合同价款</w:t>
                  </w:r>
                </w:p>
              </w:tc>
              <w:tc>
                <w:tcPr>
                  <w:tcW w:w="1620" w:type="dxa"/>
                </w:tcPr>
                <w:p w14:paraId="2DB625BA">
                  <w:pPr>
                    <w:spacing w:line="280" w:lineRule="exact"/>
                    <w:rPr>
                      <w:color w:val="000000" w:themeColor="text1"/>
                      <w:szCs w:val="21"/>
                      <w:highlight w:val="none"/>
                      <w14:textFill>
                        <w14:solidFill>
                          <w14:schemeClr w14:val="tx1"/>
                        </w14:solidFill>
                      </w14:textFill>
                    </w:rPr>
                  </w:pPr>
                </w:p>
              </w:tc>
              <w:tc>
                <w:tcPr>
                  <w:tcW w:w="1620" w:type="dxa"/>
                </w:tcPr>
                <w:p w14:paraId="130FFC65">
                  <w:pPr>
                    <w:spacing w:line="280" w:lineRule="exact"/>
                    <w:rPr>
                      <w:color w:val="000000" w:themeColor="text1"/>
                      <w:szCs w:val="21"/>
                      <w:highlight w:val="none"/>
                      <w14:textFill>
                        <w14:solidFill>
                          <w14:schemeClr w14:val="tx1"/>
                        </w14:solidFill>
                      </w14:textFill>
                    </w:rPr>
                  </w:pPr>
                </w:p>
              </w:tc>
              <w:tc>
                <w:tcPr>
                  <w:tcW w:w="1651" w:type="dxa"/>
                </w:tcPr>
                <w:p w14:paraId="2267F22A">
                  <w:pPr>
                    <w:spacing w:line="280" w:lineRule="exact"/>
                    <w:rPr>
                      <w:color w:val="000000" w:themeColor="text1"/>
                      <w:szCs w:val="21"/>
                      <w:highlight w:val="none"/>
                      <w14:textFill>
                        <w14:solidFill>
                          <w14:schemeClr w14:val="tx1"/>
                        </w14:solidFill>
                      </w14:textFill>
                    </w:rPr>
                  </w:pPr>
                </w:p>
              </w:tc>
            </w:tr>
            <w:tr w14:paraId="3535A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240180CA">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w:t>
                  </w:r>
                </w:p>
              </w:tc>
              <w:tc>
                <w:tcPr>
                  <w:tcW w:w="3420" w:type="dxa"/>
                </w:tcPr>
                <w:p w14:paraId="3D275CEE">
                  <w:pPr>
                    <w:spacing w:line="28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应预留的质量保证金</w:t>
                  </w:r>
                </w:p>
              </w:tc>
              <w:tc>
                <w:tcPr>
                  <w:tcW w:w="1620" w:type="dxa"/>
                </w:tcPr>
                <w:p w14:paraId="52C50AEF">
                  <w:pPr>
                    <w:spacing w:line="280" w:lineRule="exact"/>
                    <w:rPr>
                      <w:color w:val="000000" w:themeColor="text1"/>
                      <w:szCs w:val="21"/>
                      <w:highlight w:val="none"/>
                      <w14:textFill>
                        <w14:solidFill>
                          <w14:schemeClr w14:val="tx1"/>
                        </w14:solidFill>
                      </w14:textFill>
                    </w:rPr>
                  </w:pPr>
                </w:p>
              </w:tc>
              <w:tc>
                <w:tcPr>
                  <w:tcW w:w="1620" w:type="dxa"/>
                </w:tcPr>
                <w:p w14:paraId="3D0CE487">
                  <w:pPr>
                    <w:spacing w:line="280" w:lineRule="exact"/>
                    <w:rPr>
                      <w:color w:val="000000" w:themeColor="text1"/>
                      <w:szCs w:val="21"/>
                      <w:highlight w:val="none"/>
                      <w14:textFill>
                        <w14:solidFill>
                          <w14:schemeClr w14:val="tx1"/>
                        </w14:solidFill>
                      </w14:textFill>
                    </w:rPr>
                  </w:pPr>
                </w:p>
              </w:tc>
              <w:tc>
                <w:tcPr>
                  <w:tcW w:w="1651" w:type="dxa"/>
                </w:tcPr>
                <w:p w14:paraId="0215C129">
                  <w:pPr>
                    <w:spacing w:line="280" w:lineRule="exact"/>
                    <w:rPr>
                      <w:color w:val="000000" w:themeColor="text1"/>
                      <w:szCs w:val="21"/>
                      <w:highlight w:val="none"/>
                      <w14:textFill>
                        <w14:solidFill>
                          <w14:schemeClr w14:val="tx1"/>
                        </w14:solidFill>
                      </w14:textFill>
                    </w:rPr>
                  </w:pPr>
                </w:p>
              </w:tc>
            </w:tr>
            <w:tr w14:paraId="5F3DC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38773E75">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w:t>
                  </w:r>
                </w:p>
              </w:tc>
              <w:tc>
                <w:tcPr>
                  <w:tcW w:w="3420" w:type="dxa"/>
                </w:tcPr>
                <w:p w14:paraId="3724FA8C">
                  <w:pPr>
                    <w:spacing w:line="28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应支付的竣工结算款金额</w:t>
                  </w:r>
                </w:p>
              </w:tc>
              <w:tc>
                <w:tcPr>
                  <w:tcW w:w="1620" w:type="dxa"/>
                </w:tcPr>
                <w:p w14:paraId="6EE281FF">
                  <w:pPr>
                    <w:spacing w:line="280" w:lineRule="exact"/>
                    <w:rPr>
                      <w:color w:val="000000" w:themeColor="text1"/>
                      <w:szCs w:val="21"/>
                      <w:highlight w:val="none"/>
                      <w14:textFill>
                        <w14:solidFill>
                          <w14:schemeClr w14:val="tx1"/>
                        </w14:solidFill>
                      </w14:textFill>
                    </w:rPr>
                  </w:pPr>
                </w:p>
              </w:tc>
              <w:tc>
                <w:tcPr>
                  <w:tcW w:w="1620" w:type="dxa"/>
                </w:tcPr>
                <w:p w14:paraId="55486947">
                  <w:pPr>
                    <w:spacing w:line="280" w:lineRule="exact"/>
                    <w:rPr>
                      <w:color w:val="000000" w:themeColor="text1"/>
                      <w:szCs w:val="21"/>
                      <w:highlight w:val="none"/>
                      <w14:textFill>
                        <w14:solidFill>
                          <w14:schemeClr w14:val="tx1"/>
                        </w14:solidFill>
                      </w14:textFill>
                    </w:rPr>
                  </w:pPr>
                </w:p>
              </w:tc>
              <w:tc>
                <w:tcPr>
                  <w:tcW w:w="1651" w:type="dxa"/>
                </w:tcPr>
                <w:p w14:paraId="115EBD01">
                  <w:pPr>
                    <w:spacing w:line="280" w:lineRule="exact"/>
                    <w:rPr>
                      <w:color w:val="000000" w:themeColor="text1"/>
                      <w:szCs w:val="21"/>
                      <w:highlight w:val="none"/>
                      <w14:textFill>
                        <w14:solidFill>
                          <w14:schemeClr w14:val="tx1"/>
                        </w14:solidFill>
                      </w14:textFill>
                    </w:rPr>
                  </w:pPr>
                </w:p>
              </w:tc>
            </w:tr>
            <w:tr w14:paraId="74740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61C5D905">
                  <w:pPr>
                    <w:spacing w:line="280" w:lineRule="exact"/>
                    <w:jc w:val="center"/>
                    <w:rPr>
                      <w:color w:val="000000" w:themeColor="text1"/>
                      <w:szCs w:val="21"/>
                      <w:highlight w:val="none"/>
                      <w14:textFill>
                        <w14:solidFill>
                          <w14:schemeClr w14:val="tx1"/>
                        </w14:solidFill>
                      </w14:textFill>
                    </w:rPr>
                  </w:pPr>
                </w:p>
              </w:tc>
              <w:tc>
                <w:tcPr>
                  <w:tcW w:w="3420" w:type="dxa"/>
                </w:tcPr>
                <w:p w14:paraId="243DB3A3">
                  <w:pPr>
                    <w:spacing w:line="280" w:lineRule="exact"/>
                    <w:rPr>
                      <w:color w:val="000000" w:themeColor="text1"/>
                      <w:szCs w:val="21"/>
                      <w:highlight w:val="none"/>
                      <w14:textFill>
                        <w14:solidFill>
                          <w14:schemeClr w14:val="tx1"/>
                        </w14:solidFill>
                      </w14:textFill>
                    </w:rPr>
                  </w:pPr>
                </w:p>
              </w:tc>
              <w:tc>
                <w:tcPr>
                  <w:tcW w:w="1620" w:type="dxa"/>
                </w:tcPr>
                <w:p w14:paraId="19F254E0">
                  <w:pPr>
                    <w:spacing w:line="280" w:lineRule="exact"/>
                    <w:rPr>
                      <w:color w:val="000000" w:themeColor="text1"/>
                      <w:szCs w:val="21"/>
                      <w:highlight w:val="none"/>
                      <w14:textFill>
                        <w14:solidFill>
                          <w14:schemeClr w14:val="tx1"/>
                        </w14:solidFill>
                      </w14:textFill>
                    </w:rPr>
                  </w:pPr>
                </w:p>
              </w:tc>
              <w:tc>
                <w:tcPr>
                  <w:tcW w:w="1620" w:type="dxa"/>
                </w:tcPr>
                <w:p w14:paraId="7BAA0E78">
                  <w:pPr>
                    <w:spacing w:line="280" w:lineRule="exact"/>
                    <w:rPr>
                      <w:color w:val="000000" w:themeColor="text1"/>
                      <w:szCs w:val="21"/>
                      <w:highlight w:val="none"/>
                      <w14:textFill>
                        <w14:solidFill>
                          <w14:schemeClr w14:val="tx1"/>
                        </w14:solidFill>
                      </w14:textFill>
                    </w:rPr>
                  </w:pPr>
                </w:p>
              </w:tc>
              <w:tc>
                <w:tcPr>
                  <w:tcW w:w="1651" w:type="dxa"/>
                </w:tcPr>
                <w:p w14:paraId="1BCB873D">
                  <w:pPr>
                    <w:spacing w:line="280" w:lineRule="exact"/>
                    <w:rPr>
                      <w:color w:val="000000" w:themeColor="text1"/>
                      <w:szCs w:val="21"/>
                      <w:highlight w:val="none"/>
                      <w14:textFill>
                        <w14:solidFill>
                          <w14:schemeClr w14:val="tx1"/>
                        </w14:solidFill>
                      </w14:textFill>
                    </w:rPr>
                  </w:pPr>
                </w:p>
              </w:tc>
            </w:tr>
            <w:tr w14:paraId="2EE1B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2C6AA68E">
                  <w:pPr>
                    <w:spacing w:line="280" w:lineRule="exact"/>
                    <w:jc w:val="center"/>
                    <w:rPr>
                      <w:color w:val="000000" w:themeColor="text1"/>
                      <w:szCs w:val="21"/>
                      <w:highlight w:val="none"/>
                      <w14:textFill>
                        <w14:solidFill>
                          <w14:schemeClr w14:val="tx1"/>
                        </w14:solidFill>
                      </w14:textFill>
                    </w:rPr>
                  </w:pPr>
                </w:p>
              </w:tc>
              <w:tc>
                <w:tcPr>
                  <w:tcW w:w="3420" w:type="dxa"/>
                </w:tcPr>
                <w:p w14:paraId="03C4A4EB">
                  <w:pPr>
                    <w:spacing w:line="280" w:lineRule="exact"/>
                    <w:rPr>
                      <w:color w:val="000000" w:themeColor="text1"/>
                      <w:szCs w:val="21"/>
                      <w:highlight w:val="none"/>
                      <w14:textFill>
                        <w14:solidFill>
                          <w14:schemeClr w14:val="tx1"/>
                        </w14:solidFill>
                      </w14:textFill>
                    </w:rPr>
                  </w:pPr>
                </w:p>
              </w:tc>
              <w:tc>
                <w:tcPr>
                  <w:tcW w:w="1620" w:type="dxa"/>
                </w:tcPr>
                <w:p w14:paraId="761D582E">
                  <w:pPr>
                    <w:spacing w:line="280" w:lineRule="exact"/>
                    <w:rPr>
                      <w:color w:val="000000" w:themeColor="text1"/>
                      <w:szCs w:val="21"/>
                      <w:highlight w:val="none"/>
                      <w14:textFill>
                        <w14:solidFill>
                          <w14:schemeClr w14:val="tx1"/>
                        </w14:solidFill>
                      </w14:textFill>
                    </w:rPr>
                  </w:pPr>
                </w:p>
              </w:tc>
              <w:tc>
                <w:tcPr>
                  <w:tcW w:w="1620" w:type="dxa"/>
                </w:tcPr>
                <w:p w14:paraId="1359BB6E">
                  <w:pPr>
                    <w:spacing w:line="280" w:lineRule="exact"/>
                    <w:rPr>
                      <w:color w:val="000000" w:themeColor="text1"/>
                      <w:szCs w:val="21"/>
                      <w:highlight w:val="none"/>
                      <w14:textFill>
                        <w14:solidFill>
                          <w14:schemeClr w14:val="tx1"/>
                        </w14:solidFill>
                      </w14:textFill>
                    </w:rPr>
                  </w:pPr>
                </w:p>
              </w:tc>
              <w:tc>
                <w:tcPr>
                  <w:tcW w:w="1651" w:type="dxa"/>
                </w:tcPr>
                <w:p w14:paraId="1AC03A27">
                  <w:pPr>
                    <w:spacing w:line="280" w:lineRule="exact"/>
                    <w:rPr>
                      <w:color w:val="000000" w:themeColor="text1"/>
                      <w:szCs w:val="21"/>
                      <w:highlight w:val="none"/>
                      <w14:textFill>
                        <w14:solidFill>
                          <w14:schemeClr w14:val="tx1"/>
                        </w14:solidFill>
                      </w14:textFill>
                    </w:rPr>
                  </w:pPr>
                </w:p>
              </w:tc>
            </w:tr>
            <w:tr w14:paraId="211EF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3D8C2E43">
                  <w:pPr>
                    <w:spacing w:line="280" w:lineRule="exact"/>
                    <w:jc w:val="center"/>
                    <w:rPr>
                      <w:color w:val="000000" w:themeColor="text1"/>
                      <w:szCs w:val="21"/>
                      <w:highlight w:val="none"/>
                      <w14:textFill>
                        <w14:solidFill>
                          <w14:schemeClr w14:val="tx1"/>
                        </w14:solidFill>
                      </w14:textFill>
                    </w:rPr>
                  </w:pPr>
                </w:p>
              </w:tc>
              <w:tc>
                <w:tcPr>
                  <w:tcW w:w="3420" w:type="dxa"/>
                </w:tcPr>
                <w:p w14:paraId="4CACFCDF">
                  <w:pPr>
                    <w:spacing w:line="280" w:lineRule="exact"/>
                    <w:rPr>
                      <w:color w:val="000000" w:themeColor="text1"/>
                      <w:szCs w:val="21"/>
                      <w:highlight w:val="none"/>
                      <w14:textFill>
                        <w14:solidFill>
                          <w14:schemeClr w14:val="tx1"/>
                        </w14:solidFill>
                      </w14:textFill>
                    </w:rPr>
                  </w:pPr>
                </w:p>
              </w:tc>
              <w:tc>
                <w:tcPr>
                  <w:tcW w:w="1620" w:type="dxa"/>
                </w:tcPr>
                <w:p w14:paraId="433D9177">
                  <w:pPr>
                    <w:spacing w:line="280" w:lineRule="exact"/>
                    <w:rPr>
                      <w:color w:val="000000" w:themeColor="text1"/>
                      <w:szCs w:val="21"/>
                      <w:highlight w:val="none"/>
                      <w14:textFill>
                        <w14:solidFill>
                          <w14:schemeClr w14:val="tx1"/>
                        </w14:solidFill>
                      </w14:textFill>
                    </w:rPr>
                  </w:pPr>
                </w:p>
              </w:tc>
              <w:tc>
                <w:tcPr>
                  <w:tcW w:w="1620" w:type="dxa"/>
                </w:tcPr>
                <w:p w14:paraId="14D9AA58">
                  <w:pPr>
                    <w:spacing w:line="280" w:lineRule="exact"/>
                    <w:rPr>
                      <w:color w:val="000000" w:themeColor="text1"/>
                      <w:szCs w:val="21"/>
                      <w:highlight w:val="none"/>
                      <w14:textFill>
                        <w14:solidFill>
                          <w14:schemeClr w14:val="tx1"/>
                        </w14:solidFill>
                      </w14:textFill>
                    </w:rPr>
                  </w:pPr>
                </w:p>
              </w:tc>
              <w:tc>
                <w:tcPr>
                  <w:tcW w:w="1651" w:type="dxa"/>
                </w:tcPr>
                <w:p w14:paraId="606CBBE6">
                  <w:pPr>
                    <w:spacing w:line="280" w:lineRule="exact"/>
                    <w:rPr>
                      <w:color w:val="000000" w:themeColor="text1"/>
                      <w:szCs w:val="21"/>
                      <w:highlight w:val="none"/>
                      <w14:textFill>
                        <w14:solidFill>
                          <w14:schemeClr w14:val="tx1"/>
                        </w14:solidFill>
                      </w14:textFill>
                    </w:rPr>
                  </w:pPr>
                </w:p>
              </w:tc>
            </w:tr>
            <w:tr w14:paraId="03CF4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2552F105">
                  <w:pPr>
                    <w:spacing w:line="280" w:lineRule="exact"/>
                    <w:jc w:val="center"/>
                    <w:rPr>
                      <w:color w:val="000000" w:themeColor="text1"/>
                      <w:szCs w:val="21"/>
                      <w:highlight w:val="none"/>
                      <w14:textFill>
                        <w14:solidFill>
                          <w14:schemeClr w14:val="tx1"/>
                        </w14:solidFill>
                      </w14:textFill>
                    </w:rPr>
                  </w:pPr>
                </w:p>
              </w:tc>
              <w:tc>
                <w:tcPr>
                  <w:tcW w:w="3420" w:type="dxa"/>
                </w:tcPr>
                <w:p w14:paraId="4B7A5EE0">
                  <w:pPr>
                    <w:spacing w:line="280" w:lineRule="exact"/>
                    <w:rPr>
                      <w:color w:val="000000" w:themeColor="text1"/>
                      <w:szCs w:val="21"/>
                      <w:highlight w:val="none"/>
                      <w14:textFill>
                        <w14:solidFill>
                          <w14:schemeClr w14:val="tx1"/>
                        </w14:solidFill>
                      </w14:textFill>
                    </w:rPr>
                  </w:pPr>
                </w:p>
              </w:tc>
              <w:tc>
                <w:tcPr>
                  <w:tcW w:w="1620" w:type="dxa"/>
                </w:tcPr>
                <w:p w14:paraId="18FC8A8A">
                  <w:pPr>
                    <w:spacing w:line="280" w:lineRule="exact"/>
                    <w:rPr>
                      <w:color w:val="000000" w:themeColor="text1"/>
                      <w:szCs w:val="21"/>
                      <w:highlight w:val="none"/>
                      <w14:textFill>
                        <w14:solidFill>
                          <w14:schemeClr w14:val="tx1"/>
                        </w14:solidFill>
                      </w14:textFill>
                    </w:rPr>
                  </w:pPr>
                </w:p>
              </w:tc>
              <w:tc>
                <w:tcPr>
                  <w:tcW w:w="1620" w:type="dxa"/>
                </w:tcPr>
                <w:p w14:paraId="5D922A11">
                  <w:pPr>
                    <w:spacing w:line="280" w:lineRule="exact"/>
                    <w:rPr>
                      <w:color w:val="000000" w:themeColor="text1"/>
                      <w:szCs w:val="21"/>
                      <w:highlight w:val="none"/>
                      <w14:textFill>
                        <w14:solidFill>
                          <w14:schemeClr w14:val="tx1"/>
                        </w14:solidFill>
                      </w14:textFill>
                    </w:rPr>
                  </w:pPr>
                </w:p>
              </w:tc>
              <w:tc>
                <w:tcPr>
                  <w:tcW w:w="1651" w:type="dxa"/>
                </w:tcPr>
                <w:p w14:paraId="5FA962AD">
                  <w:pPr>
                    <w:spacing w:line="280" w:lineRule="exact"/>
                    <w:rPr>
                      <w:color w:val="000000" w:themeColor="text1"/>
                      <w:szCs w:val="21"/>
                      <w:highlight w:val="none"/>
                      <w14:textFill>
                        <w14:solidFill>
                          <w14:schemeClr w14:val="tx1"/>
                        </w14:solidFill>
                      </w14:textFill>
                    </w:rPr>
                  </w:pPr>
                </w:p>
              </w:tc>
            </w:tr>
            <w:tr w14:paraId="66F16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0924D8A7">
                  <w:pPr>
                    <w:spacing w:line="280" w:lineRule="exact"/>
                    <w:jc w:val="center"/>
                    <w:rPr>
                      <w:color w:val="000000" w:themeColor="text1"/>
                      <w:szCs w:val="21"/>
                      <w:highlight w:val="none"/>
                      <w14:textFill>
                        <w14:solidFill>
                          <w14:schemeClr w14:val="tx1"/>
                        </w14:solidFill>
                      </w14:textFill>
                    </w:rPr>
                  </w:pPr>
                </w:p>
              </w:tc>
              <w:tc>
                <w:tcPr>
                  <w:tcW w:w="3420" w:type="dxa"/>
                </w:tcPr>
                <w:p w14:paraId="1CD49EE2">
                  <w:pPr>
                    <w:spacing w:line="280" w:lineRule="exact"/>
                    <w:rPr>
                      <w:color w:val="000000" w:themeColor="text1"/>
                      <w:szCs w:val="21"/>
                      <w:highlight w:val="none"/>
                      <w14:textFill>
                        <w14:solidFill>
                          <w14:schemeClr w14:val="tx1"/>
                        </w14:solidFill>
                      </w14:textFill>
                    </w:rPr>
                  </w:pPr>
                </w:p>
              </w:tc>
              <w:tc>
                <w:tcPr>
                  <w:tcW w:w="1620" w:type="dxa"/>
                </w:tcPr>
                <w:p w14:paraId="52784084">
                  <w:pPr>
                    <w:spacing w:line="280" w:lineRule="exact"/>
                    <w:rPr>
                      <w:color w:val="000000" w:themeColor="text1"/>
                      <w:szCs w:val="21"/>
                      <w:highlight w:val="none"/>
                      <w14:textFill>
                        <w14:solidFill>
                          <w14:schemeClr w14:val="tx1"/>
                        </w14:solidFill>
                      </w14:textFill>
                    </w:rPr>
                  </w:pPr>
                </w:p>
              </w:tc>
              <w:tc>
                <w:tcPr>
                  <w:tcW w:w="1620" w:type="dxa"/>
                </w:tcPr>
                <w:p w14:paraId="59C36060">
                  <w:pPr>
                    <w:spacing w:line="280" w:lineRule="exact"/>
                    <w:rPr>
                      <w:color w:val="000000" w:themeColor="text1"/>
                      <w:szCs w:val="21"/>
                      <w:highlight w:val="none"/>
                      <w14:textFill>
                        <w14:solidFill>
                          <w14:schemeClr w14:val="tx1"/>
                        </w14:solidFill>
                      </w14:textFill>
                    </w:rPr>
                  </w:pPr>
                </w:p>
              </w:tc>
              <w:tc>
                <w:tcPr>
                  <w:tcW w:w="1651" w:type="dxa"/>
                </w:tcPr>
                <w:p w14:paraId="23E78541">
                  <w:pPr>
                    <w:spacing w:line="280" w:lineRule="exact"/>
                    <w:rPr>
                      <w:color w:val="000000" w:themeColor="text1"/>
                      <w:szCs w:val="21"/>
                      <w:highlight w:val="none"/>
                      <w14:textFill>
                        <w14:solidFill>
                          <w14:schemeClr w14:val="tx1"/>
                        </w14:solidFill>
                      </w14:textFill>
                    </w:rPr>
                  </w:pPr>
                </w:p>
              </w:tc>
            </w:tr>
          </w:tbl>
          <w:p w14:paraId="4AD11822">
            <w:pPr>
              <w:spacing w:line="400" w:lineRule="exact"/>
              <w:ind w:right="420" w:firstLine="435"/>
              <w:jc w:val="center"/>
              <w:rPr>
                <w:color w:val="000000" w:themeColor="text1"/>
                <w:szCs w:val="21"/>
                <w:highlight w:val="none"/>
                <w14:textFill>
                  <w14:solidFill>
                    <w14:schemeClr w14:val="tx1"/>
                  </w14:solidFill>
                </w14:textFill>
              </w:rPr>
            </w:pPr>
          </w:p>
          <w:p w14:paraId="30802DC4">
            <w:pPr>
              <w:spacing w:line="400" w:lineRule="exact"/>
              <w:ind w:right="420" w:firstLine="435"/>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                                            承包人（章）             </w:t>
            </w:r>
          </w:p>
          <w:p w14:paraId="5E958F58">
            <w:pPr>
              <w:spacing w:line="400" w:lineRule="exact"/>
              <w:ind w:right="420" w:firstLine="435"/>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造价人员承包人代表日      期</w:t>
            </w:r>
          </w:p>
        </w:tc>
      </w:tr>
      <w:tr w14:paraId="3F72B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539" w:type="dxa"/>
          </w:tcPr>
          <w:p w14:paraId="142E7D55">
            <w:pPr>
              <w:spacing w:line="36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复核意见：</w:t>
            </w:r>
          </w:p>
          <w:p w14:paraId="14DA4AF0">
            <w:pPr>
              <w:spacing w:line="360" w:lineRule="exact"/>
              <w:ind w:firstLine="312"/>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□与实际施工情况不相符，修改意见见附件。</w:t>
            </w:r>
          </w:p>
          <w:p w14:paraId="0B124E19">
            <w:pPr>
              <w:spacing w:line="360" w:lineRule="exact"/>
              <w:ind w:firstLine="312"/>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□与实际施工情况相符，具体金额由造价工程师复核。</w:t>
            </w:r>
          </w:p>
          <w:p w14:paraId="11F838DE">
            <w:pPr>
              <w:spacing w:line="360" w:lineRule="exact"/>
              <w:ind w:firstLine="435"/>
              <w:jc w:val="right"/>
              <w:rPr>
                <w:color w:val="000000" w:themeColor="text1"/>
                <w:szCs w:val="21"/>
                <w:highlight w:val="none"/>
                <w14:textFill>
                  <w14:solidFill>
                    <w14:schemeClr w14:val="tx1"/>
                  </w14:solidFill>
                </w14:textFill>
              </w:rPr>
            </w:pPr>
          </w:p>
          <w:p w14:paraId="2DCEE224">
            <w:pPr>
              <w:spacing w:line="360" w:lineRule="exact"/>
              <w:ind w:firstLine="435"/>
              <w:jc w:val="right"/>
              <w:rPr>
                <w:color w:val="000000" w:themeColor="text1"/>
                <w:szCs w:val="21"/>
                <w:highlight w:val="none"/>
                <w14:textFill>
                  <w14:solidFill>
                    <w14:schemeClr w14:val="tx1"/>
                  </w14:solidFill>
                </w14:textFill>
              </w:rPr>
            </w:pPr>
          </w:p>
          <w:p w14:paraId="3BFC7A35">
            <w:pPr>
              <w:spacing w:line="360" w:lineRule="exact"/>
              <w:ind w:firstLine="435"/>
              <w:jc w:val="center"/>
              <w:rPr>
                <w:color w:val="000000" w:themeColor="text1"/>
                <w:szCs w:val="21"/>
                <w:highlight w:val="none"/>
                <w14:textFill>
                  <w14:solidFill>
                    <w14:schemeClr w14:val="tx1"/>
                  </w14:solidFill>
                </w14:textFill>
              </w:rPr>
            </w:pPr>
          </w:p>
          <w:p w14:paraId="399D7C83">
            <w:pPr>
              <w:spacing w:line="360" w:lineRule="exact"/>
              <w:ind w:firstLine="435"/>
              <w:jc w:val="center"/>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      监理工程师</w:t>
            </w:r>
          </w:p>
          <w:p w14:paraId="6564ABFD">
            <w:pPr>
              <w:spacing w:line="360" w:lineRule="exact"/>
              <w:ind w:firstLine="435"/>
              <w:jc w:val="center"/>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  日      期</w:t>
            </w:r>
          </w:p>
        </w:tc>
        <w:tc>
          <w:tcPr>
            <w:tcW w:w="4533" w:type="dxa"/>
          </w:tcPr>
          <w:p w14:paraId="3F491097">
            <w:pPr>
              <w:spacing w:line="36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复核意见：</w:t>
            </w:r>
          </w:p>
          <w:p w14:paraId="7DC91DE4">
            <w:pPr>
              <w:spacing w:line="360" w:lineRule="exact"/>
              <w:ind w:firstLine="435"/>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你方提出的竣工结算支付申请经复核，竣工结算款总额为(大写)元，（小写） 元，扣除前期支付以及质量保证金后应支付金额为（大写）元，（小写）元。</w:t>
            </w:r>
          </w:p>
          <w:p w14:paraId="440C4858">
            <w:pPr>
              <w:spacing w:line="360" w:lineRule="exact"/>
              <w:ind w:firstLine="435"/>
              <w:jc w:val="center"/>
              <w:rPr>
                <w:color w:val="000000" w:themeColor="text1"/>
                <w:szCs w:val="21"/>
                <w:highlight w:val="none"/>
                <w14:textFill>
                  <w14:solidFill>
                    <w14:schemeClr w14:val="tx1"/>
                  </w14:solidFill>
                </w14:textFill>
              </w:rPr>
            </w:pPr>
          </w:p>
          <w:p w14:paraId="091D0D62">
            <w:pPr>
              <w:spacing w:line="360" w:lineRule="exact"/>
              <w:ind w:firstLine="435"/>
              <w:jc w:val="center"/>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    造价工程师</w:t>
            </w:r>
          </w:p>
          <w:p w14:paraId="641F0A12">
            <w:pPr>
              <w:spacing w:line="360" w:lineRule="exact"/>
              <w:ind w:firstLine="435"/>
              <w:jc w:val="center"/>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日      期</w:t>
            </w:r>
          </w:p>
        </w:tc>
      </w:tr>
      <w:tr w14:paraId="739D5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Pr>
          <w:p w14:paraId="6B9300EF">
            <w:pPr>
              <w:spacing w:line="40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审核意见：</w:t>
            </w:r>
          </w:p>
          <w:p w14:paraId="17522C0F">
            <w:pPr>
              <w:spacing w:line="400" w:lineRule="exact"/>
              <w:ind w:firstLine="435"/>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□不同意。</w:t>
            </w:r>
          </w:p>
          <w:p w14:paraId="236CD4A4">
            <w:pPr>
              <w:spacing w:line="400" w:lineRule="exac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□同意，支付时间为本表签发后的15天内。</w:t>
            </w:r>
          </w:p>
          <w:p w14:paraId="2C1D38FA">
            <w:pPr>
              <w:wordWrap w:val="0"/>
              <w:spacing w:line="400" w:lineRule="exact"/>
              <w:ind w:firstLine="420" w:firstLineChars="200"/>
              <w:jc w:val="righ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发包人（章）           </w:t>
            </w:r>
          </w:p>
          <w:p w14:paraId="7D5FB880">
            <w:pPr>
              <w:wordWrap w:val="0"/>
              <w:spacing w:line="400" w:lineRule="exact"/>
              <w:ind w:firstLine="420" w:firstLineChars="200"/>
              <w:jc w:val="right"/>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发包人代表</w:t>
            </w:r>
          </w:p>
          <w:p w14:paraId="15B60455">
            <w:pPr>
              <w:wordWrap w:val="0"/>
              <w:spacing w:line="400" w:lineRule="exact"/>
              <w:ind w:firstLine="420" w:firstLineChars="200"/>
              <w:jc w:val="right"/>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日      期</w:t>
            </w:r>
          </w:p>
        </w:tc>
      </w:tr>
    </w:tbl>
    <w:p w14:paraId="7190F8F6">
      <w:pPr>
        <w:spacing w:before="156" w:beforeLines="50"/>
        <w:ind w:firstLine="360" w:firstLineChars="200"/>
        <w:rPr>
          <w:color w:val="000000" w:themeColor="text1"/>
          <w:sz w:val="18"/>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 xml:space="preserve">注：1.在选择栏中的“□”内作标识“√”。 </w:t>
      </w:r>
    </w:p>
    <w:p w14:paraId="64240571">
      <w:pPr>
        <w:spacing w:before="156" w:beforeLines="50"/>
        <w:ind w:left="720" w:hanging="720" w:hangingChars="400"/>
        <w:rPr>
          <w:color w:val="000000" w:themeColor="text1"/>
          <w:sz w:val="18"/>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 xml:space="preserve">  2.本表一式四份，由承包人填报，发包人、监理人、造价咨询人、承包人各存一份。</w:t>
      </w:r>
    </w:p>
    <w:p w14:paraId="21F131D8">
      <w:pPr>
        <w:jc w:val="left"/>
        <w:rPr>
          <w:b/>
          <w:color w:val="000000" w:themeColor="text1"/>
          <w:sz w:val="30"/>
          <w:szCs w:val="30"/>
          <w:highlight w:val="none"/>
          <w14:textFill>
            <w14:solidFill>
              <w14:schemeClr w14:val="tx1"/>
            </w14:solidFill>
          </w14:textFill>
        </w:rPr>
      </w:pPr>
      <w:r>
        <w:rPr>
          <w:rFonts w:hint="eastAsia" w:hAnsi="宋体" w:cs="宋体"/>
          <w:color w:val="000000" w:themeColor="text1"/>
          <w:sz w:val="30"/>
          <w:szCs w:val="30"/>
          <w:highlight w:val="none"/>
          <w14:textFill>
            <w14:solidFill>
              <w14:schemeClr w14:val="tx1"/>
            </w14:solidFill>
          </w14:textFill>
        </w:rPr>
        <w:t>附件13：</w:t>
      </w:r>
    </w:p>
    <w:p w14:paraId="53E5E8E2">
      <w:pPr>
        <w:jc w:val="center"/>
        <w:rPr>
          <w:b/>
          <w:color w:val="000000" w:themeColor="text1"/>
          <w:sz w:val="36"/>
          <w:szCs w:val="36"/>
          <w:highlight w:val="none"/>
          <w14:textFill>
            <w14:solidFill>
              <w14:schemeClr w14:val="tx1"/>
            </w14:solidFill>
          </w14:textFill>
        </w:rPr>
      </w:pPr>
      <w:r>
        <w:rPr>
          <w:rFonts w:hint="eastAsia"/>
          <w:b/>
          <w:color w:val="000000" w:themeColor="text1"/>
          <w:sz w:val="36"/>
          <w:szCs w:val="36"/>
          <w:highlight w:val="none"/>
          <w14:textFill>
            <w14:solidFill>
              <w14:schemeClr w14:val="tx1"/>
            </w14:solidFill>
          </w14:textFill>
        </w:rPr>
        <w:t>最终结算款支付申请（核准）表</w:t>
      </w:r>
    </w:p>
    <w:p w14:paraId="6AFD516E">
      <w:pP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工程名称：                                             编号：</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9"/>
        <w:gridCol w:w="4533"/>
      </w:tblGrid>
      <w:tr w14:paraId="61B23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4" w:hRule="atLeast"/>
          <w:jc w:val="center"/>
        </w:trPr>
        <w:tc>
          <w:tcPr>
            <w:tcW w:w="9072" w:type="dxa"/>
            <w:gridSpan w:val="2"/>
          </w:tcPr>
          <w:p w14:paraId="1A0028D4">
            <w:pPr>
              <w:spacing w:line="480" w:lineRule="exact"/>
              <w:ind w:left="525" w:leftChars="149" w:hanging="212" w:hangingChars="101"/>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致：</w:t>
            </w:r>
            <w:r>
              <w:rPr>
                <w:rFonts w:hint="eastAsia"/>
                <w:color w:val="000000" w:themeColor="text1"/>
                <w:szCs w:val="21"/>
                <w:highlight w:val="none"/>
                <w:u w:val="single"/>
                <w14:textFill>
                  <w14:solidFill>
                    <w14:schemeClr w14:val="tx1"/>
                  </w14:solidFill>
                </w14:textFill>
              </w:rPr>
              <w:t xml:space="preserve">                                   （发包人全称）</w:t>
            </w:r>
          </w:p>
          <w:p w14:paraId="124226C7">
            <w:pPr>
              <w:spacing w:line="400" w:lineRule="exact"/>
              <w:ind w:left="-4" w:leftChars="-2" w:firstLine="315" w:firstLineChars="15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我方于至期间已完成了缺陷修复工作，根据施工合同的约定，现申请支付最终结清合同款额为(大写)元，(小写)元，请予核准。</w:t>
            </w:r>
          </w:p>
          <w:tbl>
            <w:tblPr>
              <w:tblStyle w:val="44"/>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420"/>
              <w:gridCol w:w="1620"/>
              <w:gridCol w:w="1620"/>
              <w:gridCol w:w="1651"/>
            </w:tblGrid>
            <w:tr w14:paraId="0FC72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vAlign w:val="center"/>
                </w:tcPr>
                <w:p w14:paraId="72A73696">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序号</w:t>
                  </w:r>
                </w:p>
              </w:tc>
              <w:tc>
                <w:tcPr>
                  <w:tcW w:w="3420" w:type="dxa"/>
                  <w:vAlign w:val="center"/>
                </w:tcPr>
                <w:p w14:paraId="21F18ACA">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名      称</w:t>
                  </w:r>
                </w:p>
              </w:tc>
              <w:tc>
                <w:tcPr>
                  <w:tcW w:w="1620" w:type="dxa"/>
                  <w:vAlign w:val="center"/>
                </w:tcPr>
                <w:p w14:paraId="310567DD">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申请金额（元）</w:t>
                  </w:r>
                </w:p>
              </w:tc>
              <w:tc>
                <w:tcPr>
                  <w:tcW w:w="1620" w:type="dxa"/>
                  <w:vAlign w:val="center"/>
                </w:tcPr>
                <w:p w14:paraId="6BC62488">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复核金额（元）</w:t>
                  </w:r>
                </w:p>
              </w:tc>
              <w:tc>
                <w:tcPr>
                  <w:tcW w:w="1651" w:type="dxa"/>
                  <w:vAlign w:val="center"/>
                </w:tcPr>
                <w:p w14:paraId="112C8937">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备注</w:t>
                  </w:r>
                </w:p>
              </w:tc>
            </w:tr>
            <w:tr w14:paraId="14F9E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417066E0">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w:t>
                  </w:r>
                </w:p>
              </w:tc>
              <w:tc>
                <w:tcPr>
                  <w:tcW w:w="3420" w:type="dxa"/>
                </w:tcPr>
                <w:p w14:paraId="2FE2A3D3">
                  <w:pPr>
                    <w:spacing w:line="28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已预留的质量保证金</w:t>
                  </w:r>
                </w:p>
              </w:tc>
              <w:tc>
                <w:tcPr>
                  <w:tcW w:w="1620" w:type="dxa"/>
                </w:tcPr>
                <w:p w14:paraId="36DBF832">
                  <w:pPr>
                    <w:spacing w:line="280" w:lineRule="exact"/>
                    <w:rPr>
                      <w:color w:val="000000" w:themeColor="text1"/>
                      <w:szCs w:val="21"/>
                      <w:highlight w:val="none"/>
                      <w14:textFill>
                        <w14:solidFill>
                          <w14:schemeClr w14:val="tx1"/>
                        </w14:solidFill>
                      </w14:textFill>
                    </w:rPr>
                  </w:pPr>
                </w:p>
              </w:tc>
              <w:tc>
                <w:tcPr>
                  <w:tcW w:w="1620" w:type="dxa"/>
                </w:tcPr>
                <w:p w14:paraId="3314B28E">
                  <w:pPr>
                    <w:spacing w:line="280" w:lineRule="exact"/>
                    <w:rPr>
                      <w:color w:val="000000" w:themeColor="text1"/>
                      <w:szCs w:val="21"/>
                      <w:highlight w:val="none"/>
                      <w14:textFill>
                        <w14:solidFill>
                          <w14:schemeClr w14:val="tx1"/>
                        </w14:solidFill>
                      </w14:textFill>
                    </w:rPr>
                  </w:pPr>
                </w:p>
              </w:tc>
              <w:tc>
                <w:tcPr>
                  <w:tcW w:w="1651" w:type="dxa"/>
                </w:tcPr>
                <w:p w14:paraId="5619CF7C">
                  <w:pPr>
                    <w:spacing w:line="280" w:lineRule="exact"/>
                    <w:rPr>
                      <w:color w:val="000000" w:themeColor="text1"/>
                      <w:szCs w:val="21"/>
                      <w:highlight w:val="none"/>
                      <w14:textFill>
                        <w14:solidFill>
                          <w14:schemeClr w14:val="tx1"/>
                        </w14:solidFill>
                      </w14:textFill>
                    </w:rPr>
                  </w:pPr>
                </w:p>
              </w:tc>
            </w:tr>
            <w:tr w14:paraId="390D9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3C06E6F3">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w:t>
                  </w:r>
                </w:p>
              </w:tc>
              <w:tc>
                <w:tcPr>
                  <w:tcW w:w="3420" w:type="dxa"/>
                </w:tcPr>
                <w:p w14:paraId="5EE830BF">
                  <w:pPr>
                    <w:spacing w:line="28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应增加因发包人原因造成缺陷的修复金额</w:t>
                  </w:r>
                </w:p>
              </w:tc>
              <w:tc>
                <w:tcPr>
                  <w:tcW w:w="1620" w:type="dxa"/>
                </w:tcPr>
                <w:p w14:paraId="5862C8A6">
                  <w:pPr>
                    <w:spacing w:line="280" w:lineRule="exact"/>
                    <w:rPr>
                      <w:color w:val="000000" w:themeColor="text1"/>
                      <w:szCs w:val="21"/>
                      <w:highlight w:val="none"/>
                      <w14:textFill>
                        <w14:solidFill>
                          <w14:schemeClr w14:val="tx1"/>
                        </w14:solidFill>
                      </w14:textFill>
                    </w:rPr>
                  </w:pPr>
                </w:p>
              </w:tc>
              <w:tc>
                <w:tcPr>
                  <w:tcW w:w="1620" w:type="dxa"/>
                </w:tcPr>
                <w:p w14:paraId="4970C5E8">
                  <w:pPr>
                    <w:spacing w:line="280" w:lineRule="exact"/>
                    <w:rPr>
                      <w:color w:val="000000" w:themeColor="text1"/>
                      <w:szCs w:val="21"/>
                      <w:highlight w:val="none"/>
                      <w14:textFill>
                        <w14:solidFill>
                          <w14:schemeClr w14:val="tx1"/>
                        </w14:solidFill>
                      </w14:textFill>
                    </w:rPr>
                  </w:pPr>
                </w:p>
              </w:tc>
              <w:tc>
                <w:tcPr>
                  <w:tcW w:w="1651" w:type="dxa"/>
                </w:tcPr>
                <w:p w14:paraId="3F65C2D0">
                  <w:pPr>
                    <w:spacing w:line="280" w:lineRule="exact"/>
                    <w:rPr>
                      <w:color w:val="000000" w:themeColor="text1"/>
                      <w:szCs w:val="21"/>
                      <w:highlight w:val="none"/>
                      <w14:textFill>
                        <w14:solidFill>
                          <w14:schemeClr w14:val="tx1"/>
                        </w14:solidFill>
                      </w14:textFill>
                    </w:rPr>
                  </w:pPr>
                </w:p>
              </w:tc>
            </w:tr>
            <w:tr w14:paraId="317BF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6DA41327">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w:t>
                  </w:r>
                </w:p>
              </w:tc>
              <w:tc>
                <w:tcPr>
                  <w:tcW w:w="3420" w:type="dxa"/>
                </w:tcPr>
                <w:p w14:paraId="1C41A1BE">
                  <w:pPr>
                    <w:spacing w:line="28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应扣减承包人不修复缺陷、发包人组织修复的金额</w:t>
                  </w:r>
                </w:p>
              </w:tc>
              <w:tc>
                <w:tcPr>
                  <w:tcW w:w="1620" w:type="dxa"/>
                </w:tcPr>
                <w:p w14:paraId="529E7685">
                  <w:pPr>
                    <w:spacing w:line="280" w:lineRule="exact"/>
                    <w:rPr>
                      <w:color w:val="000000" w:themeColor="text1"/>
                      <w:szCs w:val="21"/>
                      <w:highlight w:val="none"/>
                      <w14:textFill>
                        <w14:solidFill>
                          <w14:schemeClr w14:val="tx1"/>
                        </w14:solidFill>
                      </w14:textFill>
                    </w:rPr>
                  </w:pPr>
                </w:p>
              </w:tc>
              <w:tc>
                <w:tcPr>
                  <w:tcW w:w="1620" w:type="dxa"/>
                </w:tcPr>
                <w:p w14:paraId="03D2BB8A">
                  <w:pPr>
                    <w:spacing w:line="280" w:lineRule="exact"/>
                    <w:rPr>
                      <w:color w:val="000000" w:themeColor="text1"/>
                      <w:szCs w:val="21"/>
                      <w:highlight w:val="none"/>
                      <w14:textFill>
                        <w14:solidFill>
                          <w14:schemeClr w14:val="tx1"/>
                        </w14:solidFill>
                      </w14:textFill>
                    </w:rPr>
                  </w:pPr>
                </w:p>
              </w:tc>
              <w:tc>
                <w:tcPr>
                  <w:tcW w:w="1651" w:type="dxa"/>
                </w:tcPr>
                <w:p w14:paraId="73922DD6">
                  <w:pPr>
                    <w:spacing w:line="280" w:lineRule="exact"/>
                    <w:rPr>
                      <w:color w:val="000000" w:themeColor="text1"/>
                      <w:szCs w:val="21"/>
                      <w:highlight w:val="none"/>
                      <w14:textFill>
                        <w14:solidFill>
                          <w14:schemeClr w14:val="tx1"/>
                        </w14:solidFill>
                      </w14:textFill>
                    </w:rPr>
                  </w:pPr>
                </w:p>
              </w:tc>
            </w:tr>
            <w:tr w14:paraId="34833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3713D0A6">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w:t>
                  </w:r>
                </w:p>
              </w:tc>
              <w:tc>
                <w:tcPr>
                  <w:tcW w:w="3420" w:type="dxa"/>
                </w:tcPr>
                <w:p w14:paraId="0B0BF68E">
                  <w:pPr>
                    <w:spacing w:line="28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最终应支付的合同价款</w:t>
                  </w:r>
                </w:p>
              </w:tc>
              <w:tc>
                <w:tcPr>
                  <w:tcW w:w="1620" w:type="dxa"/>
                </w:tcPr>
                <w:p w14:paraId="1316BCA5">
                  <w:pPr>
                    <w:spacing w:line="280" w:lineRule="exact"/>
                    <w:rPr>
                      <w:color w:val="000000" w:themeColor="text1"/>
                      <w:szCs w:val="21"/>
                      <w:highlight w:val="none"/>
                      <w14:textFill>
                        <w14:solidFill>
                          <w14:schemeClr w14:val="tx1"/>
                        </w14:solidFill>
                      </w14:textFill>
                    </w:rPr>
                  </w:pPr>
                </w:p>
              </w:tc>
              <w:tc>
                <w:tcPr>
                  <w:tcW w:w="1620" w:type="dxa"/>
                </w:tcPr>
                <w:p w14:paraId="0DB62658">
                  <w:pPr>
                    <w:spacing w:line="280" w:lineRule="exact"/>
                    <w:rPr>
                      <w:color w:val="000000" w:themeColor="text1"/>
                      <w:szCs w:val="21"/>
                      <w:highlight w:val="none"/>
                      <w14:textFill>
                        <w14:solidFill>
                          <w14:schemeClr w14:val="tx1"/>
                        </w14:solidFill>
                      </w14:textFill>
                    </w:rPr>
                  </w:pPr>
                </w:p>
              </w:tc>
              <w:tc>
                <w:tcPr>
                  <w:tcW w:w="1651" w:type="dxa"/>
                </w:tcPr>
                <w:p w14:paraId="1F3A0983">
                  <w:pPr>
                    <w:spacing w:line="280" w:lineRule="exact"/>
                    <w:rPr>
                      <w:color w:val="000000" w:themeColor="text1"/>
                      <w:szCs w:val="21"/>
                      <w:highlight w:val="none"/>
                      <w14:textFill>
                        <w14:solidFill>
                          <w14:schemeClr w14:val="tx1"/>
                        </w14:solidFill>
                      </w14:textFill>
                    </w:rPr>
                  </w:pPr>
                </w:p>
              </w:tc>
            </w:tr>
            <w:tr w14:paraId="0D565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194114F0">
                  <w:pPr>
                    <w:spacing w:line="280" w:lineRule="exact"/>
                    <w:jc w:val="center"/>
                    <w:rPr>
                      <w:color w:val="000000" w:themeColor="text1"/>
                      <w:szCs w:val="21"/>
                      <w:highlight w:val="none"/>
                      <w14:textFill>
                        <w14:solidFill>
                          <w14:schemeClr w14:val="tx1"/>
                        </w14:solidFill>
                      </w14:textFill>
                    </w:rPr>
                  </w:pPr>
                </w:p>
              </w:tc>
              <w:tc>
                <w:tcPr>
                  <w:tcW w:w="3420" w:type="dxa"/>
                </w:tcPr>
                <w:p w14:paraId="3FC167CE">
                  <w:pPr>
                    <w:spacing w:line="280" w:lineRule="exact"/>
                    <w:rPr>
                      <w:color w:val="000000" w:themeColor="text1"/>
                      <w:szCs w:val="21"/>
                      <w:highlight w:val="none"/>
                      <w14:textFill>
                        <w14:solidFill>
                          <w14:schemeClr w14:val="tx1"/>
                        </w14:solidFill>
                      </w14:textFill>
                    </w:rPr>
                  </w:pPr>
                </w:p>
              </w:tc>
              <w:tc>
                <w:tcPr>
                  <w:tcW w:w="1620" w:type="dxa"/>
                </w:tcPr>
                <w:p w14:paraId="6CED801B">
                  <w:pPr>
                    <w:spacing w:line="280" w:lineRule="exact"/>
                    <w:rPr>
                      <w:color w:val="000000" w:themeColor="text1"/>
                      <w:szCs w:val="21"/>
                      <w:highlight w:val="none"/>
                      <w14:textFill>
                        <w14:solidFill>
                          <w14:schemeClr w14:val="tx1"/>
                        </w14:solidFill>
                      </w14:textFill>
                    </w:rPr>
                  </w:pPr>
                </w:p>
              </w:tc>
              <w:tc>
                <w:tcPr>
                  <w:tcW w:w="1620" w:type="dxa"/>
                </w:tcPr>
                <w:p w14:paraId="37F78AF5">
                  <w:pPr>
                    <w:spacing w:line="280" w:lineRule="exact"/>
                    <w:rPr>
                      <w:color w:val="000000" w:themeColor="text1"/>
                      <w:szCs w:val="21"/>
                      <w:highlight w:val="none"/>
                      <w14:textFill>
                        <w14:solidFill>
                          <w14:schemeClr w14:val="tx1"/>
                        </w14:solidFill>
                      </w14:textFill>
                    </w:rPr>
                  </w:pPr>
                </w:p>
              </w:tc>
              <w:tc>
                <w:tcPr>
                  <w:tcW w:w="1651" w:type="dxa"/>
                </w:tcPr>
                <w:p w14:paraId="6F1B1667">
                  <w:pPr>
                    <w:spacing w:line="280" w:lineRule="exact"/>
                    <w:rPr>
                      <w:color w:val="000000" w:themeColor="text1"/>
                      <w:szCs w:val="21"/>
                      <w:highlight w:val="none"/>
                      <w14:textFill>
                        <w14:solidFill>
                          <w14:schemeClr w14:val="tx1"/>
                        </w14:solidFill>
                      </w14:textFill>
                    </w:rPr>
                  </w:pPr>
                </w:p>
              </w:tc>
            </w:tr>
            <w:tr w14:paraId="0DEDF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7DDF5486">
                  <w:pPr>
                    <w:spacing w:line="280" w:lineRule="exact"/>
                    <w:jc w:val="center"/>
                    <w:rPr>
                      <w:color w:val="000000" w:themeColor="text1"/>
                      <w:szCs w:val="21"/>
                      <w:highlight w:val="none"/>
                      <w14:textFill>
                        <w14:solidFill>
                          <w14:schemeClr w14:val="tx1"/>
                        </w14:solidFill>
                      </w14:textFill>
                    </w:rPr>
                  </w:pPr>
                </w:p>
              </w:tc>
              <w:tc>
                <w:tcPr>
                  <w:tcW w:w="3420" w:type="dxa"/>
                </w:tcPr>
                <w:p w14:paraId="78A83246">
                  <w:pPr>
                    <w:spacing w:line="280" w:lineRule="exact"/>
                    <w:rPr>
                      <w:color w:val="000000" w:themeColor="text1"/>
                      <w:szCs w:val="21"/>
                      <w:highlight w:val="none"/>
                      <w14:textFill>
                        <w14:solidFill>
                          <w14:schemeClr w14:val="tx1"/>
                        </w14:solidFill>
                      </w14:textFill>
                    </w:rPr>
                  </w:pPr>
                </w:p>
              </w:tc>
              <w:tc>
                <w:tcPr>
                  <w:tcW w:w="1620" w:type="dxa"/>
                </w:tcPr>
                <w:p w14:paraId="40C730A5">
                  <w:pPr>
                    <w:spacing w:line="280" w:lineRule="exact"/>
                    <w:rPr>
                      <w:color w:val="000000" w:themeColor="text1"/>
                      <w:szCs w:val="21"/>
                      <w:highlight w:val="none"/>
                      <w14:textFill>
                        <w14:solidFill>
                          <w14:schemeClr w14:val="tx1"/>
                        </w14:solidFill>
                      </w14:textFill>
                    </w:rPr>
                  </w:pPr>
                </w:p>
              </w:tc>
              <w:tc>
                <w:tcPr>
                  <w:tcW w:w="1620" w:type="dxa"/>
                </w:tcPr>
                <w:p w14:paraId="087EE0DE">
                  <w:pPr>
                    <w:spacing w:line="280" w:lineRule="exact"/>
                    <w:rPr>
                      <w:color w:val="000000" w:themeColor="text1"/>
                      <w:szCs w:val="21"/>
                      <w:highlight w:val="none"/>
                      <w14:textFill>
                        <w14:solidFill>
                          <w14:schemeClr w14:val="tx1"/>
                        </w14:solidFill>
                      </w14:textFill>
                    </w:rPr>
                  </w:pPr>
                </w:p>
              </w:tc>
              <w:tc>
                <w:tcPr>
                  <w:tcW w:w="1651" w:type="dxa"/>
                </w:tcPr>
                <w:p w14:paraId="77CEFAFD">
                  <w:pPr>
                    <w:spacing w:line="280" w:lineRule="exact"/>
                    <w:rPr>
                      <w:color w:val="000000" w:themeColor="text1"/>
                      <w:szCs w:val="21"/>
                      <w:highlight w:val="none"/>
                      <w14:textFill>
                        <w14:solidFill>
                          <w14:schemeClr w14:val="tx1"/>
                        </w14:solidFill>
                      </w14:textFill>
                    </w:rPr>
                  </w:pPr>
                </w:p>
              </w:tc>
            </w:tr>
            <w:tr w14:paraId="22C8B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1D25F436">
                  <w:pPr>
                    <w:spacing w:line="280" w:lineRule="exact"/>
                    <w:jc w:val="center"/>
                    <w:rPr>
                      <w:color w:val="000000" w:themeColor="text1"/>
                      <w:szCs w:val="21"/>
                      <w:highlight w:val="none"/>
                      <w14:textFill>
                        <w14:solidFill>
                          <w14:schemeClr w14:val="tx1"/>
                        </w14:solidFill>
                      </w14:textFill>
                    </w:rPr>
                  </w:pPr>
                </w:p>
              </w:tc>
              <w:tc>
                <w:tcPr>
                  <w:tcW w:w="3420" w:type="dxa"/>
                </w:tcPr>
                <w:p w14:paraId="3594725C">
                  <w:pPr>
                    <w:spacing w:line="280" w:lineRule="exact"/>
                    <w:rPr>
                      <w:color w:val="000000" w:themeColor="text1"/>
                      <w:szCs w:val="21"/>
                      <w:highlight w:val="none"/>
                      <w14:textFill>
                        <w14:solidFill>
                          <w14:schemeClr w14:val="tx1"/>
                        </w14:solidFill>
                      </w14:textFill>
                    </w:rPr>
                  </w:pPr>
                </w:p>
              </w:tc>
              <w:tc>
                <w:tcPr>
                  <w:tcW w:w="1620" w:type="dxa"/>
                </w:tcPr>
                <w:p w14:paraId="0D492CF8">
                  <w:pPr>
                    <w:spacing w:line="280" w:lineRule="exact"/>
                    <w:rPr>
                      <w:color w:val="000000" w:themeColor="text1"/>
                      <w:szCs w:val="21"/>
                      <w:highlight w:val="none"/>
                      <w14:textFill>
                        <w14:solidFill>
                          <w14:schemeClr w14:val="tx1"/>
                        </w14:solidFill>
                      </w14:textFill>
                    </w:rPr>
                  </w:pPr>
                </w:p>
              </w:tc>
              <w:tc>
                <w:tcPr>
                  <w:tcW w:w="1620" w:type="dxa"/>
                </w:tcPr>
                <w:p w14:paraId="76703619">
                  <w:pPr>
                    <w:spacing w:line="280" w:lineRule="exact"/>
                    <w:rPr>
                      <w:color w:val="000000" w:themeColor="text1"/>
                      <w:szCs w:val="21"/>
                      <w:highlight w:val="none"/>
                      <w14:textFill>
                        <w14:solidFill>
                          <w14:schemeClr w14:val="tx1"/>
                        </w14:solidFill>
                      </w14:textFill>
                    </w:rPr>
                  </w:pPr>
                </w:p>
              </w:tc>
              <w:tc>
                <w:tcPr>
                  <w:tcW w:w="1651" w:type="dxa"/>
                </w:tcPr>
                <w:p w14:paraId="68B217C2">
                  <w:pPr>
                    <w:spacing w:line="280" w:lineRule="exact"/>
                    <w:rPr>
                      <w:color w:val="000000" w:themeColor="text1"/>
                      <w:szCs w:val="21"/>
                      <w:highlight w:val="none"/>
                      <w14:textFill>
                        <w14:solidFill>
                          <w14:schemeClr w14:val="tx1"/>
                        </w14:solidFill>
                      </w14:textFill>
                    </w:rPr>
                  </w:pPr>
                </w:p>
              </w:tc>
            </w:tr>
            <w:tr w14:paraId="2AFEB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1800D546">
                  <w:pPr>
                    <w:spacing w:line="280" w:lineRule="exact"/>
                    <w:jc w:val="center"/>
                    <w:rPr>
                      <w:color w:val="000000" w:themeColor="text1"/>
                      <w:szCs w:val="21"/>
                      <w:highlight w:val="none"/>
                      <w14:textFill>
                        <w14:solidFill>
                          <w14:schemeClr w14:val="tx1"/>
                        </w14:solidFill>
                      </w14:textFill>
                    </w:rPr>
                  </w:pPr>
                </w:p>
              </w:tc>
              <w:tc>
                <w:tcPr>
                  <w:tcW w:w="3420" w:type="dxa"/>
                </w:tcPr>
                <w:p w14:paraId="75A60D98">
                  <w:pPr>
                    <w:spacing w:line="280" w:lineRule="exact"/>
                    <w:rPr>
                      <w:color w:val="000000" w:themeColor="text1"/>
                      <w:szCs w:val="21"/>
                      <w:highlight w:val="none"/>
                      <w14:textFill>
                        <w14:solidFill>
                          <w14:schemeClr w14:val="tx1"/>
                        </w14:solidFill>
                      </w14:textFill>
                    </w:rPr>
                  </w:pPr>
                </w:p>
              </w:tc>
              <w:tc>
                <w:tcPr>
                  <w:tcW w:w="1620" w:type="dxa"/>
                </w:tcPr>
                <w:p w14:paraId="376D1EEB">
                  <w:pPr>
                    <w:spacing w:line="280" w:lineRule="exact"/>
                    <w:rPr>
                      <w:color w:val="000000" w:themeColor="text1"/>
                      <w:szCs w:val="21"/>
                      <w:highlight w:val="none"/>
                      <w14:textFill>
                        <w14:solidFill>
                          <w14:schemeClr w14:val="tx1"/>
                        </w14:solidFill>
                      </w14:textFill>
                    </w:rPr>
                  </w:pPr>
                </w:p>
              </w:tc>
              <w:tc>
                <w:tcPr>
                  <w:tcW w:w="1620" w:type="dxa"/>
                </w:tcPr>
                <w:p w14:paraId="5A6BD9E8">
                  <w:pPr>
                    <w:spacing w:line="280" w:lineRule="exact"/>
                    <w:rPr>
                      <w:color w:val="000000" w:themeColor="text1"/>
                      <w:szCs w:val="21"/>
                      <w:highlight w:val="none"/>
                      <w14:textFill>
                        <w14:solidFill>
                          <w14:schemeClr w14:val="tx1"/>
                        </w14:solidFill>
                      </w14:textFill>
                    </w:rPr>
                  </w:pPr>
                </w:p>
              </w:tc>
              <w:tc>
                <w:tcPr>
                  <w:tcW w:w="1651" w:type="dxa"/>
                </w:tcPr>
                <w:p w14:paraId="56C2631A">
                  <w:pPr>
                    <w:spacing w:line="280" w:lineRule="exact"/>
                    <w:rPr>
                      <w:color w:val="000000" w:themeColor="text1"/>
                      <w:szCs w:val="21"/>
                      <w:highlight w:val="none"/>
                      <w14:textFill>
                        <w14:solidFill>
                          <w14:schemeClr w14:val="tx1"/>
                        </w14:solidFill>
                      </w14:textFill>
                    </w:rPr>
                  </w:pPr>
                </w:p>
              </w:tc>
            </w:tr>
          </w:tbl>
          <w:p w14:paraId="4CEDF7A7">
            <w:pPr>
              <w:spacing w:line="400" w:lineRule="exact"/>
              <w:ind w:right="420" w:firstLine="435"/>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                                            承包人（章）             </w:t>
            </w:r>
          </w:p>
          <w:p w14:paraId="479E8523">
            <w:pPr>
              <w:spacing w:line="400" w:lineRule="exact"/>
              <w:ind w:right="420" w:firstLine="435"/>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造价人员承包人代表日      期</w:t>
            </w:r>
          </w:p>
        </w:tc>
      </w:tr>
      <w:tr w14:paraId="20A8D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539" w:type="dxa"/>
          </w:tcPr>
          <w:p w14:paraId="6C3614F6">
            <w:pPr>
              <w:spacing w:line="36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复核意见：</w:t>
            </w:r>
          </w:p>
          <w:p w14:paraId="7C0D2D62">
            <w:pPr>
              <w:spacing w:line="360" w:lineRule="exact"/>
              <w:ind w:firstLine="312"/>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□与实际施工情况不相符，修改意见见附件。</w:t>
            </w:r>
          </w:p>
          <w:p w14:paraId="4FA5608F">
            <w:pPr>
              <w:spacing w:line="360" w:lineRule="exact"/>
              <w:ind w:firstLine="312"/>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□与实际施工情况相符，具体金额由造价工程师复核。</w:t>
            </w:r>
          </w:p>
          <w:p w14:paraId="78AA45FB">
            <w:pPr>
              <w:spacing w:line="360" w:lineRule="exact"/>
              <w:ind w:firstLine="435"/>
              <w:jc w:val="right"/>
              <w:rPr>
                <w:color w:val="000000" w:themeColor="text1"/>
                <w:szCs w:val="21"/>
                <w:highlight w:val="none"/>
                <w14:textFill>
                  <w14:solidFill>
                    <w14:schemeClr w14:val="tx1"/>
                  </w14:solidFill>
                </w14:textFill>
              </w:rPr>
            </w:pPr>
          </w:p>
          <w:p w14:paraId="2DBD3DCF">
            <w:pPr>
              <w:spacing w:line="360" w:lineRule="exact"/>
              <w:ind w:firstLine="435"/>
              <w:jc w:val="right"/>
              <w:rPr>
                <w:color w:val="000000" w:themeColor="text1"/>
                <w:szCs w:val="21"/>
                <w:highlight w:val="none"/>
                <w14:textFill>
                  <w14:solidFill>
                    <w14:schemeClr w14:val="tx1"/>
                  </w14:solidFill>
                </w14:textFill>
              </w:rPr>
            </w:pPr>
          </w:p>
          <w:p w14:paraId="4782F27F">
            <w:pPr>
              <w:spacing w:line="360" w:lineRule="exact"/>
              <w:ind w:firstLine="435"/>
              <w:jc w:val="center"/>
              <w:rPr>
                <w:color w:val="000000" w:themeColor="text1"/>
                <w:szCs w:val="21"/>
                <w:highlight w:val="none"/>
                <w14:textFill>
                  <w14:solidFill>
                    <w14:schemeClr w14:val="tx1"/>
                  </w14:solidFill>
                </w14:textFill>
              </w:rPr>
            </w:pPr>
          </w:p>
          <w:p w14:paraId="74B563BC">
            <w:pPr>
              <w:spacing w:line="360" w:lineRule="exact"/>
              <w:ind w:firstLine="435"/>
              <w:jc w:val="center"/>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        监理工程师</w:t>
            </w:r>
          </w:p>
          <w:p w14:paraId="518667D0">
            <w:pPr>
              <w:spacing w:line="360" w:lineRule="exact"/>
              <w:ind w:firstLine="435"/>
              <w:jc w:val="center"/>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    日      期</w:t>
            </w:r>
          </w:p>
        </w:tc>
        <w:tc>
          <w:tcPr>
            <w:tcW w:w="4533" w:type="dxa"/>
          </w:tcPr>
          <w:p w14:paraId="45A152F8">
            <w:pPr>
              <w:spacing w:line="36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复核意见：</w:t>
            </w:r>
          </w:p>
          <w:p w14:paraId="2874B772">
            <w:pPr>
              <w:spacing w:line="360" w:lineRule="exact"/>
              <w:ind w:firstLine="435"/>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你方提出的支付申请经复核，最终应支付金额为（大写）元，（小写）  元。</w:t>
            </w:r>
          </w:p>
          <w:p w14:paraId="0D559A2B">
            <w:pPr>
              <w:spacing w:line="360" w:lineRule="exact"/>
              <w:ind w:firstLine="435"/>
              <w:jc w:val="center"/>
              <w:rPr>
                <w:color w:val="000000" w:themeColor="text1"/>
                <w:szCs w:val="21"/>
                <w:highlight w:val="none"/>
                <w14:textFill>
                  <w14:solidFill>
                    <w14:schemeClr w14:val="tx1"/>
                  </w14:solidFill>
                </w14:textFill>
              </w:rPr>
            </w:pPr>
          </w:p>
          <w:p w14:paraId="28630563">
            <w:pPr>
              <w:spacing w:line="360" w:lineRule="exact"/>
              <w:ind w:firstLine="435"/>
              <w:jc w:val="center"/>
              <w:rPr>
                <w:color w:val="000000" w:themeColor="text1"/>
                <w:szCs w:val="21"/>
                <w:highlight w:val="none"/>
                <w14:textFill>
                  <w14:solidFill>
                    <w14:schemeClr w14:val="tx1"/>
                  </w14:solidFill>
                </w14:textFill>
              </w:rPr>
            </w:pPr>
          </w:p>
          <w:p w14:paraId="1C07A4B7">
            <w:pPr>
              <w:spacing w:line="360" w:lineRule="exact"/>
              <w:ind w:firstLine="435"/>
              <w:jc w:val="center"/>
              <w:rPr>
                <w:color w:val="000000" w:themeColor="text1"/>
                <w:szCs w:val="21"/>
                <w:highlight w:val="none"/>
                <w14:textFill>
                  <w14:solidFill>
                    <w14:schemeClr w14:val="tx1"/>
                  </w14:solidFill>
                </w14:textFill>
              </w:rPr>
            </w:pPr>
          </w:p>
          <w:p w14:paraId="7420D4BE">
            <w:pPr>
              <w:spacing w:line="360" w:lineRule="exact"/>
              <w:ind w:firstLine="435"/>
              <w:jc w:val="center"/>
              <w:rPr>
                <w:color w:val="000000" w:themeColor="text1"/>
                <w:szCs w:val="21"/>
                <w:highlight w:val="none"/>
                <w14:textFill>
                  <w14:solidFill>
                    <w14:schemeClr w14:val="tx1"/>
                  </w14:solidFill>
                </w14:textFill>
              </w:rPr>
            </w:pPr>
          </w:p>
          <w:p w14:paraId="6B6B8B6C">
            <w:pPr>
              <w:spacing w:line="360" w:lineRule="exact"/>
              <w:ind w:firstLine="435"/>
              <w:jc w:val="center"/>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    造价工程师</w:t>
            </w:r>
          </w:p>
          <w:p w14:paraId="517D1777">
            <w:pPr>
              <w:spacing w:line="360" w:lineRule="exact"/>
              <w:ind w:firstLine="435"/>
              <w:jc w:val="center"/>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日      期</w:t>
            </w:r>
          </w:p>
        </w:tc>
      </w:tr>
      <w:tr w14:paraId="1F395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Pr>
          <w:p w14:paraId="1EDDE1EF">
            <w:pPr>
              <w:spacing w:line="40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审核意见：</w:t>
            </w:r>
          </w:p>
          <w:p w14:paraId="0F6CE61A">
            <w:pPr>
              <w:spacing w:line="400" w:lineRule="exact"/>
              <w:ind w:firstLine="435"/>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□不同意。</w:t>
            </w:r>
          </w:p>
          <w:p w14:paraId="346E8E4A">
            <w:pPr>
              <w:spacing w:line="400" w:lineRule="exac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□同意，支付时间为本表签发后的15天内。</w:t>
            </w:r>
          </w:p>
          <w:p w14:paraId="72392063">
            <w:pPr>
              <w:wordWrap w:val="0"/>
              <w:spacing w:line="400" w:lineRule="exact"/>
              <w:ind w:firstLine="420" w:firstLineChars="200"/>
              <w:jc w:val="righ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发包人（章）           </w:t>
            </w:r>
          </w:p>
          <w:p w14:paraId="78776096">
            <w:pPr>
              <w:wordWrap w:val="0"/>
              <w:spacing w:line="400" w:lineRule="exact"/>
              <w:ind w:firstLine="420" w:firstLineChars="200"/>
              <w:jc w:val="right"/>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发包人代表</w:t>
            </w:r>
          </w:p>
          <w:p w14:paraId="40E36E7A">
            <w:pPr>
              <w:wordWrap w:val="0"/>
              <w:spacing w:line="400" w:lineRule="exact"/>
              <w:ind w:firstLine="420" w:firstLineChars="200"/>
              <w:jc w:val="right"/>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日      期</w:t>
            </w:r>
          </w:p>
        </w:tc>
      </w:tr>
    </w:tbl>
    <w:p w14:paraId="050C9937">
      <w:pPr>
        <w:spacing w:before="156" w:beforeLines="50"/>
        <w:ind w:firstLine="360" w:firstLineChars="200"/>
        <w:rPr>
          <w:color w:val="000000" w:themeColor="text1"/>
          <w:sz w:val="18"/>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注：1.在选择栏中的“□”内作标识“√”。 如监理人已退场，监理工程师栏可空缺。</w:t>
      </w:r>
    </w:p>
    <w:p w14:paraId="0DCE4B2C">
      <w:pPr>
        <w:spacing w:before="156" w:beforeLines="50"/>
        <w:ind w:left="720" w:hanging="720" w:hangingChars="400"/>
        <w:rPr>
          <w:color w:val="000000" w:themeColor="text1"/>
          <w:sz w:val="18"/>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 xml:space="preserve">  2.本表一式四份，由承包人填报，发包人、监理人、造价咨询人、承包人各存一份。</w:t>
      </w:r>
    </w:p>
    <w:p w14:paraId="551C0FFF">
      <w:pPr>
        <w:spacing w:line="360" w:lineRule="auto"/>
        <w:jc w:val="left"/>
        <w:rPr>
          <w:rFonts w:hAnsi="宋体" w:cs="宋体"/>
          <w:color w:val="000000" w:themeColor="text1"/>
          <w:sz w:val="30"/>
          <w:szCs w:val="30"/>
          <w:highlight w:val="none"/>
          <w14:textFill>
            <w14:solidFill>
              <w14:schemeClr w14:val="tx1"/>
            </w14:solidFill>
          </w14:textFill>
        </w:rPr>
      </w:pPr>
      <w:r>
        <w:rPr>
          <w:rFonts w:hint="eastAsia"/>
          <w:color w:val="000000" w:themeColor="text1"/>
          <w:sz w:val="30"/>
          <w:szCs w:val="30"/>
          <w:highlight w:val="none"/>
          <w14:textFill>
            <w14:solidFill>
              <w14:schemeClr w14:val="tx1"/>
            </w14:solidFill>
          </w14:textFill>
        </w:rPr>
        <w:t>附件14：</w:t>
      </w:r>
    </w:p>
    <w:p w14:paraId="5CF7E197">
      <w:pPr>
        <w:spacing w:line="360" w:lineRule="auto"/>
        <w:ind w:firstLine="720" w:firstLineChars="200"/>
        <w:jc w:val="center"/>
        <w:rPr>
          <w:rFonts w:ascii="宋体" w:hAnsi="宋体" w:cs="宋体"/>
          <w:color w:val="000000" w:themeColor="text1"/>
          <w:kern w:val="0"/>
          <w:sz w:val="36"/>
          <w:szCs w:val="36"/>
          <w:highlight w:val="none"/>
          <w14:textFill>
            <w14:solidFill>
              <w14:schemeClr w14:val="tx1"/>
            </w14:solidFill>
          </w14:textFill>
        </w:rPr>
      </w:pPr>
      <w:r>
        <w:rPr>
          <w:rFonts w:hint="eastAsia" w:ascii="宋体" w:hAnsi="宋体" w:cs="宋体"/>
          <w:color w:val="000000" w:themeColor="text1"/>
          <w:kern w:val="0"/>
          <w:sz w:val="36"/>
          <w:szCs w:val="36"/>
          <w:highlight w:val="none"/>
          <w14:textFill>
            <w14:solidFill>
              <w14:schemeClr w14:val="tx1"/>
            </w14:solidFill>
          </w14:textFill>
        </w:rPr>
        <w:t>总价合同进度款支付分解表</w:t>
      </w:r>
    </w:p>
    <w:p w14:paraId="2B67A261">
      <w:pPr>
        <w:spacing w:line="360" w:lineRule="auto"/>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工程名称：</w:t>
      </w:r>
    </w:p>
    <w:tbl>
      <w:tblPr>
        <w:tblStyle w:val="44"/>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
        <w:gridCol w:w="1417"/>
        <w:gridCol w:w="3119"/>
        <w:gridCol w:w="675"/>
        <w:gridCol w:w="2268"/>
        <w:gridCol w:w="1276"/>
      </w:tblGrid>
      <w:tr w14:paraId="0F802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4" w:type="dxa"/>
        </w:trPr>
        <w:tc>
          <w:tcPr>
            <w:tcW w:w="1417" w:type="dxa"/>
          </w:tcPr>
          <w:p w14:paraId="70C10052">
            <w:pPr>
              <w:spacing w:line="360" w:lineRule="auto"/>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进度款期次</w:t>
            </w:r>
          </w:p>
        </w:tc>
        <w:tc>
          <w:tcPr>
            <w:tcW w:w="3794" w:type="dxa"/>
            <w:gridSpan w:val="2"/>
          </w:tcPr>
          <w:p w14:paraId="1B715D97">
            <w:pPr>
              <w:spacing w:line="360" w:lineRule="auto"/>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形象进度</w:t>
            </w:r>
          </w:p>
        </w:tc>
        <w:tc>
          <w:tcPr>
            <w:tcW w:w="2268" w:type="dxa"/>
          </w:tcPr>
          <w:p w14:paraId="3C1B7D2D">
            <w:pPr>
              <w:spacing w:line="360" w:lineRule="auto"/>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进度款付款金额（元）</w:t>
            </w:r>
          </w:p>
        </w:tc>
        <w:tc>
          <w:tcPr>
            <w:tcW w:w="1276" w:type="dxa"/>
          </w:tcPr>
          <w:p w14:paraId="3A5C9881">
            <w:pPr>
              <w:spacing w:line="360" w:lineRule="auto"/>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备注</w:t>
            </w:r>
          </w:p>
        </w:tc>
      </w:tr>
      <w:tr w14:paraId="012AC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4" w:type="dxa"/>
        </w:trPr>
        <w:tc>
          <w:tcPr>
            <w:tcW w:w="1417" w:type="dxa"/>
          </w:tcPr>
          <w:p w14:paraId="3D14B945">
            <w:pPr>
              <w:spacing w:line="360" w:lineRule="auto"/>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第一期</w:t>
            </w:r>
          </w:p>
        </w:tc>
        <w:tc>
          <w:tcPr>
            <w:tcW w:w="3794" w:type="dxa"/>
            <w:gridSpan w:val="2"/>
          </w:tcPr>
          <w:p w14:paraId="74EFF0EA">
            <w:pPr>
              <w:spacing w:line="360" w:lineRule="auto"/>
              <w:jc w:val="center"/>
              <w:rPr>
                <w:rFonts w:ascii="宋体" w:hAnsi="宋体" w:cs="宋体"/>
                <w:color w:val="000000" w:themeColor="text1"/>
                <w:kern w:val="0"/>
                <w:szCs w:val="21"/>
                <w:highlight w:val="none"/>
                <w14:textFill>
                  <w14:solidFill>
                    <w14:schemeClr w14:val="tx1"/>
                  </w14:solidFill>
                </w14:textFill>
              </w:rPr>
            </w:pPr>
          </w:p>
        </w:tc>
        <w:tc>
          <w:tcPr>
            <w:tcW w:w="2268" w:type="dxa"/>
          </w:tcPr>
          <w:p w14:paraId="46DDDDCB">
            <w:pPr>
              <w:spacing w:line="360" w:lineRule="auto"/>
              <w:jc w:val="center"/>
              <w:rPr>
                <w:rFonts w:ascii="宋体" w:hAnsi="宋体" w:cs="宋体"/>
                <w:color w:val="000000" w:themeColor="text1"/>
                <w:kern w:val="0"/>
                <w:szCs w:val="21"/>
                <w:highlight w:val="none"/>
                <w14:textFill>
                  <w14:solidFill>
                    <w14:schemeClr w14:val="tx1"/>
                  </w14:solidFill>
                </w14:textFill>
              </w:rPr>
            </w:pPr>
          </w:p>
        </w:tc>
        <w:tc>
          <w:tcPr>
            <w:tcW w:w="1276" w:type="dxa"/>
          </w:tcPr>
          <w:p w14:paraId="613ACB7D">
            <w:pPr>
              <w:spacing w:line="360" w:lineRule="auto"/>
              <w:jc w:val="center"/>
              <w:rPr>
                <w:rFonts w:ascii="宋体" w:hAnsi="宋体" w:cs="宋体"/>
                <w:color w:val="000000" w:themeColor="text1"/>
                <w:kern w:val="0"/>
                <w:szCs w:val="21"/>
                <w:highlight w:val="none"/>
                <w14:textFill>
                  <w14:solidFill>
                    <w14:schemeClr w14:val="tx1"/>
                  </w14:solidFill>
                </w14:textFill>
              </w:rPr>
            </w:pPr>
          </w:p>
        </w:tc>
      </w:tr>
      <w:tr w14:paraId="6A8CF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4" w:type="dxa"/>
        </w:trPr>
        <w:tc>
          <w:tcPr>
            <w:tcW w:w="1417" w:type="dxa"/>
          </w:tcPr>
          <w:p w14:paraId="4644D46C">
            <w:pPr>
              <w:spacing w:line="360" w:lineRule="auto"/>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第二期</w:t>
            </w:r>
          </w:p>
        </w:tc>
        <w:tc>
          <w:tcPr>
            <w:tcW w:w="3794" w:type="dxa"/>
            <w:gridSpan w:val="2"/>
          </w:tcPr>
          <w:p w14:paraId="01E8C71F">
            <w:pPr>
              <w:spacing w:line="360" w:lineRule="auto"/>
              <w:jc w:val="center"/>
              <w:rPr>
                <w:rFonts w:ascii="宋体" w:hAnsi="宋体" w:cs="宋体"/>
                <w:color w:val="000000" w:themeColor="text1"/>
                <w:kern w:val="0"/>
                <w:szCs w:val="21"/>
                <w:highlight w:val="none"/>
                <w14:textFill>
                  <w14:solidFill>
                    <w14:schemeClr w14:val="tx1"/>
                  </w14:solidFill>
                </w14:textFill>
              </w:rPr>
            </w:pPr>
          </w:p>
        </w:tc>
        <w:tc>
          <w:tcPr>
            <w:tcW w:w="2268" w:type="dxa"/>
          </w:tcPr>
          <w:p w14:paraId="465E454F">
            <w:pPr>
              <w:spacing w:line="360" w:lineRule="auto"/>
              <w:jc w:val="center"/>
              <w:rPr>
                <w:rFonts w:ascii="宋体" w:hAnsi="宋体" w:cs="宋体"/>
                <w:color w:val="000000" w:themeColor="text1"/>
                <w:kern w:val="0"/>
                <w:szCs w:val="21"/>
                <w:highlight w:val="none"/>
                <w14:textFill>
                  <w14:solidFill>
                    <w14:schemeClr w14:val="tx1"/>
                  </w14:solidFill>
                </w14:textFill>
              </w:rPr>
            </w:pPr>
          </w:p>
        </w:tc>
        <w:tc>
          <w:tcPr>
            <w:tcW w:w="1276" w:type="dxa"/>
          </w:tcPr>
          <w:p w14:paraId="4641EC5E">
            <w:pPr>
              <w:spacing w:line="360" w:lineRule="auto"/>
              <w:jc w:val="center"/>
              <w:rPr>
                <w:rFonts w:ascii="宋体" w:hAnsi="宋体" w:cs="宋体"/>
                <w:color w:val="000000" w:themeColor="text1"/>
                <w:kern w:val="0"/>
                <w:szCs w:val="21"/>
                <w:highlight w:val="none"/>
                <w14:textFill>
                  <w14:solidFill>
                    <w14:schemeClr w14:val="tx1"/>
                  </w14:solidFill>
                </w14:textFill>
              </w:rPr>
            </w:pPr>
          </w:p>
        </w:tc>
      </w:tr>
      <w:tr w14:paraId="0B304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4" w:type="dxa"/>
        </w:trPr>
        <w:tc>
          <w:tcPr>
            <w:tcW w:w="1417" w:type="dxa"/>
          </w:tcPr>
          <w:p w14:paraId="5065B214">
            <w:pPr>
              <w:spacing w:line="360" w:lineRule="auto"/>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第三期</w:t>
            </w:r>
          </w:p>
        </w:tc>
        <w:tc>
          <w:tcPr>
            <w:tcW w:w="3794" w:type="dxa"/>
            <w:gridSpan w:val="2"/>
          </w:tcPr>
          <w:p w14:paraId="56797617">
            <w:pPr>
              <w:spacing w:line="360" w:lineRule="auto"/>
              <w:jc w:val="center"/>
              <w:rPr>
                <w:rFonts w:ascii="宋体" w:hAnsi="宋体" w:cs="宋体"/>
                <w:color w:val="000000" w:themeColor="text1"/>
                <w:kern w:val="0"/>
                <w:szCs w:val="21"/>
                <w:highlight w:val="none"/>
                <w14:textFill>
                  <w14:solidFill>
                    <w14:schemeClr w14:val="tx1"/>
                  </w14:solidFill>
                </w14:textFill>
              </w:rPr>
            </w:pPr>
          </w:p>
        </w:tc>
        <w:tc>
          <w:tcPr>
            <w:tcW w:w="2268" w:type="dxa"/>
          </w:tcPr>
          <w:p w14:paraId="6E969AAA">
            <w:pPr>
              <w:spacing w:line="360" w:lineRule="auto"/>
              <w:jc w:val="center"/>
              <w:rPr>
                <w:rFonts w:ascii="宋体" w:hAnsi="宋体" w:cs="宋体"/>
                <w:color w:val="000000" w:themeColor="text1"/>
                <w:kern w:val="0"/>
                <w:szCs w:val="21"/>
                <w:highlight w:val="none"/>
                <w14:textFill>
                  <w14:solidFill>
                    <w14:schemeClr w14:val="tx1"/>
                  </w14:solidFill>
                </w14:textFill>
              </w:rPr>
            </w:pPr>
          </w:p>
        </w:tc>
        <w:tc>
          <w:tcPr>
            <w:tcW w:w="1276" w:type="dxa"/>
          </w:tcPr>
          <w:p w14:paraId="395D7366">
            <w:pPr>
              <w:spacing w:line="360" w:lineRule="auto"/>
              <w:jc w:val="center"/>
              <w:rPr>
                <w:rFonts w:ascii="宋体" w:hAnsi="宋体" w:cs="宋体"/>
                <w:color w:val="000000" w:themeColor="text1"/>
                <w:kern w:val="0"/>
                <w:szCs w:val="21"/>
                <w:highlight w:val="none"/>
                <w14:textFill>
                  <w14:solidFill>
                    <w14:schemeClr w14:val="tx1"/>
                  </w14:solidFill>
                </w14:textFill>
              </w:rPr>
            </w:pPr>
          </w:p>
        </w:tc>
      </w:tr>
      <w:tr w14:paraId="37AD4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4" w:type="dxa"/>
        </w:trPr>
        <w:tc>
          <w:tcPr>
            <w:tcW w:w="1417" w:type="dxa"/>
          </w:tcPr>
          <w:p w14:paraId="137EDF60">
            <w:pPr>
              <w:spacing w:line="360" w:lineRule="auto"/>
              <w:jc w:val="center"/>
              <w:rPr>
                <w:rFonts w:ascii="宋体" w:hAnsi="宋体" w:cs="宋体"/>
                <w:color w:val="000000" w:themeColor="text1"/>
                <w:kern w:val="0"/>
                <w:szCs w:val="21"/>
                <w:highlight w:val="none"/>
                <w14:textFill>
                  <w14:solidFill>
                    <w14:schemeClr w14:val="tx1"/>
                  </w14:solidFill>
                </w14:textFill>
              </w:rPr>
            </w:pPr>
            <w:r>
              <w:rPr>
                <w:rFonts w:ascii="宋体" w:hAnsi="宋体" w:cs="宋体"/>
                <w:color w:val="000000" w:themeColor="text1"/>
                <w:kern w:val="0"/>
                <w:szCs w:val="21"/>
                <w:highlight w:val="none"/>
                <w14:textFill>
                  <w14:solidFill>
                    <w14:schemeClr w14:val="tx1"/>
                  </w14:solidFill>
                </w14:textFill>
              </w:rPr>
              <w:t>……</w:t>
            </w:r>
          </w:p>
        </w:tc>
        <w:tc>
          <w:tcPr>
            <w:tcW w:w="3794" w:type="dxa"/>
            <w:gridSpan w:val="2"/>
          </w:tcPr>
          <w:p w14:paraId="6D090AAF">
            <w:pPr>
              <w:spacing w:line="360" w:lineRule="auto"/>
              <w:jc w:val="center"/>
              <w:rPr>
                <w:rFonts w:ascii="宋体" w:hAnsi="宋体" w:cs="宋体"/>
                <w:color w:val="000000" w:themeColor="text1"/>
                <w:kern w:val="0"/>
                <w:szCs w:val="21"/>
                <w:highlight w:val="none"/>
                <w14:textFill>
                  <w14:solidFill>
                    <w14:schemeClr w14:val="tx1"/>
                  </w14:solidFill>
                </w14:textFill>
              </w:rPr>
            </w:pPr>
          </w:p>
        </w:tc>
        <w:tc>
          <w:tcPr>
            <w:tcW w:w="2268" w:type="dxa"/>
          </w:tcPr>
          <w:p w14:paraId="549E54C2">
            <w:pPr>
              <w:spacing w:line="360" w:lineRule="auto"/>
              <w:jc w:val="center"/>
              <w:rPr>
                <w:rFonts w:ascii="宋体" w:hAnsi="宋体" w:cs="宋体"/>
                <w:color w:val="000000" w:themeColor="text1"/>
                <w:kern w:val="0"/>
                <w:szCs w:val="21"/>
                <w:highlight w:val="none"/>
                <w14:textFill>
                  <w14:solidFill>
                    <w14:schemeClr w14:val="tx1"/>
                  </w14:solidFill>
                </w14:textFill>
              </w:rPr>
            </w:pPr>
          </w:p>
        </w:tc>
        <w:tc>
          <w:tcPr>
            <w:tcW w:w="1276" w:type="dxa"/>
          </w:tcPr>
          <w:p w14:paraId="0CFB2BB2">
            <w:pPr>
              <w:spacing w:line="360" w:lineRule="auto"/>
              <w:jc w:val="center"/>
              <w:rPr>
                <w:rFonts w:ascii="宋体" w:hAnsi="宋体" w:cs="宋体"/>
                <w:color w:val="000000" w:themeColor="text1"/>
                <w:kern w:val="0"/>
                <w:szCs w:val="21"/>
                <w:highlight w:val="none"/>
                <w14:textFill>
                  <w14:solidFill>
                    <w14:schemeClr w14:val="tx1"/>
                  </w14:solidFill>
                </w14:textFill>
              </w:rPr>
            </w:pPr>
          </w:p>
        </w:tc>
      </w:tr>
      <w:tr w14:paraId="53FE8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trPr>
        <w:tc>
          <w:tcPr>
            <w:tcW w:w="4570" w:type="dxa"/>
            <w:gridSpan w:val="3"/>
          </w:tcPr>
          <w:p w14:paraId="4013C86A">
            <w:pPr>
              <w:spacing w:line="360" w:lineRule="exact"/>
              <w:ind w:firstLine="435"/>
              <w:jc w:val="right"/>
              <w:rPr>
                <w:color w:val="000000" w:themeColor="text1"/>
                <w:szCs w:val="21"/>
                <w:highlight w:val="none"/>
                <w14:textFill>
                  <w14:solidFill>
                    <w14:schemeClr w14:val="tx1"/>
                  </w14:solidFill>
                </w14:textFill>
              </w:rPr>
            </w:pPr>
          </w:p>
          <w:p w14:paraId="1B72EC36">
            <w:pPr>
              <w:spacing w:line="360" w:lineRule="exact"/>
              <w:ind w:firstLine="435"/>
              <w:jc w:val="center"/>
              <w:rPr>
                <w:color w:val="000000" w:themeColor="text1"/>
                <w:szCs w:val="21"/>
                <w:highlight w:val="none"/>
                <w14:textFill>
                  <w14:solidFill>
                    <w14:schemeClr w14:val="tx1"/>
                  </w14:solidFill>
                </w14:textFill>
              </w:rPr>
            </w:pPr>
          </w:p>
          <w:p w14:paraId="4B37949E">
            <w:pPr>
              <w:spacing w:line="360" w:lineRule="exact"/>
              <w:ind w:firstLine="435"/>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发包人代表签字：</w:t>
            </w:r>
          </w:p>
          <w:p w14:paraId="68D8E314">
            <w:pPr>
              <w:spacing w:line="360" w:lineRule="exact"/>
              <w:ind w:firstLine="435"/>
              <w:jc w:val="center"/>
              <w:rPr>
                <w:color w:val="000000" w:themeColor="text1"/>
                <w:szCs w:val="21"/>
                <w:highlight w:val="none"/>
                <w14:textFill>
                  <w14:solidFill>
                    <w14:schemeClr w14:val="tx1"/>
                  </w14:solidFill>
                </w14:textFill>
              </w:rPr>
            </w:pPr>
          </w:p>
          <w:p w14:paraId="7AED6C99">
            <w:pPr>
              <w:spacing w:line="360" w:lineRule="exact"/>
              <w:ind w:firstLine="435"/>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发包人（盖公章）</w:t>
            </w:r>
          </w:p>
          <w:p w14:paraId="5F5184D9">
            <w:pPr>
              <w:spacing w:line="360" w:lineRule="exact"/>
              <w:ind w:firstLine="435"/>
              <w:jc w:val="center"/>
              <w:rPr>
                <w:color w:val="000000" w:themeColor="text1"/>
                <w:szCs w:val="21"/>
                <w:highlight w:val="none"/>
                <w14:textFill>
                  <w14:solidFill>
                    <w14:schemeClr w14:val="tx1"/>
                  </w14:solidFill>
                </w14:textFill>
              </w:rPr>
            </w:pPr>
          </w:p>
          <w:p w14:paraId="3FC7CB74">
            <w:pPr>
              <w:spacing w:line="360" w:lineRule="exact"/>
              <w:ind w:firstLine="435"/>
              <w:jc w:val="center"/>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    日      期        </w:t>
            </w:r>
          </w:p>
        </w:tc>
        <w:tc>
          <w:tcPr>
            <w:tcW w:w="4219" w:type="dxa"/>
            <w:gridSpan w:val="3"/>
          </w:tcPr>
          <w:p w14:paraId="62FF58CA">
            <w:pPr>
              <w:spacing w:line="360" w:lineRule="exact"/>
              <w:ind w:firstLine="435"/>
              <w:jc w:val="center"/>
              <w:rPr>
                <w:color w:val="000000" w:themeColor="text1"/>
                <w:szCs w:val="21"/>
                <w:highlight w:val="none"/>
                <w14:textFill>
                  <w14:solidFill>
                    <w14:schemeClr w14:val="tx1"/>
                  </w14:solidFill>
                </w14:textFill>
              </w:rPr>
            </w:pPr>
          </w:p>
          <w:p w14:paraId="661B2366">
            <w:pPr>
              <w:spacing w:line="360" w:lineRule="exact"/>
              <w:ind w:firstLine="435"/>
              <w:jc w:val="center"/>
              <w:rPr>
                <w:color w:val="000000" w:themeColor="text1"/>
                <w:szCs w:val="21"/>
                <w:highlight w:val="none"/>
                <w:u w:val="single"/>
                <w14:textFill>
                  <w14:solidFill>
                    <w14:schemeClr w14:val="tx1"/>
                  </w14:solidFill>
                </w14:textFill>
              </w:rPr>
            </w:pPr>
          </w:p>
          <w:p w14:paraId="7A0D07E3">
            <w:pPr>
              <w:spacing w:line="360" w:lineRule="exact"/>
              <w:ind w:firstLine="435"/>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承包人代表签字：</w:t>
            </w:r>
          </w:p>
          <w:p w14:paraId="0CC86E30">
            <w:pPr>
              <w:spacing w:line="360" w:lineRule="exact"/>
              <w:ind w:firstLine="435"/>
              <w:jc w:val="center"/>
              <w:rPr>
                <w:color w:val="000000" w:themeColor="text1"/>
                <w:szCs w:val="21"/>
                <w:highlight w:val="none"/>
                <w14:textFill>
                  <w14:solidFill>
                    <w14:schemeClr w14:val="tx1"/>
                  </w14:solidFill>
                </w14:textFill>
              </w:rPr>
            </w:pPr>
          </w:p>
          <w:p w14:paraId="0703C626">
            <w:pPr>
              <w:spacing w:line="360" w:lineRule="exact"/>
              <w:ind w:firstLine="435"/>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承包人（盖公章）</w:t>
            </w:r>
          </w:p>
          <w:p w14:paraId="504253EE">
            <w:pPr>
              <w:spacing w:line="360" w:lineRule="exact"/>
              <w:ind w:firstLine="435"/>
              <w:jc w:val="center"/>
              <w:rPr>
                <w:color w:val="000000" w:themeColor="text1"/>
                <w:szCs w:val="21"/>
                <w:highlight w:val="none"/>
                <w14:textFill>
                  <w14:solidFill>
                    <w14:schemeClr w14:val="tx1"/>
                  </w14:solidFill>
                </w14:textFill>
              </w:rPr>
            </w:pPr>
          </w:p>
          <w:p w14:paraId="1778C9B3">
            <w:pPr>
              <w:spacing w:line="360" w:lineRule="exact"/>
              <w:ind w:firstLine="435"/>
              <w:jc w:val="center"/>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    日      期</w:t>
            </w:r>
          </w:p>
        </w:tc>
      </w:tr>
    </w:tbl>
    <w:p w14:paraId="675E388C">
      <w:pPr>
        <w:spacing w:line="360" w:lineRule="auto"/>
        <w:rPr>
          <w:rFonts w:ascii="宋体"/>
          <w:color w:val="000000" w:themeColor="text1"/>
          <w:szCs w:val="21"/>
          <w:highlight w:val="none"/>
          <w14:textFill>
            <w14:solidFill>
              <w14:schemeClr w14:val="tx1"/>
            </w14:solidFill>
          </w14:textFill>
        </w:rPr>
      </w:pPr>
    </w:p>
    <w:p w14:paraId="3A23A691">
      <w:pPr>
        <w:rPr>
          <w:rFonts w:hint="eastAsia" w:asciiTheme="minorEastAsia" w:hAnsiTheme="minorEastAsia" w:eastAsiaTheme="minorEastAsia" w:cstheme="minorEastAsia"/>
          <w:b/>
          <w:bCs/>
          <w:color w:val="auto"/>
          <w:sz w:val="44"/>
          <w:szCs w:val="44"/>
          <w:highlight w:val="none"/>
        </w:rPr>
      </w:pPr>
      <w:r>
        <w:rPr>
          <w:rFonts w:hint="eastAsia" w:asciiTheme="minorEastAsia" w:hAnsiTheme="minorEastAsia" w:eastAsiaTheme="minorEastAsia" w:cstheme="minorEastAsia"/>
          <w:b/>
          <w:bCs/>
          <w:color w:val="auto"/>
          <w:sz w:val="44"/>
          <w:szCs w:val="44"/>
          <w:highlight w:val="none"/>
        </w:rPr>
        <w:br w:type="page"/>
      </w:r>
    </w:p>
    <w:p w14:paraId="6C02047A">
      <w:pPr>
        <w:pStyle w:val="24"/>
        <w:spacing w:line="360" w:lineRule="auto"/>
        <w:jc w:val="center"/>
        <w:outlineLvl w:val="0"/>
        <w:rPr>
          <w:rFonts w:hint="eastAsia" w:asciiTheme="minorEastAsia" w:hAnsiTheme="minorEastAsia" w:eastAsiaTheme="minorEastAsia" w:cstheme="minorEastAsia"/>
          <w:b/>
          <w:bCs/>
          <w:color w:val="auto"/>
          <w:sz w:val="44"/>
          <w:szCs w:val="44"/>
          <w:highlight w:val="none"/>
        </w:rPr>
      </w:pPr>
      <w:r>
        <w:rPr>
          <w:rFonts w:hint="eastAsia" w:asciiTheme="minorEastAsia" w:hAnsiTheme="minorEastAsia" w:eastAsiaTheme="minorEastAsia" w:cstheme="minorEastAsia"/>
          <w:b/>
          <w:bCs/>
          <w:color w:val="auto"/>
          <w:sz w:val="44"/>
          <w:szCs w:val="44"/>
          <w:highlight w:val="none"/>
        </w:rPr>
        <w:t>第九章    质疑、投诉材料格式</w:t>
      </w:r>
      <w:bookmarkEnd w:id="79"/>
    </w:p>
    <w:p w14:paraId="38C36097">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质疑函（格式）</w:t>
      </w:r>
    </w:p>
    <w:p w14:paraId="3646D053">
      <w:pPr>
        <w:pStyle w:val="24"/>
        <w:spacing w:line="360" w:lineRule="auto"/>
        <w:ind w:firstLine="482" w:firstLineChars="200"/>
        <w:contextualSpacing/>
        <w:rPr>
          <w:rFonts w:hint="eastAsia" w:hAnsi="宋体"/>
          <w:b/>
          <w:bCs/>
          <w:color w:val="auto"/>
          <w:sz w:val="24"/>
          <w:szCs w:val="24"/>
          <w:highlight w:val="none"/>
        </w:rPr>
      </w:pPr>
      <w:r>
        <w:rPr>
          <w:rFonts w:hint="eastAsia" w:hAnsi="宋体"/>
          <w:b/>
          <w:bCs/>
          <w:color w:val="auto"/>
          <w:sz w:val="24"/>
          <w:szCs w:val="24"/>
          <w:highlight w:val="none"/>
        </w:rPr>
        <w:t>一、质疑供应商基本信息：</w:t>
      </w:r>
    </w:p>
    <w:p w14:paraId="265D1DA1">
      <w:pPr>
        <w:pStyle w:val="24"/>
        <w:spacing w:line="360" w:lineRule="auto"/>
        <w:ind w:firstLine="480" w:firstLineChars="200"/>
        <w:contextualSpacing/>
        <w:rPr>
          <w:rFonts w:hint="eastAsia" w:hAnsi="宋体"/>
          <w:bCs/>
          <w:color w:val="auto"/>
          <w:sz w:val="24"/>
          <w:szCs w:val="24"/>
          <w:highlight w:val="none"/>
          <w:u w:val="single"/>
        </w:rPr>
      </w:pPr>
      <w:r>
        <w:rPr>
          <w:rFonts w:hint="eastAsia" w:hAnsi="宋体"/>
          <w:bCs/>
          <w:color w:val="auto"/>
          <w:sz w:val="24"/>
          <w:szCs w:val="24"/>
          <w:highlight w:val="none"/>
        </w:rPr>
        <w:t>质疑供应商：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4E323B53">
      <w:pPr>
        <w:pStyle w:val="24"/>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0F41E390">
      <w:pPr>
        <w:pStyle w:val="24"/>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6B5B1BF0">
      <w:pPr>
        <w:pStyle w:val="24"/>
        <w:spacing w:line="360" w:lineRule="auto"/>
        <w:ind w:firstLine="480" w:firstLineChars="200"/>
        <w:contextualSpacing/>
        <w:rPr>
          <w:rFonts w:hint="eastAsia" w:hAnsi="宋体"/>
          <w:bCs/>
          <w:color w:val="auto"/>
          <w:sz w:val="24"/>
          <w:szCs w:val="24"/>
          <w:highlight w:val="non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p>
    <w:p w14:paraId="3B0F404E">
      <w:pPr>
        <w:pStyle w:val="24"/>
        <w:spacing w:line="360" w:lineRule="auto"/>
        <w:ind w:firstLine="480" w:firstLineChars="200"/>
        <w:contextualSpacing/>
        <w:rPr>
          <w:rFonts w:hint="eastAsia"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32134147">
      <w:pPr>
        <w:pStyle w:val="24"/>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909222F">
      <w:pPr>
        <w:pStyle w:val="24"/>
        <w:spacing w:line="360" w:lineRule="auto"/>
        <w:ind w:firstLine="482" w:firstLineChars="200"/>
        <w:contextualSpacing/>
        <w:rPr>
          <w:rFonts w:hint="eastAsia" w:hAnsi="宋体"/>
          <w:b/>
          <w:bCs/>
          <w:color w:val="auto"/>
          <w:sz w:val="24"/>
          <w:szCs w:val="24"/>
          <w:highlight w:val="none"/>
        </w:rPr>
      </w:pPr>
      <w:r>
        <w:rPr>
          <w:rFonts w:hint="eastAsia" w:hAnsi="宋体"/>
          <w:b/>
          <w:bCs/>
          <w:color w:val="auto"/>
          <w:sz w:val="24"/>
          <w:szCs w:val="24"/>
          <w:highlight w:val="none"/>
        </w:rPr>
        <w:t>二、质疑项目基本情况：</w:t>
      </w:r>
    </w:p>
    <w:p w14:paraId="1158FFF7">
      <w:pPr>
        <w:pStyle w:val="24"/>
        <w:spacing w:line="360" w:lineRule="auto"/>
        <w:ind w:left="25" w:leftChars="12" w:firstLine="472" w:firstLineChars="197"/>
        <w:contextualSpacing/>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3BA97660">
      <w:pPr>
        <w:pStyle w:val="24"/>
        <w:spacing w:line="360" w:lineRule="auto"/>
        <w:ind w:left="25" w:leftChars="12" w:firstLine="472" w:firstLineChars="197"/>
        <w:contextualSpacing/>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12D57958">
      <w:pPr>
        <w:pStyle w:val="24"/>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38EFDDA6">
      <w:pPr>
        <w:pStyle w:val="24"/>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w:t>
      </w:r>
    </w:p>
    <w:p w14:paraId="72BC5837">
      <w:pPr>
        <w:pStyle w:val="24"/>
        <w:spacing w:line="360" w:lineRule="auto"/>
        <w:ind w:left="25" w:leftChars="12" w:firstLine="352" w:firstLineChars="147"/>
        <w:contextualSpacing/>
        <w:rPr>
          <w:rFonts w:hint="eastAsia" w:hAnsi="宋体"/>
          <w:color w:val="auto"/>
          <w:sz w:val="24"/>
          <w:szCs w:val="24"/>
          <w:highlight w:val="none"/>
        </w:rPr>
      </w:pPr>
      <w:r>
        <w:rPr>
          <w:rFonts w:hint="eastAsia" w:hAnsi="宋体"/>
          <w:color w:val="auto"/>
          <w:sz w:val="24"/>
          <w:szCs w:val="24"/>
          <w:highlight w:val="none"/>
        </w:rPr>
        <w:t>□采购文件   采购文件获取日期：</w:t>
      </w:r>
      <w:r>
        <w:rPr>
          <w:rFonts w:hint="eastAsia" w:hAnsi="宋体"/>
          <w:bCs/>
          <w:color w:val="auto"/>
          <w:sz w:val="24"/>
          <w:szCs w:val="24"/>
          <w:highlight w:val="none"/>
          <w:u w:val="single"/>
        </w:rPr>
        <w:t xml:space="preserve">                                   </w:t>
      </w:r>
    </w:p>
    <w:p w14:paraId="59168E5E">
      <w:pPr>
        <w:pStyle w:val="24"/>
        <w:spacing w:line="360" w:lineRule="auto"/>
        <w:ind w:left="25" w:leftChars="12" w:firstLine="352" w:firstLineChars="147"/>
        <w:contextualSpacing/>
        <w:rPr>
          <w:rFonts w:hint="eastAsia" w:hAnsi="宋体"/>
          <w:color w:val="auto"/>
          <w:sz w:val="24"/>
          <w:szCs w:val="24"/>
          <w:highlight w:val="none"/>
        </w:rPr>
      </w:pPr>
      <w:r>
        <w:rPr>
          <w:rFonts w:hint="eastAsia" w:hAnsi="宋体"/>
          <w:color w:val="auto"/>
          <w:sz w:val="24"/>
          <w:szCs w:val="24"/>
          <w:highlight w:val="none"/>
        </w:rPr>
        <w:t xml:space="preserve">□采购过程   </w:t>
      </w:r>
    </w:p>
    <w:p w14:paraId="612DAE4E">
      <w:pPr>
        <w:pStyle w:val="24"/>
        <w:spacing w:line="360" w:lineRule="auto"/>
        <w:ind w:left="25" w:leftChars="12" w:firstLine="352" w:firstLineChars="147"/>
        <w:contextualSpacing/>
        <w:rPr>
          <w:rFonts w:hint="eastAsia" w:hAnsi="宋体"/>
          <w:bCs/>
          <w:color w:val="auto"/>
          <w:sz w:val="24"/>
          <w:szCs w:val="24"/>
          <w:highlight w:val="none"/>
          <w:u w:val="single"/>
        </w:rPr>
      </w:pPr>
      <w:r>
        <w:rPr>
          <w:rFonts w:hint="eastAsia" w:hAnsi="宋体"/>
          <w:color w:val="auto"/>
          <w:sz w:val="24"/>
          <w:szCs w:val="24"/>
          <w:highlight w:val="none"/>
        </w:rPr>
        <w:t xml:space="preserve">□成交结果   </w:t>
      </w:r>
    </w:p>
    <w:p w14:paraId="3CED4784">
      <w:pPr>
        <w:pStyle w:val="24"/>
        <w:spacing w:line="360" w:lineRule="auto"/>
        <w:ind w:left="25" w:leftChars="12" w:firstLine="472" w:firstLineChars="196"/>
        <w:contextualSpacing/>
        <w:rPr>
          <w:rFonts w:hint="eastAsia" w:hAnsi="宋体"/>
          <w:b/>
          <w:color w:val="auto"/>
          <w:sz w:val="24"/>
          <w:szCs w:val="24"/>
          <w:highlight w:val="none"/>
        </w:rPr>
      </w:pPr>
      <w:r>
        <w:rPr>
          <w:rFonts w:hint="eastAsia" w:hAnsi="宋体"/>
          <w:b/>
          <w:color w:val="auto"/>
          <w:sz w:val="24"/>
          <w:szCs w:val="24"/>
          <w:highlight w:val="none"/>
        </w:rPr>
        <w:t>三、质疑事项具体内容</w:t>
      </w:r>
    </w:p>
    <w:p w14:paraId="23718215">
      <w:pPr>
        <w:pStyle w:val="24"/>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质疑事项1：</w:t>
      </w:r>
      <w:r>
        <w:rPr>
          <w:rFonts w:hint="eastAsia" w:hAnsi="宋体"/>
          <w:bCs/>
          <w:color w:val="auto"/>
          <w:sz w:val="24"/>
          <w:szCs w:val="24"/>
          <w:highlight w:val="none"/>
          <w:u w:val="single"/>
        </w:rPr>
        <w:t xml:space="preserve">                                                                    </w:t>
      </w:r>
    </w:p>
    <w:p w14:paraId="27584E09">
      <w:pPr>
        <w:pStyle w:val="24"/>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事实依据：</w:t>
      </w:r>
      <w:r>
        <w:rPr>
          <w:rFonts w:hint="eastAsia" w:hAnsi="宋体"/>
          <w:bCs/>
          <w:color w:val="auto"/>
          <w:sz w:val="24"/>
          <w:szCs w:val="24"/>
          <w:highlight w:val="none"/>
          <w:u w:val="single"/>
        </w:rPr>
        <w:t xml:space="preserve">                                                                      </w:t>
      </w:r>
    </w:p>
    <w:p w14:paraId="2A82C248">
      <w:pPr>
        <w:pStyle w:val="24"/>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p>
    <w:p w14:paraId="315A8898">
      <w:pPr>
        <w:pStyle w:val="24"/>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质疑事项2</w:t>
      </w:r>
    </w:p>
    <w:p w14:paraId="139827F1">
      <w:pPr>
        <w:pStyle w:val="24"/>
        <w:spacing w:line="360" w:lineRule="auto"/>
        <w:ind w:left="25" w:leftChars="12" w:firstLine="472" w:firstLineChars="197"/>
        <w:contextualSpacing/>
        <w:rPr>
          <w:rFonts w:hint="eastAsia" w:hAnsi="宋体"/>
          <w:color w:val="auto"/>
          <w:sz w:val="24"/>
          <w:szCs w:val="24"/>
          <w:highlight w:val="none"/>
        </w:rPr>
      </w:pPr>
      <w:r>
        <w:rPr>
          <w:rFonts w:hAnsi="宋体"/>
          <w:color w:val="auto"/>
          <w:sz w:val="24"/>
          <w:szCs w:val="24"/>
          <w:highlight w:val="none"/>
        </w:rPr>
        <w:t>……</w:t>
      </w:r>
    </w:p>
    <w:p w14:paraId="578737C4">
      <w:pPr>
        <w:pStyle w:val="24"/>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四、与质疑事项相关的质疑请求：</w:t>
      </w:r>
    </w:p>
    <w:p w14:paraId="10397D58">
      <w:pPr>
        <w:pStyle w:val="24"/>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18B63469">
      <w:pPr>
        <w:pStyle w:val="24"/>
        <w:spacing w:line="360" w:lineRule="auto"/>
        <w:ind w:left="25" w:leftChars="12" w:firstLine="352" w:firstLineChars="147"/>
        <w:contextualSpacing/>
        <w:rPr>
          <w:rFonts w:hint="eastAsia" w:hAnsi="宋体"/>
          <w:color w:val="auto"/>
          <w:sz w:val="24"/>
          <w:szCs w:val="24"/>
          <w:highlight w:val="none"/>
        </w:rPr>
      </w:pPr>
    </w:p>
    <w:p w14:paraId="2A9502BD">
      <w:pPr>
        <w:pStyle w:val="24"/>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签字（签章）：                                       公章：</w:t>
      </w:r>
    </w:p>
    <w:p w14:paraId="18379A16">
      <w:pPr>
        <w:pStyle w:val="24"/>
        <w:spacing w:line="360" w:lineRule="auto"/>
        <w:ind w:left="25" w:leftChars="12" w:firstLine="352" w:firstLineChars="147"/>
        <w:contextualSpacing/>
        <w:rPr>
          <w:rFonts w:hint="eastAsia" w:hAnsi="宋体"/>
          <w:color w:val="auto"/>
          <w:sz w:val="24"/>
          <w:szCs w:val="24"/>
          <w:highlight w:val="none"/>
        </w:rPr>
      </w:pPr>
    </w:p>
    <w:p w14:paraId="4B76A748">
      <w:pPr>
        <w:pStyle w:val="24"/>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日期：</w:t>
      </w:r>
    </w:p>
    <w:p w14:paraId="4341D81A">
      <w:pPr>
        <w:pStyle w:val="24"/>
        <w:spacing w:line="360" w:lineRule="auto"/>
        <w:contextualSpacing/>
        <w:rPr>
          <w:rFonts w:hint="eastAsia" w:hAnsi="宋体"/>
          <w:b/>
          <w:color w:val="auto"/>
          <w:sz w:val="24"/>
          <w:szCs w:val="24"/>
          <w:highlight w:val="none"/>
        </w:rPr>
      </w:pPr>
      <w:r>
        <w:rPr>
          <w:rFonts w:hint="eastAsia" w:hAnsi="宋体"/>
          <w:b/>
          <w:color w:val="auto"/>
          <w:sz w:val="24"/>
          <w:szCs w:val="24"/>
          <w:highlight w:val="none"/>
        </w:rPr>
        <w:t>说明：</w:t>
      </w:r>
    </w:p>
    <w:p w14:paraId="6ABEC045">
      <w:pPr>
        <w:pStyle w:val="24"/>
        <w:spacing w:line="360" w:lineRule="auto"/>
        <w:ind w:left="25" w:leftChars="12" w:firstLine="354" w:firstLineChars="147"/>
        <w:contextualSpacing/>
        <w:rPr>
          <w:rFonts w:hint="eastAsia"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0A85E73D">
      <w:pPr>
        <w:pStyle w:val="24"/>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F8D9BDA">
      <w:pPr>
        <w:pStyle w:val="24"/>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2D1E6E30">
      <w:pPr>
        <w:pStyle w:val="24"/>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4.质疑函的质疑请求应与质疑事项相关。</w:t>
      </w:r>
    </w:p>
    <w:p w14:paraId="61061C7B">
      <w:pPr>
        <w:pStyle w:val="24"/>
        <w:spacing w:line="360" w:lineRule="auto"/>
        <w:ind w:left="25" w:leftChars="12" w:firstLine="354" w:firstLineChars="147"/>
        <w:contextualSpacing/>
        <w:rPr>
          <w:rFonts w:hint="eastAsia"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75562C52">
      <w:pPr>
        <w:pStyle w:val="24"/>
        <w:snapToGrid w:val="0"/>
        <w:rPr>
          <w:b/>
          <w:color w:val="auto"/>
          <w:sz w:val="24"/>
          <w:szCs w:val="24"/>
          <w:highlight w:val="none"/>
        </w:rPr>
      </w:pPr>
    </w:p>
    <w:p w14:paraId="0CE7CD04">
      <w:pPr>
        <w:spacing w:line="460" w:lineRule="exact"/>
        <w:jc w:val="center"/>
        <w:rPr>
          <w:rFonts w:eastAsia="隶书"/>
          <w:color w:val="auto"/>
          <w:sz w:val="44"/>
          <w:highlight w:val="none"/>
        </w:rPr>
      </w:pPr>
      <w:r>
        <w:rPr>
          <w:rFonts w:eastAsia="隶书"/>
          <w:color w:val="auto"/>
          <w:sz w:val="44"/>
          <w:highlight w:val="none"/>
        </w:rPr>
        <w:br w:type="page"/>
      </w:r>
    </w:p>
    <w:p w14:paraId="6EAF6C9A">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投诉书（格式）</w:t>
      </w:r>
    </w:p>
    <w:p w14:paraId="7A6D032A">
      <w:pPr>
        <w:pStyle w:val="24"/>
        <w:snapToGrid w:val="0"/>
        <w:spacing w:line="360" w:lineRule="auto"/>
        <w:ind w:firstLine="482" w:firstLineChars="200"/>
        <w:rPr>
          <w:rFonts w:hint="eastAsia" w:hAnsi="宋体"/>
          <w:b/>
          <w:bCs/>
          <w:color w:val="auto"/>
          <w:sz w:val="24"/>
          <w:szCs w:val="24"/>
          <w:highlight w:val="none"/>
        </w:rPr>
      </w:pPr>
      <w:r>
        <w:rPr>
          <w:rFonts w:hint="eastAsia" w:hAnsi="宋体"/>
          <w:b/>
          <w:bCs/>
          <w:color w:val="auto"/>
          <w:sz w:val="24"/>
          <w:szCs w:val="24"/>
          <w:highlight w:val="none"/>
        </w:rPr>
        <w:t>一、投诉相关主体基本情况：</w:t>
      </w:r>
    </w:p>
    <w:p w14:paraId="4F726EB8">
      <w:pPr>
        <w:pStyle w:val="24"/>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761A583D">
      <w:pPr>
        <w:pStyle w:val="24"/>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62A58267">
      <w:pPr>
        <w:pStyle w:val="24"/>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法定代表人/主要负责人：</w:t>
      </w:r>
      <w:r>
        <w:rPr>
          <w:rFonts w:hint="eastAsia" w:hAnsi="宋体"/>
          <w:bCs/>
          <w:color w:val="auto"/>
          <w:sz w:val="24"/>
          <w:szCs w:val="24"/>
          <w:highlight w:val="none"/>
          <w:u w:val="single"/>
        </w:rPr>
        <w:t xml:space="preserve">                                                         </w:t>
      </w:r>
    </w:p>
    <w:p w14:paraId="221AADD1">
      <w:pPr>
        <w:pStyle w:val="24"/>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C9C4F7A">
      <w:pPr>
        <w:pStyle w:val="24"/>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0181397F">
      <w:pPr>
        <w:pStyle w:val="24"/>
        <w:snapToGrid w:val="0"/>
        <w:spacing w:line="360" w:lineRule="auto"/>
        <w:ind w:firstLine="480" w:firstLineChars="200"/>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2E4B133">
      <w:pPr>
        <w:pStyle w:val="24"/>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6995C3B5">
      <w:pPr>
        <w:pStyle w:val="24"/>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被投诉人1：</w:t>
      </w:r>
    </w:p>
    <w:p w14:paraId="3008338D">
      <w:pPr>
        <w:pStyle w:val="24"/>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2CAB00B3">
      <w:pPr>
        <w:pStyle w:val="24"/>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490625DB">
      <w:pPr>
        <w:pStyle w:val="24"/>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636687EE">
      <w:pPr>
        <w:pStyle w:val="24"/>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被投诉人2：</w:t>
      </w:r>
    </w:p>
    <w:p w14:paraId="2D381550">
      <w:pPr>
        <w:pStyle w:val="24"/>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w:t>
      </w:r>
    </w:p>
    <w:p w14:paraId="4DB4A8F9">
      <w:pPr>
        <w:pStyle w:val="24"/>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相关供应商：</w:t>
      </w:r>
      <w:r>
        <w:rPr>
          <w:rFonts w:hint="eastAsia" w:hAnsi="宋体"/>
          <w:bCs/>
          <w:color w:val="auto"/>
          <w:sz w:val="24"/>
          <w:szCs w:val="24"/>
          <w:highlight w:val="none"/>
          <w:u w:val="single"/>
        </w:rPr>
        <w:t xml:space="preserve">                                                                       </w:t>
      </w:r>
    </w:p>
    <w:p w14:paraId="6923B81B">
      <w:pPr>
        <w:pStyle w:val="24"/>
        <w:snapToGrid w:val="0"/>
        <w:spacing w:line="360" w:lineRule="auto"/>
        <w:ind w:firstLine="480" w:firstLineChars="200"/>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65F3B63F">
      <w:pPr>
        <w:pStyle w:val="24"/>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7CA7CB42">
      <w:pPr>
        <w:pStyle w:val="24"/>
        <w:snapToGrid w:val="0"/>
        <w:spacing w:line="360" w:lineRule="auto"/>
        <w:ind w:firstLine="482" w:firstLineChars="200"/>
        <w:rPr>
          <w:rFonts w:hint="eastAsia" w:hAnsi="宋体"/>
          <w:b/>
          <w:bCs/>
          <w:color w:val="auto"/>
          <w:sz w:val="24"/>
          <w:szCs w:val="24"/>
          <w:highlight w:val="none"/>
        </w:rPr>
      </w:pPr>
      <w:r>
        <w:rPr>
          <w:rFonts w:hint="eastAsia" w:hAnsi="宋体"/>
          <w:b/>
          <w:bCs/>
          <w:color w:val="auto"/>
          <w:sz w:val="24"/>
          <w:szCs w:val="24"/>
          <w:highlight w:val="none"/>
        </w:rPr>
        <w:t>二、投诉项目基本情况：</w:t>
      </w:r>
    </w:p>
    <w:p w14:paraId="3A29BB29">
      <w:pPr>
        <w:pStyle w:val="24"/>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22B7BE27">
      <w:pPr>
        <w:pStyle w:val="24"/>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02E7BF07">
      <w:pPr>
        <w:pStyle w:val="24"/>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383B3C05">
      <w:pPr>
        <w:pStyle w:val="24"/>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代理机构名称：</w:t>
      </w:r>
      <w:r>
        <w:rPr>
          <w:rFonts w:hint="eastAsia" w:hAnsi="宋体"/>
          <w:bCs/>
          <w:color w:val="auto"/>
          <w:sz w:val="24"/>
          <w:szCs w:val="24"/>
          <w:highlight w:val="none"/>
          <w:u w:val="single"/>
        </w:rPr>
        <w:t xml:space="preserve">                                                                      </w:t>
      </w:r>
    </w:p>
    <w:p w14:paraId="40669AA5">
      <w:pPr>
        <w:pStyle w:val="24"/>
        <w:spacing w:line="360" w:lineRule="auto"/>
        <w:ind w:left="25" w:leftChars="12" w:firstLine="472" w:firstLineChars="197"/>
        <w:rPr>
          <w:rFonts w:hint="eastAsia" w:hAnsi="宋体"/>
          <w:bCs/>
          <w:color w:val="auto"/>
          <w:sz w:val="24"/>
          <w:szCs w:val="24"/>
          <w:highlight w:val="none"/>
          <w:u w:val="single"/>
        </w:rPr>
      </w:pPr>
      <w:r>
        <w:rPr>
          <w:rFonts w:hint="eastAsia" w:hAnsi="宋体"/>
          <w:bCs/>
          <w:color w:val="auto"/>
          <w:sz w:val="24"/>
          <w:szCs w:val="24"/>
          <w:highlight w:val="none"/>
        </w:rPr>
        <w:t>招标文件公告：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05E2E1B7">
      <w:pPr>
        <w:pStyle w:val="24"/>
        <w:spacing w:line="360" w:lineRule="auto"/>
        <w:ind w:left="25" w:leftChars="12" w:firstLine="472" w:firstLineChars="197"/>
        <w:rPr>
          <w:rFonts w:hint="eastAsia" w:hAnsi="宋体"/>
          <w:b/>
          <w:color w:val="auto"/>
          <w:sz w:val="24"/>
          <w:szCs w:val="24"/>
          <w:highlight w:val="none"/>
        </w:rPr>
      </w:pPr>
      <w:r>
        <w:rPr>
          <w:rFonts w:hint="eastAsia" w:hAnsi="宋体"/>
          <w:bCs/>
          <w:color w:val="auto"/>
          <w:sz w:val="24"/>
          <w:szCs w:val="24"/>
          <w:highlight w:val="none"/>
        </w:rPr>
        <w:t>采购结果公告：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04C6E8EF">
      <w:pPr>
        <w:pStyle w:val="24"/>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三、质疑基本情况</w:t>
      </w:r>
    </w:p>
    <w:p w14:paraId="5C6CC58F">
      <w:pPr>
        <w:pStyle w:val="24"/>
        <w:spacing w:line="360" w:lineRule="auto"/>
        <w:ind w:firstLine="480" w:firstLineChars="200"/>
        <w:rPr>
          <w:rFonts w:hint="eastAsia" w:hAnsi="宋体"/>
          <w:color w:val="auto"/>
          <w:sz w:val="24"/>
          <w:szCs w:val="24"/>
          <w:highlight w:val="none"/>
        </w:rPr>
      </w:pPr>
      <w:r>
        <w:rPr>
          <w:rFonts w:hint="eastAsia" w:hAnsi="宋体"/>
          <w:color w:val="auto"/>
          <w:sz w:val="24"/>
          <w:szCs w:val="24"/>
          <w:highlight w:val="none"/>
        </w:rPr>
        <w:t>投诉人于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日，向</w:t>
      </w:r>
      <w:r>
        <w:rPr>
          <w:rFonts w:hint="eastAsia" w:hAnsi="宋体"/>
          <w:color w:val="auto"/>
          <w:sz w:val="24"/>
          <w:szCs w:val="24"/>
          <w:highlight w:val="none"/>
          <w:u w:val="single"/>
        </w:rPr>
        <w:t xml:space="preserve">                                </w:t>
      </w:r>
      <w:r>
        <w:rPr>
          <w:rFonts w:hint="eastAsia" w:hAnsi="宋体"/>
          <w:color w:val="auto"/>
          <w:sz w:val="24"/>
          <w:szCs w:val="24"/>
          <w:highlight w:val="none"/>
        </w:rPr>
        <w:t>提出质疑，质疑事项为：</w:t>
      </w:r>
    </w:p>
    <w:p w14:paraId="5BDD25D2">
      <w:pPr>
        <w:pStyle w:val="24"/>
        <w:spacing w:line="360" w:lineRule="auto"/>
        <w:ind w:firstLine="241"/>
        <w:rPr>
          <w:rFonts w:hint="eastAsia" w:hAnsi="宋体"/>
          <w:bCs/>
          <w:color w:val="auto"/>
          <w:sz w:val="24"/>
          <w:szCs w:val="24"/>
          <w:highlight w:val="none"/>
          <w:u w:val="single"/>
        </w:rPr>
      </w:pP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3F70CA7D">
      <w:pPr>
        <w:pStyle w:val="24"/>
        <w:spacing w:line="360" w:lineRule="auto"/>
        <w:ind w:firstLine="241"/>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24C50CBD">
      <w:pPr>
        <w:pStyle w:val="24"/>
        <w:spacing w:line="360" w:lineRule="auto"/>
        <w:ind w:firstLine="480" w:firstLineChars="200"/>
        <w:rPr>
          <w:rFonts w:hint="eastAsia"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r>
        <w:rPr>
          <w:rFonts w:hint="eastAsia" w:hAnsi="宋体"/>
          <w:bCs/>
          <w:color w:val="auto"/>
          <w:sz w:val="24"/>
          <w:szCs w:val="24"/>
          <w:highlight w:val="none"/>
        </w:rPr>
        <w:t xml:space="preserve">就质疑事项作出了答复/没有在法定期限内作出答复。                                                                                             </w:t>
      </w:r>
    </w:p>
    <w:p w14:paraId="2FA7CD4D">
      <w:pPr>
        <w:pStyle w:val="24"/>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四、投诉事项具体内容</w:t>
      </w:r>
    </w:p>
    <w:p w14:paraId="0FC9B8B2">
      <w:pPr>
        <w:pStyle w:val="24"/>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投诉事项1：</w:t>
      </w:r>
      <w:r>
        <w:rPr>
          <w:rFonts w:hint="eastAsia" w:hAnsi="宋体"/>
          <w:bCs/>
          <w:color w:val="auto"/>
          <w:sz w:val="24"/>
          <w:szCs w:val="24"/>
          <w:highlight w:val="none"/>
          <w:u w:val="single"/>
        </w:rPr>
        <w:t xml:space="preserve">                                                                           </w:t>
      </w:r>
    </w:p>
    <w:p w14:paraId="5BDA27DD">
      <w:pPr>
        <w:pStyle w:val="24"/>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事实依据：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527494B9">
      <w:pPr>
        <w:pStyle w:val="24"/>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u w:val="single"/>
        </w:rPr>
        <w:t xml:space="preserve">                                                                                        </w:t>
      </w:r>
    </w:p>
    <w:p w14:paraId="18990DAB">
      <w:pPr>
        <w:pStyle w:val="24"/>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法律依据：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0215044D">
      <w:pPr>
        <w:pStyle w:val="24"/>
        <w:spacing w:line="360" w:lineRule="auto"/>
        <w:ind w:left="25" w:leftChars="12" w:firstLine="352" w:firstLineChars="147"/>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6BD89445">
      <w:pPr>
        <w:pStyle w:val="24"/>
        <w:spacing w:line="360" w:lineRule="auto"/>
        <w:ind w:left="25" w:leftChars="12" w:firstLine="472" w:firstLineChars="197"/>
        <w:rPr>
          <w:rFonts w:hint="eastAsia" w:hAnsi="宋体"/>
          <w:bCs/>
          <w:color w:val="auto"/>
          <w:sz w:val="24"/>
          <w:szCs w:val="24"/>
          <w:highlight w:val="none"/>
        </w:rPr>
      </w:pPr>
      <w:r>
        <w:rPr>
          <w:rFonts w:hint="eastAsia" w:hAnsi="宋体"/>
          <w:color w:val="auto"/>
          <w:sz w:val="24"/>
          <w:szCs w:val="24"/>
          <w:highlight w:val="none"/>
        </w:rPr>
        <w:t xml:space="preserve">投诉事项2  </w:t>
      </w:r>
      <w:r>
        <w:rPr>
          <w:rFonts w:hint="eastAsia" w:hAnsi="宋体"/>
          <w:bCs/>
          <w:color w:val="auto"/>
          <w:sz w:val="24"/>
          <w:szCs w:val="24"/>
          <w:highlight w:val="none"/>
        </w:rPr>
        <w:t xml:space="preserve">   </w:t>
      </w:r>
    </w:p>
    <w:p w14:paraId="1106BD84">
      <w:pPr>
        <w:pStyle w:val="24"/>
        <w:spacing w:line="360" w:lineRule="auto"/>
        <w:ind w:left="25" w:leftChars="12" w:firstLine="472" w:firstLineChars="197"/>
        <w:rPr>
          <w:rFonts w:hint="eastAsia" w:hAnsi="宋体"/>
          <w:bCs/>
          <w:color w:val="auto"/>
          <w:sz w:val="24"/>
          <w:szCs w:val="24"/>
          <w:highlight w:val="none"/>
        </w:rPr>
      </w:pPr>
      <w:r>
        <w:rPr>
          <w:rFonts w:hAnsi="宋体"/>
          <w:bCs/>
          <w:color w:val="auto"/>
          <w:sz w:val="24"/>
          <w:szCs w:val="24"/>
          <w:highlight w:val="none"/>
        </w:rPr>
        <w:t>……</w:t>
      </w:r>
    </w:p>
    <w:p w14:paraId="5699619B">
      <w:pPr>
        <w:pStyle w:val="24"/>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五、与投诉事项相关的投诉请求：</w:t>
      </w:r>
    </w:p>
    <w:p w14:paraId="73581AAA">
      <w:pPr>
        <w:pStyle w:val="24"/>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6A7A6C71">
      <w:pPr>
        <w:pStyle w:val="24"/>
        <w:spacing w:line="360" w:lineRule="auto"/>
        <w:ind w:left="25" w:leftChars="12" w:firstLine="352" w:firstLineChars="147"/>
        <w:rPr>
          <w:rFonts w:hint="eastAsia" w:hAnsi="宋体"/>
          <w:color w:val="auto"/>
          <w:sz w:val="24"/>
          <w:szCs w:val="24"/>
          <w:highlight w:val="none"/>
        </w:rPr>
      </w:pPr>
    </w:p>
    <w:p w14:paraId="4B80843A">
      <w:pPr>
        <w:pStyle w:val="24"/>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签字（签章）：                                       公章：</w:t>
      </w:r>
    </w:p>
    <w:p w14:paraId="20A4E590">
      <w:pPr>
        <w:pStyle w:val="24"/>
        <w:spacing w:line="360" w:lineRule="auto"/>
        <w:ind w:left="25" w:leftChars="12" w:firstLine="352" w:firstLineChars="147"/>
        <w:rPr>
          <w:rFonts w:hint="eastAsia" w:hAnsi="宋体"/>
          <w:color w:val="auto"/>
          <w:sz w:val="24"/>
          <w:szCs w:val="24"/>
          <w:highlight w:val="none"/>
        </w:rPr>
      </w:pPr>
    </w:p>
    <w:p w14:paraId="6308B7A8">
      <w:pPr>
        <w:pStyle w:val="24"/>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日期：</w:t>
      </w:r>
    </w:p>
    <w:p w14:paraId="12E40A1B">
      <w:pPr>
        <w:pStyle w:val="24"/>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 xml:space="preserve">                                                                                 </w:t>
      </w:r>
    </w:p>
    <w:p w14:paraId="31B96EB8">
      <w:pPr>
        <w:pStyle w:val="24"/>
        <w:snapToGrid w:val="0"/>
        <w:spacing w:line="360" w:lineRule="auto"/>
        <w:rPr>
          <w:rFonts w:hint="eastAsia" w:hAnsi="宋体"/>
          <w:b/>
          <w:color w:val="auto"/>
          <w:sz w:val="24"/>
          <w:szCs w:val="24"/>
          <w:highlight w:val="none"/>
        </w:rPr>
      </w:pPr>
    </w:p>
    <w:p w14:paraId="2F7C6906">
      <w:pPr>
        <w:pStyle w:val="24"/>
        <w:snapToGrid w:val="0"/>
        <w:spacing w:line="360" w:lineRule="auto"/>
        <w:rPr>
          <w:rFonts w:hint="eastAsia" w:hAnsi="宋体"/>
          <w:b/>
          <w:color w:val="auto"/>
          <w:sz w:val="24"/>
          <w:szCs w:val="24"/>
          <w:highlight w:val="none"/>
        </w:rPr>
      </w:pPr>
      <w:r>
        <w:rPr>
          <w:rFonts w:hint="eastAsia" w:hAnsi="宋体"/>
          <w:b/>
          <w:color w:val="auto"/>
          <w:sz w:val="24"/>
          <w:szCs w:val="24"/>
          <w:highlight w:val="none"/>
        </w:rPr>
        <w:t>说明：</w:t>
      </w:r>
    </w:p>
    <w:p w14:paraId="3C318C80">
      <w:pPr>
        <w:pStyle w:val="24"/>
        <w:spacing w:line="360" w:lineRule="auto"/>
        <w:ind w:left="25" w:leftChars="12" w:firstLine="354" w:firstLineChars="147"/>
        <w:rPr>
          <w:rFonts w:hint="eastAsia"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589DBE27">
      <w:pPr>
        <w:pStyle w:val="24"/>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368C6A0">
      <w:pPr>
        <w:pStyle w:val="24"/>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02D7E7F3">
      <w:pPr>
        <w:pStyle w:val="24"/>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16145873">
      <w:pPr>
        <w:pStyle w:val="24"/>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5.投诉书的投诉请求应与投诉事项相关。</w:t>
      </w:r>
    </w:p>
    <w:p w14:paraId="430B3E4D">
      <w:pPr>
        <w:rPr>
          <w:color w:val="auto"/>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bookmarkEnd w:id="17"/>
      <w:bookmarkEnd w:id="29"/>
    </w:p>
    <w:sectPr>
      <w:headerReference r:id="rId10" w:type="default"/>
      <w:footerReference r:id="rId11"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2"/>
    <w:family w:val="auto"/>
    <w:pitch w:val="default"/>
    <w:sig w:usb0="E0002EFF" w:usb1="C000785B" w:usb2="00000009" w:usb3="00000000" w:csb0="400001FF" w:csb1="FFFF0000"/>
  </w:font>
  <w:font w:name="宋体">
    <w:panose1 w:val="02010600030101010101"/>
    <w:charset w:val="7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D538DE4-81EA-44D7-A8A0-C95AC86DB30E}"/>
  </w:font>
  <w:font w:name="黑体">
    <w:panose1 w:val="02010609060101010101"/>
    <w:charset w:val="86"/>
    <w:family w:val="auto"/>
    <w:pitch w:val="default"/>
    <w:sig w:usb0="800002BF" w:usb1="38CF7CFA" w:usb2="00000016" w:usb3="00000000" w:csb0="00040001" w:csb1="00000000"/>
    <w:embedRegular r:id="rId2" w:fontKey="{DB61E2C7-7F4E-46AB-9650-45E4E68ECED9}"/>
  </w:font>
  <w:font w:name="Courier New">
    <w:panose1 w:val="02070309020205020404"/>
    <w:charset w:val="01"/>
    <w:family w:val="modern"/>
    <w:pitch w:val="default"/>
    <w:sig w:usb0="E0002EFF" w:usb1="C0007843" w:usb2="00000009" w:usb3="00000000" w:csb0="400001FF" w:csb1="FFFF0000"/>
    <w:embedRegular r:id="rId3" w:fontKey="{496F8E45-34D1-4802-BAFB-F26BBD10FEB5}"/>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4FB93188-C75D-425C-8D73-15F306537EFC}"/>
  </w:font>
  <w:font w:name="理德小标宋简">
    <w:altName w:val="宋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embedRegular r:id="rId5" w:fontKey="{17D946A9-857B-4B15-988A-56E85D9AB991}"/>
  </w:font>
  <w:font w:name="楷体_GB2312">
    <w:panose1 w:val="02010609030101010101"/>
    <w:charset w:val="86"/>
    <w:family w:val="modern"/>
    <w:pitch w:val="default"/>
    <w:sig w:usb0="00000001" w:usb1="080E0000" w:usb2="00000000" w:usb3="00000000" w:csb0="00040000" w:csb1="00000000"/>
    <w:embedRegular r:id="rId6" w:fontKey="{D2764D63-000A-4A40-9F56-74E4C94769A6}"/>
  </w:font>
  <w:font w:name="monospace">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7" w:fontKey="{D3D80E9B-C826-4C1E-A8F8-48B58C250F4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方正美黑简体">
    <w:altName w:val="黑体"/>
    <w:panose1 w:val="00000000000000000000"/>
    <w:charset w:val="86"/>
    <w:family w:val="script"/>
    <w:pitch w:val="default"/>
    <w:sig w:usb0="00000000" w:usb1="00000000" w:usb2="00000000" w:usb3="00000000" w:csb0="00040000" w:csb1="00000000"/>
    <w:embedRegular r:id="rId8" w:fontKey="{EA71E184-0E97-4184-AD9C-0F9E2AD8CDE5}"/>
  </w:font>
  <w:font w:name="汉仪魏碑简">
    <w:altName w:val="宋体"/>
    <w:panose1 w:val="00000000000000000000"/>
    <w:charset w:val="86"/>
    <w:family w:val="modern"/>
    <w:pitch w:val="default"/>
    <w:sig w:usb0="00000000" w:usb1="00000000" w:usb2="00000012" w:usb3="00000000" w:csb0="00040000" w:csb1="00000000"/>
    <w:embedRegular r:id="rId9" w:fontKey="{998E612A-2A71-4FB7-ACD1-EF0F793B6E29}"/>
  </w:font>
  <w:font w:name="幼圆">
    <w:panose1 w:val="02010509060101010101"/>
    <w:charset w:val="86"/>
    <w:family w:val="modern"/>
    <w:pitch w:val="default"/>
    <w:sig w:usb0="00000001" w:usb1="080E0000" w:usb2="00000000" w:usb3="00000000" w:csb0="00040000" w:csb1="00000000"/>
    <w:embedRegular r:id="rId10" w:fontKey="{11FAEE9C-F203-4DAE-8ED2-FC1E48C3D95C}"/>
  </w:font>
  <w:font w:name="微软雅黑">
    <w:panose1 w:val="020B0503020204020204"/>
    <w:charset w:val="86"/>
    <w:family w:val="swiss"/>
    <w:pitch w:val="default"/>
    <w:sig w:usb0="80000287" w:usb1="2ACF3C50" w:usb2="00000016" w:usb3="00000000" w:csb0="0004001F" w:csb1="00000000"/>
    <w:embedRegular r:id="rId11" w:fontKey="{A5AFE0D7-1D29-4438-9DED-BCCDE89DEE9F}"/>
  </w:font>
  <w:font w:name="仿宋">
    <w:panose1 w:val="02010609060101010101"/>
    <w:charset w:val="86"/>
    <w:family w:val="modern"/>
    <w:pitch w:val="default"/>
    <w:sig w:usb0="800002BF" w:usb1="38CF7CFA" w:usb2="00000016" w:usb3="00000000" w:csb0="00040001" w:csb1="00000000"/>
    <w:embedRegular r:id="rId12" w:fontKey="{86B87F8B-4DC0-4DC7-9888-E43CC083F2F7}"/>
  </w:font>
  <w:font w:name="Helvetica">
    <w:altName w:val="Arial"/>
    <w:panose1 w:val="020B0504020202030204"/>
    <w:charset w:val="00"/>
    <w:family w:val="swiss"/>
    <w:pitch w:val="default"/>
    <w:sig w:usb0="00000000" w:usb1="00000000" w:usb2="00000000" w:usb3="00000000" w:csb0="00000093" w:csb1="00000000"/>
    <w:embedRegular r:id="rId13" w:fontKey="{092F4935-3DE3-4CCF-8C15-5D0580E809AF}"/>
  </w:font>
  <w:font w:name="方正小标宋简体">
    <w:panose1 w:val="02000000000000000000"/>
    <w:charset w:val="86"/>
    <w:family w:val="script"/>
    <w:pitch w:val="default"/>
    <w:sig w:usb0="00000001" w:usb1="08000000" w:usb2="00000000" w:usb3="00000000" w:csb0="00040000" w:csb1="00000000"/>
    <w:embedRegular r:id="rId14" w:fontKey="{20D8AA34-E9C1-4108-A048-848253D34614}"/>
  </w:font>
  <w:font w:name="金山简黑体">
    <w:altName w:val="宋体"/>
    <w:panose1 w:val="00000000000000000000"/>
    <w:charset w:val="86"/>
    <w:family w:val="modern"/>
    <w:pitch w:val="default"/>
    <w:sig w:usb0="00000000" w:usb1="00000000" w:usb2="00000010" w:usb3="00000000" w:csb0="00040000" w:csb1="00000000"/>
    <w:embedRegular r:id="rId15" w:fontKey="{9BD24A0A-4C19-44F5-980C-EBCC1BCD47BE}"/>
  </w:font>
  <w:font w:name="WPSEMBED1">
    <w:panose1 w:val="02010609030101010101"/>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 w:name="WPSEMBED3">
    <w:panose1 w:val="02010509060101010101"/>
    <w:charset w:val="86"/>
    <w:family w:val="auto"/>
    <w:pitch w:val="default"/>
    <w:sig w:usb0="00000001" w:usb1="080E0000" w:usb2="00000000" w:usb3="00000000" w:csb0="00040000" w:csb1="00000000"/>
  </w:font>
  <w:font w:name="MS Mincho">
    <w:altName w:val="Yu Gothic UI"/>
    <w:panose1 w:val="02020609040205080304"/>
    <w:charset w:val="80"/>
    <w:family w:val="modern"/>
    <w:pitch w:val="default"/>
    <w:sig w:usb0="00000000" w:usb1="00000000" w:usb2="08000012" w:usb3="00000000" w:csb0="0002009F" w:csb1="00000000"/>
    <w:embedRegular r:id="rId16" w:fontKey="{2F80A3E7-D502-4C91-B5E0-BEEC4A3583C4}"/>
  </w:font>
  <w:font w:name="Yu Gothic UI">
    <w:panose1 w:val="020B0500000000000000"/>
    <w:charset w:val="80"/>
    <w:family w:val="auto"/>
    <w:pitch w:val="default"/>
    <w:sig w:usb0="E00002FF" w:usb1="2AC7FDFF" w:usb2="00000016" w:usb3="00000000" w:csb0="2002009F" w:csb1="00000000"/>
  </w:font>
  <w:font w:name="隶书">
    <w:panose1 w:val="02010509060101010101"/>
    <w:charset w:val="86"/>
    <w:family w:val="modern"/>
    <w:pitch w:val="default"/>
    <w:sig w:usb0="00000001" w:usb1="080E0000" w:usb2="00000000" w:usb3="00000000" w:csb0="00040000" w:csb1="00000000"/>
    <w:embedRegular r:id="rId17" w:fontKey="{0160D970-296F-4E13-A80D-20EAF03D6019}"/>
  </w:font>
  <w:font w:name="WPSEMBED4">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AF31B">
    <w:pPr>
      <w:pStyle w:val="29"/>
      <w:jc w:val="center"/>
      <w:rPr>
        <w:rFonts w:cs="Times New Roman"/>
      </w:rPr>
    </w:pPr>
  </w:p>
  <w:p w14:paraId="54DE92EA">
    <w:pPr>
      <w:pStyle w:val="29"/>
      <w:rPr>
        <w:rFonts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4C0FBB">
    <w:pPr>
      <w:pStyle w:val="29"/>
      <w:jc w:val="center"/>
      <w:rPr>
        <w:rFonts w:cs="Times New Roman"/>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81ED6D">
                          <w:pPr>
                            <w:pStyle w:val="2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7F81ED6D">
                    <w:pPr>
                      <w:pStyle w:val="29"/>
                    </w:pPr>
                    <w:r>
                      <w:fldChar w:fldCharType="begin"/>
                    </w:r>
                    <w:r>
                      <w:instrText xml:space="preserve"> PAGE  \* MERGEFORMAT </w:instrText>
                    </w:r>
                    <w:r>
                      <w:fldChar w:fldCharType="separate"/>
                    </w:r>
                    <w:r>
                      <w:t>1</w:t>
                    </w:r>
                    <w:r>
                      <w:fldChar w:fldCharType="end"/>
                    </w:r>
                  </w:p>
                </w:txbxContent>
              </v:textbox>
            </v:shape>
          </w:pict>
        </mc:Fallback>
      </mc:AlternateContent>
    </w:r>
  </w:p>
  <w:p w14:paraId="183A3F7E">
    <w:pPr>
      <w:pStyle w:val="29"/>
      <w:rPr>
        <w:rFonts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6AB05">
    <w:pPr>
      <w:snapToGrid w:val="0"/>
      <w:jc w:val="left"/>
      <w:rPr>
        <w:kern w:val="0"/>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CC71D7">
                          <w:pPr>
                            <w:pStyle w:val="29"/>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66CC71D7">
                    <w:pPr>
                      <w:pStyle w:val="29"/>
                    </w:pPr>
                    <w:r>
                      <w:fldChar w:fldCharType="begin"/>
                    </w:r>
                    <w:r>
                      <w:instrText xml:space="preserve"> PAGE  \* MERGEFORMAT </w:instrText>
                    </w:r>
                    <w:r>
                      <w:fldChar w:fldCharType="separate"/>
                    </w:r>
                    <w:r>
                      <w:t>52</w:t>
                    </w:r>
                    <w:r>
                      <w:fldChar w:fldCharType="end"/>
                    </w: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B365A7">
                          <w:pPr>
                            <w:snapToGrid w:val="0"/>
                            <w:jc w:val="left"/>
                          </w:pPr>
                        </w:p>
                        <w:p w14:paraId="35B57B5A"/>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DB365A7">
                    <w:pPr>
                      <w:snapToGrid w:val="0"/>
                      <w:jc w:val="left"/>
                    </w:pPr>
                  </w:p>
                  <w:p w14:paraId="35B57B5A"/>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B38C3D">
    <w:pPr>
      <w:framePr w:wrap="around" w:vAnchor="text" w:hAnchor="margin" w:xAlign="center" w:y="1"/>
      <w:snapToGrid w:val="0"/>
      <w:jc w:val="left"/>
      <w:rPr>
        <w:rStyle w:val="48"/>
        <w:kern w:val="0"/>
        <w:sz w:val="18"/>
        <w:szCs w:val="18"/>
      </w:rPr>
    </w:pPr>
    <w:r>
      <w:rPr>
        <w:rStyle w:val="48"/>
        <w:kern w:val="0"/>
        <w:sz w:val="18"/>
        <w:szCs w:val="18"/>
      </w:rPr>
      <w:fldChar w:fldCharType="begin"/>
    </w:r>
    <w:r>
      <w:rPr>
        <w:rStyle w:val="48"/>
        <w:kern w:val="0"/>
        <w:sz w:val="18"/>
        <w:szCs w:val="18"/>
      </w:rPr>
      <w:instrText xml:space="preserve">PAGE  </w:instrText>
    </w:r>
    <w:r>
      <w:rPr>
        <w:rStyle w:val="48"/>
        <w:kern w:val="0"/>
        <w:sz w:val="18"/>
        <w:szCs w:val="18"/>
      </w:rPr>
      <w:fldChar w:fldCharType="end"/>
    </w:r>
  </w:p>
  <w:p w14:paraId="1BEEC38E">
    <w:pPr>
      <w:snapToGrid w:val="0"/>
      <w:jc w:val="left"/>
      <w:rPr>
        <w:kern w:val="0"/>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48801">
    <w:pPr>
      <w:snapToGrid w:val="0"/>
      <w:jc w:val="center"/>
      <w:rPr>
        <w:kern w:val="0"/>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7D2658">
                          <w:pPr>
                            <w:pStyle w:val="29"/>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017D2658">
                    <w:pPr>
                      <w:pStyle w:val="29"/>
                    </w:pPr>
                    <w:r>
                      <w:fldChar w:fldCharType="begin"/>
                    </w:r>
                    <w:r>
                      <w:instrText xml:space="preserve"> PAGE  \* MERGEFORMAT </w:instrText>
                    </w:r>
                    <w:r>
                      <w:fldChar w:fldCharType="separate"/>
                    </w:r>
                    <w:r>
                      <w:t>51</w:t>
                    </w:r>
                    <w:r>
                      <w:fldChar w:fldCharType="end"/>
                    </w:r>
                  </w:p>
                </w:txbxContent>
              </v:textbox>
            </v:shape>
          </w:pict>
        </mc:Fallback>
      </mc:AlternateContent>
    </w:r>
  </w:p>
  <w:p w14:paraId="25933C2F">
    <w:pPr>
      <w:snapToGrid w:val="0"/>
      <w:jc w:val="left"/>
      <w:rPr>
        <w:kern w:val="0"/>
        <w:sz w:val="18"/>
        <w:szCs w:val="1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AA2A8">
    <w:pPr>
      <w:pStyle w:val="29"/>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47116D">
                          <w:pPr>
                            <w:pStyle w:val="29"/>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1347116D">
                    <w:pPr>
                      <w:pStyle w:val="29"/>
                    </w:pPr>
                    <w:r>
                      <w:fldChar w:fldCharType="begin"/>
                    </w:r>
                    <w:r>
                      <w:instrText xml:space="preserve"> PAGE  \* MERGEFORMAT </w:instrText>
                    </w:r>
                    <w:r>
                      <w:fldChar w:fldCharType="separate"/>
                    </w:r>
                    <w:r>
                      <w:t>77</w:t>
                    </w:r>
                    <w:r>
                      <w:fldChar w:fldCharType="end"/>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CA6C00">
                          <w:pPr>
                            <w:pStyle w:val="29"/>
                          </w:pPr>
                        </w:p>
                        <w:p w14:paraId="31E0D121"/>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5ECA6C00">
                    <w:pPr>
                      <w:pStyle w:val="29"/>
                    </w:pPr>
                  </w:p>
                  <w:p w14:paraId="31E0D121"/>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E3DD9">
    <w:pPr>
      <w:pStyle w:val="29"/>
      <w:jc w:val="center"/>
      <w:rPr>
        <w:rFonts w:cs="Times New Roman"/>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DF7A6CB">
                          <w:pPr>
                            <w:pStyle w:val="29"/>
                            <w:rPr>
                              <w:rFonts w:cs="Times New Roman"/>
                            </w:rPr>
                          </w:pPr>
                          <w:r>
                            <w:rPr>
                              <w:rFonts w:cs="Times New Roman"/>
                            </w:rPr>
                            <w:fldChar w:fldCharType="begin"/>
                          </w:r>
                          <w:r>
                            <w:rPr>
                              <w:rFonts w:cs="Times New Roman"/>
                            </w:rPr>
                            <w:instrText xml:space="preserve"> PAGE  \* MERGEFORMAT </w:instrText>
                          </w:r>
                          <w:r>
                            <w:rPr>
                              <w:rFonts w:cs="Times New Roman"/>
                            </w:rPr>
                            <w:fldChar w:fldCharType="separate"/>
                          </w:r>
                          <w:r>
                            <w:rPr>
                              <w:rFonts w:cs="Times New Roman"/>
                            </w:rPr>
                            <w:t>0</w:t>
                          </w:r>
                          <w:r>
                            <w:rPr>
                              <w:rFonts w:cs="Times New Roman"/>
                            </w:rPr>
                            <w:fldChar w:fldCharType="end"/>
                          </w:r>
                        </w:p>
                      </w:txbxContent>
                    </wps:txbx>
                    <wps:bodyPr wrap="none" lIns="0" tIns="0" rIns="0" bIns="0" upright="1">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pRB4NyQEAAJkDAAAOAAAAAAAAAAEAIAAAAB4BAABkcnMvZTJvRG9j&#10;LnhtbFBLBQYAAAAABgAGAFkBAABZBQAAAAA=&#10;">
              <v:fill on="f" focussize="0,0"/>
              <v:stroke on="f"/>
              <v:imagedata o:title=""/>
              <o:lock v:ext="edit" aspectratio="f"/>
              <v:textbox inset="0mm,0mm,0mm,0mm" style="mso-fit-shape-to-text:t;">
                <w:txbxContent>
                  <w:p w14:paraId="6DF7A6CB">
                    <w:pPr>
                      <w:pStyle w:val="29"/>
                      <w:rPr>
                        <w:rFonts w:cs="Times New Roman"/>
                      </w:rPr>
                    </w:pPr>
                    <w:r>
                      <w:rPr>
                        <w:rFonts w:cs="Times New Roman"/>
                      </w:rPr>
                      <w:fldChar w:fldCharType="begin"/>
                    </w:r>
                    <w:r>
                      <w:rPr>
                        <w:rFonts w:cs="Times New Roman"/>
                      </w:rPr>
                      <w:instrText xml:space="preserve"> PAGE  \* MERGEFORMAT </w:instrText>
                    </w:r>
                    <w:r>
                      <w:rPr>
                        <w:rFonts w:cs="Times New Roman"/>
                      </w:rPr>
                      <w:fldChar w:fldCharType="separate"/>
                    </w:r>
                    <w:r>
                      <w:rPr>
                        <w:rFonts w:cs="Times New Roman"/>
                      </w:rPr>
                      <w:t>0</w:t>
                    </w:r>
                    <w:r>
                      <w:rPr>
                        <w:rFonts w:cs="Times New Roman"/>
                      </w:rPr>
                      <w:fldChar w:fldCharType="end"/>
                    </w:r>
                  </w:p>
                </w:txbxContent>
              </v:textbox>
            </v:shape>
          </w:pict>
        </mc:Fallback>
      </mc:AlternateContent>
    </w:r>
  </w:p>
  <w:p w14:paraId="474044E4">
    <w:pPr>
      <w:pStyle w:val="29"/>
      <w:rPr>
        <w:rFonts w:cs="Times New Roma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D35A0">
    <w:pPr>
      <w:snapToGrid w:val="0"/>
      <w:jc w:val="center"/>
      <w:rPr>
        <w:kern w:val="0"/>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47BDE1">
    <w:pPr>
      <w:pStyle w:val="30"/>
    </w:pPr>
    <w:r>
      <w:rPr>
        <w:rFonts w:hint="eastAsia" w:asciiTheme="minorEastAsia" w:hAnsiTheme="minorEastAsia" w:eastAsiaTheme="minorEastAsia" w:cstheme="minorEastAsia"/>
        <w:bCs/>
        <w:lang w:eastAsia="zh-CN"/>
      </w:rPr>
      <w:t>广西建设工程机电设备招标中心有限公司</w:t>
    </w:r>
    <w:r>
      <w:rPr>
        <w:rFonts w:ascii="宋体" w:hAnsi="宋体" w:cs="宋体"/>
        <w:bCs/>
      </w:rPr>
      <w:t xml:space="preserve"> </w:t>
    </w:r>
    <w:r>
      <w:rPr>
        <w:rFonts w:hint="eastAsia"/>
      </w:rPr>
      <w:t xml:space="preserve">                                         竞争性磋商文件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EE9FF1"/>
    <w:multiLevelType w:val="singleLevel"/>
    <w:tmpl w:val="8EEE9FF1"/>
    <w:lvl w:ilvl="0" w:tentative="0">
      <w:start w:val="2"/>
      <w:numFmt w:val="chineseCounting"/>
      <w:suff w:val="nothing"/>
      <w:lvlText w:val="%1、"/>
      <w:lvlJc w:val="left"/>
      <w:pPr>
        <w:ind w:left="451" w:firstLine="0"/>
      </w:pPr>
      <w:rPr>
        <w:rFonts w:hint="eastAsia"/>
      </w:rPr>
    </w:lvl>
  </w:abstractNum>
  <w:abstractNum w:abstractNumId="1">
    <w:nsid w:val="B350DA37"/>
    <w:multiLevelType w:val="singleLevel"/>
    <w:tmpl w:val="B350DA37"/>
    <w:lvl w:ilvl="0" w:tentative="0">
      <w:start w:val="10"/>
      <w:numFmt w:val="decimal"/>
      <w:suff w:val="nothing"/>
      <w:lvlText w:val="（%1）"/>
      <w:lvlJc w:val="left"/>
    </w:lvl>
  </w:abstractNum>
  <w:abstractNum w:abstractNumId="2">
    <w:nsid w:val="CC594CB6"/>
    <w:multiLevelType w:val="singleLevel"/>
    <w:tmpl w:val="CC594CB6"/>
    <w:lvl w:ilvl="0" w:tentative="0">
      <w:start w:val="1"/>
      <w:numFmt w:val="decimal"/>
      <w:suff w:val="nothing"/>
      <w:lvlText w:val="%1、"/>
      <w:lvlJc w:val="left"/>
    </w:lvl>
  </w:abstractNum>
  <w:abstractNum w:abstractNumId="3">
    <w:nsid w:val="E1283F72"/>
    <w:multiLevelType w:val="singleLevel"/>
    <w:tmpl w:val="E1283F72"/>
    <w:lvl w:ilvl="0" w:tentative="0">
      <w:start w:val="3"/>
      <w:numFmt w:val="chineseCounting"/>
      <w:suff w:val="nothing"/>
      <w:lvlText w:val="%1、"/>
      <w:lvlJc w:val="left"/>
      <w:rPr>
        <w:rFonts w:hint="eastAsia"/>
      </w:rPr>
    </w:lvl>
  </w:abstractNum>
  <w:abstractNum w:abstractNumId="4">
    <w:nsid w:val="EB8CEB78"/>
    <w:multiLevelType w:val="singleLevel"/>
    <w:tmpl w:val="EB8CEB78"/>
    <w:lvl w:ilvl="0" w:tentative="0">
      <w:start w:val="3"/>
      <w:numFmt w:val="chineseCounting"/>
      <w:suff w:val="space"/>
      <w:lvlText w:val="第%1章"/>
      <w:lvlJc w:val="left"/>
      <w:rPr>
        <w:rFonts w:hint="eastAsia"/>
      </w:rPr>
    </w:lvl>
  </w:abstractNum>
  <w:abstractNum w:abstractNumId="5">
    <w:nsid w:val="F6C43966"/>
    <w:multiLevelType w:val="singleLevel"/>
    <w:tmpl w:val="F6C43966"/>
    <w:lvl w:ilvl="0" w:tentative="0">
      <w:start w:val="1"/>
      <w:numFmt w:val="decimal"/>
      <w:suff w:val="nothing"/>
      <w:lvlText w:val="（%1）"/>
      <w:lvlJc w:val="left"/>
    </w:lvl>
  </w:abstractNum>
  <w:abstractNum w:abstractNumId="6">
    <w:nsid w:val="049E55D1"/>
    <w:multiLevelType w:val="multilevel"/>
    <w:tmpl w:val="049E55D1"/>
    <w:lvl w:ilvl="0" w:tentative="0">
      <w:start w:val="1"/>
      <w:numFmt w:val="decimal"/>
      <w:pStyle w:val="130"/>
      <w:lvlText w:val="%1."/>
      <w:lvlJc w:val="left"/>
      <w:pPr>
        <w:tabs>
          <w:tab w:val="left" w:pos="624"/>
        </w:tabs>
        <w:ind w:left="624" w:hanging="624"/>
      </w:pPr>
      <w:rPr>
        <w:rFonts w:hint="default" w:ascii="Arial" w:hAnsi="Arial" w:cs="Arial"/>
        <w:b/>
        <w:bCs/>
        <w:i w:val="0"/>
        <w:iCs w:val="0"/>
        <w:sz w:val="24"/>
        <w:szCs w:val="24"/>
      </w:rPr>
    </w:lvl>
    <w:lvl w:ilvl="1" w:tentative="0">
      <w:start w:val="1"/>
      <w:numFmt w:val="decimal"/>
      <w:pStyle w:val="151"/>
      <w:lvlText w:val="%1.%2"/>
      <w:lvlJc w:val="left"/>
      <w:pPr>
        <w:tabs>
          <w:tab w:val="left" w:pos="624"/>
        </w:tabs>
        <w:ind w:left="624" w:hanging="624"/>
      </w:pPr>
      <w:rPr>
        <w:rFonts w:hint="default" w:ascii="Arial" w:hAnsi="Arial" w:cs="Arial"/>
        <w:b w:val="0"/>
        <w:bCs w:val="0"/>
        <w:i w:val="0"/>
        <w:iCs w:val="0"/>
        <w:sz w:val="24"/>
        <w:szCs w:val="24"/>
      </w:rPr>
    </w:lvl>
    <w:lvl w:ilvl="2" w:tentative="0">
      <w:start w:val="1"/>
      <w:numFmt w:val="decimal"/>
      <w:pStyle w:val="148"/>
      <w:lvlText w:val="(%3)"/>
      <w:lvlJc w:val="left"/>
      <w:pPr>
        <w:tabs>
          <w:tab w:val="left" w:pos="624"/>
        </w:tabs>
        <w:ind w:left="624" w:hanging="624"/>
      </w:pPr>
      <w:rPr>
        <w:rFonts w:hint="default" w:ascii="Arial" w:hAnsi="Arial" w:cs="Arial"/>
        <w:b w:val="0"/>
        <w:bCs w:val="0"/>
        <w:i w:val="0"/>
        <w:iCs w:val="0"/>
        <w:sz w:val="24"/>
        <w:szCs w:val="24"/>
      </w:rPr>
    </w:lvl>
    <w:lvl w:ilvl="3" w:tentative="0">
      <w:start w:val="1"/>
      <w:numFmt w:val="decimal"/>
      <w:pStyle w:val="135"/>
      <w:lvlText w:val="%1.%2.%4"/>
      <w:lvlJc w:val="left"/>
      <w:pPr>
        <w:tabs>
          <w:tab w:val="left" w:pos="1361"/>
        </w:tabs>
        <w:ind w:left="1361" w:hanging="737"/>
      </w:pPr>
      <w:rPr>
        <w:rFonts w:hint="default" w:ascii="Arial" w:hAnsi="Arial" w:cs="Arial"/>
        <w:b w:val="0"/>
        <w:bCs w:val="0"/>
        <w:i w:val="0"/>
        <w:iCs w:val="0"/>
        <w:sz w:val="24"/>
        <w:szCs w:val="24"/>
      </w:rPr>
    </w:lvl>
    <w:lvl w:ilvl="4" w:tentative="0">
      <w:start w:val="1"/>
      <w:numFmt w:val="lowerLetter"/>
      <w:pStyle w:val="134"/>
      <w:lvlText w:val="(%5)"/>
      <w:lvlJc w:val="left"/>
      <w:pPr>
        <w:tabs>
          <w:tab w:val="left" w:pos="1361"/>
        </w:tabs>
        <w:ind w:left="1361" w:hanging="737"/>
      </w:pPr>
      <w:rPr>
        <w:rFonts w:hint="default" w:ascii="Arial" w:hAnsi="Arial" w:cs="Arial"/>
        <w:b w:val="0"/>
        <w:bCs w:val="0"/>
        <w:i w:val="0"/>
        <w:iCs w:val="0"/>
        <w:sz w:val="20"/>
        <w:szCs w:val="20"/>
      </w:rPr>
    </w:lvl>
    <w:lvl w:ilvl="5" w:tentative="0">
      <w:start w:val="1"/>
      <w:numFmt w:val="lowerRoman"/>
      <w:pStyle w:val="140"/>
      <w:lvlText w:val="(%6)"/>
      <w:lvlJc w:val="left"/>
      <w:pPr>
        <w:tabs>
          <w:tab w:val="left" w:pos="2041"/>
        </w:tabs>
        <w:ind w:left="2041" w:hanging="680"/>
      </w:pPr>
      <w:rPr>
        <w:rFonts w:hint="default" w:ascii="Arial" w:hAnsi="Arial" w:cs="Arial"/>
        <w:b w:val="0"/>
        <w:bCs w:val="0"/>
        <w:i w:val="0"/>
        <w:iCs w:val="0"/>
        <w:sz w:val="20"/>
        <w:szCs w:val="20"/>
      </w:rPr>
    </w:lvl>
    <w:lvl w:ilvl="6" w:tentative="0">
      <w:start w:val="1"/>
      <w:numFmt w:val="upperLetter"/>
      <w:pStyle w:val="141"/>
      <w:lvlText w:val="(%7)"/>
      <w:lvlJc w:val="left"/>
      <w:pPr>
        <w:tabs>
          <w:tab w:val="left" w:pos="2041"/>
        </w:tabs>
        <w:ind w:left="2041" w:hanging="680"/>
      </w:pPr>
      <w:rPr>
        <w:rFonts w:hint="default" w:ascii="Arial" w:hAnsi="Arial" w:cs="Arial"/>
        <w:b w:val="0"/>
        <w:bCs w:val="0"/>
        <w:i w:val="0"/>
        <w:iCs w:val="0"/>
        <w:sz w:val="20"/>
        <w:szCs w:val="20"/>
      </w:rPr>
    </w:lvl>
    <w:lvl w:ilvl="7" w:tentative="0">
      <w:start w:val="1"/>
      <w:numFmt w:val="upperLetter"/>
      <w:pStyle w:val="131"/>
      <w:lvlText w:val="(%8)"/>
      <w:lvlJc w:val="left"/>
      <w:pPr>
        <w:tabs>
          <w:tab w:val="left" w:pos="2722"/>
        </w:tabs>
        <w:ind w:left="2722" w:hanging="681"/>
      </w:pPr>
      <w:rPr>
        <w:rFonts w:hint="default" w:ascii="Arial" w:hAnsi="Arial" w:cs="Arial"/>
        <w:b w:val="0"/>
        <w:bCs w:val="0"/>
        <w:i w:val="0"/>
        <w:iCs w:val="0"/>
        <w:sz w:val="20"/>
        <w:szCs w:val="20"/>
      </w:rPr>
    </w:lvl>
    <w:lvl w:ilvl="8" w:tentative="0">
      <w:start w:val="1"/>
      <w:numFmt w:val="none"/>
      <w:lvlText w:val=""/>
      <w:lvlJc w:val="left"/>
      <w:pPr>
        <w:tabs>
          <w:tab w:val="left" w:pos="4320"/>
        </w:tabs>
        <w:ind w:left="4320" w:hanging="1440"/>
      </w:pPr>
      <w:rPr>
        <w:rFonts w:hint="eastAsia"/>
      </w:rPr>
    </w:lvl>
  </w:abstractNum>
  <w:abstractNum w:abstractNumId="7">
    <w:nsid w:val="0C48645C"/>
    <w:multiLevelType w:val="multilevel"/>
    <w:tmpl w:val="0C48645C"/>
    <w:lvl w:ilvl="0" w:tentative="0">
      <w:start w:val="1"/>
      <w:numFmt w:val="decimal"/>
      <w:pStyle w:val="133"/>
      <w:lvlText w:val="(%1)"/>
      <w:lvlJc w:val="left"/>
      <w:pPr>
        <w:tabs>
          <w:tab w:val="left" w:pos="680"/>
        </w:tabs>
        <w:ind w:left="680" w:hanging="680"/>
      </w:pPr>
      <w:rPr>
        <w:rFonts w:hint="default"/>
        <w:b/>
        <w:bCs/>
        <w:i w:val="0"/>
        <w:iCs w:val="0"/>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8">
    <w:nsid w:val="0F44714D"/>
    <w:multiLevelType w:val="singleLevel"/>
    <w:tmpl w:val="0F44714D"/>
    <w:lvl w:ilvl="0" w:tentative="0">
      <w:start w:val="1"/>
      <w:numFmt w:val="chineseCounting"/>
      <w:suff w:val="nothing"/>
      <w:lvlText w:val="%1、"/>
      <w:lvlJc w:val="left"/>
      <w:rPr>
        <w:rFonts w:hint="eastAsia"/>
      </w:rPr>
    </w:lvl>
  </w:abstractNum>
  <w:abstractNum w:abstractNumId="9">
    <w:nsid w:val="14EF5680"/>
    <w:multiLevelType w:val="singleLevel"/>
    <w:tmpl w:val="14EF5680"/>
    <w:lvl w:ilvl="0" w:tentative="0">
      <w:start w:val="1"/>
      <w:numFmt w:val="decimal"/>
      <w:pStyle w:val="143"/>
      <w:lvlText w:val="%1."/>
      <w:lvlJc w:val="left"/>
      <w:pPr>
        <w:tabs>
          <w:tab w:val="left" w:pos="480"/>
        </w:tabs>
        <w:ind w:left="480" w:hanging="480"/>
      </w:pPr>
      <w:rPr>
        <w:rFonts w:hint="default"/>
        <w:sz w:val="23"/>
        <w:szCs w:val="23"/>
      </w:rPr>
    </w:lvl>
  </w:abstractNum>
  <w:abstractNum w:abstractNumId="10">
    <w:nsid w:val="15B4BF49"/>
    <w:multiLevelType w:val="singleLevel"/>
    <w:tmpl w:val="15B4BF49"/>
    <w:lvl w:ilvl="0" w:tentative="0">
      <w:start w:val="6"/>
      <w:numFmt w:val="chineseCounting"/>
      <w:suff w:val="nothing"/>
      <w:lvlText w:val="%1、"/>
      <w:lvlJc w:val="left"/>
      <w:rPr>
        <w:rFonts w:hint="eastAsia"/>
      </w:rPr>
    </w:lvl>
  </w:abstractNum>
  <w:abstractNum w:abstractNumId="11">
    <w:nsid w:val="17C1A060"/>
    <w:multiLevelType w:val="singleLevel"/>
    <w:tmpl w:val="17C1A060"/>
    <w:lvl w:ilvl="0" w:tentative="0">
      <w:start w:val="7"/>
      <w:numFmt w:val="chineseCounting"/>
      <w:suff w:val="nothing"/>
      <w:lvlText w:val="%1、"/>
      <w:lvlJc w:val="left"/>
      <w:rPr>
        <w:rFonts w:hint="eastAsia"/>
      </w:rPr>
    </w:lvl>
  </w:abstractNum>
  <w:abstractNum w:abstractNumId="12">
    <w:nsid w:val="29481282"/>
    <w:multiLevelType w:val="singleLevel"/>
    <w:tmpl w:val="29481282"/>
    <w:lvl w:ilvl="0" w:tentative="0">
      <w:start w:val="1"/>
      <w:numFmt w:val="decimal"/>
      <w:suff w:val="nothing"/>
      <w:lvlText w:val="%1、"/>
      <w:lvlJc w:val="left"/>
    </w:lvl>
  </w:abstractNum>
  <w:abstractNum w:abstractNumId="13">
    <w:nsid w:val="447EFA92"/>
    <w:multiLevelType w:val="singleLevel"/>
    <w:tmpl w:val="447EFA92"/>
    <w:lvl w:ilvl="0" w:tentative="0">
      <w:start w:val="1"/>
      <w:numFmt w:val="decimal"/>
      <w:suff w:val="space"/>
      <w:lvlText w:val="(%1)"/>
      <w:lvlJc w:val="left"/>
      <w:rPr>
        <w:rFonts w:hint="default"/>
        <w:b w:val="0"/>
        <w:bCs w:val="0"/>
      </w:rPr>
    </w:lvl>
  </w:abstractNum>
  <w:abstractNum w:abstractNumId="14">
    <w:nsid w:val="5498E193"/>
    <w:multiLevelType w:val="singleLevel"/>
    <w:tmpl w:val="5498E193"/>
    <w:lvl w:ilvl="0" w:tentative="0">
      <w:start w:val="11"/>
      <w:numFmt w:val="decimal"/>
      <w:suff w:val="space"/>
      <w:lvlText w:val="%1."/>
      <w:lvlJc w:val="left"/>
    </w:lvl>
  </w:abstractNum>
  <w:abstractNum w:abstractNumId="15">
    <w:nsid w:val="57EC4BDC"/>
    <w:multiLevelType w:val="multilevel"/>
    <w:tmpl w:val="57EC4BDC"/>
    <w:lvl w:ilvl="0" w:tentative="0">
      <w:start w:val="1"/>
      <w:numFmt w:val="chineseCountingThousand"/>
      <w:pStyle w:val="3"/>
      <w:lvlText w:val="第%1条."/>
      <w:lvlJc w:val="left"/>
      <w:pPr>
        <w:tabs>
          <w:tab w:val="left" w:pos="1080"/>
        </w:tabs>
      </w:pPr>
    </w:lvl>
    <w:lvl w:ilvl="1" w:tentative="0">
      <w:start w:val="1"/>
      <w:numFmt w:val="decimal"/>
      <w:lvlText w:val="3.%2."/>
      <w:lvlJc w:val="left"/>
      <w:pPr>
        <w:tabs>
          <w:tab w:val="left" w:pos="1140"/>
        </w:tabs>
        <w:ind w:left="420"/>
      </w:pPr>
      <w:rPr>
        <w:rFonts w:hint="eastAsia"/>
        <w:b/>
        <w:bCs/>
        <w:i w:val="0"/>
        <w:iCs w:val="0"/>
        <w:caps w:val="0"/>
        <w:strike w:val="0"/>
        <w:dstrike w:val="0"/>
        <w:vanish w:val="0"/>
        <w:sz w:val="24"/>
        <w:szCs w:val="24"/>
        <w:vertAlign w:val="baseline"/>
        <w14:shadow w14:blurRad="0" w14:dist="0" w14:dir="0" w14:sx="0" w14:sy="0" w14:kx="0" w14:ky="0" w14:algn="none">
          <w14:srgbClr w14:val="000000"/>
        </w14:shadow>
      </w:rPr>
    </w:lvl>
    <w:lvl w:ilvl="2" w:tentative="0">
      <w:start w:val="1"/>
      <w:numFmt w:val="decimal"/>
      <w:lvlText w:val="4.%3."/>
      <w:lvlJc w:val="left"/>
      <w:pPr>
        <w:tabs>
          <w:tab w:val="left" w:pos="1560"/>
        </w:tabs>
        <w:ind w:left="840"/>
      </w:pPr>
      <w:rPr>
        <w:rFonts w:hint="eastAsia" w:ascii="宋体" w:eastAsia="宋体"/>
        <w:b/>
        <w:bCs/>
        <w:i w:val="0"/>
        <w:iCs w:val="0"/>
        <w:caps w:val="0"/>
        <w:strike w:val="0"/>
        <w:dstrike w:val="0"/>
        <w:vanish w:val="0"/>
        <w:color w:val="000000"/>
        <w:sz w:val="24"/>
        <w:szCs w:val="24"/>
        <w:vertAlign w:val="baseline"/>
        <w14:shadow w14:blurRad="0" w14:dist="0" w14:dir="0" w14:sx="0" w14:sy="0" w14:kx="0" w14:ky="0" w14:algn="none">
          <w14:srgbClr w14:val="000000"/>
        </w14:shadow>
      </w:rPr>
    </w:lvl>
    <w:lvl w:ilvl="3" w:tentative="0">
      <w:start w:val="1"/>
      <w:numFmt w:val="decimal"/>
      <w:lvlText w:val="6.%4."/>
      <w:lvlJc w:val="left"/>
      <w:pPr>
        <w:tabs>
          <w:tab w:val="left" w:pos="1980"/>
        </w:tabs>
        <w:ind w:left="1260"/>
      </w:pPr>
      <w:rPr>
        <w:rFonts w:hint="eastAsia" w:ascii="宋体" w:eastAsia="宋体"/>
        <w:b/>
        <w:bCs/>
        <w:i w:val="0"/>
        <w:iCs w:val="0"/>
        <w:caps w:val="0"/>
        <w:strike w:val="0"/>
        <w:dstrike w:val="0"/>
        <w:vanish w:val="0"/>
        <w:color w:val="000000"/>
        <w:sz w:val="24"/>
        <w:szCs w:val="24"/>
        <w:vertAlign w:val="baseline"/>
        <w14:shadow w14:blurRad="0" w14:dist="0" w14:dir="0" w14:sx="0" w14:sy="0" w14:kx="0" w14:ky="0" w14:algn="none">
          <w14:srgbClr w14:val="000000"/>
        </w14:shadow>
      </w:rPr>
    </w:lvl>
    <w:lvl w:ilvl="4" w:tentative="0">
      <w:start w:val="1"/>
      <w:numFmt w:val="decimal"/>
      <w:lvlText w:val="12.%5."/>
      <w:lvlJc w:val="left"/>
      <w:pPr>
        <w:tabs>
          <w:tab w:val="left" w:pos="2400"/>
        </w:tabs>
        <w:ind w:left="1680"/>
      </w:pPr>
      <w:rPr>
        <w:rFonts w:hint="eastAsia" w:ascii="宋体" w:eastAsia="宋体"/>
        <w:b/>
        <w:bCs/>
        <w:i w:val="0"/>
        <w:iCs w:val="0"/>
        <w:caps w:val="0"/>
        <w:strike w:val="0"/>
        <w:dstrike w:val="0"/>
        <w:vanish w:val="0"/>
        <w:color w:val="000000"/>
        <w:sz w:val="24"/>
        <w:szCs w:val="24"/>
        <w:vertAlign w:val="baseline"/>
        <w14:shadow w14:blurRad="0" w14:dist="0" w14:dir="0" w14:sx="0" w14:sy="0" w14:kx="0" w14:ky="0" w14:algn="none">
          <w14:srgbClr w14:val="000000"/>
        </w14:shadow>
      </w:rPr>
    </w:lvl>
    <w:lvl w:ilvl="5" w:tentative="0">
      <w:start w:val="10"/>
      <w:numFmt w:val="decimal"/>
      <w:lvlText w:val="%6．"/>
      <w:lvlJc w:val="left"/>
      <w:pPr>
        <w:tabs>
          <w:tab w:val="left" w:pos="2820"/>
        </w:tabs>
        <w:ind w:left="2820" w:hanging="720"/>
      </w:pPr>
      <w:rPr>
        <w:rFonts w:hint="default"/>
      </w:r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6B5030ED"/>
    <w:multiLevelType w:val="singleLevel"/>
    <w:tmpl w:val="6B5030ED"/>
    <w:lvl w:ilvl="0" w:tentative="0">
      <w:start w:val="1"/>
      <w:numFmt w:val="decimal"/>
      <w:pStyle w:val="145"/>
      <w:lvlText w:val="(%1)"/>
      <w:lvlJc w:val="left"/>
      <w:pPr>
        <w:tabs>
          <w:tab w:val="left" w:pos="567"/>
        </w:tabs>
        <w:ind w:left="567" w:hanging="567"/>
      </w:pPr>
      <w:rPr>
        <w:rFonts w:hint="eastAsia"/>
        <w:b/>
        <w:bCs/>
        <w:i w:val="0"/>
        <w:iCs w:val="0"/>
        <w:sz w:val="23"/>
        <w:szCs w:val="23"/>
      </w:rPr>
    </w:lvl>
  </w:abstractNum>
  <w:abstractNum w:abstractNumId="17">
    <w:nsid w:val="6EDD6598"/>
    <w:multiLevelType w:val="multilevel"/>
    <w:tmpl w:val="6EDD6598"/>
    <w:lvl w:ilvl="0" w:tentative="0">
      <w:start w:val="1"/>
      <w:numFmt w:val="decimal"/>
      <w:suff w:val="space"/>
      <w:lvlText w:val="%1."/>
      <w:lvlJc w:val="left"/>
      <w:rPr>
        <w:rFonts w:cs="Times New Roman"/>
      </w:rPr>
    </w:lvl>
    <w:lvl w:ilvl="1" w:tentative="0">
      <w:start w:val="1"/>
      <w:numFmt w:val="lowerLetter"/>
      <w:lvlText w:val="%2)"/>
      <w:lvlJc w:val="left"/>
      <w:pPr>
        <w:tabs>
          <w:tab w:val="left" w:pos="1170"/>
        </w:tabs>
        <w:ind w:left="1170" w:hanging="420"/>
      </w:pPr>
      <w:rPr>
        <w:rFonts w:hint="default" w:ascii="Times New Roman" w:hAnsi="Times New Roman" w:cs="Times New Roman"/>
      </w:rPr>
    </w:lvl>
    <w:lvl w:ilvl="2" w:tentative="0">
      <w:start w:val="1"/>
      <w:numFmt w:val="lowerRoman"/>
      <w:lvlText w:val="%3."/>
      <w:lvlJc w:val="right"/>
      <w:pPr>
        <w:tabs>
          <w:tab w:val="left" w:pos="1590"/>
        </w:tabs>
        <w:ind w:left="1590" w:hanging="420"/>
      </w:pPr>
      <w:rPr>
        <w:rFonts w:hint="default" w:ascii="Times New Roman" w:hAnsi="Times New Roman" w:cs="Times New Roman"/>
      </w:rPr>
    </w:lvl>
    <w:lvl w:ilvl="3" w:tentative="0">
      <w:start w:val="1"/>
      <w:numFmt w:val="decimal"/>
      <w:lvlText w:val="%4."/>
      <w:lvlJc w:val="left"/>
      <w:pPr>
        <w:tabs>
          <w:tab w:val="left" w:pos="2010"/>
        </w:tabs>
        <w:ind w:left="2010" w:hanging="420"/>
      </w:pPr>
      <w:rPr>
        <w:rFonts w:hint="default" w:ascii="Times New Roman" w:hAnsi="Times New Roman" w:cs="Times New Roman"/>
      </w:rPr>
    </w:lvl>
    <w:lvl w:ilvl="4" w:tentative="0">
      <w:start w:val="1"/>
      <w:numFmt w:val="lowerLetter"/>
      <w:lvlText w:val="%5)"/>
      <w:lvlJc w:val="left"/>
      <w:pPr>
        <w:tabs>
          <w:tab w:val="left" w:pos="2430"/>
        </w:tabs>
        <w:ind w:left="2430" w:hanging="420"/>
      </w:pPr>
      <w:rPr>
        <w:rFonts w:hint="default" w:ascii="Times New Roman" w:hAnsi="Times New Roman" w:cs="Times New Roman"/>
      </w:rPr>
    </w:lvl>
    <w:lvl w:ilvl="5" w:tentative="0">
      <w:start w:val="1"/>
      <w:numFmt w:val="lowerRoman"/>
      <w:lvlText w:val="%6."/>
      <w:lvlJc w:val="right"/>
      <w:pPr>
        <w:tabs>
          <w:tab w:val="left" w:pos="2850"/>
        </w:tabs>
        <w:ind w:left="2850" w:hanging="420"/>
      </w:pPr>
      <w:rPr>
        <w:rFonts w:hint="default" w:ascii="Times New Roman" w:hAnsi="Times New Roman" w:cs="Times New Roman"/>
      </w:rPr>
    </w:lvl>
    <w:lvl w:ilvl="6" w:tentative="0">
      <w:start w:val="1"/>
      <w:numFmt w:val="decimal"/>
      <w:lvlText w:val="%7."/>
      <w:lvlJc w:val="left"/>
      <w:pPr>
        <w:tabs>
          <w:tab w:val="left" w:pos="3270"/>
        </w:tabs>
        <w:ind w:left="3270" w:hanging="420"/>
      </w:pPr>
      <w:rPr>
        <w:rFonts w:hint="default" w:ascii="Times New Roman" w:hAnsi="Times New Roman" w:cs="Times New Roman"/>
      </w:rPr>
    </w:lvl>
    <w:lvl w:ilvl="7" w:tentative="0">
      <w:start w:val="1"/>
      <w:numFmt w:val="lowerLetter"/>
      <w:lvlText w:val="%8)"/>
      <w:lvlJc w:val="left"/>
      <w:pPr>
        <w:tabs>
          <w:tab w:val="left" w:pos="3690"/>
        </w:tabs>
        <w:ind w:left="3690" w:hanging="420"/>
      </w:pPr>
      <w:rPr>
        <w:rFonts w:hint="default" w:ascii="Times New Roman" w:hAnsi="Times New Roman" w:cs="Times New Roman"/>
      </w:rPr>
    </w:lvl>
    <w:lvl w:ilvl="8" w:tentative="0">
      <w:start w:val="1"/>
      <w:numFmt w:val="lowerRoman"/>
      <w:lvlText w:val="%9."/>
      <w:lvlJc w:val="right"/>
      <w:pPr>
        <w:tabs>
          <w:tab w:val="left" w:pos="4110"/>
        </w:tabs>
        <w:ind w:left="4110" w:hanging="420"/>
      </w:pPr>
      <w:rPr>
        <w:rFonts w:hint="default" w:ascii="Times New Roman" w:hAnsi="Times New Roman" w:cs="Times New Roman"/>
      </w:rPr>
    </w:lvl>
  </w:abstractNum>
  <w:num w:numId="1">
    <w:abstractNumId w:val="15"/>
  </w:num>
  <w:num w:numId="2">
    <w:abstractNumId w:val="6"/>
  </w:num>
  <w:num w:numId="3">
    <w:abstractNumId w:val="7"/>
  </w:num>
  <w:num w:numId="4">
    <w:abstractNumId w:val="9"/>
  </w:num>
  <w:num w:numId="5">
    <w:abstractNumId w:val="16"/>
  </w:num>
  <w:num w:numId="6">
    <w:abstractNumId w:val="11"/>
  </w:num>
  <w:num w:numId="7">
    <w:abstractNumId w:val="13"/>
  </w:num>
  <w:num w:numId="8">
    <w:abstractNumId w:val="4"/>
  </w:num>
  <w:num w:numId="9">
    <w:abstractNumId w:val="3"/>
  </w:num>
  <w:num w:numId="10">
    <w:abstractNumId w:val="0"/>
  </w:num>
  <w:num w:numId="11">
    <w:abstractNumId w:val="10"/>
  </w:num>
  <w:num w:numId="12">
    <w:abstractNumId w:val="2"/>
  </w:num>
  <w:num w:numId="13">
    <w:abstractNumId w:val="12"/>
  </w:num>
  <w:num w:numId="14">
    <w:abstractNumId w:val="8"/>
  </w:num>
  <w:num w:numId="15">
    <w:abstractNumId w:val="1"/>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TrueTypeFonts/>
  <w:saveSubsetFonts/>
  <w:bordersDoNotSurroundHeader w:val="0"/>
  <w:bordersDoNotSurroundFooter w:val="0"/>
  <w:trackRevisions w:val="1"/>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FmOGQyNWI4YTk0YzdlODRkYzlkM2Y4OWUwYzRhYTYifQ=="/>
  </w:docVars>
  <w:rsids>
    <w:rsidRoot w:val="002418ED"/>
    <w:rsid w:val="00023AB5"/>
    <w:rsid w:val="00024C49"/>
    <w:rsid w:val="00043493"/>
    <w:rsid w:val="00065D5A"/>
    <w:rsid w:val="0007799F"/>
    <w:rsid w:val="00080BAD"/>
    <w:rsid w:val="000D0C9B"/>
    <w:rsid w:val="000E54DB"/>
    <w:rsid w:val="001104B7"/>
    <w:rsid w:val="00134256"/>
    <w:rsid w:val="00136896"/>
    <w:rsid w:val="00137881"/>
    <w:rsid w:val="001820E4"/>
    <w:rsid w:val="001A10A0"/>
    <w:rsid w:val="001C30E0"/>
    <w:rsid w:val="001C315D"/>
    <w:rsid w:val="001D4F53"/>
    <w:rsid w:val="001D7D62"/>
    <w:rsid w:val="001F238E"/>
    <w:rsid w:val="002418ED"/>
    <w:rsid w:val="002472F6"/>
    <w:rsid w:val="00250BF0"/>
    <w:rsid w:val="00256659"/>
    <w:rsid w:val="00273957"/>
    <w:rsid w:val="002A4CB1"/>
    <w:rsid w:val="002B2944"/>
    <w:rsid w:val="002D5F2A"/>
    <w:rsid w:val="002E0B07"/>
    <w:rsid w:val="00346547"/>
    <w:rsid w:val="00364622"/>
    <w:rsid w:val="00376C37"/>
    <w:rsid w:val="00395214"/>
    <w:rsid w:val="003B3FC0"/>
    <w:rsid w:val="003B7696"/>
    <w:rsid w:val="003C4C7D"/>
    <w:rsid w:val="003D6638"/>
    <w:rsid w:val="003D6A75"/>
    <w:rsid w:val="003E7C9C"/>
    <w:rsid w:val="004023EE"/>
    <w:rsid w:val="00407E53"/>
    <w:rsid w:val="00412721"/>
    <w:rsid w:val="00460FCD"/>
    <w:rsid w:val="004B604B"/>
    <w:rsid w:val="004E49D5"/>
    <w:rsid w:val="005228CA"/>
    <w:rsid w:val="0052705D"/>
    <w:rsid w:val="00543553"/>
    <w:rsid w:val="005518BE"/>
    <w:rsid w:val="00560684"/>
    <w:rsid w:val="005B1167"/>
    <w:rsid w:val="005C115F"/>
    <w:rsid w:val="005F1F68"/>
    <w:rsid w:val="005F5881"/>
    <w:rsid w:val="006058D3"/>
    <w:rsid w:val="00652ABA"/>
    <w:rsid w:val="00652F80"/>
    <w:rsid w:val="006635C9"/>
    <w:rsid w:val="006A436E"/>
    <w:rsid w:val="006B03BA"/>
    <w:rsid w:val="006D659F"/>
    <w:rsid w:val="006F1267"/>
    <w:rsid w:val="006F5836"/>
    <w:rsid w:val="0072738E"/>
    <w:rsid w:val="00743C85"/>
    <w:rsid w:val="0075003A"/>
    <w:rsid w:val="00751256"/>
    <w:rsid w:val="00753396"/>
    <w:rsid w:val="00753809"/>
    <w:rsid w:val="007615EE"/>
    <w:rsid w:val="00782175"/>
    <w:rsid w:val="007938AA"/>
    <w:rsid w:val="007A140A"/>
    <w:rsid w:val="007A7DEF"/>
    <w:rsid w:val="007E64F6"/>
    <w:rsid w:val="0080091A"/>
    <w:rsid w:val="00820E2E"/>
    <w:rsid w:val="00834A26"/>
    <w:rsid w:val="008431F4"/>
    <w:rsid w:val="00860D24"/>
    <w:rsid w:val="0086353C"/>
    <w:rsid w:val="008716B9"/>
    <w:rsid w:val="00875725"/>
    <w:rsid w:val="00876637"/>
    <w:rsid w:val="0088518E"/>
    <w:rsid w:val="0089756E"/>
    <w:rsid w:val="008B261F"/>
    <w:rsid w:val="008B349F"/>
    <w:rsid w:val="008D0BA6"/>
    <w:rsid w:val="008E7C49"/>
    <w:rsid w:val="009029B3"/>
    <w:rsid w:val="0091575E"/>
    <w:rsid w:val="009335C6"/>
    <w:rsid w:val="00935851"/>
    <w:rsid w:val="0095169E"/>
    <w:rsid w:val="00966C54"/>
    <w:rsid w:val="009737F6"/>
    <w:rsid w:val="00981FA4"/>
    <w:rsid w:val="009A149D"/>
    <w:rsid w:val="009B0695"/>
    <w:rsid w:val="009D0CA6"/>
    <w:rsid w:val="009E2495"/>
    <w:rsid w:val="009F6ACD"/>
    <w:rsid w:val="00A2664D"/>
    <w:rsid w:val="00A70478"/>
    <w:rsid w:val="00A85F5F"/>
    <w:rsid w:val="00A868C8"/>
    <w:rsid w:val="00A97810"/>
    <w:rsid w:val="00AB474E"/>
    <w:rsid w:val="00AB5084"/>
    <w:rsid w:val="00AD42E3"/>
    <w:rsid w:val="00AD484B"/>
    <w:rsid w:val="00AD5794"/>
    <w:rsid w:val="00AE79DF"/>
    <w:rsid w:val="00AF2A5F"/>
    <w:rsid w:val="00B56EC4"/>
    <w:rsid w:val="00B64527"/>
    <w:rsid w:val="00B87D3E"/>
    <w:rsid w:val="00BB49F0"/>
    <w:rsid w:val="00BB57D2"/>
    <w:rsid w:val="00BC15D4"/>
    <w:rsid w:val="00BC2F68"/>
    <w:rsid w:val="00BE7250"/>
    <w:rsid w:val="00C07893"/>
    <w:rsid w:val="00C27508"/>
    <w:rsid w:val="00C36B54"/>
    <w:rsid w:val="00C373E9"/>
    <w:rsid w:val="00C4570F"/>
    <w:rsid w:val="00C5149B"/>
    <w:rsid w:val="00C53BA4"/>
    <w:rsid w:val="00C637D5"/>
    <w:rsid w:val="00C679A7"/>
    <w:rsid w:val="00C82081"/>
    <w:rsid w:val="00C84926"/>
    <w:rsid w:val="00CB276A"/>
    <w:rsid w:val="00CB3531"/>
    <w:rsid w:val="00CC5159"/>
    <w:rsid w:val="00D02750"/>
    <w:rsid w:val="00D201D6"/>
    <w:rsid w:val="00D4142A"/>
    <w:rsid w:val="00D4339C"/>
    <w:rsid w:val="00D56432"/>
    <w:rsid w:val="00D865C8"/>
    <w:rsid w:val="00D977C1"/>
    <w:rsid w:val="00DB7935"/>
    <w:rsid w:val="00DD2337"/>
    <w:rsid w:val="00DE0F24"/>
    <w:rsid w:val="00DF2D8B"/>
    <w:rsid w:val="00DF6FDB"/>
    <w:rsid w:val="00E0024B"/>
    <w:rsid w:val="00E23A8D"/>
    <w:rsid w:val="00E46A09"/>
    <w:rsid w:val="00E501BB"/>
    <w:rsid w:val="00E56710"/>
    <w:rsid w:val="00E66BAF"/>
    <w:rsid w:val="00E97D0D"/>
    <w:rsid w:val="00EC03AA"/>
    <w:rsid w:val="00EE2B69"/>
    <w:rsid w:val="00EE7999"/>
    <w:rsid w:val="00EF0908"/>
    <w:rsid w:val="00EF3F80"/>
    <w:rsid w:val="00F11741"/>
    <w:rsid w:val="00F16F62"/>
    <w:rsid w:val="00F24E46"/>
    <w:rsid w:val="00F30444"/>
    <w:rsid w:val="00F30914"/>
    <w:rsid w:val="00F409AE"/>
    <w:rsid w:val="00F52AEE"/>
    <w:rsid w:val="00F85C8C"/>
    <w:rsid w:val="00F91A84"/>
    <w:rsid w:val="00FB07AC"/>
    <w:rsid w:val="00FD283A"/>
    <w:rsid w:val="00FE0856"/>
    <w:rsid w:val="01175BCB"/>
    <w:rsid w:val="012704DB"/>
    <w:rsid w:val="01382BBC"/>
    <w:rsid w:val="0139304C"/>
    <w:rsid w:val="014E272B"/>
    <w:rsid w:val="015213F3"/>
    <w:rsid w:val="015F2C67"/>
    <w:rsid w:val="017F221A"/>
    <w:rsid w:val="01912C7E"/>
    <w:rsid w:val="01B662AB"/>
    <w:rsid w:val="01C5649C"/>
    <w:rsid w:val="01C64722"/>
    <w:rsid w:val="01D87538"/>
    <w:rsid w:val="02116542"/>
    <w:rsid w:val="027B5769"/>
    <w:rsid w:val="02942239"/>
    <w:rsid w:val="035C50E4"/>
    <w:rsid w:val="036A1B82"/>
    <w:rsid w:val="03A23D72"/>
    <w:rsid w:val="043339C7"/>
    <w:rsid w:val="04347942"/>
    <w:rsid w:val="04603590"/>
    <w:rsid w:val="046F4A1C"/>
    <w:rsid w:val="04C11DAF"/>
    <w:rsid w:val="04CC2DBB"/>
    <w:rsid w:val="053077A7"/>
    <w:rsid w:val="05A1670A"/>
    <w:rsid w:val="05B647A2"/>
    <w:rsid w:val="06092301"/>
    <w:rsid w:val="06286C23"/>
    <w:rsid w:val="063F6AB5"/>
    <w:rsid w:val="06656BA3"/>
    <w:rsid w:val="066E56DC"/>
    <w:rsid w:val="06712922"/>
    <w:rsid w:val="067773D8"/>
    <w:rsid w:val="06931366"/>
    <w:rsid w:val="06A33F12"/>
    <w:rsid w:val="06A660EC"/>
    <w:rsid w:val="06C75D86"/>
    <w:rsid w:val="06ED33FD"/>
    <w:rsid w:val="06F56226"/>
    <w:rsid w:val="06FF48E3"/>
    <w:rsid w:val="07147872"/>
    <w:rsid w:val="07311744"/>
    <w:rsid w:val="073B11D3"/>
    <w:rsid w:val="073D2D23"/>
    <w:rsid w:val="07547C1F"/>
    <w:rsid w:val="07691A5B"/>
    <w:rsid w:val="07757DDA"/>
    <w:rsid w:val="078B414B"/>
    <w:rsid w:val="078E10B9"/>
    <w:rsid w:val="0790322D"/>
    <w:rsid w:val="07F20CD1"/>
    <w:rsid w:val="07F43F19"/>
    <w:rsid w:val="082E72A2"/>
    <w:rsid w:val="083E4D1A"/>
    <w:rsid w:val="0850050D"/>
    <w:rsid w:val="08513BC1"/>
    <w:rsid w:val="085813CF"/>
    <w:rsid w:val="08946407"/>
    <w:rsid w:val="089A2898"/>
    <w:rsid w:val="08A15A7D"/>
    <w:rsid w:val="08AB6853"/>
    <w:rsid w:val="08C66D55"/>
    <w:rsid w:val="08CC0F44"/>
    <w:rsid w:val="08D86398"/>
    <w:rsid w:val="090C2FAE"/>
    <w:rsid w:val="091F15F9"/>
    <w:rsid w:val="0920008D"/>
    <w:rsid w:val="094A6649"/>
    <w:rsid w:val="096A33EB"/>
    <w:rsid w:val="097F19A1"/>
    <w:rsid w:val="098707BD"/>
    <w:rsid w:val="098B07D2"/>
    <w:rsid w:val="099E47B2"/>
    <w:rsid w:val="09A456FA"/>
    <w:rsid w:val="09E0573E"/>
    <w:rsid w:val="0A11609A"/>
    <w:rsid w:val="0A1F7F92"/>
    <w:rsid w:val="0A552A4D"/>
    <w:rsid w:val="0A8C7FBE"/>
    <w:rsid w:val="0ACD22CC"/>
    <w:rsid w:val="0AE7615F"/>
    <w:rsid w:val="0B517A40"/>
    <w:rsid w:val="0B6B1C7A"/>
    <w:rsid w:val="0B7620DE"/>
    <w:rsid w:val="0B7A3777"/>
    <w:rsid w:val="0C23191C"/>
    <w:rsid w:val="0C28394A"/>
    <w:rsid w:val="0C2A23F3"/>
    <w:rsid w:val="0C342609"/>
    <w:rsid w:val="0C44289D"/>
    <w:rsid w:val="0C640755"/>
    <w:rsid w:val="0CCC31A1"/>
    <w:rsid w:val="0CEA6115"/>
    <w:rsid w:val="0CF66F4D"/>
    <w:rsid w:val="0CFD1BFF"/>
    <w:rsid w:val="0D5C5C58"/>
    <w:rsid w:val="0D8D4779"/>
    <w:rsid w:val="0D9D0734"/>
    <w:rsid w:val="0DB05F76"/>
    <w:rsid w:val="0DE63B13"/>
    <w:rsid w:val="0DF50BDD"/>
    <w:rsid w:val="0E1B0D75"/>
    <w:rsid w:val="0E265FE7"/>
    <w:rsid w:val="0EA20B2D"/>
    <w:rsid w:val="0EAF6A38"/>
    <w:rsid w:val="0EC042B5"/>
    <w:rsid w:val="0EE76800"/>
    <w:rsid w:val="0EF00994"/>
    <w:rsid w:val="0F276495"/>
    <w:rsid w:val="0F3D0F1E"/>
    <w:rsid w:val="0F4E5716"/>
    <w:rsid w:val="0F637AD6"/>
    <w:rsid w:val="0F661772"/>
    <w:rsid w:val="0F66581A"/>
    <w:rsid w:val="0F820C13"/>
    <w:rsid w:val="0F995C92"/>
    <w:rsid w:val="0FC050BF"/>
    <w:rsid w:val="0FC213B9"/>
    <w:rsid w:val="0FD50FE4"/>
    <w:rsid w:val="0FF97E65"/>
    <w:rsid w:val="10017E03"/>
    <w:rsid w:val="10034449"/>
    <w:rsid w:val="103B201E"/>
    <w:rsid w:val="1055197E"/>
    <w:rsid w:val="1055546D"/>
    <w:rsid w:val="106107D3"/>
    <w:rsid w:val="1092405F"/>
    <w:rsid w:val="10977040"/>
    <w:rsid w:val="10D47C31"/>
    <w:rsid w:val="10EB09A2"/>
    <w:rsid w:val="111660D6"/>
    <w:rsid w:val="111862C5"/>
    <w:rsid w:val="11273C7A"/>
    <w:rsid w:val="112A3BF4"/>
    <w:rsid w:val="1186305E"/>
    <w:rsid w:val="119A2177"/>
    <w:rsid w:val="11B952BC"/>
    <w:rsid w:val="11C526FC"/>
    <w:rsid w:val="120342EE"/>
    <w:rsid w:val="120B5580"/>
    <w:rsid w:val="12321836"/>
    <w:rsid w:val="12396C23"/>
    <w:rsid w:val="123E5E9E"/>
    <w:rsid w:val="124E7809"/>
    <w:rsid w:val="127B3BFD"/>
    <w:rsid w:val="12AF277F"/>
    <w:rsid w:val="12B44D00"/>
    <w:rsid w:val="12BC5320"/>
    <w:rsid w:val="12EB3DFA"/>
    <w:rsid w:val="12F6524A"/>
    <w:rsid w:val="131613DB"/>
    <w:rsid w:val="13345C6A"/>
    <w:rsid w:val="134B6BA7"/>
    <w:rsid w:val="137E0131"/>
    <w:rsid w:val="13AA66C2"/>
    <w:rsid w:val="13B82254"/>
    <w:rsid w:val="13D8738A"/>
    <w:rsid w:val="13E40610"/>
    <w:rsid w:val="13EA0D88"/>
    <w:rsid w:val="14007EBA"/>
    <w:rsid w:val="14087FF7"/>
    <w:rsid w:val="14391CA5"/>
    <w:rsid w:val="149D3865"/>
    <w:rsid w:val="149F13F6"/>
    <w:rsid w:val="14B206E4"/>
    <w:rsid w:val="14D61ED0"/>
    <w:rsid w:val="153D1748"/>
    <w:rsid w:val="1546633F"/>
    <w:rsid w:val="15665530"/>
    <w:rsid w:val="156A5EA6"/>
    <w:rsid w:val="156B5174"/>
    <w:rsid w:val="158208D0"/>
    <w:rsid w:val="1582215A"/>
    <w:rsid w:val="158B3902"/>
    <w:rsid w:val="15AD2CD0"/>
    <w:rsid w:val="15E423DB"/>
    <w:rsid w:val="1614723C"/>
    <w:rsid w:val="16265B7D"/>
    <w:rsid w:val="162B0E36"/>
    <w:rsid w:val="16372183"/>
    <w:rsid w:val="16376D26"/>
    <w:rsid w:val="165970AF"/>
    <w:rsid w:val="167232D9"/>
    <w:rsid w:val="16A65282"/>
    <w:rsid w:val="16AC3528"/>
    <w:rsid w:val="16C7506F"/>
    <w:rsid w:val="16DB614A"/>
    <w:rsid w:val="16EF2001"/>
    <w:rsid w:val="17231A63"/>
    <w:rsid w:val="173C240D"/>
    <w:rsid w:val="174313FB"/>
    <w:rsid w:val="17577EAA"/>
    <w:rsid w:val="177314DB"/>
    <w:rsid w:val="177939B3"/>
    <w:rsid w:val="177B2D33"/>
    <w:rsid w:val="179B5CE4"/>
    <w:rsid w:val="17BD2942"/>
    <w:rsid w:val="17F10E40"/>
    <w:rsid w:val="17FC48F2"/>
    <w:rsid w:val="1838591D"/>
    <w:rsid w:val="1845264B"/>
    <w:rsid w:val="1874237E"/>
    <w:rsid w:val="18C515BD"/>
    <w:rsid w:val="18E01BF7"/>
    <w:rsid w:val="18FC73F7"/>
    <w:rsid w:val="19014799"/>
    <w:rsid w:val="19257BA0"/>
    <w:rsid w:val="195474DB"/>
    <w:rsid w:val="198C11E1"/>
    <w:rsid w:val="199018BB"/>
    <w:rsid w:val="19A9778D"/>
    <w:rsid w:val="19AC242B"/>
    <w:rsid w:val="19C544DB"/>
    <w:rsid w:val="1A472154"/>
    <w:rsid w:val="1A60344F"/>
    <w:rsid w:val="1A645DFC"/>
    <w:rsid w:val="1A72516B"/>
    <w:rsid w:val="1A7A15D6"/>
    <w:rsid w:val="1A947E2C"/>
    <w:rsid w:val="1ABE4E06"/>
    <w:rsid w:val="1AD75285"/>
    <w:rsid w:val="1AFA1194"/>
    <w:rsid w:val="1AFF6991"/>
    <w:rsid w:val="1B0B1AAD"/>
    <w:rsid w:val="1B334CA0"/>
    <w:rsid w:val="1B4D40AA"/>
    <w:rsid w:val="1B673476"/>
    <w:rsid w:val="1B7549F6"/>
    <w:rsid w:val="1B7B72B6"/>
    <w:rsid w:val="1B8608C6"/>
    <w:rsid w:val="1B883914"/>
    <w:rsid w:val="1B9054B2"/>
    <w:rsid w:val="1BB83E58"/>
    <w:rsid w:val="1BC1303B"/>
    <w:rsid w:val="1BD109CD"/>
    <w:rsid w:val="1BE33FB8"/>
    <w:rsid w:val="1C1339FE"/>
    <w:rsid w:val="1C5D337B"/>
    <w:rsid w:val="1C7D3C0B"/>
    <w:rsid w:val="1CA170E3"/>
    <w:rsid w:val="1CF00880"/>
    <w:rsid w:val="1D012F61"/>
    <w:rsid w:val="1D370BBE"/>
    <w:rsid w:val="1D5E7090"/>
    <w:rsid w:val="1D994B9E"/>
    <w:rsid w:val="1DB624A7"/>
    <w:rsid w:val="1DB943F8"/>
    <w:rsid w:val="1DBC657F"/>
    <w:rsid w:val="1DD677BD"/>
    <w:rsid w:val="1DF16B20"/>
    <w:rsid w:val="1DF23CCF"/>
    <w:rsid w:val="1E320A08"/>
    <w:rsid w:val="1E3A0907"/>
    <w:rsid w:val="1E46352B"/>
    <w:rsid w:val="1E6C79D2"/>
    <w:rsid w:val="1E975487"/>
    <w:rsid w:val="1E996666"/>
    <w:rsid w:val="1EAB264C"/>
    <w:rsid w:val="1EBC5C1A"/>
    <w:rsid w:val="1EC820C5"/>
    <w:rsid w:val="1F142B6A"/>
    <w:rsid w:val="1F1E00D2"/>
    <w:rsid w:val="1F7E221A"/>
    <w:rsid w:val="1FB92215"/>
    <w:rsid w:val="1FC00772"/>
    <w:rsid w:val="1FC078D5"/>
    <w:rsid w:val="1FC07FC4"/>
    <w:rsid w:val="1FFC2322"/>
    <w:rsid w:val="20021EFA"/>
    <w:rsid w:val="20061553"/>
    <w:rsid w:val="200A1243"/>
    <w:rsid w:val="202309F2"/>
    <w:rsid w:val="20481362"/>
    <w:rsid w:val="206D1FC6"/>
    <w:rsid w:val="207D33CF"/>
    <w:rsid w:val="20A37A60"/>
    <w:rsid w:val="20C42A93"/>
    <w:rsid w:val="20CB7035"/>
    <w:rsid w:val="20CF15F8"/>
    <w:rsid w:val="20DC3C0C"/>
    <w:rsid w:val="20E84E57"/>
    <w:rsid w:val="210F6034"/>
    <w:rsid w:val="21194C9A"/>
    <w:rsid w:val="21357D6F"/>
    <w:rsid w:val="214A249A"/>
    <w:rsid w:val="21694EC3"/>
    <w:rsid w:val="216C663D"/>
    <w:rsid w:val="217726A5"/>
    <w:rsid w:val="21926B87"/>
    <w:rsid w:val="21A2168C"/>
    <w:rsid w:val="21C21C74"/>
    <w:rsid w:val="21D32A70"/>
    <w:rsid w:val="21D7200F"/>
    <w:rsid w:val="21E62BCC"/>
    <w:rsid w:val="21EA03E6"/>
    <w:rsid w:val="21F92A28"/>
    <w:rsid w:val="22332171"/>
    <w:rsid w:val="22436A29"/>
    <w:rsid w:val="226E3D8A"/>
    <w:rsid w:val="228A73A4"/>
    <w:rsid w:val="229C7A75"/>
    <w:rsid w:val="22D015F2"/>
    <w:rsid w:val="22E93444"/>
    <w:rsid w:val="22F8223D"/>
    <w:rsid w:val="231A66FE"/>
    <w:rsid w:val="234D561B"/>
    <w:rsid w:val="23545B67"/>
    <w:rsid w:val="23566F63"/>
    <w:rsid w:val="2387666F"/>
    <w:rsid w:val="238D6ED9"/>
    <w:rsid w:val="23A00766"/>
    <w:rsid w:val="23D1545F"/>
    <w:rsid w:val="23DE19FA"/>
    <w:rsid w:val="23E568B3"/>
    <w:rsid w:val="24027E09"/>
    <w:rsid w:val="241237D2"/>
    <w:rsid w:val="241A5C0D"/>
    <w:rsid w:val="24423C1E"/>
    <w:rsid w:val="24500F4B"/>
    <w:rsid w:val="245B2595"/>
    <w:rsid w:val="247A3560"/>
    <w:rsid w:val="24FE2F03"/>
    <w:rsid w:val="25095948"/>
    <w:rsid w:val="250A4587"/>
    <w:rsid w:val="254C35EC"/>
    <w:rsid w:val="25637E26"/>
    <w:rsid w:val="25945D95"/>
    <w:rsid w:val="25A51464"/>
    <w:rsid w:val="25B047EA"/>
    <w:rsid w:val="25D926D3"/>
    <w:rsid w:val="25E55ADC"/>
    <w:rsid w:val="25FC46DF"/>
    <w:rsid w:val="267D63AF"/>
    <w:rsid w:val="267F4E5D"/>
    <w:rsid w:val="2680332A"/>
    <w:rsid w:val="26827207"/>
    <w:rsid w:val="26A96F57"/>
    <w:rsid w:val="26AA761F"/>
    <w:rsid w:val="26AB78AC"/>
    <w:rsid w:val="26AF08B4"/>
    <w:rsid w:val="270F1EFD"/>
    <w:rsid w:val="2722113C"/>
    <w:rsid w:val="27483067"/>
    <w:rsid w:val="276C31F9"/>
    <w:rsid w:val="276D2F7B"/>
    <w:rsid w:val="277512D3"/>
    <w:rsid w:val="28116D6C"/>
    <w:rsid w:val="2832268C"/>
    <w:rsid w:val="28357391"/>
    <w:rsid w:val="28833F3B"/>
    <w:rsid w:val="288528F2"/>
    <w:rsid w:val="28932FED"/>
    <w:rsid w:val="28B3117F"/>
    <w:rsid w:val="28DA4003"/>
    <w:rsid w:val="28E0470F"/>
    <w:rsid w:val="28F62B07"/>
    <w:rsid w:val="28FB65E3"/>
    <w:rsid w:val="290D51B5"/>
    <w:rsid w:val="292D6C55"/>
    <w:rsid w:val="2930367A"/>
    <w:rsid w:val="293161DA"/>
    <w:rsid w:val="294C5246"/>
    <w:rsid w:val="295C2DFA"/>
    <w:rsid w:val="295F6257"/>
    <w:rsid w:val="296D65CD"/>
    <w:rsid w:val="29BE3D54"/>
    <w:rsid w:val="29D7610E"/>
    <w:rsid w:val="29E52707"/>
    <w:rsid w:val="29EB62D0"/>
    <w:rsid w:val="29F23B96"/>
    <w:rsid w:val="29F536D8"/>
    <w:rsid w:val="2A0973AB"/>
    <w:rsid w:val="2A0E5216"/>
    <w:rsid w:val="2A3672FD"/>
    <w:rsid w:val="2A5967CA"/>
    <w:rsid w:val="2A612C1D"/>
    <w:rsid w:val="2AA2141C"/>
    <w:rsid w:val="2AA46C97"/>
    <w:rsid w:val="2ADE38AE"/>
    <w:rsid w:val="2B257C36"/>
    <w:rsid w:val="2B2F29A0"/>
    <w:rsid w:val="2B577D1D"/>
    <w:rsid w:val="2BA8115C"/>
    <w:rsid w:val="2C0B3750"/>
    <w:rsid w:val="2C0B73C8"/>
    <w:rsid w:val="2C187CC6"/>
    <w:rsid w:val="2C4E1D94"/>
    <w:rsid w:val="2C7A42A4"/>
    <w:rsid w:val="2C880CFA"/>
    <w:rsid w:val="2C8F222E"/>
    <w:rsid w:val="2CED089D"/>
    <w:rsid w:val="2D09034B"/>
    <w:rsid w:val="2D31727E"/>
    <w:rsid w:val="2D7E77E3"/>
    <w:rsid w:val="2D931E76"/>
    <w:rsid w:val="2DA26DDD"/>
    <w:rsid w:val="2DB74F53"/>
    <w:rsid w:val="2DDB2E87"/>
    <w:rsid w:val="2DEA396C"/>
    <w:rsid w:val="2DF93A69"/>
    <w:rsid w:val="2E077529"/>
    <w:rsid w:val="2E0D3E8E"/>
    <w:rsid w:val="2E157B6F"/>
    <w:rsid w:val="2E1B14D5"/>
    <w:rsid w:val="2E5D30E7"/>
    <w:rsid w:val="2E6801AF"/>
    <w:rsid w:val="2E9469D9"/>
    <w:rsid w:val="2E9E3053"/>
    <w:rsid w:val="2F0D723B"/>
    <w:rsid w:val="2F0E184D"/>
    <w:rsid w:val="2F0E72A2"/>
    <w:rsid w:val="2F1A43C9"/>
    <w:rsid w:val="2F367926"/>
    <w:rsid w:val="2F4475BF"/>
    <w:rsid w:val="2F543264"/>
    <w:rsid w:val="2F9E1627"/>
    <w:rsid w:val="2FA200F5"/>
    <w:rsid w:val="2FAB6C88"/>
    <w:rsid w:val="2FF762B7"/>
    <w:rsid w:val="30183F1E"/>
    <w:rsid w:val="301A0C96"/>
    <w:rsid w:val="3023482F"/>
    <w:rsid w:val="303845C1"/>
    <w:rsid w:val="303E047C"/>
    <w:rsid w:val="30BD5A4F"/>
    <w:rsid w:val="30C47229"/>
    <w:rsid w:val="30E066B8"/>
    <w:rsid w:val="30EC7B53"/>
    <w:rsid w:val="30EF5A83"/>
    <w:rsid w:val="30F37830"/>
    <w:rsid w:val="30F902EA"/>
    <w:rsid w:val="310846E5"/>
    <w:rsid w:val="31451072"/>
    <w:rsid w:val="31885096"/>
    <w:rsid w:val="318B18EE"/>
    <w:rsid w:val="31E37053"/>
    <w:rsid w:val="32011C0F"/>
    <w:rsid w:val="321E3175"/>
    <w:rsid w:val="3271444E"/>
    <w:rsid w:val="328738CD"/>
    <w:rsid w:val="32B34592"/>
    <w:rsid w:val="32C862AF"/>
    <w:rsid w:val="32CD524A"/>
    <w:rsid w:val="32D05BEE"/>
    <w:rsid w:val="32D7238D"/>
    <w:rsid w:val="32E744DB"/>
    <w:rsid w:val="32F3504D"/>
    <w:rsid w:val="333A4A31"/>
    <w:rsid w:val="338E34A8"/>
    <w:rsid w:val="33955F91"/>
    <w:rsid w:val="33DE475E"/>
    <w:rsid w:val="33E52369"/>
    <w:rsid w:val="33EC6631"/>
    <w:rsid w:val="33FA05BB"/>
    <w:rsid w:val="34135560"/>
    <w:rsid w:val="34290B77"/>
    <w:rsid w:val="34464E61"/>
    <w:rsid w:val="34512615"/>
    <w:rsid w:val="348A76E8"/>
    <w:rsid w:val="34B47F8E"/>
    <w:rsid w:val="34BB4D2A"/>
    <w:rsid w:val="35194817"/>
    <w:rsid w:val="35202BA4"/>
    <w:rsid w:val="352525E4"/>
    <w:rsid w:val="358838F4"/>
    <w:rsid w:val="358E6188"/>
    <w:rsid w:val="35987D28"/>
    <w:rsid w:val="35A50C49"/>
    <w:rsid w:val="35A87AF3"/>
    <w:rsid w:val="35C847FA"/>
    <w:rsid w:val="35E1140A"/>
    <w:rsid w:val="35F53705"/>
    <w:rsid w:val="36063E9A"/>
    <w:rsid w:val="36203281"/>
    <w:rsid w:val="36211EDA"/>
    <w:rsid w:val="36233036"/>
    <w:rsid w:val="362753B4"/>
    <w:rsid w:val="36301896"/>
    <w:rsid w:val="368B3B0A"/>
    <w:rsid w:val="36DF3D94"/>
    <w:rsid w:val="36ED4BFB"/>
    <w:rsid w:val="37443FF0"/>
    <w:rsid w:val="377A5D71"/>
    <w:rsid w:val="37826A6B"/>
    <w:rsid w:val="378E64BD"/>
    <w:rsid w:val="37B655F7"/>
    <w:rsid w:val="37C438F0"/>
    <w:rsid w:val="37F35C3D"/>
    <w:rsid w:val="37FA2D45"/>
    <w:rsid w:val="380610A9"/>
    <w:rsid w:val="38224922"/>
    <w:rsid w:val="384B11BC"/>
    <w:rsid w:val="386E0C9B"/>
    <w:rsid w:val="386F62B8"/>
    <w:rsid w:val="3882414D"/>
    <w:rsid w:val="38A35835"/>
    <w:rsid w:val="38A4662A"/>
    <w:rsid w:val="38AF2BBC"/>
    <w:rsid w:val="38DF671D"/>
    <w:rsid w:val="38F332B8"/>
    <w:rsid w:val="391D7E0B"/>
    <w:rsid w:val="39361971"/>
    <w:rsid w:val="39460A64"/>
    <w:rsid w:val="39660497"/>
    <w:rsid w:val="399B13E6"/>
    <w:rsid w:val="39BB5D97"/>
    <w:rsid w:val="39C711D1"/>
    <w:rsid w:val="39CA6372"/>
    <w:rsid w:val="3A1738C4"/>
    <w:rsid w:val="3A1F10B5"/>
    <w:rsid w:val="3AB44127"/>
    <w:rsid w:val="3ACC10C7"/>
    <w:rsid w:val="3AEC683B"/>
    <w:rsid w:val="3AEE18C1"/>
    <w:rsid w:val="3B117EE8"/>
    <w:rsid w:val="3B1D47DF"/>
    <w:rsid w:val="3B441E0D"/>
    <w:rsid w:val="3B4516B4"/>
    <w:rsid w:val="3B62491D"/>
    <w:rsid w:val="3B7E5B2B"/>
    <w:rsid w:val="3B895BC8"/>
    <w:rsid w:val="3B8B169C"/>
    <w:rsid w:val="3BA76847"/>
    <w:rsid w:val="3BAF0F71"/>
    <w:rsid w:val="3BE53167"/>
    <w:rsid w:val="3C1F67E1"/>
    <w:rsid w:val="3C3263F5"/>
    <w:rsid w:val="3C4A1E61"/>
    <w:rsid w:val="3C4B35E8"/>
    <w:rsid w:val="3C4D3B52"/>
    <w:rsid w:val="3C667DC0"/>
    <w:rsid w:val="3C6D639F"/>
    <w:rsid w:val="3CFF7E02"/>
    <w:rsid w:val="3D4071C1"/>
    <w:rsid w:val="3D4225DB"/>
    <w:rsid w:val="3D716F95"/>
    <w:rsid w:val="3D841FF4"/>
    <w:rsid w:val="3DB801A1"/>
    <w:rsid w:val="3DD362C5"/>
    <w:rsid w:val="3DF121EB"/>
    <w:rsid w:val="3DF75341"/>
    <w:rsid w:val="3E114431"/>
    <w:rsid w:val="3E78202C"/>
    <w:rsid w:val="3E885FA9"/>
    <w:rsid w:val="3E944B39"/>
    <w:rsid w:val="3EBE6EF2"/>
    <w:rsid w:val="3EC266DA"/>
    <w:rsid w:val="3EC63C56"/>
    <w:rsid w:val="3ECD2927"/>
    <w:rsid w:val="3F0C02D1"/>
    <w:rsid w:val="3F131C8D"/>
    <w:rsid w:val="3F164A3D"/>
    <w:rsid w:val="3F194038"/>
    <w:rsid w:val="3F5D102F"/>
    <w:rsid w:val="3F6A5356"/>
    <w:rsid w:val="3F7F0829"/>
    <w:rsid w:val="3FBB5466"/>
    <w:rsid w:val="3FC24DBD"/>
    <w:rsid w:val="3FFE5A34"/>
    <w:rsid w:val="40157C88"/>
    <w:rsid w:val="402121C3"/>
    <w:rsid w:val="402A2267"/>
    <w:rsid w:val="403A1C8F"/>
    <w:rsid w:val="408A49C4"/>
    <w:rsid w:val="408D1A72"/>
    <w:rsid w:val="40901060"/>
    <w:rsid w:val="40BF3481"/>
    <w:rsid w:val="40C43710"/>
    <w:rsid w:val="40D379EC"/>
    <w:rsid w:val="40E03EDC"/>
    <w:rsid w:val="40E93F24"/>
    <w:rsid w:val="41283D86"/>
    <w:rsid w:val="416E1291"/>
    <w:rsid w:val="419D2D01"/>
    <w:rsid w:val="41BA1BF0"/>
    <w:rsid w:val="41E77E27"/>
    <w:rsid w:val="42335445"/>
    <w:rsid w:val="423558AD"/>
    <w:rsid w:val="428E0425"/>
    <w:rsid w:val="42A76A5F"/>
    <w:rsid w:val="42AB020C"/>
    <w:rsid w:val="42CD50FE"/>
    <w:rsid w:val="42D04EB0"/>
    <w:rsid w:val="42FA1CF4"/>
    <w:rsid w:val="430E77E0"/>
    <w:rsid w:val="432D0403"/>
    <w:rsid w:val="43320581"/>
    <w:rsid w:val="434404B8"/>
    <w:rsid w:val="43673AC6"/>
    <w:rsid w:val="43AC70E5"/>
    <w:rsid w:val="43AD7D73"/>
    <w:rsid w:val="43B83EED"/>
    <w:rsid w:val="43EA5DFC"/>
    <w:rsid w:val="43F63E43"/>
    <w:rsid w:val="4406358E"/>
    <w:rsid w:val="4411751E"/>
    <w:rsid w:val="44207664"/>
    <w:rsid w:val="44304265"/>
    <w:rsid w:val="443C3C76"/>
    <w:rsid w:val="449C3E2A"/>
    <w:rsid w:val="44CE0635"/>
    <w:rsid w:val="44DD08CC"/>
    <w:rsid w:val="44E5153B"/>
    <w:rsid w:val="44ED72D0"/>
    <w:rsid w:val="44F7735C"/>
    <w:rsid w:val="44F817CA"/>
    <w:rsid w:val="45434DFE"/>
    <w:rsid w:val="45582CE4"/>
    <w:rsid w:val="458D76F7"/>
    <w:rsid w:val="45EE72E3"/>
    <w:rsid w:val="45FC78B1"/>
    <w:rsid w:val="46161B84"/>
    <w:rsid w:val="46187956"/>
    <w:rsid w:val="46502178"/>
    <w:rsid w:val="465075EA"/>
    <w:rsid w:val="466047EF"/>
    <w:rsid w:val="467557CF"/>
    <w:rsid w:val="46832EC4"/>
    <w:rsid w:val="468334EF"/>
    <w:rsid w:val="46EC3CCB"/>
    <w:rsid w:val="46F727B9"/>
    <w:rsid w:val="47103E84"/>
    <w:rsid w:val="47162F74"/>
    <w:rsid w:val="471D2D20"/>
    <w:rsid w:val="474C0240"/>
    <w:rsid w:val="47B70069"/>
    <w:rsid w:val="47B9016C"/>
    <w:rsid w:val="47BA5346"/>
    <w:rsid w:val="47CC1EE8"/>
    <w:rsid w:val="47F74E44"/>
    <w:rsid w:val="47FD2A3E"/>
    <w:rsid w:val="47FD4A05"/>
    <w:rsid w:val="481257DB"/>
    <w:rsid w:val="48177CEE"/>
    <w:rsid w:val="48402A51"/>
    <w:rsid w:val="48551578"/>
    <w:rsid w:val="48651A7F"/>
    <w:rsid w:val="487123E0"/>
    <w:rsid w:val="48CB6925"/>
    <w:rsid w:val="48DC67EF"/>
    <w:rsid w:val="48E254E3"/>
    <w:rsid w:val="492055D0"/>
    <w:rsid w:val="492D638D"/>
    <w:rsid w:val="49405B43"/>
    <w:rsid w:val="495719EC"/>
    <w:rsid w:val="49656870"/>
    <w:rsid w:val="498A34DB"/>
    <w:rsid w:val="49A10856"/>
    <w:rsid w:val="4A210409"/>
    <w:rsid w:val="4A736BF8"/>
    <w:rsid w:val="4A8218F9"/>
    <w:rsid w:val="4A854500"/>
    <w:rsid w:val="4AB54369"/>
    <w:rsid w:val="4B1352A9"/>
    <w:rsid w:val="4B15559C"/>
    <w:rsid w:val="4B201F64"/>
    <w:rsid w:val="4B210482"/>
    <w:rsid w:val="4B31495A"/>
    <w:rsid w:val="4B3D74C1"/>
    <w:rsid w:val="4B791924"/>
    <w:rsid w:val="4B9B1400"/>
    <w:rsid w:val="4BE9028E"/>
    <w:rsid w:val="4BE94B06"/>
    <w:rsid w:val="4C357668"/>
    <w:rsid w:val="4C503513"/>
    <w:rsid w:val="4C596654"/>
    <w:rsid w:val="4C9B62BB"/>
    <w:rsid w:val="4CDB5179"/>
    <w:rsid w:val="4D02062E"/>
    <w:rsid w:val="4D1678EF"/>
    <w:rsid w:val="4D255941"/>
    <w:rsid w:val="4D4011A6"/>
    <w:rsid w:val="4D7C1275"/>
    <w:rsid w:val="4DCF5796"/>
    <w:rsid w:val="4E3046D1"/>
    <w:rsid w:val="4E46382D"/>
    <w:rsid w:val="4E816CDB"/>
    <w:rsid w:val="4EA722D0"/>
    <w:rsid w:val="4EA7301B"/>
    <w:rsid w:val="4EBC3EF5"/>
    <w:rsid w:val="4ECF707E"/>
    <w:rsid w:val="4EEC68B2"/>
    <w:rsid w:val="4F1204ED"/>
    <w:rsid w:val="4F392B9B"/>
    <w:rsid w:val="4F7C41D4"/>
    <w:rsid w:val="4F994A0F"/>
    <w:rsid w:val="4FB7012D"/>
    <w:rsid w:val="4FEC1056"/>
    <w:rsid w:val="4FF03193"/>
    <w:rsid w:val="4FF97D5B"/>
    <w:rsid w:val="500F77C7"/>
    <w:rsid w:val="50AC6291"/>
    <w:rsid w:val="50B10D36"/>
    <w:rsid w:val="510F6FF3"/>
    <w:rsid w:val="511B0BB5"/>
    <w:rsid w:val="512A5408"/>
    <w:rsid w:val="51417324"/>
    <w:rsid w:val="51447C0E"/>
    <w:rsid w:val="514E3444"/>
    <w:rsid w:val="515B2D5B"/>
    <w:rsid w:val="51BB2A6F"/>
    <w:rsid w:val="521468B3"/>
    <w:rsid w:val="521C3F67"/>
    <w:rsid w:val="528D4ADB"/>
    <w:rsid w:val="52962737"/>
    <w:rsid w:val="529A52D7"/>
    <w:rsid w:val="52C72EFE"/>
    <w:rsid w:val="52D723B2"/>
    <w:rsid w:val="52E6502D"/>
    <w:rsid w:val="53234805"/>
    <w:rsid w:val="53612DE6"/>
    <w:rsid w:val="538074FC"/>
    <w:rsid w:val="53910CD5"/>
    <w:rsid w:val="53C725AE"/>
    <w:rsid w:val="53E23C48"/>
    <w:rsid w:val="54153B2A"/>
    <w:rsid w:val="541D77BD"/>
    <w:rsid w:val="54217D71"/>
    <w:rsid w:val="54434E54"/>
    <w:rsid w:val="54444C5E"/>
    <w:rsid w:val="54A77464"/>
    <w:rsid w:val="54B71354"/>
    <w:rsid w:val="54BD2153"/>
    <w:rsid w:val="54E447C7"/>
    <w:rsid w:val="54EE6E71"/>
    <w:rsid w:val="54F860F5"/>
    <w:rsid w:val="550211AF"/>
    <w:rsid w:val="55025FEA"/>
    <w:rsid w:val="551A0823"/>
    <w:rsid w:val="55216902"/>
    <w:rsid w:val="55481377"/>
    <w:rsid w:val="556C4241"/>
    <w:rsid w:val="55701C2A"/>
    <w:rsid w:val="55724C5B"/>
    <w:rsid w:val="55907F8D"/>
    <w:rsid w:val="5593070C"/>
    <w:rsid w:val="559D2D4D"/>
    <w:rsid w:val="559D44BF"/>
    <w:rsid w:val="55AB4717"/>
    <w:rsid w:val="55B179A0"/>
    <w:rsid w:val="55E75FFB"/>
    <w:rsid w:val="56312035"/>
    <w:rsid w:val="566A4013"/>
    <w:rsid w:val="566C4A16"/>
    <w:rsid w:val="566C593F"/>
    <w:rsid w:val="567E7EB5"/>
    <w:rsid w:val="56897873"/>
    <w:rsid w:val="56C9677C"/>
    <w:rsid w:val="56D653C3"/>
    <w:rsid w:val="56E13C90"/>
    <w:rsid w:val="571409EE"/>
    <w:rsid w:val="57276637"/>
    <w:rsid w:val="574D346B"/>
    <w:rsid w:val="57603931"/>
    <w:rsid w:val="578F4217"/>
    <w:rsid w:val="57A816B5"/>
    <w:rsid w:val="57AA2216"/>
    <w:rsid w:val="57D84F42"/>
    <w:rsid w:val="57F47EB1"/>
    <w:rsid w:val="57F56196"/>
    <w:rsid w:val="57FD3876"/>
    <w:rsid w:val="5815258B"/>
    <w:rsid w:val="581E0235"/>
    <w:rsid w:val="582279EA"/>
    <w:rsid w:val="583152CE"/>
    <w:rsid w:val="5832626C"/>
    <w:rsid w:val="58350AC5"/>
    <w:rsid w:val="583D784D"/>
    <w:rsid w:val="58430452"/>
    <w:rsid w:val="586065FA"/>
    <w:rsid w:val="589B1FA6"/>
    <w:rsid w:val="58CA48C1"/>
    <w:rsid w:val="58DA1FEF"/>
    <w:rsid w:val="59102496"/>
    <w:rsid w:val="5913345A"/>
    <w:rsid w:val="59204367"/>
    <w:rsid w:val="592D1629"/>
    <w:rsid w:val="593F72E6"/>
    <w:rsid w:val="596367FF"/>
    <w:rsid w:val="59CE0147"/>
    <w:rsid w:val="59D26CF7"/>
    <w:rsid w:val="5A076430"/>
    <w:rsid w:val="5A373B7A"/>
    <w:rsid w:val="5A406ED7"/>
    <w:rsid w:val="5A407735"/>
    <w:rsid w:val="5A425CB4"/>
    <w:rsid w:val="5A434A7B"/>
    <w:rsid w:val="5A4420E9"/>
    <w:rsid w:val="5A7E375D"/>
    <w:rsid w:val="5A8D6BFD"/>
    <w:rsid w:val="5A8D7133"/>
    <w:rsid w:val="5ADA6297"/>
    <w:rsid w:val="5AEA6513"/>
    <w:rsid w:val="5B1669C9"/>
    <w:rsid w:val="5B3D7DA1"/>
    <w:rsid w:val="5B5B5090"/>
    <w:rsid w:val="5B754EAE"/>
    <w:rsid w:val="5BC92FE2"/>
    <w:rsid w:val="5BE03C01"/>
    <w:rsid w:val="5BEC60DC"/>
    <w:rsid w:val="5BEF6D29"/>
    <w:rsid w:val="5C1325F5"/>
    <w:rsid w:val="5C187F3C"/>
    <w:rsid w:val="5C1B12E8"/>
    <w:rsid w:val="5CC8442B"/>
    <w:rsid w:val="5CE345F1"/>
    <w:rsid w:val="5CE820E5"/>
    <w:rsid w:val="5D6A14D2"/>
    <w:rsid w:val="5D6B3030"/>
    <w:rsid w:val="5D772B57"/>
    <w:rsid w:val="5DAF3045"/>
    <w:rsid w:val="5DB864EC"/>
    <w:rsid w:val="5E033A59"/>
    <w:rsid w:val="5E1C4DEE"/>
    <w:rsid w:val="5E2B4D2B"/>
    <w:rsid w:val="5E7005D8"/>
    <w:rsid w:val="5E994F2F"/>
    <w:rsid w:val="5E9F1EB9"/>
    <w:rsid w:val="5EB272D1"/>
    <w:rsid w:val="5EBA601D"/>
    <w:rsid w:val="5EDD3BAF"/>
    <w:rsid w:val="5F0F4C34"/>
    <w:rsid w:val="5F3C21BB"/>
    <w:rsid w:val="5F4C4D8C"/>
    <w:rsid w:val="5F506A56"/>
    <w:rsid w:val="5F656BBE"/>
    <w:rsid w:val="5F703D10"/>
    <w:rsid w:val="5F7D0273"/>
    <w:rsid w:val="5F8A08C7"/>
    <w:rsid w:val="5F9C44BD"/>
    <w:rsid w:val="5FBD7995"/>
    <w:rsid w:val="5FCB78B7"/>
    <w:rsid w:val="5FF81911"/>
    <w:rsid w:val="603622AE"/>
    <w:rsid w:val="605A3842"/>
    <w:rsid w:val="609965FC"/>
    <w:rsid w:val="60AE3960"/>
    <w:rsid w:val="60C11ADB"/>
    <w:rsid w:val="60D27D19"/>
    <w:rsid w:val="60DC0432"/>
    <w:rsid w:val="60F26278"/>
    <w:rsid w:val="60FA77A8"/>
    <w:rsid w:val="616425BD"/>
    <w:rsid w:val="61703C27"/>
    <w:rsid w:val="61784C47"/>
    <w:rsid w:val="617E5D5F"/>
    <w:rsid w:val="61815B25"/>
    <w:rsid w:val="619607DF"/>
    <w:rsid w:val="61CD250B"/>
    <w:rsid w:val="61D4758A"/>
    <w:rsid w:val="61E514C9"/>
    <w:rsid w:val="62244B6F"/>
    <w:rsid w:val="622D64F2"/>
    <w:rsid w:val="625B0771"/>
    <w:rsid w:val="62A268BB"/>
    <w:rsid w:val="62A57B4D"/>
    <w:rsid w:val="62A72D5C"/>
    <w:rsid w:val="62C70F10"/>
    <w:rsid w:val="62D91D86"/>
    <w:rsid w:val="631D12A7"/>
    <w:rsid w:val="633E564D"/>
    <w:rsid w:val="634818B2"/>
    <w:rsid w:val="6377033D"/>
    <w:rsid w:val="639C03E7"/>
    <w:rsid w:val="63A36368"/>
    <w:rsid w:val="63A46D27"/>
    <w:rsid w:val="63E14ED8"/>
    <w:rsid w:val="63EF49BB"/>
    <w:rsid w:val="63F16FB9"/>
    <w:rsid w:val="63FE6D67"/>
    <w:rsid w:val="640338E6"/>
    <w:rsid w:val="640706A3"/>
    <w:rsid w:val="642721E0"/>
    <w:rsid w:val="6442442C"/>
    <w:rsid w:val="6451160C"/>
    <w:rsid w:val="64564356"/>
    <w:rsid w:val="646B5C3B"/>
    <w:rsid w:val="6470257C"/>
    <w:rsid w:val="648C2BF5"/>
    <w:rsid w:val="64A5151D"/>
    <w:rsid w:val="64C00328"/>
    <w:rsid w:val="64C02546"/>
    <w:rsid w:val="64C71494"/>
    <w:rsid w:val="64C8752F"/>
    <w:rsid w:val="64E07CE0"/>
    <w:rsid w:val="64E268AD"/>
    <w:rsid w:val="64E70B16"/>
    <w:rsid w:val="64EA3DF2"/>
    <w:rsid w:val="64FA01E9"/>
    <w:rsid w:val="6512265A"/>
    <w:rsid w:val="65194AE2"/>
    <w:rsid w:val="6577337E"/>
    <w:rsid w:val="65914422"/>
    <w:rsid w:val="65983C9F"/>
    <w:rsid w:val="659E7E60"/>
    <w:rsid w:val="65E15826"/>
    <w:rsid w:val="65FF6A10"/>
    <w:rsid w:val="66020763"/>
    <w:rsid w:val="666C7DEF"/>
    <w:rsid w:val="667F69B7"/>
    <w:rsid w:val="66A42511"/>
    <w:rsid w:val="66D93A20"/>
    <w:rsid w:val="66F0730D"/>
    <w:rsid w:val="670A3D2E"/>
    <w:rsid w:val="670E064B"/>
    <w:rsid w:val="67152740"/>
    <w:rsid w:val="67550DBE"/>
    <w:rsid w:val="6759544A"/>
    <w:rsid w:val="678C42CF"/>
    <w:rsid w:val="681B3B74"/>
    <w:rsid w:val="68241258"/>
    <w:rsid w:val="6829456B"/>
    <w:rsid w:val="683F6A51"/>
    <w:rsid w:val="68654188"/>
    <w:rsid w:val="686D231A"/>
    <w:rsid w:val="688F42E7"/>
    <w:rsid w:val="68AD23E2"/>
    <w:rsid w:val="68BA4779"/>
    <w:rsid w:val="68DA102D"/>
    <w:rsid w:val="68EE34D3"/>
    <w:rsid w:val="690430FB"/>
    <w:rsid w:val="69490C6B"/>
    <w:rsid w:val="695B05B8"/>
    <w:rsid w:val="695E1B81"/>
    <w:rsid w:val="697241B5"/>
    <w:rsid w:val="699021C4"/>
    <w:rsid w:val="699F29DF"/>
    <w:rsid w:val="69AB140F"/>
    <w:rsid w:val="69AB4E06"/>
    <w:rsid w:val="69B961FD"/>
    <w:rsid w:val="69DA7267"/>
    <w:rsid w:val="6A244106"/>
    <w:rsid w:val="6A764D12"/>
    <w:rsid w:val="6A905372"/>
    <w:rsid w:val="6A9A1FF3"/>
    <w:rsid w:val="6A9E29F4"/>
    <w:rsid w:val="6AAA66BD"/>
    <w:rsid w:val="6AAF0A00"/>
    <w:rsid w:val="6AAF4769"/>
    <w:rsid w:val="6AB701CA"/>
    <w:rsid w:val="6ABF6F65"/>
    <w:rsid w:val="6ACE1FD7"/>
    <w:rsid w:val="6AEA47AB"/>
    <w:rsid w:val="6B227368"/>
    <w:rsid w:val="6B4952B1"/>
    <w:rsid w:val="6B561170"/>
    <w:rsid w:val="6B80566A"/>
    <w:rsid w:val="6B8E482F"/>
    <w:rsid w:val="6BAD72D0"/>
    <w:rsid w:val="6BD95B27"/>
    <w:rsid w:val="6BFA2EE6"/>
    <w:rsid w:val="6C2D5C19"/>
    <w:rsid w:val="6C5B408D"/>
    <w:rsid w:val="6C915E88"/>
    <w:rsid w:val="6C930236"/>
    <w:rsid w:val="6CBA1B4C"/>
    <w:rsid w:val="6CC200BE"/>
    <w:rsid w:val="6CC77E3B"/>
    <w:rsid w:val="6CCB77F4"/>
    <w:rsid w:val="6CF34041"/>
    <w:rsid w:val="6D1E4468"/>
    <w:rsid w:val="6D243A13"/>
    <w:rsid w:val="6D293AB8"/>
    <w:rsid w:val="6D323E92"/>
    <w:rsid w:val="6D4A67DD"/>
    <w:rsid w:val="6D604217"/>
    <w:rsid w:val="6D633BFB"/>
    <w:rsid w:val="6D725D15"/>
    <w:rsid w:val="6D732E5A"/>
    <w:rsid w:val="6D921676"/>
    <w:rsid w:val="6D95176A"/>
    <w:rsid w:val="6D9B441B"/>
    <w:rsid w:val="6DBE538E"/>
    <w:rsid w:val="6DCF1E00"/>
    <w:rsid w:val="6DCF266C"/>
    <w:rsid w:val="6E361CC3"/>
    <w:rsid w:val="6E553249"/>
    <w:rsid w:val="6E7D2BC3"/>
    <w:rsid w:val="6EA27D34"/>
    <w:rsid w:val="6EAC575D"/>
    <w:rsid w:val="6ECD076F"/>
    <w:rsid w:val="6EE97134"/>
    <w:rsid w:val="6F0324B8"/>
    <w:rsid w:val="6F091190"/>
    <w:rsid w:val="6F2D032F"/>
    <w:rsid w:val="6F361F10"/>
    <w:rsid w:val="6F3B2C38"/>
    <w:rsid w:val="6F690A79"/>
    <w:rsid w:val="6FBC061A"/>
    <w:rsid w:val="6FDC2C0C"/>
    <w:rsid w:val="6FED062B"/>
    <w:rsid w:val="6FF04672"/>
    <w:rsid w:val="6FFF58CF"/>
    <w:rsid w:val="70003AAC"/>
    <w:rsid w:val="70147DF3"/>
    <w:rsid w:val="701B3AAA"/>
    <w:rsid w:val="705D7638"/>
    <w:rsid w:val="706F2B70"/>
    <w:rsid w:val="707A7ECE"/>
    <w:rsid w:val="7080699B"/>
    <w:rsid w:val="70837300"/>
    <w:rsid w:val="708A63FB"/>
    <w:rsid w:val="7092760F"/>
    <w:rsid w:val="70B2124A"/>
    <w:rsid w:val="70B83C40"/>
    <w:rsid w:val="714802B0"/>
    <w:rsid w:val="71583C9A"/>
    <w:rsid w:val="71791D68"/>
    <w:rsid w:val="71876B0B"/>
    <w:rsid w:val="71A4258C"/>
    <w:rsid w:val="71A861A9"/>
    <w:rsid w:val="71B479B2"/>
    <w:rsid w:val="71B62E6D"/>
    <w:rsid w:val="71C00BCE"/>
    <w:rsid w:val="71C5500F"/>
    <w:rsid w:val="71E35283"/>
    <w:rsid w:val="71F33A73"/>
    <w:rsid w:val="722166C3"/>
    <w:rsid w:val="723E400B"/>
    <w:rsid w:val="724F743B"/>
    <w:rsid w:val="72580F09"/>
    <w:rsid w:val="7276287E"/>
    <w:rsid w:val="72A14B92"/>
    <w:rsid w:val="72AE160F"/>
    <w:rsid w:val="72B5273C"/>
    <w:rsid w:val="72D75E82"/>
    <w:rsid w:val="731E7FAE"/>
    <w:rsid w:val="73215E84"/>
    <w:rsid w:val="735E58C0"/>
    <w:rsid w:val="73610D33"/>
    <w:rsid w:val="73695E9E"/>
    <w:rsid w:val="7383596D"/>
    <w:rsid w:val="74221C9A"/>
    <w:rsid w:val="74314DD6"/>
    <w:rsid w:val="744045FF"/>
    <w:rsid w:val="74604020"/>
    <w:rsid w:val="74846C36"/>
    <w:rsid w:val="74895097"/>
    <w:rsid w:val="74A673D4"/>
    <w:rsid w:val="74F24C72"/>
    <w:rsid w:val="7542223F"/>
    <w:rsid w:val="758B3078"/>
    <w:rsid w:val="75A53860"/>
    <w:rsid w:val="75B4584F"/>
    <w:rsid w:val="75EB4BA5"/>
    <w:rsid w:val="760463E6"/>
    <w:rsid w:val="762E4504"/>
    <w:rsid w:val="76316D8C"/>
    <w:rsid w:val="76346CF4"/>
    <w:rsid w:val="764E542E"/>
    <w:rsid w:val="765B5D07"/>
    <w:rsid w:val="769E6C67"/>
    <w:rsid w:val="76A12B58"/>
    <w:rsid w:val="76A376B3"/>
    <w:rsid w:val="76C17980"/>
    <w:rsid w:val="76C773CF"/>
    <w:rsid w:val="76CB0669"/>
    <w:rsid w:val="77302EC9"/>
    <w:rsid w:val="776C5A44"/>
    <w:rsid w:val="7785743E"/>
    <w:rsid w:val="779276DF"/>
    <w:rsid w:val="77962B28"/>
    <w:rsid w:val="779B402E"/>
    <w:rsid w:val="77A16947"/>
    <w:rsid w:val="77D724A8"/>
    <w:rsid w:val="77E61423"/>
    <w:rsid w:val="78403C53"/>
    <w:rsid w:val="78644BC3"/>
    <w:rsid w:val="786C0C1A"/>
    <w:rsid w:val="7885526B"/>
    <w:rsid w:val="789062B1"/>
    <w:rsid w:val="78C50B82"/>
    <w:rsid w:val="78F13856"/>
    <w:rsid w:val="792D15E4"/>
    <w:rsid w:val="79491CC5"/>
    <w:rsid w:val="79645594"/>
    <w:rsid w:val="7972250A"/>
    <w:rsid w:val="797B18FD"/>
    <w:rsid w:val="79CF60CB"/>
    <w:rsid w:val="79F701DE"/>
    <w:rsid w:val="79FA77BE"/>
    <w:rsid w:val="7A036672"/>
    <w:rsid w:val="7A1140B3"/>
    <w:rsid w:val="7A1C7560"/>
    <w:rsid w:val="7A3A17F7"/>
    <w:rsid w:val="7A4866D6"/>
    <w:rsid w:val="7A6C46FD"/>
    <w:rsid w:val="7A784FAA"/>
    <w:rsid w:val="7A7D5F38"/>
    <w:rsid w:val="7AB777C7"/>
    <w:rsid w:val="7ABB474E"/>
    <w:rsid w:val="7ABC0EF6"/>
    <w:rsid w:val="7AFE2664"/>
    <w:rsid w:val="7B032E6F"/>
    <w:rsid w:val="7B287973"/>
    <w:rsid w:val="7B296605"/>
    <w:rsid w:val="7B3A2533"/>
    <w:rsid w:val="7B745BE2"/>
    <w:rsid w:val="7B7C688E"/>
    <w:rsid w:val="7BC50A86"/>
    <w:rsid w:val="7BC614A9"/>
    <w:rsid w:val="7BD03BF0"/>
    <w:rsid w:val="7C093CE8"/>
    <w:rsid w:val="7C6D2B65"/>
    <w:rsid w:val="7C7044AF"/>
    <w:rsid w:val="7C8810B1"/>
    <w:rsid w:val="7C8E04B5"/>
    <w:rsid w:val="7C981F95"/>
    <w:rsid w:val="7CBB2E8C"/>
    <w:rsid w:val="7CBD2A6C"/>
    <w:rsid w:val="7CC7057A"/>
    <w:rsid w:val="7CEF33DA"/>
    <w:rsid w:val="7CF56BE1"/>
    <w:rsid w:val="7D094D05"/>
    <w:rsid w:val="7D291FA0"/>
    <w:rsid w:val="7D334242"/>
    <w:rsid w:val="7D40058A"/>
    <w:rsid w:val="7D90557F"/>
    <w:rsid w:val="7DC60192"/>
    <w:rsid w:val="7DEB340E"/>
    <w:rsid w:val="7E607661"/>
    <w:rsid w:val="7E752216"/>
    <w:rsid w:val="7E7A2986"/>
    <w:rsid w:val="7E7F1AD5"/>
    <w:rsid w:val="7E9F72B9"/>
    <w:rsid w:val="7EAE7190"/>
    <w:rsid w:val="7EB03566"/>
    <w:rsid w:val="7EE21C55"/>
    <w:rsid w:val="7EE3162A"/>
    <w:rsid w:val="7F155026"/>
    <w:rsid w:val="7F1A56DC"/>
    <w:rsid w:val="7F273959"/>
    <w:rsid w:val="7F4D71F3"/>
    <w:rsid w:val="7F5923A2"/>
    <w:rsid w:val="7F85704F"/>
    <w:rsid w:val="7F8855EB"/>
    <w:rsid w:val="7FAA399B"/>
    <w:rsid w:val="7FE03D04"/>
    <w:rsid w:val="7FE231CE"/>
    <w:rsid w:val="7FF62632"/>
    <w:rsid w:val="7FFD120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ocked="1"/>
    <w:lsdException w:uiPriority="99" w:name="index 2" w:locked="1"/>
    <w:lsdException w:uiPriority="99" w:name="index 3" w:locked="1"/>
    <w:lsdException w:qFormat="1" w:unhideWhenUsed="0" w:uiPriority="99" w:name="index 4"/>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qFormat="1" w:unhideWhenUsed="0"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qFormat="1" w:unhideWhenUsed="0" w:uiPriority="0" w:semiHidden="0" w:name="envelope return" w:locked="1"/>
    <w:lsdException w:uiPriority="99" w:name="footnote reference" w:locked="1"/>
    <w:lsdException w:qFormat="1" w:unhideWhenUsed="0" w:uiPriority="0"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sdException w:qFormat="1" w:unhideWhenUsed="0" w:uiPriority="99" w:name="Salutation"/>
    <w:lsdException w:qFormat="1" w:unhideWhenUsed="0" w:uiPriority="99" w:semiHidden="0" w:name="Date"/>
    <w:lsdException w:qFormat="1" w:unhideWhenUsed="0" w:uiPriority="0" w:semiHidden="0" w:name="Body Text First Indent" w:locked="1"/>
    <w:lsdException w:qFormat="1" w:unhideWhenUsed="0" w:uiPriority="0" w:semiHidden="0" w:name="Body Text First Indent 2" w:locked="1"/>
    <w:lsdException w:qFormat="1" w:unhideWhenUsed="0" w:uiPriority="99" w:name="Note Heading"/>
    <w:lsdException w:uiPriority="99" w:name="Body Text 2" w:locked="1"/>
    <w:lsdException w:uiPriority="99" w:name="Body Text 3" w:locked="1"/>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ocked="1"/>
    <w:lsdException w:qFormat="1" w:unhideWhenUsed="0" w:uiPriority="99" w:name="Document Map"/>
    <w:lsdException w:qFormat="1" w:unhideWhenUsed="0" w:uiPriority="0" w:semiHidden="0" w:name="Plain Text"/>
    <w:lsdException w:uiPriority="99" w:name="E-mail Signature" w:locked="1"/>
    <w:lsdException w:qFormat="1" w:unhideWhenUsed="0" w:uiPriority="99" w:semiHidden="0" w:name="Normal (Web)"/>
    <w:lsdException w:qFormat="1" w:unhideWhenUsed="0" w:uiPriority="99" w:semiHidden="0" w:name="HTML Acronym"/>
    <w:lsdException w:uiPriority="99" w:name="HTML Address" w:locked="1"/>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uiPriority="99" w:name="HTML Preformatted" w:locked="1"/>
    <w:lsdException w:qFormat="1" w:unhideWhenUsed="0" w:uiPriority="99" w:semiHidden="0" w:name="HTML Sample"/>
    <w:lsdException w:qFormat="1" w:unhideWhenUsed="0" w:uiPriority="99" w:semiHidden="0" w:name="HTML Typewriter"/>
    <w:lsdException w:qFormat="1" w:unhideWhenUsed="0" w:uiPriority="99" w:semiHidden="0" w:name="HTML Variable"/>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39" w:semiHidden="0" w:name="Table Grid"/>
    <w:lsdException w:uiPriority="99" w:name="Table Theme" w:locked="1"/>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link w:val="63"/>
    <w:qFormat/>
    <w:uiPriority w:val="99"/>
    <w:pPr>
      <w:numPr>
        <w:ilvl w:val="0"/>
        <w:numId w:val="1"/>
      </w:numPr>
      <w:overflowPunct w:val="0"/>
      <w:autoSpaceDE w:val="0"/>
      <w:autoSpaceDN w:val="0"/>
      <w:adjustRightInd w:val="0"/>
      <w:snapToGrid w:val="0"/>
      <w:spacing w:before="120" w:line="360" w:lineRule="auto"/>
      <w:textAlignment w:val="baseline"/>
      <w:outlineLvl w:val="0"/>
    </w:pPr>
    <w:rPr>
      <w:rFonts w:eastAsia="理德小标宋简"/>
      <w:b/>
      <w:bCs/>
      <w:kern w:val="44"/>
      <w:sz w:val="28"/>
      <w:szCs w:val="28"/>
    </w:rPr>
  </w:style>
  <w:style w:type="paragraph" w:styleId="4">
    <w:name w:val="heading 2"/>
    <w:basedOn w:val="1"/>
    <w:next w:val="1"/>
    <w:link w:val="64"/>
    <w:qFormat/>
    <w:uiPriority w:val="99"/>
    <w:pPr>
      <w:keepNext/>
      <w:keepLines/>
      <w:spacing w:before="260" w:after="260" w:line="416" w:lineRule="auto"/>
      <w:outlineLvl w:val="1"/>
    </w:pPr>
    <w:rPr>
      <w:rFonts w:ascii="Cambria" w:hAnsi="Cambria" w:cs="Cambria"/>
      <w:b/>
      <w:bCs/>
      <w:sz w:val="32"/>
      <w:szCs w:val="32"/>
    </w:rPr>
  </w:style>
  <w:style w:type="paragraph" w:styleId="5">
    <w:name w:val="heading 3"/>
    <w:basedOn w:val="1"/>
    <w:next w:val="1"/>
    <w:link w:val="65"/>
    <w:qFormat/>
    <w:uiPriority w:val="99"/>
    <w:pPr>
      <w:keepNext/>
      <w:keepLines/>
      <w:spacing w:before="260" w:after="260" w:line="416" w:lineRule="auto"/>
      <w:outlineLvl w:val="2"/>
    </w:pPr>
    <w:rPr>
      <w:b/>
      <w:bCs/>
      <w:sz w:val="32"/>
      <w:szCs w:val="32"/>
    </w:rPr>
  </w:style>
  <w:style w:type="paragraph" w:styleId="6">
    <w:name w:val="heading 4"/>
    <w:basedOn w:val="1"/>
    <w:next w:val="1"/>
    <w:link w:val="66"/>
    <w:qFormat/>
    <w:uiPriority w:val="99"/>
    <w:pPr>
      <w:keepNext/>
      <w:keepLines/>
      <w:spacing w:line="360" w:lineRule="auto"/>
      <w:jc w:val="center"/>
      <w:outlineLvl w:val="3"/>
    </w:pPr>
    <w:rPr>
      <w:rFonts w:ascii="Cambria" w:hAnsi="Cambria" w:cs="Cambria"/>
      <w:b/>
      <w:bCs/>
      <w:sz w:val="28"/>
      <w:szCs w:val="28"/>
    </w:rPr>
  </w:style>
  <w:style w:type="paragraph" w:styleId="7">
    <w:name w:val="heading 5"/>
    <w:basedOn w:val="1"/>
    <w:next w:val="8"/>
    <w:link w:val="67"/>
    <w:qFormat/>
    <w:uiPriority w:val="99"/>
    <w:pPr>
      <w:keepNext/>
      <w:keepLines/>
      <w:spacing w:before="280" w:after="290" w:line="376" w:lineRule="auto"/>
      <w:outlineLvl w:val="4"/>
    </w:pPr>
    <w:rPr>
      <w:b/>
      <w:bCs/>
      <w:sz w:val="28"/>
      <w:szCs w:val="28"/>
    </w:rPr>
  </w:style>
  <w:style w:type="paragraph" w:styleId="9">
    <w:name w:val="heading 6"/>
    <w:basedOn w:val="1"/>
    <w:next w:val="1"/>
    <w:link w:val="68"/>
    <w:qFormat/>
    <w:uiPriority w:val="9"/>
    <w:pPr>
      <w:keepNext/>
      <w:keepLines/>
      <w:spacing w:before="240" w:after="64" w:line="316" w:lineRule="auto"/>
      <w:outlineLvl w:val="5"/>
    </w:pPr>
    <w:rPr>
      <w:rFonts w:ascii="Cambria" w:hAnsi="Cambria" w:cs="Cambria"/>
      <w:b/>
      <w:bCs/>
      <w:sz w:val="24"/>
      <w:szCs w:val="24"/>
    </w:rPr>
  </w:style>
  <w:style w:type="paragraph" w:styleId="10">
    <w:name w:val="heading 7"/>
    <w:basedOn w:val="1"/>
    <w:next w:val="1"/>
    <w:link w:val="69"/>
    <w:qFormat/>
    <w:uiPriority w:val="9"/>
    <w:pPr>
      <w:keepNext/>
      <w:keepLines/>
      <w:spacing w:before="240" w:after="64" w:line="316" w:lineRule="auto"/>
      <w:outlineLvl w:val="6"/>
    </w:pPr>
    <w:rPr>
      <w:rFonts w:ascii="Calibri" w:hAnsi="Calibri" w:cs="Calibri"/>
      <w:b/>
      <w:bCs/>
      <w:sz w:val="24"/>
      <w:szCs w:val="24"/>
    </w:rPr>
  </w:style>
  <w:style w:type="paragraph" w:styleId="11">
    <w:name w:val="heading 8"/>
    <w:basedOn w:val="1"/>
    <w:next w:val="1"/>
    <w:link w:val="70"/>
    <w:qFormat/>
    <w:uiPriority w:val="9"/>
    <w:pPr>
      <w:keepNext/>
      <w:keepLines/>
      <w:spacing w:before="240" w:after="64" w:line="316" w:lineRule="auto"/>
      <w:outlineLvl w:val="7"/>
    </w:pPr>
    <w:rPr>
      <w:rFonts w:ascii="Cambria" w:hAnsi="Cambria" w:cs="Cambria"/>
      <w:sz w:val="24"/>
      <w:szCs w:val="24"/>
    </w:rPr>
  </w:style>
  <w:style w:type="paragraph" w:styleId="12">
    <w:name w:val="heading 9"/>
    <w:basedOn w:val="1"/>
    <w:next w:val="1"/>
    <w:link w:val="71"/>
    <w:qFormat/>
    <w:uiPriority w:val="9"/>
    <w:pPr>
      <w:keepNext/>
      <w:keepLines/>
      <w:spacing w:before="240" w:after="64" w:line="316" w:lineRule="auto"/>
      <w:outlineLvl w:val="8"/>
    </w:pPr>
    <w:rPr>
      <w:rFonts w:ascii="Cambria" w:hAnsi="Cambria" w:cs="Cambria"/>
    </w:rPr>
  </w:style>
  <w:style w:type="character" w:default="1" w:styleId="46">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76"/>
    <w:qFormat/>
    <w:uiPriority w:val="99"/>
    <w:pPr>
      <w:adjustRightInd w:val="0"/>
      <w:spacing w:line="312" w:lineRule="atLeast"/>
      <w:jc w:val="center"/>
      <w:textAlignment w:val="baseline"/>
    </w:pPr>
    <w:rPr>
      <w:rFonts w:ascii="楷体_GB2312" w:hAnsi="Calibri" w:eastAsia="楷体_GB2312" w:cs="楷体_GB2312"/>
      <w:b/>
      <w:bCs/>
      <w:kern w:val="0"/>
      <w:sz w:val="48"/>
      <w:szCs w:val="48"/>
    </w:rPr>
  </w:style>
  <w:style w:type="paragraph" w:styleId="8">
    <w:name w:val="Normal Indent"/>
    <w:basedOn w:val="1"/>
    <w:qFormat/>
    <w:uiPriority w:val="99"/>
    <w:pPr>
      <w:widowControl/>
      <w:ind w:firstLine="420"/>
      <w:jc w:val="left"/>
    </w:pPr>
    <w:rPr>
      <w:sz w:val="20"/>
      <w:szCs w:val="20"/>
    </w:rPr>
  </w:style>
  <w:style w:type="paragraph" w:styleId="13">
    <w:name w:val="toc 7"/>
    <w:basedOn w:val="1"/>
    <w:next w:val="1"/>
    <w:qFormat/>
    <w:uiPriority w:val="39"/>
    <w:pPr>
      <w:adjustRightInd w:val="0"/>
      <w:spacing w:line="312" w:lineRule="atLeast"/>
      <w:ind w:left="1260"/>
      <w:jc w:val="left"/>
      <w:textAlignment w:val="baseline"/>
    </w:pPr>
    <w:rPr>
      <w:kern w:val="0"/>
      <w:sz w:val="18"/>
      <w:szCs w:val="18"/>
    </w:rPr>
  </w:style>
  <w:style w:type="paragraph" w:styleId="14">
    <w:name w:val="Note Heading"/>
    <w:basedOn w:val="1"/>
    <w:next w:val="1"/>
    <w:link w:val="72"/>
    <w:semiHidden/>
    <w:qFormat/>
    <w:uiPriority w:val="99"/>
    <w:pPr>
      <w:spacing w:beforeLines="20" w:afterLines="50"/>
      <w:jc w:val="center"/>
    </w:pPr>
    <w:rPr>
      <w:rFonts w:ascii="Calibri" w:hAnsi="Calibri" w:cs="Calibri"/>
      <w:kern w:val="0"/>
      <w:sz w:val="24"/>
      <w:szCs w:val="24"/>
    </w:rPr>
  </w:style>
  <w:style w:type="paragraph" w:styleId="15">
    <w:name w:val="caption"/>
    <w:basedOn w:val="1"/>
    <w:next w:val="1"/>
    <w:qFormat/>
    <w:uiPriority w:val="99"/>
    <w:pPr>
      <w:spacing w:before="152" w:after="160"/>
    </w:pPr>
    <w:rPr>
      <w:rFonts w:ascii="Arial" w:hAnsi="Arial" w:eastAsia="黑体" w:cs="Arial"/>
      <w:sz w:val="20"/>
      <w:szCs w:val="20"/>
    </w:rPr>
  </w:style>
  <w:style w:type="paragraph" w:styleId="16">
    <w:name w:val="Document Map"/>
    <w:basedOn w:val="1"/>
    <w:link w:val="73"/>
    <w:semiHidden/>
    <w:qFormat/>
    <w:uiPriority w:val="99"/>
    <w:pPr>
      <w:adjustRightInd w:val="0"/>
      <w:spacing w:line="312" w:lineRule="atLeast"/>
      <w:textAlignment w:val="baseline"/>
    </w:pPr>
    <w:rPr>
      <w:rFonts w:ascii="宋体" w:hAnsi="Calibri" w:cs="宋体"/>
      <w:kern w:val="0"/>
      <w:sz w:val="18"/>
      <w:szCs w:val="18"/>
    </w:rPr>
  </w:style>
  <w:style w:type="paragraph" w:styleId="17">
    <w:name w:val="annotation text"/>
    <w:basedOn w:val="1"/>
    <w:link w:val="74"/>
    <w:qFormat/>
    <w:uiPriority w:val="99"/>
    <w:pPr>
      <w:adjustRightInd w:val="0"/>
      <w:spacing w:line="312" w:lineRule="atLeast"/>
      <w:jc w:val="left"/>
      <w:textAlignment w:val="baseline"/>
    </w:pPr>
    <w:rPr>
      <w:rFonts w:ascii="Calibri" w:hAnsi="Calibri" w:cs="Calibri"/>
    </w:rPr>
  </w:style>
  <w:style w:type="paragraph" w:styleId="18">
    <w:name w:val="Salutation"/>
    <w:basedOn w:val="1"/>
    <w:next w:val="1"/>
    <w:link w:val="75"/>
    <w:semiHidden/>
    <w:qFormat/>
    <w:uiPriority w:val="99"/>
    <w:rPr>
      <w:rFonts w:ascii="Calibri" w:hAnsi="Calibri" w:cs="Calibri"/>
      <w:kern w:val="0"/>
      <w:sz w:val="24"/>
      <w:szCs w:val="24"/>
    </w:rPr>
  </w:style>
  <w:style w:type="paragraph" w:styleId="19">
    <w:name w:val="Body Text Indent"/>
    <w:basedOn w:val="1"/>
    <w:next w:val="20"/>
    <w:link w:val="77"/>
    <w:qFormat/>
    <w:uiPriority w:val="99"/>
    <w:pPr>
      <w:ind w:left="420" w:leftChars="200"/>
      <w:jc w:val="left"/>
    </w:pPr>
    <w:rPr>
      <w:rFonts w:ascii="Calibri" w:hAnsi="Calibri" w:cs="Calibri"/>
      <w:kern w:val="0"/>
      <w:sz w:val="24"/>
      <w:szCs w:val="24"/>
    </w:rPr>
  </w:style>
  <w:style w:type="paragraph" w:styleId="20">
    <w:name w:val="envelope return"/>
    <w:basedOn w:val="1"/>
    <w:qFormat/>
    <w:locked/>
    <w:uiPriority w:val="0"/>
    <w:pPr>
      <w:snapToGrid w:val="0"/>
    </w:pPr>
    <w:rPr>
      <w:rFonts w:ascii="Arial" w:hAnsi="Arial"/>
    </w:rPr>
  </w:style>
  <w:style w:type="paragraph" w:styleId="21">
    <w:name w:val="index 4"/>
    <w:basedOn w:val="1"/>
    <w:next w:val="1"/>
    <w:semiHidden/>
    <w:qFormat/>
    <w:uiPriority w:val="99"/>
    <w:pPr>
      <w:ind w:left="600" w:leftChars="600"/>
    </w:pPr>
  </w:style>
  <w:style w:type="paragraph" w:styleId="22">
    <w:name w:val="toc 5"/>
    <w:basedOn w:val="1"/>
    <w:next w:val="1"/>
    <w:qFormat/>
    <w:uiPriority w:val="39"/>
    <w:pPr>
      <w:adjustRightInd w:val="0"/>
      <w:spacing w:line="312" w:lineRule="atLeast"/>
      <w:ind w:left="840"/>
      <w:jc w:val="left"/>
      <w:textAlignment w:val="baseline"/>
    </w:pPr>
    <w:rPr>
      <w:kern w:val="0"/>
      <w:sz w:val="18"/>
      <w:szCs w:val="18"/>
    </w:rPr>
  </w:style>
  <w:style w:type="paragraph" w:styleId="23">
    <w:name w:val="toc 3"/>
    <w:basedOn w:val="1"/>
    <w:next w:val="1"/>
    <w:qFormat/>
    <w:uiPriority w:val="39"/>
    <w:pPr>
      <w:adjustRightInd w:val="0"/>
      <w:spacing w:line="312" w:lineRule="atLeast"/>
      <w:ind w:left="420"/>
      <w:jc w:val="left"/>
      <w:textAlignment w:val="baseline"/>
    </w:pPr>
    <w:rPr>
      <w:i/>
      <w:iCs/>
      <w:kern w:val="0"/>
      <w:sz w:val="20"/>
      <w:szCs w:val="20"/>
    </w:rPr>
  </w:style>
  <w:style w:type="paragraph" w:styleId="24">
    <w:name w:val="Plain Text"/>
    <w:basedOn w:val="1"/>
    <w:next w:val="6"/>
    <w:link w:val="78"/>
    <w:qFormat/>
    <w:uiPriority w:val="0"/>
    <w:rPr>
      <w:rFonts w:ascii="宋体" w:hAnsi="Courier New" w:cs="宋体"/>
      <w:kern w:val="0"/>
      <w:sz w:val="20"/>
      <w:szCs w:val="20"/>
    </w:rPr>
  </w:style>
  <w:style w:type="paragraph" w:styleId="25">
    <w:name w:val="toc 8"/>
    <w:basedOn w:val="1"/>
    <w:next w:val="1"/>
    <w:qFormat/>
    <w:uiPriority w:val="39"/>
    <w:pPr>
      <w:adjustRightInd w:val="0"/>
      <w:spacing w:line="312" w:lineRule="atLeast"/>
      <w:ind w:left="1470"/>
      <w:jc w:val="left"/>
      <w:textAlignment w:val="baseline"/>
    </w:pPr>
    <w:rPr>
      <w:kern w:val="0"/>
      <w:sz w:val="18"/>
      <w:szCs w:val="18"/>
    </w:rPr>
  </w:style>
  <w:style w:type="paragraph" w:styleId="26">
    <w:name w:val="Date"/>
    <w:basedOn w:val="1"/>
    <w:next w:val="1"/>
    <w:link w:val="106"/>
    <w:qFormat/>
    <w:uiPriority w:val="99"/>
    <w:pPr>
      <w:ind w:left="100" w:leftChars="2500"/>
    </w:pPr>
    <w:rPr>
      <w:rFonts w:ascii="Calibri" w:hAnsi="Calibri" w:cs="Calibri"/>
    </w:rPr>
  </w:style>
  <w:style w:type="paragraph" w:styleId="27">
    <w:name w:val="Body Text Indent 2"/>
    <w:basedOn w:val="1"/>
    <w:link w:val="99"/>
    <w:qFormat/>
    <w:uiPriority w:val="99"/>
    <w:pPr>
      <w:spacing w:after="120" w:line="480" w:lineRule="auto"/>
      <w:ind w:left="420" w:leftChars="200"/>
    </w:pPr>
    <w:rPr>
      <w:rFonts w:ascii="Calibri" w:hAnsi="Calibri" w:cs="Calibri"/>
    </w:rPr>
  </w:style>
  <w:style w:type="paragraph" w:styleId="28">
    <w:name w:val="Balloon Text"/>
    <w:basedOn w:val="1"/>
    <w:link w:val="81"/>
    <w:semiHidden/>
    <w:qFormat/>
    <w:uiPriority w:val="99"/>
    <w:rPr>
      <w:rFonts w:ascii="Calibri" w:hAnsi="Calibri" w:cs="Calibri"/>
      <w:kern w:val="0"/>
      <w:sz w:val="18"/>
      <w:szCs w:val="18"/>
    </w:rPr>
  </w:style>
  <w:style w:type="paragraph" w:styleId="29">
    <w:name w:val="footer"/>
    <w:basedOn w:val="1"/>
    <w:link w:val="82"/>
    <w:qFormat/>
    <w:uiPriority w:val="99"/>
    <w:pPr>
      <w:tabs>
        <w:tab w:val="center" w:pos="4153"/>
        <w:tab w:val="right" w:pos="8306"/>
      </w:tabs>
      <w:snapToGrid w:val="0"/>
      <w:jc w:val="left"/>
    </w:pPr>
    <w:rPr>
      <w:rFonts w:ascii="Calibri" w:hAnsi="Calibri" w:cs="Calibri"/>
      <w:kern w:val="0"/>
      <w:sz w:val="18"/>
      <w:szCs w:val="18"/>
    </w:rPr>
  </w:style>
  <w:style w:type="paragraph" w:styleId="30">
    <w:name w:val="header"/>
    <w:basedOn w:val="1"/>
    <w:link w:val="83"/>
    <w:qFormat/>
    <w:uiPriority w:val="99"/>
    <w:pPr>
      <w:pBdr>
        <w:bottom w:val="single" w:color="auto" w:sz="6" w:space="1"/>
      </w:pBdr>
      <w:tabs>
        <w:tab w:val="center" w:pos="4153"/>
        <w:tab w:val="right" w:pos="8306"/>
      </w:tabs>
      <w:snapToGrid w:val="0"/>
      <w:jc w:val="center"/>
    </w:pPr>
    <w:rPr>
      <w:rFonts w:ascii="Calibri" w:hAnsi="Calibri" w:cs="Calibri"/>
      <w:kern w:val="0"/>
      <w:sz w:val="18"/>
      <w:szCs w:val="18"/>
    </w:rPr>
  </w:style>
  <w:style w:type="paragraph" w:styleId="31">
    <w:name w:val="toc 1"/>
    <w:basedOn w:val="1"/>
    <w:next w:val="1"/>
    <w:qFormat/>
    <w:uiPriority w:val="39"/>
    <w:pPr>
      <w:adjustRightInd w:val="0"/>
      <w:spacing w:before="120" w:after="120" w:line="312" w:lineRule="atLeast"/>
      <w:jc w:val="left"/>
      <w:textAlignment w:val="baseline"/>
    </w:pPr>
    <w:rPr>
      <w:b/>
      <w:bCs/>
      <w:caps/>
      <w:kern w:val="0"/>
      <w:sz w:val="20"/>
      <w:szCs w:val="20"/>
    </w:rPr>
  </w:style>
  <w:style w:type="paragraph" w:styleId="32">
    <w:name w:val="toc 4"/>
    <w:basedOn w:val="1"/>
    <w:next w:val="1"/>
    <w:qFormat/>
    <w:uiPriority w:val="39"/>
    <w:pPr>
      <w:adjustRightInd w:val="0"/>
      <w:spacing w:line="312" w:lineRule="atLeast"/>
      <w:ind w:left="630"/>
      <w:jc w:val="left"/>
      <w:textAlignment w:val="baseline"/>
    </w:pPr>
    <w:rPr>
      <w:kern w:val="0"/>
      <w:sz w:val="18"/>
      <w:szCs w:val="18"/>
    </w:rPr>
  </w:style>
  <w:style w:type="paragraph" w:styleId="33">
    <w:name w:val="Subtitle"/>
    <w:basedOn w:val="1"/>
    <w:next w:val="1"/>
    <w:link w:val="112"/>
    <w:qFormat/>
    <w:uiPriority w:val="11"/>
    <w:pPr>
      <w:spacing w:before="240" w:after="60" w:line="312" w:lineRule="auto"/>
      <w:jc w:val="center"/>
      <w:outlineLvl w:val="1"/>
    </w:pPr>
    <w:rPr>
      <w:rFonts w:ascii="Cambria" w:hAnsi="Cambria" w:cs="Cambria"/>
      <w:b/>
      <w:bCs/>
      <w:kern w:val="28"/>
      <w:sz w:val="32"/>
      <w:szCs w:val="32"/>
    </w:rPr>
  </w:style>
  <w:style w:type="paragraph" w:styleId="34">
    <w:name w:val="footnote text"/>
    <w:basedOn w:val="1"/>
    <w:link w:val="90"/>
    <w:semiHidden/>
    <w:qFormat/>
    <w:uiPriority w:val="99"/>
    <w:pPr>
      <w:adjustRightInd w:val="0"/>
      <w:spacing w:line="312" w:lineRule="atLeast"/>
      <w:jc w:val="left"/>
    </w:pPr>
    <w:rPr>
      <w:rFonts w:ascii="Calibri" w:hAnsi="Calibri" w:cs="Calibri"/>
      <w:sz w:val="18"/>
      <w:szCs w:val="18"/>
    </w:rPr>
  </w:style>
  <w:style w:type="paragraph" w:styleId="35">
    <w:name w:val="toc 6"/>
    <w:basedOn w:val="1"/>
    <w:next w:val="1"/>
    <w:qFormat/>
    <w:uiPriority w:val="39"/>
    <w:pPr>
      <w:adjustRightInd w:val="0"/>
      <w:spacing w:line="312" w:lineRule="atLeast"/>
      <w:ind w:left="1050"/>
      <w:jc w:val="left"/>
      <w:textAlignment w:val="baseline"/>
    </w:pPr>
    <w:rPr>
      <w:kern w:val="0"/>
      <w:sz w:val="18"/>
      <w:szCs w:val="18"/>
    </w:rPr>
  </w:style>
  <w:style w:type="paragraph" w:styleId="36">
    <w:name w:val="Body Text Indent 3"/>
    <w:basedOn w:val="1"/>
    <w:link w:val="86"/>
    <w:qFormat/>
    <w:uiPriority w:val="99"/>
    <w:pPr>
      <w:adjustRightInd w:val="0"/>
      <w:spacing w:line="360" w:lineRule="auto"/>
      <w:ind w:firstLine="480"/>
      <w:textAlignment w:val="baseline"/>
    </w:pPr>
    <w:rPr>
      <w:rFonts w:ascii="宋体" w:hAnsi="Calibri" w:cs="宋体"/>
      <w:kern w:val="0"/>
      <w:sz w:val="28"/>
      <w:szCs w:val="28"/>
    </w:rPr>
  </w:style>
  <w:style w:type="paragraph" w:styleId="37">
    <w:name w:val="toc 2"/>
    <w:basedOn w:val="1"/>
    <w:next w:val="1"/>
    <w:qFormat/>
    <w:uiPriority w:val="39"/>
    <w:pPr>
      <w:adjustRightInd w:val="0"/>
      <w:spacing w:line="312" w:lineRule="atLeast"/>
      <w:ind w:left="210"/>
      <w:jc w:val="left"/>
      <w:textAlignment w:val="baseline"/>
    </w:pPr>
    <w:rPr>
      <w:smallCaps/>
      <w:kern w:val="0"/>
      <w:sz w:val="20"/>
      <w:szCs w:val="20"/>
    </w:rPr>
  </w:style>
  <w:style w:type="paragraph" w:styleId="38">
    <w:name w:val="toc 9"/>
    <w:basedOn w:val="1"/>
    <w:next w:val="1"/>
    <w:qFormat/>
    <w:uiPriority w:val="39"/>
    <w:pPr>
      <w:adjustRightInd w:val="0"/>
      <w:spacing w:line="312" w:lineRule="atLeast"/>
      <w:ind w:left="1680"/>
      <w:jc w:val="left"/>
      <w:textAlignment w:val="baseline"/>
    </w:pPr>
    <w:rPr>
      <w:kern w:val="0"/>
      <w:sz w:val="18"/>
      <w:szCs w:val="18"/>
    </w:rPr>
  </w:style>
  <w:style w:type="paragraph" w:styleId="39">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40">
    <w:name w:val="Title"/>
    <w:basedOn w:val="1"/>
    <w:next w:val="1"/>
    <w:link w:val="87"/>
    <w:qFormat/>
    <w:uiPriority w:val="99"/>
    <w:pPr>
      <w:spacing w:before="240" w:after="60"/>
      <w:jc w:val="center"/>
      <w:outlineLvl w:val="0"/>
    </w:pPr>
    <w:rPr>
      <w:rFonts w:ascii="Arial" w:hAnsi="Arial" w:cs="Arial"/>
      <w:b/>
      <w:bCs/>
      <w:kern w:val="0"/>
      <w:sz w:val="44"/>
      <w:szCs w:val="44"/>
    </w:rPr>
  </w:style>
  <w:style w:type="paragraph" w:styleId="41">
    <w:name w:val="annotation subject"/>
    <w:basedOn w:val="17"/>
    <w:next w:val="17"/>
    <w:link w:val="88"/>
    <w:semiHidden/>
    <w:qFormat/>
    <w:uiPriority w:val="99"/>
    <w:rPr>
      <w:b/>
      <w:bCs/>
      <w:kern w:val="0"/>
      <w:sz w:val="20"/>
      <w:szCs w:val="20"/>
    </w:rPr>
  </w:style>
  <w:style w:type="paragraph" w:styleId="42">
    <w:name w:val="Body Text First Indent"/>
    <w:basedOn w:val="2"/>
    <w:next w:val="1"/>
    <w:qFormat/>
    <w:locked/>
    <w:uiPriority w:val="0"/>
    <w:pPr>
      <w:adjustRightInd/>
      <w:spacing w:after="120" w:line="240" w:lineRule="auto"/>
      <w:ind w:firstLine="420" w:firstLineChars="100"/>
      <w:jc w:val="both"/>
    </w:pPr>
    <w:rPr>
      <w:rFonts w:ascii="Times New Roman"/>
      <w:szCs w:val="24"/>
    </w:rPr>
  </w:style>
  <w:style w:type="paragraph" w:styleId="43">
    <w:name w:val="Body Text First Indent 2"/>
    <w:basedOn w:val="19"/>
    <w:next w:val="42"/>
    <w:qFormat/>
    <w:locked/>
    <w:uiPriority w:val="0"/>
    <w:pPr>
      <w:autoSpaceDE w:val="0"/>
      <w:autoSpaceDN w:val="0"/>
      <w:spacing w:line="360" w:lineRule="auto"/>
      <w:ind w:left="420" w:leftChars="200" w:firstLine="420" w:firstLineChars="200"/>
    </w:pPr>
  </w:style>
  <w:style w:type="table" w:styleId="45">
    <w:name w:val="Table Grid"/>
    <w:basedOn w:val="44"/>
    <w:qFormat/>
    <w:uiPriority w:val="39"/>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7">
    <w:name w:val="Strong"/>
    <w:basedOn w:val="46"/>
    <w:qFormat/>
    <w:uiPriority w:val="22"/>
    <w:rPr>
      <w:b/>
      <w:bCs/>
    </w:rPr>
  </w:style>
  <w:style w:type="character" w:styleId="48">
    <w:name w:val="page number"/>
    <w:basedOn w:val="46"/>
    <w:qFormat/>
    <w:uiPriority w:val="99"/>
  </w:style>
  <w:style w:type="character" w:styleId="49">
    <w:name w:val="FollowedHyperlink"/>
    <w:basedOn w:val="46"/>
    <w:qFormat/>
    <w:uiPriority w:val="99"/>
    <w:rPr>
      <w:color w:val="auto"/>
      <w:u w:val="none"/>
    </w:rPr>
  </w:style>
  <w:style w:type="character" w:styleId="50">
    <w:name w:val="Emphasis"/>
    <w:qFormat/>
    <w:locked/>
    <w:uiPriority w:val="99"/>
    <w:rPr>
      <w:i/>
      <w:iCs/>
    </w:rPr>
  </w:style>
  <w:style w:type="character" w:styleId="51">
    <w:name w:val="HTML Definition"/>
    <w:basedOn w:val="46"/>
    <w:qFormat/>
    <w:uiPriority w:val="99"/>
  </w:style>
  <w:style w:type="character" w:styleId="52">
    <w:name w:val="HTML Typewriter"/>
    <w:basedOn w:val="46"/>
    <w:qFormat/>
    <w:uiPriority w:val="99"/>
    <w:rPr>
      <w:rFonts w:ascii="monospace" w:hAnsi="monospace" w:eastAsia="Times New Roman" w:cs="monospace"/>
      <w:sz w:val="20"/>
      <w:szCs w:val="20"/>
    </w:rPr>
  </w:style>
  <w:style w:type="character" w:styleId="53">
    <w:name w:val="HTML Acronym"/>
    <w:basedOn w:val="46"/>
    <w:qFormat/>
    <w:uiPriority w:val="99"/>
  </w:style>
  <w:style w:type="character" w:styleId="54">
    <w:name w:val="HTML Variable"/>
    <w:basedOn w:val="46"/>
    <w:qFormat/>
    <w:uiPriority w:val="99"/>
  </w:style>
  <w:style w:type="character" w:styleId="55">
    <w:name w:val="Hyperlink"/>
    <w:basedOn w:val="46"/>
    <w:qFormat/>
    <w:uiPriority w:val="99"/>
    <w:rPr>
      <w:color w:val="auto"/>
      <w:u w:val="none"/>
    </w:rPr>
  </w:style>
  <w:style w:type="character" w:styleId="56">
    <w:name w:val="HTML Code"/>
    <w:basedOn w:val="46"/>
    <w:qFormat/>
    <w:uiPriority w:val="99"/>
    <w:rPr>
      <w:rFonts w:ascii="monospace" w:hAnsi="monospace" w:eastAsia="Times New Roman" w:cs="monospace"/>
      <w:sz w:val="20"/>
      <w:szCs w:val="20"/>
    </w:rPr>
  </w:style>
  <w:style w:type="character" w:styleId="57">
    <w:name w:val="annotation reference"/>
    <w:basedOn w:val="46"/>
    <w:qFormat/>
    <w:uiPriority w:val="0"/>
    <w:rPr>
      <w:sz w:val="21"/>
      <w:szCs w:val="21"/>
    </w:rPr>
  </w:style>
  <w:style w:type="character" w:styleId="58">
    <w:name w:val="HTML Cite"/>
    <w:basedOn w:val="46"/>
    <w:qFormat/>
    <w:uiPriority w:val="99"/>
  </w:style>
  <w:style w:type="character" w:styleId="59">
    <w:name w:val="HTML Keyboard"/>
    <w:basedOn w:val="46"/>
    <w:qFormat/>
    <w:uiPriority w:val="99"/>
    <w:rPr>
      <w:rFonts w:ascii="monospace" w:hAnsi="monospace" w:eastAsia="Times New Roman" w:cs="monospace"/>
      <w:sz w:val="20"/>
      <w:szCs w:val="20"/>
    </w:rPr>
  </w:style>
  <w:style w:type="character" w:styleId="60">
    <w:name w:val="HTML Sample"/>
    <w:basedOn w:val="46"/>
    <w:qFormat/>
    <w:uiPriority w:val="99"/>
    <w:rPr>
      <w:rFonts w:ascii="monospace" w:hAnsi="monospace" w:eastAsia="Times New Roman" w:cs="monospace"/>
    </w:rPr>
  </w:style>
  <w:style w:type="paragraph" w:customStyle="1" w:styleId="61">
    <w:name w:val="正文1"/>
    <w:basedOn w:val="1"/>
    <w:qFormat/>
    <w:uiPriority w:val="0"/>
    <w:pPr>
      <w:adjustRightInd w:val="0"/>
      <w:spacing w:line="318" w:lineRule="atLeast"/>
      <w:ind w:left="369" w:firstLine="369"/>
      <w:textAlignment w:val="baseline"/>
    </w:pPr>
    <w:rPr>
      <w:szCs w:val="20"/>
    </w:rPr>
  </w:style>
  <w:style w:type="paragraph" w:customStyle="1" w:styleId="62">
    <w:name w:val="Default"/>
    <w:basedOn w:val="40"/>
    <w:next w:val="3"/>
    <w:qFormat/>
    <w:uiPriority w:val="99"/>
    <w:pPr>
      <w:autoSpaceDE w:val="0"/>
      <w:autoSpaceDN w:val="0"/>
      <w:adjustRightInd w:val="0"/>
    </w:pPr>
    <w:rPr>
      <w:rFonts w:ascii="宋体" w:hAnsi="Times New Roman" w:cs="宋体"/>
      <w:color w:val="000000"/>
      <w:sz w:val="24"/>
      <w:szCs w:val="24"/>
    </w:rPr>
  </w:style>
  <w:style w:type="character" w:customStyle="1" w:styleId="63">
    <w:name w:val="标题 1 字符"/>
    <w:basedOn w:val="46"/>
    <w:link w:val="3"/>
    <w:qFormat/>
    <w:locked/>
    <w:uiPriority w:val="99"/>
    <w:rPr>
      <w:rFonts w:ascii="Times New Roman" w:hAnsi="Times New Roman" w:eastAsia="理德小标宋简" w:cs="Times New Roman"/>
      <w:b/>
      <w:bCs/>
      <w:kern w:val="44"/>
      <w:sz w:val="44"/>
      <w:szCs w:val="44"/>
    </w:rPr>
  </w:style>
  <w:style w:type="character" w:customStyle="1" w:styleId="64">
    <w:name w:val="标题 2 字符"/>
    <w:basedOn w:val="46"/>
    <w:link w:val="4"/>
    <w:qFormat/>
    <w:locked/>
    <w:uiPriority w:val="99"/>
    <w:rPr>
      <w:rFonts w:ascii="Cambria" w:hAnsi="Cambria" w:eastAsia="宋体" w:cs="Cambria"/>
      <w:b/>
      <w:bCs/>
      <w:sz w:val="32"/>
      <w:szCs w:val="32"/>
    </w:rPr>
  </w:style>
  <w:style w:type="character" w:customStyle="1" w:styleId="65">
    <w:name w:val="标题 3 字符"/>
    <w:basedOn w:val="46"/>
    <w:link w:val="5"/>
    <w:qFormat/>
    <w:locked/>
    <w:uiPriority w:val="99"/>
    <w:rPr>
      <w:rFonts w:ascii="Times New Roman" w:hAnsi="Times New Roman" w:eastAsia="宋体" w:cs="Times New Roman"/>
      <w:b/>
      <w:bCs/>
      <w:sz w:val="32"/>
      <w:szCs w:val="32"/>
    </w:rPr>
  </w:style>
  <w:style w:type="character" w:customStyle="1" w:styleId="66">
    <w:name w:val="标题 4 字符"/>
    <w:basedOn w:val="46"/>
    <w:link w:val="6"/>
    <w:qFormat/>
    <w:locked/>
    <w:uiPriority w:val="99"/>
    <w:rPr>
      <w:rFonts w:ascii="Cambria" w:hAnsi="Cambria" w:eastAsia="宋体" w:cs="Cambria"/>
      <w:b/>
      <w:bCs/>
      <w:sz w:val="36"/>
      <w:szCs w:val="36"/>
    </w:rPr>
  </w:style>
  <w:style w:type="character" w:customStyle="1" w:styleId="67">
    <w:name w:val="标题 5 字符"/>
    <w:basedOn w:val="46"/>
    <w:link w:val="7"/>
    <w:qFormat/>
    <w:locked/>
    <w:uiPriority w:val="99"/>
    <w:rPr>
      <w:rFonts w:ascii="Times New Roman" w:hAnsi="Times New Roman" w:eastAsia="宋体" w:cs="Times New Roman"/>
      <w:b/>
      <w:bCs/>
      <w:sz w:val="28"/>
      <w:szCs w:val="28"/>
    </w:rPr>
  </w:style>
  <w:style w:type="character" w:customStyle="1" w:styleId="68">
    <w:name w:val="标题 6 字符"/>
    <w:basedOn w:val="46"/>
    <w:link w:val="9"/>
    <w:qFormat/>
    <w:locked/>
    <w:uiPriority w:val="9"/>
    <w:rPr>
      <w:rFonts w:ascii="Cambria" w:hAnsi="Cambria" w:eastAsia="宋体" w:cs="Cambria"/>
      <w:b/>
      <w:bCs/>
      <w:sz w:val="24"/>
      <w:szCs w:val="24"/>
    </w:rPr>
  </w:style>
  <w:style w:type="character" w:customStyle="1" w:styleId="69">
    <w:name w:val="标题 7 字符"/>
    <w:basedOn w:val="46"/>
    <w:link w:val="10"/>
    <w:qFormat/>
    <w:locked/>
    <w:uiPriority w:val="9"/>
    <w:rPr>
      <w:rFonts w:ascii="Calibri" w:hAnsi="Calibri" w:eastAsia="宋体" w:cs="Calibri"/>
      <w:b/>
      <w:bCs/>
      <w:sz w:val="24"/>
      <w:szCs w:val="24"/>
    </w:rPr>
  </w:style>
  <w:style w:type="character" w:customStyle="1" w:styleId="70">
    <w:name w:val="标题 8 字符"/>
    <w:basedOn w:val="46"/>
    <w:link w:val="11"/>
    <w:qFormat/>
    <w:locked/>
    <w:uiPriority w:val="9"/>
    <w:rPr>
      <w:rFonts w:ascii="Cambria" w:hAnsi="Cambria" w:eastAsia="宋体" w:cs="Cambria"/>
      <w:sz w:val="24"/>
      <w:szCs w:val="24"/>
    </w:rPr>
  </w:style>
  <w:style w:type="character" w:customStyle="1" w:styleId="71">
    <w:name w:val="标题 9 字符"/>
    <w:basedOn w:val="46"/>
    <w:link w:val="12"/>
    <w:qFormat/>
    <w:locked/>
    <w:uiPriority w:val="9"/>
    <w:rPr>
      <w:rFonts w:ascii="Cambria" w:hAnsi="Cambria" w:eastAsia="宋体" w:cs="Cambria"/>
      <w:sz w:val="21"/>
      <w:szCs w:val="21"/>
    </w:rPr>
  </w:style>
  <w:style w:type="character" w:customStyle="1" w:styleId="72">
    <w:name w:val="注释标题 字符"/>
    <w:basedOn w:val="46"/>
    <w:link w:val="14"/>
    <w:semiHidden/>
    <w:qFormat/>
    <w:locked/>
    <w:uiPriority w:val="99"/>
    <w:rPr>
      <w:rFonts w:ascii="Times New Roman" w:hAnsi="Times New Roman" w:eastAsia="宋体" w:cs="Times New Roman"/>
    </w:rPr>
  </w:style>
  <w:style w:type="character" w:customStyle="1" w:styleId="73">
    <w:name w:val="文档结构图 字符"/>
    <w:basedOn w:val="46"/>
    <w:link w:val="16"/>
    <w:semiHidden/>
    <w:qFormat/>
    <w:locked/>
    <w:uiPriority w:val="99"/>
    <w:rPr>
      <w:rFonts w:ascii="宋体" w:hAnsi="Times New Roman" w:eastAsia="宋体" w:cs="宋体"/>
      <w:sz w:val="18"/>
      <w:szCs w:val="18"/>
    </w:rPr>
  </w:style>
  <w:style w:type="character" w:customStyle="1" w:styleId="74">
    <w:name w:val="批注文字 字符"/>
    <w:basedOn w:val="46"/>
    <w:link w:val="17"/>
    <w:qFormat/>
    <w:locked/>
    <w:uiPriority w:val="99"/>
    <w:rPr>
      <w:rFonts w:ascii="Times New Roman" w:hAnsi="Times New Roman" w:eastAsia="宋体" w:cs="Times New Roman"/>
    </w:rPr>
  </w:style>
  <w:style w:type="character" w:customStyle="1" w:styleId="75">
    <w:name w:val="称呼 字符"/>
    <w:basedOn w:val="46"/>
    <w:link w:val="18"/>
    <w:semiHidden/>
    <w:qFormat/>
    <w:locked/>
    <w:uiPriority w:val="99"/>
    <w:rPr>
      <w:rFonts w:ascii="Times New Roman" w:hAnsi="Times New Roman" w:eastAsia="宋体" w:cs="Times New Roman"/>
    </w:rPr>
  </w:style>
  <w:style w:type="character" w:customStyle="1" w:styleId="76">
    <w:name w:val="正文文本 字符"/>
    <w:basedOn w:val="46"/>
    <w:link w:val="2"/>
    <w:qFormat/>
    <w:locked/>
    <w:uiPriority w:val="99"/>
    <w:rPr>
      <w:rFonts w:ascii="Times New Roman" w:hAnsi="Times New Roman" w:eastAsia="宋体" w:cs="Times New Roman"/>
    </w:rPr>
  </w:style>
  <w:style w:type="character" w:customStyle="1" w:styleId="77">
    <w:name w:val="正文文本缩进 字符"/>
    <w:basedOn w:val="46"/>
    <w:link w:val="19"/>
    <w:qFormat/>
    <w:locked/>
    <w:uiPriority w:val="99"/>
    <w:rPr>
      <w:rFonts w:ascii="Times New Roman" w:hAnsi="Times New Roman" w:eastAsia="宋体" w:cs="Times New Roman"/>
    </w:rPr>
  </w:style>
  <w:style w:type="character" w:customStyle="1" w:styleId="78">
    <w:name w:val="纯文本 字符"/>
    <w:basedOn w:val="46"/>
    <w:link w:val="24"/>
    <w:qFormat/>
    <w:locked/>
    <w:uiPriority w:val="0"/>
    <w:rPr>
      <w:rFonts w:ascii="宋体" w:hAnsi="Courier New" w:eastAsia="宋体" w:cs="宋体"/>
      <w:sz w:val="21"/>
      <w:szCs w:val="21"/>
    </w:rPr>
  </w:style>
  <w:style w:type="character" w:customStyle="1" w:styleId="79">
    <w:name w:val="Date Char"/>
    <w:basedOn w:val="46"/>
    <w:qFormat/>
    <w:locked/>
    <w:uiPriority w:val="99"/>
    <w:rPr>
      <w:rFonts w:ascii="Times New Roman" w:hAnsi="Times New Roman" w:eastAsia="宋体" w:cs="Times New Roman"/>
    </w:rPr>
  </w:style>
  <w:style w:type="character" w:customStyle="1" w:styleId="80">
    <w:name w:val="Body Text Indent 2 Char"/>
    <w:basedOn w:val="46"/>
    <w:qFormat/>
    <w:locked/>
    <w:uiPriority w:val="99"/>
    <w:rPr>
      <w:rFonts w:ascii="Times New Roman" w:hAnsi="Times New Roman" w:eastAsia="宋体" w:cs="Times New Roman"/>
    </w:rPr>
  </w:style>
  <w:style w:type="character" w:customStyle="1" w:styleId="81">
    <w:name w:val="批注框文本 字符"/>
    <w:basedOn w:val="46"/>
    <w:link w:val="28"/>
    <w:semiHidden/>
    <w:qFormat/>
    <w:locked/>
    <w:uiPriority w:val="99"/>
    <w:rPr>
      <w:rFonts w:ascii="Times New Roman" w:hAnsi="Times New Roman" w:eastAsia="宋体" w:cs="Times New Roman"/>
      <w:sz w:val="18"/>
      <w:szCs w:val="18"/>
    </w:rPr>
  </w:style>
  <w:style w:type="character" w:customStyle="1" w:styleId="82">
    <w:name w:val="页脚 字符"/>
    <w:basedOn w:val="46"/>
    <w:link w:val="29"/>
    <w:qFormat/>
    <w:locked/>
    <w:uiPriority w:val="99"/>
    <w:rPr>
      <w:rFonts w:ascii="Times New Roman" w:hAnsi="Times New Roman" w:eastAsia="宋体" w:cs="Times New Roman"/>
      <w:sz w:val="18"/>
      <w:szCs w:val="18"/>
    </w:rPr>
  </w:style>
  <w:style w:type="character" w:customStyle="1" w:styleId="83">
    <w:name w:val="页眉 字符"/>
    <w:basedOn w:val="46"/>
    <w:link w:val="30"/>
    <w:qFormat/>
    <w:locked/>
    <w:uiPriority w:val="99"/>
    <w:rPr>
      <w:rFonts w:ascii="Times New Roman" w:hAnsi="Times New Roman" w:eastAsia="宋体" w:cs="Times New Roman"/>
      <w:sz w:val="18"/>
      <w:szCs w:val="18"/>
    </w:rPr>
  </w:style>
  <w:style w:type="character" w:customStyle="1" w:styleId="84">
    <w:name w:val="Subtitle Char"/>
    <w:basedOn w:val="46"/>
    <w:qFormat/>
    <w:locked/>
    <w:uiPriority w:val="99"/>
    <w:rPr>
      <w:rFonts w:ascii="Cambria" w:hAnsi="Cambria" w:eastAsia="宋体" w:cs="Cambria"/>
      <w:b/>
      <w:bCs/>
      <w:kern w:val="28"/>
      <w:sz w:val="32"/>
      <w:szCs w:val="32"/>
    </w:rPr>
  </w:style>
  <w:style w:type="character" w:customStyle="1" w:styleId="85">
    <w:name w:val="Footnote Text Char"/>
    <w:basedOn w:val="46"/>
    <w:qFormat/>
    <w:locked/>
    <w:uiPriority w:val="99"/>
    <w:rPr>
      <w:rFonts w:ascii="Times New Roman" w:hAnsi="Times New Roman" w:eastAsia="宋体" w:cs="Times New Roman"/>
      <w:sz w:val="18"/>
      <w:szCs w:val="18"/>
    </w:rPr>
  </w:style>
  <w:style w:type="character" w:customStyle="1" w:styleId="86">
    <w:name w:val="正文文本缩进 3 字符"/>
    <w:basedOn w:val="46"/>
    <w:link w:val="36"/>
    <w:semiHidden/>
    <w:qFormat/>
    <w:locked/>
    <w:uiPriority w:val="99"/>
    <w:rPr>
      <w:rFonts w:ascii="Times New Roman" w:hAnsi="Times New Roman" w:eastAsia="宋体" w:cs="Times New Roman"/>
      <w:sz w:val="16"/>
      <w:szCs w:val="16"/>
    </w:rPr>
  </w:style>
  <w:style w:type="character" w:customStyle="1" w:styleId="87">
    <w:name w:val="标题 字符"/>
    <w:basedOn w:val="46"/>
    <w:link w:val="40"/>
    <w:qFormat/>
    <w:locked/>
    <w:uiPriority w:val="99"/>
    <w:rPr>
      <w:rFonts w:ascii="Cambria" w:hAnsi="Cambria" w:eastAsia="宋体" w:cs="Cambria"/>
      <w:b/>
      <w:bCs/>
      <w:sz w:val="32"/>
      <w:szCs w:val="32"/>
    </w:rPr>
  </w:style>
  <w:style w:type="character" w:customStyle="1" w:styleId="88">
    <w:name w:val="批注主题 字符"/>
    <w:basedOn w:val="74"/>
    <w:link w:val="41"/>
    <w:semiHidden/>
    <w:qFormat/>
    <w:locked/>
    <w:uiPriority w:val="99"/>
    <w:rPr>
      <w:rFonts w:ascii="Times New Roman" w:hAnsi="Times New Roman" w:eastAsia="宋体" w:cs="Times New Roman"/>
      <w:b/>
      <w:bCs/>
    </w:rPr>
  </w:style>
  <w:style w:type="character" w:customStyle="1" w:styleId="89">
    <w:name w:val="正文文本 Char"/>
    <w:qFormat/>
    <w:uiPriority w:val="99"/>
    <w:rPr>
      <w:rFonts w:ascii="楷体_GB2312" w:eastAsia="楷体_GB2312" w:cs="楷体_GB2312"/>
      <w:b/>
      <w:bCs/>
      <w:sz w:val="48"/>
      <w:szCs w:val="48"/>
    </w:rPr>
  </w:style>
  <w:style w:type="character" w:customStyle="1" w:styleId="90">
    <w:name w:val="脚注文本 字符"/>
    <w:basedOn w:val="46"/>
    <w:link w:val="34"/>
    <w:qFormat/>
    <w:locked/>
    <w:uiPriority w:val="99"/>
    <w:rPr>
      <w:sz w:val="18"/>
      <w:szCs w:val="18"/>
    </w:rPr>
  </w:style>
  <w:style w:type="character" w:customStyle="1" w:styleId="91">
    <w:name w:val="明显引用 Char1"/>
    <w:basedOn w:val="46"/>
    <w:qFormat/>
    <w:locked/>
    <w:uiPriority w:val="99"/>
    <w:rPr>
      <w:b/>
      <w:bCs/>
      <w:i/>
      <w:iCs/>
      <w:color w:val="4F81BD"/>
    </w:rPr>
  </w:style>
  <w:style w:type="paragraph" w:styleId="92">
    <w:name w:val="Intense Quote"/>
    <w:basedOn w:val="1"/>
    <w:next w:val="1"/>
    <w:link w:val="93"/>
    <w:qFormat/>
    <w:uiPriority w:val="99"/>
    <w:pPr>
      <w:pBdr>
        <w:bottom w:val="single" w:color="4F81BD" w:sz="4" w:space="4"/>
      </w:pBdr>
      <w:spacing w:before="200" w:after="280"/>
      <w:ind w:left="936" w:right="936"/>
    </w:pPr>
    <w:rPr>
      <w:rFonts w:ascii="Calibri" w:hAnsi="Calibri" w:cs="Calibri"/>
      <w:b/>
      <w:bCs/>
      <w:i/>
      <w:iCs/>
      <w:color w:val="4F81BD"/>
    </w:rPr>
  </w:style>
  <w:style w:type="character" w:customStyle="1" w:styleId="93">
    <w:name w:val="明显引用 字符"/>
    <w:basedOn w:val="46"/>
    <w:link w:val="92"/>
    <w:qFormat/>
    <w:locked/>
    <w:uiPriority w:val="99"/>
    <w:rPr>
      <w:rFonts w:ascii="Times New Roman" w:hAnsi="Times New Roman" w:eastAsia="宋体" w:cs="Times New Roman"/>
      <w:b/>
      <w:bCs/>
      <w:i/>
      <w:iCs/>
      <w:color w:val="4F81BD"/>
    </w:rPr>
  </w:style>
  <w:style w:type="character" w:customStyle="1" w:styleId="94">
    <w:name w:val="页眉 Char"/>
    <w:qFormat/>
    <w:uiPriority w:val="99"/>
    <w:rPr>
      <w:sz w:val="18"/>
      <w:szCs w:val="18"/>
    </w:rPr>
  </w:style>
  <w:style w:type="character" w:customStyle="1" w:styleId="95">
    <w:name w:val="批注框文本 Char"/>
    <w:qFormat/>
    <w:uiPriority w:val="99"/>
    <w:rPr>
      <w:sz w:val="18"/>
      <w:szCs w:val="18"/>
    </w:rPr>
  </w:style>
  <w:style w:type="character" w:customStyle="1" w:styleId="96">
    <w:name w:val="l2"/>
    <w:basedOn w:val="46"/>
    <w:qFormat/>
    <w:uiPriority w:val="99"/>
  </w:style>
  <w:style w:type="character" w:customStyle="1" w:styleId="97">
    <w:name w:val="文档结构图 Char"/>
    <w:qFormat/>
    <w:uiPriority w:val="99"/>
    <w:rPr>
      <w:rFonts w:ascii="宋体" w:cs="宋体"/>
      <w:sz w:val="18"/>
      <w:szCs w:val="18"/>
    </w:rPr>
  </w:style>
  <w:style w:type="character" w:customStyle="1" w:styleId="98">
    <w:name w:val="正文文本 Char1"/>
    <w:basedOn w:val="46"/>
    <w:qFormat/>
    <w:locked/>
    <w:uiPriority w:val="99"/>
    <w:rPr>
      <w:kern w:val="2"/>
      <w:sz w:val="22"/>
      <w:szCs w:val="22"/>
    </w:rPr>
  </w:style>
  <w:style w:type="character" w:customStyle="1" w:styleId="99">
    <w:name w:val="正文文本缩进 2 字符"/>
    <w:basedOn w:val="46"/>
    <w:link w:val="27"/>
    <w:qFormat/>
    <w:locked/>
    <w:uiPriority w:val="99"/>
    <w:rPr>
      <w:sz w:val="24"/>
      <w:szCs w:val="24"/>
    </w:rPr>
  </w:style>
  <w:style w:type="character" w:customStyle="1" w:styleId="100">
    <w:name w:val="正文文本缩进 2 Char"/>
    <w:basedOn w:val="46"/>
    <w:qFormat/>
    <w:uiPriority w:val="99"/>
    <w:rPr>
      <w:kern w:val="2"/>
      <w:sz w:val="22"/>
      <w:szCs w:val="22"/>
    </w:rPr>
  </w:style>
  <w:style w:type="character" w:customStyle="1" w:styleId="101">
    <w:name w:val="r2"/>
    <w:basedOn w:val="46"/>
    <w:qFormat/>
    <w:uiPriority w:val="99"/>
  </w:style>
  <w:style w:type="character" w:customStyle="1" w:styleId="102">
    <w:name w:val="批注主题 Char"/>
    <w:qFormat/>
    <w:uiPriority w:val="99"/>
    <w:rPr>
      <w:b/>
      <w:bCs/>
    </w:rPr>
  </w:style>
  <w:style w:type="character" w:customStyle="1" w:styleId="103">
    <w:name w:val="副标题 Char"/>
    <w:basedOn w:val="46"/>
    <w:qFormat/>
    <w:uiPriority w:val="11"/>
    <w:rPr>
      <w:rFonts w:ascii="Cambria" w:hAnsi="Cambria" w:cs="Cambria"/>
      <w:b/>
      <w:bCs/>
      <w:kern w:val="28"/>
      <w:sz w:val="32"/>
      <w:szCs w:val="32"/>
    </w:rPr>
  </w:style>
  <w:style w:type="character" w:customStyle="1" w:styleId="104">
    <w:name w:val="明显引用 Char"/>
    <w:basedOn w:val="46"/>
    <w:link w:val="105"/>
    <w:qFormat/>
    <w:uiPriority w:val="99"/>
    <w:rPr>
      <w:b/>
      <w:bCs/>
      <w:i/>
      <w:iCs/>
      <w:color w:val="4F81BD"/>
      <w:kern w:val="2"/>
      <w:sz w:val="22"/>
      <w:szCs w:val="22"/>
    </w:rPr>
  </w:style>
  <w:style w:type="paragraph" w:customStyle="1" w:styleId="105">
    <w:name w:val="明显引用1"/>
    <w:basedOn w:val="1"/>
    <w:next w:val="1"/>
    <w:link w:val="104"/>
    <w:qFormat/>
    <w:uiPriority w:val="99"/>
    <w:pPr>
      <w:pBdr>
        <w:bottom w:val="single" w:color="4F81BD" w:sz="4" w:space="4"/>
      </w:pBdr>
      <w:spacing w:before="200" w:after="280"/>
      <w:ind w:left="936" w:right="936"/>
    </w:pPr>
    <w:rPr>
      <w:b/>
      <w:bCs/>
      <w:i/>
      <w:iCs/>
      <w:color w:val="4F81BD"/>
      <w:sz w:val="22"/>
      <w:szCs w:val="22"/>
    </w:rPr>
  </w:style>
  <w:style w:type="character" w:customStyle="1" w:styleId="106">
    <w:name w:val="日期 字符"/>
    <w:basedOn w:val="46"/>
    <w:link w:val="26"/>
    <w:qFormat/>
    <w:locked/>
    <w:uiPriority w:val="99"/>
  </w:style>
  <w:style w:type="character" w:customStyle="1" w:styleId="107">
    <w:name w:val="引用 Char1"/>
    <w:basedOn w:val="46"/>
    <w:qFormat/>
    <w:locked/>
    <w:uiPriority w:val="99"/>
    <w:rPr>
      <w:i/>
      <w:iCs/>
      <w:color w:val="000000"/>
    </w:rPr>
  </w:style>
  <w:style w:type="paragraph" w:styleId="108">
    <w:name w:val="Quote"/>
    <w:basedOn w:val="1"/>
    <w:next w:val="1"/>
    <w:link w:val="109"/>
    <w:qFormat/>
    <w:uiPriority w:val="99"/>
    <w:rPr>
      <w:rFonts w:ascii="Calibri" w:hAnsi="Calibri" w:cs="Calibri"/>
      <w:i/>
      <w:iCs/>
      <w:color w:val="000000"/>
    </w:rPr>
  </w:style>
  <w:style w:type="character" w:customStyle="1" w:styleId="109">
    <w:name w:val="引用 字符"/>
    <w:basedOn w:val="46"/>
    <w:link w:val="108"/>
    <w:qFormat/>
    <w:locked/>
    <w:uiPriority w:val="99"/>
    <w:rPr>
      <w:rFonts w:ascii="Times New Roman" w:hAnsi="Times New Roman" w:eastAsia="宋体" w:cs="Times New Roman"/>
      <w:i/>
      <w:iCs/>
      <w:color w:val="000000"/>
    </w:rPr>
  </w:style>
  <w:style w:type="character" w:customStyle="1" w:styleId="110">
    <w:name w:val="注释标题 Char"/>
    <w:semiHidden/>
    <w:qFormat/>
    <w:uiPriority w:val="99"/>
    <w:rPr>
      <w:sz w:val="24"/>
      <w:szCs w:val="24"/>
    </w:rPr>
  </w:style>
  <w:style w:type="character" w:customStyle="1" w:styleId="111">
    <w:name w:val="正文文本缩进 3 Char"/>
    <w:qFormat/>
    <w:uiPriority w:val="99"/>
    <w:rPr>
      <w:rFonts w:ascii="宋体" w:cs="宋体"/>
      <w:sz w:val="28"/>
      <w:szCs w:val="28"/>
    </w:rPr>
  </w:style>
  <w:style w:type="character" w:customStyle="1" w:styleId="112">
    <w:name w:val="副标题 字符"/>
    <w:basedOn w:val="46"/>
    <w:link w:val="33"/>
    <w:qFormat/>
    <w:locked/>
    <w:uiPriority w:val="11"/>
    <w:rPr>
      <w:rFonts w:ascii="Cambria" w:hAnsi="Cambria" w:cs="Cambria"/>
      <w:b/>
      <w:bCs/>
      <w:kern w:val="28"/>
      <w:sz w:val="32"/>
      <w:szCs w:val="32"/>
    </w:rPr>
  </w:style>
  <w:style w:type="character" w:customStyle="1" w:styleId="113">
    <w:name w:val="称呼 Char"/>
    <w:semiHidden/>
    <w:qFormat/>
    <w:uiPriority w:val="99"/>
    <w:rPr>
      <w:sz w:val="24"/>
      <w:szCs w:val="24"/>
    </w:rPr>
  </w:style>
  <w:style w:type="character" w:customStyle="1" w:styleId="114">
    <w:name w:val="批注文字 Char"/>
    <w:qFormat/>
    <w:uiPriority w:val="99"/>
  </w:style>
  <w:style w:type="character" w:customStyle="1" w:styleId="115">
    <w:name w:val="纯文本 Char2"/>
    <w:qFormat/>
    <w:uiPriority w:val="99"/>
    <w:rPr>
      <w:rFonts w:ascii="宋体" w:hAnsi="Courier New" w:cs="宋体"/>
      <w:kern w:val="2"/>
      <w:sz w:val="21"/>
      <w:szCs w:val="21"/>
    </w:rPr>
  </w:style>
  <w:style w:type="character" w:customStyle="1" w:styleId="116">
    <w:name w:val="标题4 Char Char"/>
    <w:link w:val="117"/>
    <w:qFormat/>
    <w:locked/>
    <w:uiPriority w:val="99"/>
    <w:rPr>
      <w:rFonts w:ascii="Arial" w:hAnsi="Arial" w:cs="Arial"/>
      <w:b/>
      <w:bCs/>
      <w:sz w:val="32"/>
      <w:szCs w:val="32"/>
    </w:rPr>
  </w:style>
  <w:style w:type="paragraph" w:customStyle="1" w:styleId="117">
    <w:name w:val="标题4"/>
    <w:basedOn w:val="4"/>
    <w:next w:val="21"/>
    <w:link w:val="116"/>
    <w:qFormat/>
    <w:uiPriority w:val="99"/>
    <w:pPr>
      <w:spacing w:before="60" w:after="60" w:line="412" w:lineRule="auto"/>
    </w:pPr>
    <w:rPr>
      <w:rFonts w:ascii="Arial" w:hAnsi="Arial" w:cs="Arial"/>
      <w:kern w:val="0"/>
      <w:sz w:val="24"/>
      <w:szCs w:val="24"/>
    </w:rPr>
  </w:style>
  <w:style w:type="character" w:customStyle="1" w:styleId="118">
    <w:name w:val="标题5 Char Char"/>
    <w:link w:val="119"/>
    <w:qFormat/>
    <w:locked/>
    <w:uiPriority w:val="99"/>
    <w:rPr>
      <w:rFonts w:ascii="Arial" w:hAnsi="Arial" w:cs="Arial"/>
      <w:b/>
      <w:bCs/>
      <w:sz w:val="32"/>
      <w:szCs w:val="32"/>
    </w:rPr>
  </w:style>
  <w:style w:type="paragraph" w:customStyle="1" w:styleId="119">
    <w:name w:val="标题5"/>
    <w:basedOn w:val="5"/>
    <w:link w:val="118"/>
    <w:qFormat/>
    <w:uiPriority w:val="99"/>
    <w:pPr>
      <w:spacing w:line="412" w:lineRule="auto"/>
    </w:pPr>
    <w:rPr>
      <w:rFonts w:ascii="Arial" w:hAnsi="Arial" w:cs="Arial"/>
      <w:kern w:val="0"/>
      <w:sz w:val="24"/>
      <w:szCs w:val="24"/>
    </w:rPr>
  </w:style>
  <w:style w:type="character" w:customStyle="1" w:styleId="120">
    <w:name w:val="纯文本 Char"/>
    <w:qFormat/>
    <w:uiPriority w:val="0"/>
    <w:rPr>
      <w:rFonts w:ascii="宋体" w:hAnsi="Courier New" w:cs="宋体"/>
      <w:sz w:val="21"/>
      <w:szCs w:val="21"/>
    </w:rPr>
  </w:style>
  <w:style w:type="character" w:customStyle="1" w:styleId="121">
    <w:name w:val="页脚 Char"/>
    <w:qFormat/>
    <w:uiPriority w:val="99"/>
    <w:rPr>
      <w:sz w:val="18"/>
      <w:szCs w:val="18"/>
    </w:rPr>
  </w:style>
  <w:style w:type="character" w:customStyle="1" w:styleId="122">
    <w:name w:val="标题 Char"/>
    <w:qFormat/>
    <w:uiPriority w:val="99"/>
    <w:rPr>
      <w:rFonts w:ascii="Arial" w:hAnsi="Arial" w:cs="Arial"/>
      <w:b/>
      <w:bCs/>
      <w:sz w:val="32"/>
      <w:szCs w:val="32"/>
    </w:rPr>
  </w:style>
  <w:style w:type="character" w:customStyle="1" w:styleId="123">
    <w:name w:val="脚注文本 Char"/>
    <w:basedOn w:val="46"/>
    <w:qFormat/>
    <w:uiPriority w:val="99"/>
    <w:rPr>
      <w:kern w:val="2"/>
      <w:sz w:val="18"/>
      <w:szCs w:val="18"/>
    </w:rPr>
  </w:style>
  <w:style w:type="character" w:customStyle="1" w:styleId="124">
    <w:name w:val="正文文本缩进 Char"/>
    <w:qFormat/>
    <w:uiPriority w:val="99"/>
    <w:rPr>
      <w:sz w:val="24"/>
      <w:szCs w:val="24"/>
    </w:rPr>
  </w:style>
  <w:style w:type="character" w:customStyle="1" w:styleId="125">
    <w:name w:val="纯文本 Char1"/>
    <w:qFormat/>
    <w:uiPriority w:val="99"/>
    <w:rPr>
      <w:rFonts w:ascii="宋体" w:hAnsi="Courier New" w:eastAsia="宋体" w:cs="宋体"/>
      <w:sz w:val="20"/>
      <w:szCs w:val="20"/>
    </w:rPr>
  </w:style>
  <w:style w:type="character" w:customStyle="1" w:styleId="126">
    <w:name w:val="引用 Char"/>
    <w:basedOn w:val="46"/>
    <w:link w:val="127"/>
    <w:qFormat/>
    <w:uiPriority w:val="99"/>
    <w:rPr>
      <w:i/>
      <w:iCs/>
      <w:color w:val="000000"/>
      <w:kern w:val="2"/>
      <w:sz w:val="22"/>
      <w:szCs w:val="22"/>
    </w:rPr>
  </w:style>
  <w:style w:type="paragraph" w:customStyle="1" w:styleId="127">
    <w:name w:val="引用1"/>
    <w:basedOn w:val="1"/>
    <w:next w:val="1"/>
    <w:link w:val="126"/>
    <w:qFormat/>
    <w:uiPriority w:val="99"/>
    <w:rPr>
      <w:i/>
      <w:iCs/>
      <w:color w:val="000000"/>
      <w:sz w:val="22"/>
      <w:szCs w:val="22"/>
    </w:rPr>
  </w:style>
  <w:style w:type="character" w:customStyle="1" w:styleId="128">
    <w:name w:val="普通文字 Char Char2"/>
    <w:qFormat/>
    <w:uiPriority w:val="99"/>
    <w:rPr>
      <w:rFonts w:ascii="宋体" w:hAnsi="Courier New" w:eastAsia="宋体" w:cs="宋体"/>
      <w:kern w:val="2"/>
      <w:sz w:val="21"/>
      <w:szCs w:val="21"/>
      <w:lang w:val="en-US" w:eastAsia="zh-CN"/>
    </w:rPr>
  </w:style>
  <w:style w:type="paragraph" w:customStyle="1" w:styleId="129">
    <w:name w:val="Table Paragraph"/>
    <w:basedOn w:val="1"/>
    <w:qFormat/>
    <w:uiPriority w:val="99"/>
    <w:pPr>
      <w:autoSpaceDE w:val="0"/>
      <w:autoSpaceDN w:val="0"/>
      <w:adjustRightInd w:val="0"/>
      <w:jc w:val="left"/>
    </w:pPr>
    <w:rPr>
      <w:rFonts w:ascii="黑体" w:eastAsia="黑体" w:cs="黑体"/>
      <w:kern w:val="0"/>
      <w:sz w:val="24"/>
      <w:szCs w:val="24"/>
    </w:rPr>
  </w:style>
  <w:style w:type="paragraph" w:customStyle="1" w:styleId="130">
    <w:name w:val="Level 1"/>
    <w:basedOn w:val="1"/>
    <w:next w:val="1"/>
    <w:qFormat/>
    <w:uiPriority w:val="99"/>
    <w:pPr>
      <w:keepNext/>
      <w:widowControl/>
      <w:numPr>
        <w:ilvl w:val="0"/>
        <w:numId w:val="2"/>
      </w:numPr>
      <w:spacing w:line="360" w:lineRule="auto"/>
      <w:outlineLvl w:val="0"/>
    </w:pPr>
    <w:rPr>
      <w:rFonts w:ascii="Arial" w:hAnsi="Arial" w:eastAsia="黑体" w:cs="Arial"/>
      <w:b/>
      <w:bCs/>
      <w:caps/>
      <w:w w:val="105"/>
      <w:kern w:val="20"/>
      <w:sz w:val="24"/>
      <w:szCs w:val="24"/>
      <w:lang w:val="en-GB" w:eastAsia="en-US"/>
    </w:rPr>
  </w:style>
  <w:style w:type="paragraph" w:customStyle="1" w:styleId="131">
    <w:name w:val="Level 8"/>
    <w:basedOn w:val="1"/>
    <w:qFormat/>
    <w:uiPriority w:val="99"/>
    <w:pPr>
      <w:widowControl/>
      <w:numPr>
        <w:ilvl w:val="7"/>
        <w:numId w:val="2"/>
      </w:numPr>
      <w:spacing w:after="120" w:line="336" w:lineRule="auto"/>
      <w:outlineLvl w:val="7"/>
    </w:pPr>
    <w:rPr>
      <w:rFonts w:ascii="Arial" w:hAnsi="Arial" w:cs="Arial"/>
      <w:w w:val="105"/>
      <w:kern w:val="20"/>
      <w:sz w:val="24"/>
      <w:szCs w:val="24"/>
      <w:lang w:val="en-GB" w:eastAsia="en-US"/>
    </w:rPr>
  </w:style>
  <w:style w:type="paragraph" w:customStyle="1" w:styleId="132">
    <w:name w:val="05 Body"/>
    <w:basedOn w:val="1"/>
    <w:qFormat/>
    <w:uiPriority w:val="99"/>
    <w:pPr>
      <w:widowControl/>
      <w:spacing w:line="290" w:lineRule="auto"/>
    </w:pPr>
    <w:rPr>
      <w:rFonts w:ascii="Arial" w:hAnsi="Arial" w:cs="Arial"/>
      <w:kern w:val="20"/>
      <w:sz w:val="24"/>
      <w:szCs w:val="24"/>
      <w:lang w:val="en-GB" w:eastAsia="en-US"/>
    </w:rPr>
  </w:style>
  <w:style w:type="paragraph" w:customStyle="1" w:styleId="133">
    <w:name w:val="Parties"/>
    <w:basedOn w:val="1"/>
    <w:qFormat/>
    <w:uiPriority w:val="99"/>
    <w:pPr>
      <w:widowControl/>
      <w:numPr>
        <w:ilvl w:val="0"/>
        <w:numId w:val="3"/>
      </w:numPr>
      <w:spacing w:after="140" w:line="290" w:lineRule="auto"/>
    </w:pPr>
    <w:rPr>
      <w:rFonts w:ascii="Arial" w:hAnsi="Arial" w:cs="Arial"/>
      <w:kern w:val="20"/>
      <w:sz w:val="20"/>
      <w:szCs w:val="20"/>
      <w:lang w:val="en-GB" w:eastAsia="en-US"/>
    </w:rPr>
  </w:style>
  <w:style w:type="paragraph" w:customStyle="1" w:styleId="134">
    <w:name w:val="Level 5"/>
    <w:basedOn w:val="135"/>
    <w:qFormat/>
    <w:uiPriority w:val="99"/>
    <w:pPr>
      <w:numPr>
        <w:ilvl w:val="4"/>
      </w:numPr>
      <w:tabs>
        <w:tab w:val="left" w:pos="1361"/>
      </w:tabs>
      <w:outlineLvl w:val="4"/>
    </w:pPr>
  </w:style>
  <w:style w:type="paragraph" w:customStyle="1" w:styleId="135">
    <w:name w:val="Level 4"/>
    <w:basedOn w:val="1"/>
    <w:qFormat/>
    <w:uiPriority w:val="99"/>
    <w:pPr>
      <w:numPr>
        <w:ilvl w:val="3"/>
        <w:numId w:val="2"/>
      </w:numPr>
      <w:spacing w:after="120" w:line="336" w:lineRule="auto"/>
      <w:outlineLvl w:val="3"/>
    </w:pPr>
    <w:rPr>
      <w:rFonts w:ascii="Arial" w:hAnsi="Arial" w:cs="Arial"/>
      <w:w w:val="105"/>
      <w:kern w:val="20"/>
      <w:sz w:val="24"/>
      <w:szCs w:val="24"/>
      <w:lang w:val="en-GB" w:eastAsia="en-US"/>
    </w:rPr>
  </w:style>
  <w:style w:type="paragraph" w:customStyle="1" w:styleId="136">
    <w:name w:val="Body"/>
    <w:basedOn w:val="1"/>
    <w:qFormat/>
    <w:uiPriority w:val="99"/>
    <w:pPr>
      <w:widowControl/>
      <w:spacing w:after="140" w:line="290" w:lineRule="auto"/>
    </w:pPr>
    <w:rPr>
      <w:rFonts w:ascii="Arial" w:hAnsi="Arial" w:cs="Arial"/>
      <w:kern w:val="20"/>
      <w:sz w:val="20"/>
      <w:szCs w:val="20"/>
      <w:lang w:val="en-GB" w:eastAsia="en-US"/>
    </w:rPr>
  </w:style>
  <w:style w:type="paragraph" w:customStyle="1" w:styleId="137">
    <w:name w:val="Char"/>
    <w:basedOn w:val="1"/>
    <w:qFormat/>
    <w:uiPriority w:val="99"/>
    <w:pPr>
      <w:snapToGrid w:val="0"/>
      <w:spacing w:line="440" w:lineRule="atLeast"/>
    </w:pPr>
    <w:rPr>
      <w:rFonts w:ascii="宋体" w:cs="宋体"/>
      <w:sz w:val="24"/>
      <w:szCs w:val="24"/>
    </w:rPr>
  </w:style>
  <w:style w:type="paragraph" w:customStyle="1" w:styleId="138">
    <w:name w:val="样式 标题 2 + Times New Roman 四号 非加粗 段前: 5 磅 段后: 0 磅 行距: 固定值 20..."/>
    <w:basedOn w:val="4"/>
    <w:next w:val="1"/>
    <w:qFormat/>
    <w:uiPriority w:val="99"/>
    <w:pPr>
      <w:spacing w:before="100" w:after="0" w:line="400" w:lineRule="exact"/>
    </w:pPr>
    <w:rPr>
      <w:rFonts w:ascii="Times New Roman" w:hAnsi="Times New Roman" w:eastAsia="黑体" w:cs="Times New Roman"/>
      <w:b w:val="0"/>
      <w:bCs w:val="0"/>
      <w:sz w:val="28"/>
      <w:szCs w:val="28"/>
    </w:rPr>
  </w:style>
  <w:style w:type="paragraph" w:customStyle="1" w:styleId="139">
    <w:name w:val="03 Wheras"/>
    <w:basedOn w:val="1"/>
    <w:qFormat/>
    <w:uiPriority w:val="99"/>
    <w:pPr>
      <w:widowControl/>
      <w:spacing w:line="290" w:lineRule="auto"/>
    </w:pPr>
    <w:rPr>
      <w:rFonts w:ascii="Arial" w:hAnsi="Arial" w:eastAsia="黑体" w:cs="Arial"/>
      <w:b/>
      <w:bCs/>
      <w:kern w:val="20"/>
      <w:sz w:val="24"/>
      <w:szCs w:val="24"/>
      <w:lang w:val="en-GB" w:eastAsia="en-US"/>
    </w:rPr>
  </w:style>
  <w:style w:type="paragraph" w:customStyle="1" w:styleId="140">
    <w:name w:val="Level 6"/>
    <w:basedOn w:val="134"/>
    <w:qFormat/>
    <w:uiPriority w:val="99"/>
    <w:pPr>
      <w:numPr>
        <w:ilvl w:val="5"/>
      </w:numPr>
      <w:outlineLvl w:val="5"/>
    </w:pPr>
  </w:style>
  <w:style w:type="paragraph" w:customStyle="1" w:styleId="141">
    <w:name w:val="Level 7"/>
    <w:basedOn w:val="1"/>
    <w:qFormat/>
    <w:uiPriority w:val="99"/>
    <w:pPr>
      <w:widowControl/>
      <w:numPr>
        <w:ilvl w:val="6"/>
        <w:numId w:val="2"/>
      </w:numPr>
      <w:spacing w:after="120" w:line="336" w:lineRule="auto"/>
      <w:outlineLvl w:val="6"/>
    </w:pPr>
    <w:rPr>
      <w:rFonts w:ascii="Arial" w:hAnsi="Arial" w:cs="Arial"/>
      <w:w w:val="105"/>
      <w:kern w:val="20"/>
      <w:sz w:val="24"/>
      <w:szCs w:val="24"/>
      <w:lang w:val="en-GB" w:eastAsia="en-US"/>
    </w:rPr>
  </w:style>
  <w:style w:type="paragraph" w:customStyle="1" w:styleId="142">
    <w:name w:val="WPSOffice手动目录 1"/>
    <w:qFormat/>
    <w:uiPriority w:val="99"/>
    <w:rPr>
      <w:rFonts w:ascii="Times New Roman" w:hAnsi="Times New Roman" w:eastAsia="宋体" w:cs="Times New Roman"/>
      <w:lang w:val="en-US" w:eastAsia="zh-CN" w:bidi="ar-SA"/>
    </w:rPr>
  </w:style>
  <w:style w:type="paragraph" w:customStyle="1" w:styleId="143">
    <w:name w:val="04 Recitals"/>
    <w:basedOn w:val="132"/>
    <w:qFormat/>
    <w:uiPriority w:val="99"/>
    <w:pPr>
      <w:numPr>
        <w:ilvl w:val="0"/>
        <w:numId w:val="4"/>
      </w:numPr>
    </w:pPr>
  </w:style>
  <w:style w:type="paragraph" w:customStyle="1" w:styleId="144">
    <w:name w:val="zFSNarrative"/>
    <w:basedOn w:val="1"/>
    <w:qFormat/>
    <w:uiPriority w:val="99"/>
    <w:pPr>
      <w:widowControl/>
      <w:spacing w:before="120" w:after="120" w:line="290" w:lineRule="auto"/>
      <w:jc w:val="center"/>
    </w:pPr>
    <w:rPr>
      <w:rFonts w:ascii="Arial" w:hAnsi="Arial" w:cs="Arial"/>
      <w:kern w:val="20"/>
      <w:sz w:val="20"/>
      <w:szCs w:val="20"/>
      <w:lang w:val="en-GB" w:eastAsia="en-US"/>
    </w:rPr>
  </w:style>
  <w:style w:type="paragraph" w:customStyle="1" w:styleId="145">
    <w:name w:val="02 Parties"/>
    <w:basedOn w:val="1"/>
    <w:qFormat/>
    <w:uiPriority w:val="99"/>
    <w:pPr>
      <w:widowControl/>
      <w:numPr>
        <w:ilvl w:val="0"/>
        <w:numId w:val="5"/>
      </w:numPr>
      <w:spacing w:line="290" w:lineRule="auto"/>
    </w:pPr>
    <w:rPr>
      <w:rFonts w:ascii="Arial" w:hAnsi="Arial" w:cs="Arial"/>
      <w:kern w:val="20"/>
      <w:sz w:val="24"/>
      <w:szCs w:val="24"/>
      <w:lang w:val="en-GB" w:eastAsia="en-US"/>
    </w:rPr>
  </w:style>
  <w:style w:type="paragraph" w:customStyle="1" w:styleId="146">
    <w:name w:val="修订1"/>
    <w:qFormat/>
    <w:uiPriority w:val="99"/>
    <w:rPr>
      <w:rFonts w:ascii="Times New Roman" w:hAnsi="Times New Roman" w:eastAsia="宋体" w:cs="Times New Roman"/>
      <w:kern w:val="2"/>
      <w:sz w:val="21"/>
      <w:szCs w:val="21"/>
      <w:lang w:val="en-US" w:eastAsia="zh-CN" w:bidi="ar-SA"/>
    </w:rPr>
  </w:style>
  <w:style w:type="paragraph" w:customStyle="1" w:styleId="147">
    <w:name w:val="Char Char Char Char Char Char Char"/>
    <w:basedOn w:val="1"/>
    <w:qFormat/>
    <w:uiPriority w:val="99"/>
    <w:rPr>
      <w:rFonts w:ascii="仿宋_GB2312" w:eastAsia="仿宋_GB2312" w:cs="仿宋_GB2312"/>
      <w:spacing w:val="-4"/>
      <w:sz w:val="32"/>
      <w:szCs w:val="32"/>
    </w:rPr>
  </w:style>
  <w:style w:type="paragraph" w:customStyle="1" w:styleId="148">
    <w:name w:val="Level 3"/>
    <w:basedOn w:val="1"/>
    <w:qFormat/>
    <w:uiPriority w:val="99"/>
    <w:pPr>
      <w:numPr>
        <w:ilvl w:val="2"/>
        <w:numId w:val="2"/>
      </w:numPr>
      <w:spacing w:after="120" w:line="336" w:lineRule="auto"/>
      <w:outlineLvl w:val="2"/>
    </w:pPr>
    <w:rPr>
      <w:rFonts w:ascii="Arial" w:hAnsi="Arial" w:cs="Arial"/>
      <w:w w:val="105"/>
      <w:kern w:val="20"/>
      <w:sz w:val="24"/>
      <w:szCs w:val="24"/>
      <w:lang w:val="en-GB" w:eastAsia="en-US"/>
    </w:rPr>
  </w:style>
  <w:style w:type="paragraph" w:styleId="149">
    <w:name w:val="List Paragraph"/>
    <w:basedOn w:val="1"/>
    <w:qFormat/>
    <w:uiPriority w:val="99"/>
    <w:pPr>
      <w:ind w:firstLine="420" w:firstLineChars="200"/>
    </w:pPr>
  </w:style>
  <w:style w:type="paragraph" w:customStyle="1" w:styleId="150">
    <w:name w:val="zFSco-names"/>
    <w:basedOn w:val="1"/>
    <w:next w:val="1"/>
    <w:qFormat/>
    <w:uiPriority w:val="99"/>
    <w:pPr>
      <w:widowControl/>
      <w:spacing w:before="120" w:after="120" w:line="290" w:lineRule="auto"/>
      <w:jc w:val="center"/>
    </w:pPr>
    <w:rPr>
      <w:rFonts w:ascii="Arial" w:hAnsi="Arial" w:cs="Arial"/>
      <w:kern w:val="24"/>
      <w:sz w:val="24"/>
      <w:szCs w:val="24"/>
      <w:lang w:val="en-GB" w:eastAsia="en-US"/>
    </w:rPr>
  </w:style>
  <w:style w:type="paragraph" w:customStyle="1" w:styleId="151">
    <w:name w:val="Level 2"/>
    <w:basedOn w:val="1"/>
    <w:next w:val="1"/>
    <w:qFormat/>
    <w:uiPriority w:val="99"/>
    <w:pPr>
      <w:numPr>
        <w:ilvl w:val="1"/>
        <w:numId w:val="2"/>
      </w:numPr>
      <w:spacing w:line="360" w:lineRule="auto"/>
      <w:outlineLvl w:val="1"/>
    </w:pPr>
    <w:rPr>
      <w:rFonts w:ascii="Arial" w:hAnsi="Arial" w:cs="Arial"/>
      <w:w w:val="105"/>
      <w:kern w:val="20"/>
      <w:sz w:val="24"/>
      <w:szCs w:val="24"/>
      <w:lang w:val="en-GB" w:eastAsia="en-US"/>
    </w:rPr>
  </w:style>
  <w:style w:type="paragraph" w:customStyle="1" w:styleId="152">
    <w:name w:val="PT-WZ"/>
    <w:qFormat/>
    <w:uiPriority w:val="99"/>
    <w:pPr>
      <w:widowControl w:val="0"/>
      <w:adjustRightInd w:val="0"/>
      <w:snapToGrid w:val="0"/>
      <w:spacing w:line="500" w:lineRule="exact"/>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153">
    <w:name w:val="Heading 81"/>
    <w:basedOn w:val="1"/>
    <w:qFormat/>
    <w:uiPriority w:val="99"/>
    <w:pPr>
      <w:autoSpaceDE w:val="0"/>
      <w:autoSpaceDN w:val="0"/>
      <w:ind w:left="765"/>
      <w:jc w:val="left"/>
      <w:outlineLvl w:val="8"/>
    </w:pPr>
    <w:rPr>
      <w:rFonts w:ascii="宋体" w:hAnsi="宋体" w:cs="宋体"/>
      <w:b/>
      <w:bCs/>
      <w:kern w:val="0"/>
      <w:lang w:val="zh-CN"/>
    </w:rPr>
  </w:style>
  <w:style w:type="paragraph" w:customStyle="1" w:styleId="154">
    <w:name w:val="标题 81"/>
    <w:basedOn w:val="1"/>
    <w:qFormat/>
    <w:uiPriority w:val="1"/>
    <w:pPr>
      <w:autoSpaceDE w:val="0"/>
      <w:autoSpaceDN w:val="0"/>
      <w:ind w:left="765"/>
      <w:jc w:val="left"/>
      <w:outlineLvl w:val="8"/>
    </w:pPr>
    <w:rPr>
      <w:rFonts w:ascii="宋体" w:hAnsi="宋体" w:cs="宋体"/>
      <w:b/>
      <w:bCs/>
      <w:kern w:val="0"/>
      <w:lang w:val="zh-CN" w:bidi="zh-CN"/>
    </w:rPr>
  </w:style>
  <w:style w:type="character" w:customStyle="1" w:styleId="155">
    <w:name w:val="fontstyle01"/>
    <w:qFormat/>
    <w:uiPriority w:val="0"/>
    <w:rPr>
      <w:rFonts w:hint="default" w:ascii="Times New Roman" w:hAnsi="Times New Roman" w:eastAsia="宋体" w:cs="Times New Roman"/>
      <w:color w:val="000000"/>
      <w:sz w:val="22"/>
      <w:szCs w:val="22"/>
    </w:rPr>
  </w:style>
  <w:style w:type="paragraph" w:customStyle="1" w:styleId="156">
    <w:name w:val="_Style 2"/>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57">
    <w:name w:val="1"/>
    <w:basedOn w:val="1"/>
    <w:next w:val="24"/>
    <w:qFormat/>
    <w:uiPriority w:val="99"/>
    <w:rPr>
      <w:rFonts w:ascii="宋体" w:hAnsi="Courier New"/>
      <w:szCs w:val="20"/>
    </w:rPr>
  </w:style>
  <w:style w:type="paragraph" w:customStyle="1" w:styleId="158">
    <w:name w:val="2"/>
    <w:basedOn w:val="1"/>
    <w:next w:val="24"/>
    <w:qFormat/>
    <w:uiPriority w:val="0"/>
    <w:rPr>
      <w:rFonts w:ascii="宋体" w:hAnsi="Courier New"/>
      <w:szCs w:val="20"/>
    </w:rPr>
  </w:style>
  <w:style w:type="paragraph" w:customStyle="1" w:styleId="159">
    <w:name w:val="标题 1_0"/>
    <w:basedOn w:val="160"/>
    <w:next w:val="160"/>
    <w:qFormat/>
    <w:uiPriority w:val="0"/>
    <w:pPr>
      <w:keepNext/>
      <w:keepLines/>
      <w:spacing w:line="360" w:lineRule="auto"/>
      <w:outlineLvl w:val="0"/>
    </w:pPr>
    <w:rPr>
      <w:rFonts w:ascii="Times New Roman" w:hAnsi="Times New Roman" w:eastAsia="黑体" w:cs="Times New Roman"/>
      <w:b/>
      <w:bCs/>
      <w:kern w:val="44"/>
      <w:sz w:val="32"/>
      <w:szCs w:val="32"/>
    </w:rPr>
  </w:style>
  <w:style w:type="paragraph" w:customStyle="1" w:styleId="160">
    <w:name w:val="正文_2"/>
    <w:basedOn w:val="161"/>
    <w:next w:val="163"/>
    <w:qFormat/>
    <w:uiPriority w:val="0"/>
    <w:rPr>
      <w:szCs w:val="22"/>
    </w:rPr>
  </w:style>
  <w:style w:type="paragraph" w:customStyle="1" w:styleId="161">
    <w:name w:val="正文_3"/>
    <w:basedOn w:val="162"/>
    <w:qFormat/>
    <w:uiPriority w:val="0"/>
    <w:rPr>
      <w:rFonts w:cs="宋体"/>
      <w:szCs w:val="21"/>
    </w:rPr>
  </w:style>
  <w:style w:type="paragraph" w:customStyle="1" w:styleId="162">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3">
    <w:name w:val="标题 4_0"/>
    <w:basedOn w:val="164"/>
    <w:next w:val="160"/>
    <w:qFormat/>
    <w:uiPriority w:val="0"/>
    <w:pPr>
      <w:keepNext/>
      <w:keepLines/>
      <w:spacing w:line="360" w:lineRule="auto"/>
      <w:outlineLvl w:val="3"/>
    </w:pPr>
    <w:rPr>
      <w:rFonts w:ascii="Arial" w:hAnsi="Arial"/>
      <w:b/>
      <w:bCs/>
      <w:szCs w:val="28"/>
    </w:rPr>
  </w:style>
  <w:style w:type="paragraph" w:customStyle="1" w:styleId="164">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65">
    <w:name w:val="正文_2_0"/>
    <w:basedOn w:val="161"/>
    <w:qFormat/>
    <w:uiPriority w:val="0"/>
  </w:style>
  <w:style w:type="paragraph" w:customStyle="1" w:styleId="166">
    <w:name w:val="正文_1"/>
    <w:qFormat/>
    <w:uiPriority w:val="99"/>
    <w:pPr>
      <w:widowControl w:val="0"/>
      <w:jc w:val="both"/>
    </w:pPr>
    <w:rPr>
      <w:rFonts w:ascii="Times New Roman" w:hAnsi="Times New Roman" w:eastAsia="宋体" w:cs="Times New Roman"/>
      <w:kern w:val="2"/>
      <w:sz w:val="21"/>
      <w:szCs w:val="21"/>
      <w:lang w:val="en-US" w:eastAsia="zh-CN" w:bidi="ar-SA"/>
    </w:rPr>
  </w:style>
  <w:style w:type="paragraph" w:styleId="16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8">
    <w:name w:val="无间隔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69">
    <w:name w:val="List Paragraph1"/>
    <w:basedOn w:val="1"/>
    <w:qFormat/>
    <w:uiPriority w:val="0"/>
    <w:pPr>
      <w:widowControl/>
      <w:spacing w:after="200" w:line="276" w:lineRule="auto"/>
      <w:ind w:left="720"/>
      <w:jc w:val="left"/>
    </w:pPr>
    <w:rPr>
      <w:rFonts w:ascii="Calibri" w:hAnsi="Calibri"/>
      <w:kern w:val="0"/>
      <w:sz w:val="22"/>
      <w:szCs w:val="22"/>
    </w:rPr>
  </w:style>
  <w:style w:type="character" w:customStyle="1" w:styleId="170">
    <w:name w:val="NormalCharacter"/>
    <w:qFormat/>
    <w:uiPriority w:val="0"/>
  </w:style>
  <w:style w:type="paragraph" w:customStyle="1" w:styleId="171">
    <w:name w:val="p0"/>
    <w:basedOn w:val="1"/>
    <w:qFormat/>
    <w:uiPriority w:val="99"/>
    <w:pPr>
      <w:widowControl/>
    </w:pPr>
    <w:rPr>
      <w:kern w:val="0"/>
    </w:rPr>
  </w:style>
  <w:style w:type="paragraph" w:customStyle="1" w:styleId="172">
    <w:name w:val="正文2"/>
    <w:basedOn w:val="1"/>
    <w:qFormat/>
    <w:uiPriority w:val="0"/>
    <w:pPr>
      <w:adjustRightInd w:val="0"/>
      <w:spacing w:before="156" w:line="360" w:lineRule="auto"/>
      <w:ind w:firstLine="510" w:firstLineChars="200"/>
    </w:pPr>
    <w:rPr>
      <w:kern w:val="0"/>
      <w:sz w:val="24"/>
      <w:szCs w:val="20"/>
    </w:rPr>
  </w:style>
  <w:style w:type="paragraph" w:customStyle="1" w:styleId="173">
    <w:name w:val="正文文本_0"/>
    <w:basedOn w:val="160"/>
    <w:link w:val="292"/>
    <w:qFormat/>
    <w:uiPriority w:val="0"/>
    <w:pPr>
      <w:adjustRightInd w:val="0"/>
      <w:spacing w:after="60" w:line="360" w:lineRule="atLeast"/>
      <w:ind w:left="72" w:leftChars="30" w:right="30" w:rightChars="30"/>
      <w:jc w:val="center"/>
      <w:textAlignment w:val="baseline"/>
    </w:pPr>
  </w:style>
  <w:style w:type="paragraph" w:customStyle="1" w:styleId="174">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5">
    <w:name w:val="UserStyle_106"/>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176">
    <w:name w:val="标题 2_1"/>
    <w:basedOn w:val="165"/>
    <w:next w:val="165"/>
    <w:semiHidden/>
    <w:qFormat/>
    <w:uiPriority w:val="0"/>
    <w:pPr>
      <w:keepNext/>
      <w:keepLines/>
      <w:spacing w:before="260" w:after="260" w:line="415" w:lineRule="auto"/>
      <w:outlineLvl w:val="1"/>
    </w:pPr>
    <w:rPr>
      <w:rFonts w:ascii="Cambria" w:hAnsi="Cambria"/>
      <w:b/>
      <w:bCs/>
      <w:sz w:val="32"/>
      <w:szCs w:val="32"/>
    </w:rPr>
  </w:style>
  <w:style w:type="paragraph" w:customStyle="1" w:styleId="177">
    <w:name w:val="标题 3_0"/>
    <w:basedOn w:val="160"/>
    <w:next w:val="165"/>
    <w:qFormat/>
    <w:uiPriority w:val="99"/>
    <w:pPr>
      <w:keepNext/>
      <w:keepLines/>
      <w:spacing w:line="360" w:lineRule="auto"/>
      <w:outlineLvl w:val="2"/>
    </w:pPr>
    <w:rPr>
      <w:rFonts w:eastAsia="黑体"/>
      <w:b/>
      <w:bCs/>
      <w:szCs w:val="32"/>
    </w:rPr>
  </w:style>
  <w:style w:type="paragraph" w:customStyle="1" w:styleId="178">
    <w:name w:val="正文_2_0_0"/>
    <w:basedOn w:val="179"/>
    <w:qFormat/>
    <w:uiPriority w:val="0"/>
  </w:style>
  <w:style w:type="paragraph" w:customStyle="1" w:styleId="179">
    <w:name w:val="正文_2_1"/>
    <w:basedOn w:val="180"/>
    <w:qFormat/>
    <w:uiPriority w:val="0"/>
  </w:style>
  <w:style w:type="paragraph" w:customStyle="1" w:styleId="180">
    <w:name w:val="正文_2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181">
    <w:name w:val="批注文字_0"/>
    <w:basedOn w:val="161"/>
    <w:unhideWhenUsed/>
    <w:qFormat/>
    <w:uiPriority w:val="0"/>
    <w:pPr>
      <w:jc w:val="left"/>
    </w:pPr>
    <w:rPr>
      <w:rFonts w:ascii="Times New Roman" w:hAnsi="Times New Roman"/>
    </w:rPr>
  </w:style>
  <w:style w:type="paragraph" w:customStyle="1" w:styleId="182">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83">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84">
    <w:name w:val="标题 2 Char_1"/>
    <w:link w:val="185"/>
    <w:qFormat/>
    <w:uiPriority w:val="0"/>
    <w:rPr>
      <w:rFonts w:ascii="Cambria" w:hAnsi="Cambria"/>
      <w:b/>
      <w:bCs/>
      <w:kern w:val="0"/>
      <w:sz w:val="32"/>
      <w:szCs w:val="32"/>
    </w:rPr>
  </w:style>
  <w:style w:type="paragraph" w:customStyle="1" w:styleId="185">
    <w:name w:val="标题 2_2"/>
    <w:basedOn w:val="160"/>
    <w:next w:val="160"/>
    <w:link w:val="184"/>
    <w:qFormat/>
    <w:uiPriority w:val="0"/>
    <w:pPr>
      <w:keepNext/>
      <w:keepLines/>
      <w:spacing w:before="260" w:after="260" w:line="416" w:lineRule="auto"/>
      <w:outlineLvl w:val="1"/>
    </w:pPr>
    <w:rPr>
      <w:rFonts w:ascii="Cambria" w:hAnsi="Cambria"/>
      <w:b/>
      <w:bCs/>
      <w:kern w:val="0"/>
      <w:sz w:val="32"/>
      <w:szCs w:val="32"/>
    </w:rPr>
  </w:style>
  <w:style w:type="paragraph" w:customStyle="1" w:styleId="186">
    <w:name w:val="Normal_1"/>
    <w:qFormat/>
    <w:uiPriority w:val="0"/>
    <w:rPr>
      <w:rFonts w:ascii="Times New Roman" w:hAnsi="Times New Roman" w:eastAsia="Times New Roman" w:cs="Times New Roman"/>
      <w:sz w:val="24"/>
      <w:szCs w:val="24"/>
      <w:lang w:val="en-US" w:eastAsia="zh-CN" w:bidi="ar-SA"/>
    </w:rPr>
  </w:style>
  <w:style w:type="paragraph" w:customStyle="1" w:styleId="187">
    <w:name w:val="首行缩进"/>
    <w:basedOn w:val="1"/>
    <w:qFormat/>
    <w:uiPriority w:val="0"/>
    <w:pPr>
      <w:ind w:firstLine="480" w:firstLineChars="200"/>
    </w:pPr>
  </w:style>
  <w:style w:type="paragraph" w:customStyle="1" w:styleId="188">
    <w:name w:val="正文呀2"/>
    <w:basedOn w:val="189"/>
    <w:link w:val="290"/>
    <w:qFormat/>
    <w:uiPriority w:val="0"/>
    <w:rPr>
      <w:rFonts w:ascii="Times New Roman" w:hAnsi="Times New Roman"/>
    </w:rPr>
  </w:style>
  <w:style w:type="paragraph" w:customStyle="1" w:styleId="189">
    <w:name w:val="正文呀"/>
    <w:basedOn w:val="1"/>
    <w:qFormat/>
    <w:uiPriority w:val="0"/>
    <w:pPr>
      <w:spacing w:line="420" w:lineRule="exact"/>
      <w:ind w:firstLine="420" w:firstLineChars="200"/>
    </w:pPr>
    <w:rPr>
      <w:rFonts w:ascii="宋体" w:hAnsi="宋体"/>
    </w:rPr>
  </w:style>
  <w:style w:type="paragraph" w:customStyle="1" w:styleId="190">
    <w:name w:val="_Style 5_0"/>
    <w:qFormat/>
    <w:uiPriority w:val="1"/>
    <w:rPr>
      <w:rFonts w:ascii="Times New Roman" w:hAnsi="Times New Roman" w:eastAsia="宋体" w:cs="Times New Roman"/>
      <w:sz w:val="22"/>
      <w:szCs w:val="22"/>
      <w:lang w:val="en-US" w:eastAsia="zh-CN" w:bidi="ar-SA"/>
    </w:rPr>
  </w:style>
  <w:style w:type="paragraph" w:customStyle="1" w:styleId="191">
    <w:name w:val="目录 21"/>
    <w:basedOn w:val="1"/>
    <w:next w:val="1"/>
    <w:qFormat/>
    <w:uiPriority w:val="0"/>
    <w:pPr>
      <w:spacing w:before="100" w:beforeAutospacing="1" w:after="100" w:afterAutospacing="1"/>
      <w:ind w:left="420" w:leftChars="200"/>
    </w:pPr>
  </w:style>
  <w:style w:type="character" w:customStyle="1" w:styleId="192">
    <w:name w:val="Char Char18"/>
    <w:qFormat/>
    <w:uiPriority w:val="99"/>
    <w:rPr>
      <w:rFonts w:ascii="Times New Roman" w:hAnsi="Times New Roman" w:eastAsia="宋体" w:cs="Times New Roman"/>
      <w:b/>
      <w:bCs/>
      <w:sz w:val="28"/>
      <w:szCs w:val="28"/>
    </w:rPr>
  </w:style>
  <w:style w:type="character" w:customStyle="1" w:styleId="193">
    <w:name w:val="Char Char23"/>
    <w:qFormat/>
    <w:uiPriority w:val="99"/>
    <w:rPr>
      <w:rFonts w:eastAsia="宋体"/>
      <w:b/>
      <w:bCs/>
      <w:kern w:val="44"/>
      <w:sz w:val="44"/>
      <w:szCs w:val="44"/>
      <w:lang w:val="en-US" w:eastAsia="zh-CN"/>
    </w:rPr>
  </w:style>
  <w:style w:type="character" w:customStyle="1" w:styleId="194">
    <w:name w:val="副标题 Char1"/>
    <w:qFormat/>
    <w:uiPriority w:val="11"/>
    <w:rPr>
      <w:rFonts w:ascii="等线 Light" w:hAnsi="等线 Light" w:eastAsia="宋体" w:cs="Times New Roman"/>
      <w:b/>
      <w:bCs/>
      <w:kern w:val="28"/>
      <w:sz w:val="32"/>
      <w:szCs w:val="32"/>
    </w:rPr>
  </w:style>
  <w:style w:type="character" w:customStyle="1" w:styleId="195">
    <w:name w:val="Heading 3 Char1"/>
    <w:qFormat/>
    <w:uiPriority w:val="99"/>
    <w:rPr>
      <w:rFonts w:eastAsia="宋体"/>
      <w:b/>
      <w:bCs/>
      <w:kern w:val="2"/>
      <w:sz w:val="32"/>
      <w:szCs w:val="32"/>
      <w:lang w:val="en-US" w:eastAsia="zh-CN"/>
    </w:rPr>
  </w:style>
  <w:style w:type="character" w:customStyle="1" w:styleId="196">
    <w:name w:val="文档结构图 Char2"/>
    <w:semiHidden/>
    <w:qFormat/>
    <w:uiPriority w:val="99"/>
    <w:rPr>
      <w:rFonts w:ascii="宋体" w:hAnsi="Times New Roman" w:eastAsia="宋体" w:cs="Times New Roman"/>
      <w:sz w:val="18"/>
      <w:szCs w:val="18"/>
    </w:rPr>
  </w:style>
  <w:style w:type="character" w:customStyle="1" w:styleId="197">
    <w:name w:val="标题 Char2"/>
    <w:qFormat/>
    <w:uiPriority w:val="99"/>
    <w:rPr>
      <w:rFonts w:ascii="Cambria" w:hAnsi="Cambria" w:eastAsia="宋体" w:cs="Cambria"/>
      <w:b/>
      <w:bCs/>
      <w:sz w:val="32"/>
      <w:szCs w:val="32"/>
    </w:rPr>
  </w:style>
  <w:style w:type="character" w:customStyle="1" w:styleId="198">
    <w:name w:val="脚注文本 Char1"/>
    <w:semiHidden/>
    <w:qFormat/>
    <w:uiPriority w:val="99"/>
    <w:rPr>
      <w:rFonts w:ascii="Times New Roman" w:hAnsi="Times New Roman" w:eastAsia="宋体" w:cs="Times New Roman"/>
      <w:sz w:val="18"/>
      <w:szCs w:val="18"/>
    </w:rPr>
  </w:style>
  <w:style w:type="character" w:customStyle="1" w:styleId="199">
    <w:name w:val="Comment Text Char1"/>
    <w:qFormat/>
    <w:uiPriority w:val="99"/>
    <w:rPr>
      <w:sz w:val="24"/>
      <w:szCs w:val="24"/>
    </w:rPr>
  </w:style>
  <w:style w:type="character" w:customStyle="1" w:styleId="200">
    <w:name w:val="Comment Subject Char"/>
    <w:qFormat/>
    <w:uiPriority w:val="99"/>
    <w:rPr>
      <w:b/>
      <w:bCs/>
      <w:sz w:val="24"/>
      <w:szCs w:val="24"/>
    </w:rPr>
  </w:style>
  <w:style w:type="character" w:customStyle="1" w:styleId="201">
    <w:name w:val="标题 Char4"/>
    <w:qFormat/>
    <w:uiPriority w:val="10"/>
    <w:rPr>
      <w:rFonts w:ascii="Cambria" w:hAnsi="Cambria" w:eastAsia="宋体" w:cs="Times New Roman"/>
      <w:b/>
      <w:bCs/>
      <w:sz w:val="32"/>
      <w:szCs w:val="32"/>
    </w:rPr>
  </w:style>
  <w:style w:type="character" w:customStyle="1" w:styleId="202">
    <w:name w:val="标题 Char3"/>
    <w:qFormat/>
    <w:uiPriority w:val="10"/>
    <w:rPr>
      <w:rFonts w:ascii="等线 Light" w:hAnsi="等线 Light" w:eastAsia="宋体" w:cs="Times New Roman"/>
      <w:b/>
      <w:bCs/>
      <w:sz w:val="32"/>
      <w:szCs w:val="32"/>
    </w:rPr>
  </w:style>
  <w:style w:type="character" w:customStyle="1" w:styleId="203">
    <w:name w:val="Balloon Text Char"/>
    <w:qFormat/>
    <w:uiPriority w:val="99"/>
    <w:rPr>
      <w:sz w:val="18"/>
      <w:szCs w:val="18"/>
    </w:rPr>
  </w:style>
  <w:style w:type="character" w:customStyle="1" w:styleId="204">
    <w:name w:val="批注框文本 Char2"/>
    <w:semiHidden/>
    <w:qFormat/>
    <w:uiPriority w:val="99"/>
    <w:rPr>
      <w:rFonts w:ascii="Times New Roman" w:hAnsi="Times New Roman" w:eastAsia="宋体" w:cs="Times New Roman"/>
      <w:sz w:val="18"/>
      <w:szCs w:val="18"/>
    </w:rPr>
  </w:style>
  <w:style w:type="character" w:customStyle="1" w:styleId="205">
    <w:name w:val="批注主题 Char1"/>
    <w:qFormat/>
    <w:uiPriority w:val="99"/>
    <w:rPr>
      <w:rFonts w:ascii="Times New Roman" w:hAnsi="Times New Roman" w:eastAsia="宋体" w:cs="Times New Roman"/>
      <w:b/>
      <w:bCs/>
      <w:sz w:val="24"/>
      <w:szCs w:val="24"/>
    </w:rPr>
  </w:style>
  <w:style w:type="character" w:customStyle="1" w:styleId="206">
    <w:name w:val="Char Char91"/>
    <w:qFormat/>
    <w:uiPriority w:val="99"/>
    <w:rPr>
      <w:rFonts w:eastAsia="宋体"/>
      <w:b/>
      <w:bCs/>
      <w:kern w:val="44"/>
      <w:sz w:val="44"/>
      <w:szCs w:val="44"/>
      <w:lang w:val="en-US" w:eastAsia="zh-CN"/>
    </w:rPr>
  </w:style>
  <w:style w:type="character" w:customStyle="1" w:styleId="207">
    <w:name w:val="Document Map Char"/>
    <w:qFormat/>
    <w:uiPriority w:val="99"/>
    <w:rPr>
      <w:rFonts w:eastAsia="宋体"/>
      <w:kern w:val="2"/>
      <w:sz w:val="24"/>
      <w:szCs w:val="24"/>
      <w:lang w:val="en-US" w:eastAsia="zh-CN"/>
    </w:rPr>
  </w:style>
  <w:style w:type="character" w:customStyle="1" w:styleId="208">
    <w:name w:val="Char Char21"/>
    <w:qFormat/>
    <w:uiPriority w:val="99"/>
    <w:rPr>
      <w:rFonts w:ascii="Arial" w:hAnsi="Arial" w:eastAsia="黑体" w:cs="Arial"/>
      <w:b/>
      <w:bCs/>
      <w:sz w:val="32"/>
      <w:szCs w:val="32"/>
    </w:rPr>
  </w:style>
  <w:style w:type="character" w:customStyle="1" w:styleId="209">
    <w:name w:val="Char Char9"/>
    <w:qFormat/>
    <w:uiPriority w:val="99"/>
    <w:rPr>
      <w:rFonts w:eastAsia="宋体"/>
      <w:b/>
      <w:bCs/>
      <w:kern w:val="44"/>
      <w:sz w:val="44"/>
      <w:szCs w:val="44"/>
      <w:lang w:val="en-US" w:eastAsia="zh-CN"/>
    </w:rPr>
  </w:style>
  <w:style w:type="character" w:customStyle="1" w:styleId="210">
    <w:name w:val="明显参考1"/>
    <w:qFormat/>
    <w:uiPriority w:val="99"/>
    <w:rPr>
      <w:b/>
      <w:bCs/>
      <w:smallCaps/>
      <w:color w:val="auto"/>
      <w:spacing w:val="5"/>
      <w:u w:val="single"/>
    </w:rPr>
  </w:style>
  <w:style w:type="character" w:customStyle="1" w:styleId="211">
    <w:name w:val="副标题 Char2"/>
    <w:qFormat/>
    <w:uiPriority w:val="11"/>
    <w:rPr>
      <w:rFonts w:ascii="Cambria" w:hAnsi="Cambria" w:eastAsia="宋体" w:cs="Times New Roman"/>
      <w:b/>
      <w:bCs/>
      <w:kern w:val="28"/>
      <w:sz w:val="32"/>
      <w:szCs w:val="32"/>
    </w:rPr>
  </w:style>
  <w:style w:type="character" w:customStyle="1" w:styleId="212">
    <w:name w:val="标题 Char1"/>
    <w:qFormat/>
    <w:uiPriority w:val="99"/>
    <w:rPr>
      <w:rFonts w:ascii="Cambria" w:hAnsi="Cambria" w:eastAsia="宋体" w:cs="Cambria"/>
      <w:b/>
      <w:bCs/>
      <w:sz w:val="32"/>
      <w:szCs w:val="32"/>
    </w:rPr>
  </w:style>
  <w:style w:type="character" w:customStyle="1" w:styleId="213">
    <w:name w:val="不明显参考1"/>
    <w:qFormat/>
    <w:uiPriority w:val="99"/>
    <w:rPr>
      <w:smallCaps/>
      <w:color w:val="auto"/>
      <w:u w:val="single"/>
    </w:rPr>
  </w:style>
  <w:style w:type="character" w:customStyle="1" w:styleId="214">
    <w:name w:val="批注主题 Char2"/>
    <w:semiHidden/>
    <w:qFormat/>
    <w:uiPriority w:val="99"/>
    <w:rPr>
      <w:rFonts w:ascii="Times New Roman" w:hAnsi="Times New Roman" w:eastAsia="宋体" w:cs="Times New Roman"/>
      <w:b/>
      <w:bCs/>
      <w:szCs w:val="21"/>
    </w:rPr>
  </w:style>
  <w:style w:type="character" w:customStyle="1" w:styleId="215">
    <w:name w:val="日期 Char2"/>
    <w:semiHidden/>
    <w:qFormat/>
    <w:uiPriority w:val="99"/>
    <w:rPr>
      <w:rFonts w:ascii="Times New Roman" w:hAnsi="Times New Roman" w:eastAsia="宋体" w:cs="Times New Roman"/>
      <w:szCs w:val="21"/>
    </w:rPr>
  </w:style>
  <w:style w:type="character" w:customStyle="1" w:styleId="216">
    <w:name w:val="正文文本 Char2"/>
    <w:semiHidden/>
    <w:qFormat/>
    <w:uiPriority w:val="99"/>
    <w:rPr>
      <w:rFonts w:ascii="Times New Roman" w:hAnsi="Times New Roman" w:eastAsia="宋体" w:cs="Times New Roman"/>
      <w:szCs w:val="21"/>
    </w:rPr>
  </w:style>
  <w:style w:type="character" w:customStyle="1" w:styleId="217">
    <w:name w:val="Char Char6"/>
    <w:qFormat/>
    <w:uiPriority w:val="99"/>
    <w:rPr>
      <w:rFonts w:eastAsia="宋体"/>
      <w:b/>
      <w:bCs/>
      <w:kern w:val="44"/>
      <w:sz w:val="44"/>
      <w:szCs w:val="44"/>
      <w:lang w:val="en-US" w:eastAsia="zh-CN"/>
    </w:rPr>
  </w:style>
  <w:style w:type="character" w:customStyle="1" w:styleId="218">
    <w:name w:val="明显强调1"/>
    <w:qFormat/>
    <w:uiPriority w:val="99"/>
    <w:rPr>
      <w:b/>
      <w:bCs/>
      <w:i/>
      <w:iCs/>
      <w:color w:val="4F81BD"/>
    </w:rPr>
  </w:style>
  <w:style w:type="character" w:customStyle="1" w:styleId="219">
    <w:name w:val="Heading 4 Char"/>
    <w:qFormat/>
    <w:uiPriority w:val="99"/>
    <w:rPr>
      <w:rFonts w:ascii="Arial" w:hAnsi="Arial" w:eastAsia="宋体" w:cs="Arial"/>
      <w:b/>
      <w:bCs/>
      <w:kern w:val="2"/>
      <w:sz w:val="28"/>
      <w:szCs w:val="28"/>
      <w:lang w:val="en-US" w:eastAsia="zh-CN"/>
    </w:rPr>
  </w:style>
  <w:style w:type="character" w:customStyle="1" w:styleId="220">
    <w:name w:val="Heading 3 Char"/>
    <w:qFormat/>
    <w:uiPriority w:val="99"/>
    <w:rPr>
      <w:b/>
      <w:bCs/>
      <w:kern w:val="2"/>
      <w:sz w:val="32"/>
      <w:szCs w:val="32"/>
    </w:rPr>
  </w:style>
  <w:style w:type="character" w:customStyle="1" w:styleId="221">
    <w:name w:val="Comment Text Char"/>
    <w:qFormat/>
    <w:uiPriority w:val="99"/>
    <w:rPr>
      <w:sz w:val="24"/>
      <w:szCs w:val="24"/>
    </w:rPr>
  </w:style>
  <w:style w:type="character" w:customStyle="1" w:styleId="222">
    <w:name w:val="Heading 1 Char"/>
    <w:qFormat/>
    <w:uiPriority w:val="99"/>
    <w:rPr>
      <w:rFonts w:eastAsia="宋体"/>
      <w:b/>
      <w:bCs/>
      <w:kern w:val="44"/>
      <w:sz w:val="44"/>
      <w:szCs w:val="44"/>
      <w:lang w:val="en-US" w:eastAsia="zh-CN"/>
    </w:rPr>
  </w:style>
  <w:style w:type="character" w:customStyle="1" w:styleId="223">
    <w:name w:val="Footer Char"/>
    <w:qFormat/>
    <w:uiPriority w:val="99"/>
    <w:rPr>
      <w:rFonts w:eastAsia="宋体"/>
      <w:kern w:val="2"/>
      <w:sz w:val="18"/>
      <w:szCs w:val="18"/>
      <w:lang w:val="en-US" w:eastAsia="zh-CN"/>
    </w:rPr>
  </w:style>
  <w:style w:type="character" w:customStyle="1" w:styleId="224">
    <w:name w:val="textcontents"/>
    <w:qFormat/>
    <w:uiPriority w:val="99"/>
  </w:style>
  <w:style w:type="character" w:customStyle="1" w:styleId="225">
    <w:name w:val="Char Char181"/>
    <w:qFormat/>
    <w:uiPriority w:val="99"/>
    <w:rPr>
      <w:b/>
      <w:bCs/>
      <w:kern w:val="44"/>
      <w:sz w:val="44"/>
      <w:szCs w:val="44"/>
    </w:rPr>
  </w:style>
  <w:style w:type="character" w:customStyle="1" w:styleId="226">
    <w:name w:val="Header Char"/>
    <w:qFormat/>
    <w:uiPriority w:val="99"/>
    <w:rPr>
      <w:rFonts w:eastAsia="宋体"/>
      <w:kern w:val="2"/>
      <w:sz w:val="18"/>
      <w:szCs w:val="18"/>
      <w:lang w:val="en-US" w:eastAsia="zh-CN"/>
    </w:rPr>
  </w:style>
  <w:style w:type="character" w:customStyle="1" w:styleId="227">
    <w:name w:val="Body Text Indent Char"/>
    <w:qFormat/>
    <w:uiPriority w:val="99"/>
    <w:rPr>
      <w:rFonts w:ascii="宋体" w:hAnsi="宋体" w:eastAsia="宋体" w:cs="宋体"/>
      <w:kern w:val="2"/>
      <w:sz w:val="21"/>
      <w:szCs w:val="21"/>
      <w:lang w:val="en-US" w:eastAsia="zh-CN"/>
    </w:rPr>
  </w:style>
  <w:style w:type="character" w:customStyle="1" w:styleId="228">
    <w:name w:val="批注框文本 Char1"/>
    <w:qFormat/>
    <w:uiPriority w:val="99"/>
    <w:rPr>
      <w:rFonts w:ascii="Times New Roman" w:hAnsi="Times New Roman" w:eastAsia="宋体" w:cs="Times New Roman"/>
      <w:sz w:val="18"/>
      <w:szCs w:val="18"/>
    </w:rPr>
  </w:style>
  <w:style w:type="character" w:customStyle="1" w:styleId="229">
    <w:name w:val="文档结构图 Char1"/>
    <w:qFormat/>
    <w:uiPriority w:val="99"/>
    <w:rPr>
      <w:rFonts w:ascii="宋体" w:hAnsi="Times New Roman" w:eastAsia="宋体" w:cs="宋体"/>
      <w:sz w:val="18"/>
      <w:szCs w:val="18"/>
    </w:rPr>
  </w:style>
  <w:style w:type="character" w:customStyle="1" w:styleId="230">
    <w:name w:val="正文文本缩进 Char1"/>
    <w:semiHidden/>
    <w:qFormat/>
    <w:uiPriority w:val="99"/>
    <w:rPr>
      <w:rFonts w:ascii="Times New Roman" w:hAnsi="Times New Roman" w:eastAsia="宋体" w:cs="Times New Roman"/>
      <w:szCs w:val="21"/>
    </w:rPr>
  </w:style>
  <w:style w:type="character" w:customStyle="1" w:styleId="231">
    <w:name w:val="Plain Text Char"/>
    <w:qFormat/>
    <w:uiPriority w:val="99"/>
    <w:rPr>
      <w:rFonts w:ascii="宋体" w:hAnsi="Courier New" w:eastAsia="宋体" w:cs="宋体"/>
      <w:sz w:val="24"/>
      <w:szCs w:val="24"/>
    </w:rPr>
  </w:style>
  <w:style w:type="character" w:customStyle="1" w:styleId="232">
    <w:name w:val="Heading 2 Char"/>
    <w:qFormat/>
    <w:uiPriority w:val="99"/>
    <w:rPr>
      <w:rFonts w:ascii="Arial" w:hAnsi="Arial" w:eastAsia="黑体" w:cs="Arial"/>
      <w:b/>
      <w:bCs/>
      <w:kern w:val="2"/>
      <w:sz w:val="32"/>
      <w:szCs w:val="32"/>
      <w:lang w:val="en-US" w:eastAsia="zh-CN"/>
    </w:rPr>
  </w:style>
  <w:style w:type="character" w:customStyle="1" w:styleId="233">
    <w:name w:val="书籍标题1"/>
    <w:qFormat/>
    <w:uiPriority w:val="99"/>
    <w:rPr>
      <w:b/>
      <w:bCs/>
      <w:smallCaps/>
      <w:spacing w:val="5"/>
    </w:rPr>
  </w:style>
  <w:style w:type="character" w:customStyle="1" w:styleId="234">
    <w:name w:val="Heading 5 Char"/>
    <w:qFormat/>
    <w:uiPriority w:val="99"/>
    <w:rPr>
      <w:rFonts w:eastAsia="宋体"/>
      <w:b/>
      <w:bCs/>
      <w:kern w:val="2"/>
      <w:sz w:val="28"/>
      <w:szCs w:val="28"/>
      <w:lang w:val="en-US" w:eastAsia="zh-CN"/>
    </w:rPr>
  </w:style>
  <w:style w:type="character" w:customStyle="1" w:styleId="235">
    <w:name w:val="批注文字 Char Char"/>
    <w:qFormat/>
    <w:uiPriority w:val="99"/>
    <w:rPr>
      <w:rFonts w:ascii="宋体" w:hAnsi="Times New Roman" w:eastAsia="宋体" w:cs="宋体"/>
      <w:sz w:val="20"/>
      <w:szCs w:val="20"/>
    </w:rPr>
  </w:style>
  <w:style w:type="character" w:customStyle="1" w:styleId="236">
    <w:name w:val="Title Char"/>
    <w:qFormat/>
    <w:uiPriority w:val="99"/>
    <w:rPr>
      <w:rFonts w:ascii="Cambria" w:hAnsi="Cambria" w:cs="Cambria"/>
      <w:b/>
      <w:bCs/>
      <w:sz w:val="32"/>
      <w:szCs w:val="32"/>
    </w:rPr>
  </w:style>
  <w:style w:type="character" w:customStyle="1" w:styleId="237">
    <w:name w:val="批注文字 Char1"/>
    <w:qFormat/>
    <w:uiPriority w:val="99"/>
    <w:rPr>
      <w:rFonts w:ascii="Times New Roman" w:hAnsi="Times New Roman" w:eastAsia="宋体" w:cs="Times New Roman"/>
      <w:sz w:val="24"/>
      <w:szCs w:val="24"/>
    </w:rPr>
  </w:style>
  <w:style w:type="character" w:customStyle="1" w:styleId="238">
    <w:name w:val="Char Char20"/>
    <w:qFormat/>
    <w:uiPriority w:val="99"/>
    <w:rPr>
      <w:rFonts w:ascii="Times New Roman" w:hAnsi="Times New Roman" w:eastAsia="宋体" w:cs="Times New Roman"/>
      <w:b/>
      <w:bCs/>
      <w:sz w:val="32"/>
      <w:szCs w:val="32"/>
    </w:rPr>
  </w:style>
  <w:style w:type="character" w:customStyle="1" w:styleId="239">
    <w:name w:val="页脚 Char1"/>
    <w:semiHidden/>
    <w:qFormat/>
    <w:uiPriority w:val="99"/>
    <w:rPr>
      <w:rFonts w:ascii="Times New Roman" w:hAnsi="Times New Roman" w:eastAsia="宋体" w:cs="Times New Roman"/>
      <w:sz w:val="18"/>
      <w:szCs w:val="18"/>
    </w:rPr>
  </w:style>
  <w:style w:type="character" w:customStyle="1" w:styleId="240">
    <w:name w:val="批注文字 Char2"/>
    <w:qFormat/>
    <w:locked/>
    <w:uiPriority w:val="0"/>
    <w:rPr>
      <w:rFonts w:eastAsia="宋体"/>
      <w:kern w:val="2"/>
      <w:sz w:val="24"/>
      <w:szCs w:val="24"/>
      <w:lang w:val="en-US" w:eastAsia="zh-CN"/>
    </w:rPr>
  </w:style>
  <w:style w:type="character" w:customStyle="1" w:styleId="241">
    <w:name w:val="页眉 Char1"/>
    <w:semiHidden/>
    <w:qFormat/>
    <w:uiPriority w:val="99"/>
    <w:rPr>
      <w:rFonts w:ascii="Times New Roman" w:hAnsi="Times New Roman" w:eastAsia="宋体" w:cs="Times New Roman"/>
      <w:sz w:val="18"/>
      <w:szCs w:val="18"/>
    </w:rPr>
  </w:style>
  <w:style w:type="character" w:customStyle="1" w:styleId="242">
    <w:name w:val="不明显强调1"/>
    <w:qFormat/>
    <w:uiPriority w:val="99"/>
    <w:rPr>
      <w:i/>
      <w:iCs/>
      <w:color w:val="808080"/>
    </w:rPr>
  </w:style>
  <w:style w:type="character" w:customStyle="1" w:styleId="243">
    <w:name w:val="Char Char24"/>
    <w:qFormat/>
    <w:uiPriority w:val="99"/>
    <w:rPr>
      <w:rFonts w:eastAsia="宋体"/>
      <w:b/>
      <w:bCs/>
      <w:kern w:val="44"/>
      <w:sz w:val="44"/>
      <w:szCs w:val="44"/>
      <w:lang w:val="en-US" w:eastAsia="zh-CN"/>
    </w:rPr>
  </w:style>
  <w:style w:type="character" w:customStyle="1" w:styleId="244">
    <w:name w:val="Char Char19"/>
    <w:qFormat/>
    <w:uiPriority w:val="99"/>
    <w:rPr>
      <w:rFonts w:ascii="Arial" w:hAnsi="Arial" w:eastAsia="宋体" w:cs="Arial"/>
      <w:b/>
      <w:bCs/>
      <w:sz w:val="28"/>
      <w:szCs w:val="28"/>
    </w:rPr>
  </w:style>
  <w:style w:type="character" w:customStyle="1" w:styleId="245">
    <w:name w:val="日期 Char1"/>
    <w:qFormat/>
    <w:uiPriority w:val="99"/>
    <w:rPr>
      <w:rFonts w:ascii="Times New Roman" w:hAnsi="Times New Roman" w:eastAsia="宋体" w:cs="Times New Roman"/>
      <w:sz w:val="24"/>
      <w:szCs w:val="24"/>
    </w:rPr>
  </w:style>
  <w:style w:type="character" w:customStyle="1" w:styleId="246">
    <w:name w:val="Char Char22"/>
    <w:qFormat/>
    <w:uiPriority w:val="99"/>
    <w:rPr>
      <w:rFonts w:ascii="Times New Roman" w:hAnsi="Times New Roman" w:eastAsia="宋体" w:cs="Times New Roman"/>
      <w:b/>
      <w:bCs/>
      <w:kern w:val="44"/>
      <w:sz w:val="44"/>
      <w:szCs w:val="44"/>
    </w:rPr>
  </w:style>
  <w:style w:type="character" w:customStyle="1" w:styleId="247">
    <w:name w:val="正文文本缩进 2 Char1"/>
    <w:semiHidden/>
    <w:qFormat/>
    <w:uiPriority w:val="99"/>
    <w:rPr>
      <w:rFonts w:ascii="Times New Roman" w:hAnsi="Times New Roman" w:eastAsia="宋体" w:cs="Times New Roman"/>
      <w:szCs w:val="21"/>
    </w:rPr>
  </w:style>
  <w:style w:type="paragraph" w:customStyle="1" w:styleId="248">
    <w:name w:val="列出段落1"/>
    <w:basedOn w:val="1"/>
    <w:qFormat/>
    <w:uiPriority w:val="0"/>
    <w:pPr>
      <w:ind w:left="424" w:firstLine="480"/>
    </w:pPr>
  </w:style>
  <w:style w:type="paragraph" w:customStyle="1" w:styleId="249">
    <w:name w:val="空半行"/>
    <w:basedOn w:val="1"/>
    <w:qFormat/>
    <w:uiPriority w:val="99"/>
    <w:pPr>
      <w:adjustRightInd w:val="0"/>
      <w:spacing w:line="120" w:lineRule="exact"/>
      <w:textAlignment w:val="baseline"/>
    </w:pPr>
    <w:rPr>
      <w:rFonts w:eastAsia="仿宋_GB2312"/>
      <w:color w:val="FFFFFF"/>
      <w:kern w:val="0"/>
      <w:sz w:val="30"/>
      <w:szCs w:val="30"/>
    </w:rPr>
  </w:style>
  <w:style w:type="paragraph" w:customStyle="1" w:styleId="250">
    <w:name w:val="样式 标题 3 + (中文) 黑体 小四 非加粗 段前: 7.8 磅 段后: 0 磅 行距: 固定值 20 磅"/>
    <w:basedOn w:val="5"/>
    <w:qFormat/>
    <w:uiPriority w:val="99"/>
    <w:pPr>
      <w:spacing w:before="0" w:after="120" w:line="400" w:lineRule="exact"/>
      <w:ind w:left="200" w:leftChars="200"/>
    </w:pPr>
    <w:rPr>
      <w:b w:val="0"/>
      <w:bCs w:val="0"/>
      <w:sz w:val="21"/>
      <w:lang w:val="zh-CN"/>
    </w:rPr>
  </w:style>
  <w:style w:type="paragraph" w:customStyle="1" w:styleId="251">
    <w:name w:val="_Style 5"/>
    <w:qFormat/>
    <w:uiPriority w:val="1"/>
    <w:rPr>
      <w:rFonts w:ascii="Times New Roman" w:hAnsi="Times New Roman" w:eastAsia="宋体" w:cs="Times New Roman"/>
      <w:sz w:val="22"/>
      <w:szCs w:val="22"/>
      <w:lang w:val="en-US" w:eastAsia="zh-CN" w:bidi="ar-SA"/>
    </w:rPr>
  </w:style>
  <w:style w:type="paragraph" w:customStyle="1" w:styleId="252">
    <w:name w:val="Char Char Char Char"/>
    <w:basedOn w:val="1"/>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253">
    <w:name w:val="_Style 37"/>
    <w:basedOn w:val="1"/>
    <w:next w:val="1"/>
    <w:qFormat/>
    <w:uiPriority w:val="99"/>
  </w:style>
  <w:style w:type="paragraph" w:customStyle="1" w:styleId="254">
    <w:name w:val="列出段落2"/>
    <w:basedOn w:val="1"/>
    <w:qFormat/>
    <w:uiPriority w:val="99"/>
    <w:pPr>
      <w:ind w:firstLine="420" w:firstLineChars="200"/>
    </w:pPr>
    <w:rPr>
      <w:rFonts w:ascii="Calibri" w:hAnsi="Calibri" w:cs="Calibri"/>
    </w:rPr>
  </w:style>
  <w:style w:type="paragraph" w:customStyle="1" w:styleId="255">
    <w:name w:val="无间隔1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56">
    <w:name w:val="TOC 标题1"/>
    <w:basedOn w:val="3"/>
    <w:next w:val="1"/>
    <w:qFormat/>
    <w:uiPriority w:val="99"/>
    <w:pPr>
      <w:keepNext/>
      <w:keepLines/>
      <w:numPr>
        <w:numId w:val="0"/>
      </w:numPr>
      <w:tabs>
        <w:tab w:val="clear" w:pos="1080"/>
      </w:tabs>
      <w:overflowPunct/>
      <w:autoSpaceDE/>
      <w:autoSpaceDN/>
      <w:adjustRightInd/>
      <w:snapToGrid/>
      <w:spacing w:before="340" w:after="330" w:line="576" w:lineRule="auto"/>
      <w:textAlignment w:val="auto"/>
      <w:outlineLvl w:val="9"/>
    </w:pPr>
    <w:rPr>
      <w:rFonts w:ascii="Calibri" w:hAnsi="Calibri" w:eastAsia="黑体" w:cs="Calibri"/>
      <w:sz w:val="44"/>
      <w:szCs w:val="44"/>
      <w:lang w:val="zh-CN"/>
    </w:rPr>
  </w:style>
  <w:style w:type="paragraph" w:customStyle="1" w:styleId="257">
    <w:name w:val="列出段落11"/>
    <w:basedOn w:val="1"/>
    <w:qFormat/>
    <w:uiPriority w:val="99"/>
    <w:pPr>
      <w:ind w:firstLine="420" w:firstLineChars="200"/>
    </w:pPr>
    <w:rPr>
      <w:rFonts w:ascii="Calibri" w:hAnsi="Calibri" w:cs="Calibri"/>
    </w:rPr>
  </w:style>
  <w:style w:type="paragraph" w:customStyle="1" w:styleId="258">
    <w:name w:val="_Style 70"/>
    <w:next w:val="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59">
    <w:name w:val="reader-word-layer"/>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60">
    <w:name w:val="_Style 6"/>
    <w:basedOn w:val="3"/>
    <w:next w:val="1"/>
    <w:qFormat/>
    <w:uiPriority w:val="0"/>
    <w:pPr>
      <w:keepNext/>
      <w:keepLines/>
      <w:numPr>
        <w:numId w:val="0"/>
      </w:numPr>
      <w:tabs>
        <w:tab w:val="clear" w:pos="1080"/>
      </w:tabs>
      <w:overflowPunct/>
      <w:autoSpaceDE/>
      <w:autoSpaceDN/>
      <w:adjustRightInd/>
      <w:snapToGrid/>
      <w:spacing w:before="0"/>
      <w:textAlignment w:val="auto"/>
      <w:outlineLvl w:val="9"/>
    </w:pPr>
    <w:rPr>
      <w:rFonts w:eastAsia="黑体"/>
      <w:sz w:val="44"/>
      <w:szCs w:val="44"/>
      <w:lang w:val="zh-CN"/>
    </w:rPr>
  </w:style>
  <w:style w:type="paragraph" w:customStyle="1" w:styleId="261">
    <w:name w:val="p16"/>
    <w:basedOn w:val="1"/>
    <w:qFormat/>
    <w:uiPriority w:val="0"/>
    <w:pPr>
      <w:widowControl/>
    </w:pPr>
    <w:rPr>
      <w:kern w:val="0"/>
    </w:rPr>
  </w:style>
  <w:style w:type="paragraph" w:customStyle="1" w:styleId="262">
    <w:name w:val="样式1"/>
    <w:basedOn w:val="1"/>
    <w:next w:val="6"/>
    <w:qFormat/>
    <w:uiPriority w:val="99"/>
    <w:pPr>
      <w:spacing w:line="360" w:lineRule="auto"/>
      <w:ind w:firstLine="420" w:firstLineChars="200"/>
    </w:pPr>
    <w:rPr>
      <w:rFonts w:ascii="宋体" w:hAnsi="宋体" w:cs="宋体"/>
    </w:rPr>
  </w:style>
  <w:style w:type="paragraph" w:customStyle="1" w:styleId="263">
    <w:name w:val="2-2ji"/>
    <w:basedOn w:val="4"/>
    <w:qFormat/>
    <w:uiPriority w:val="99"/>
    <w:pPr>
      <w:spacing w:before="0" w:after="0" w:line="360" w:lineRule="auto"/>
      <w:jc w:val="center"/>
    </w:pPr>
    <w:rPr>
      <w:rFonts w:ascii="宋体" w:hAnsi="宋体" w:cs="宋体"/>
      <w:kern w:val="0"/>
      <w:sz w:val="36"/>
      <w:szCs w:val="36"/>
      <w:lang w:val="zh-CN"/>
    </w:rPr>
  </w:style>
  <w:style w:type="paragraph" w:customStyle="1" w:styleId="264">
    <w:name w:val="flNote"/>
    <w:basedOn w:val="1"/>
    <w:qFormat/>
    <w:uiPriority w:val="99"/>
    <w:pPr>
      <w:adjustRightInd w:val="0"/>
      <w:spacing w:before="320" w:after="160" w:line="360" w:lineRule="atLeast"/>
      <w:jc w:val="center"/>
      <w:textAlignment w:val="baseline"/>
    </w:pPr>
    <w:rPr>
      <w:rFonts w:ascii="Arial" w:eastAsia="黑体" w:cs="Arial"/>
      <w:kern w:val="0"/>
      <w:sz w:val="30"/>
      <w:szCs w:val="30"/>
    </w:rPr>
  </w:style>
  <w:style w:type="paragraph" w:customStyle="1" w:styleId="265">
    <w:name w:val="Char1"/>
    <w:basedOn w:val="1"/>
    <w:qFormat/>
    <w:uiPriority w:val="99"/>
    <w:pPr>
      <w:widowControl/>
      <w:spacing w:after="160" w:line="240" w:lineRule="exact"/>
      <w:jc w:val="left"/>
    </w:pPr>
  </w:style>
  <w:style w:type="paragraph" w:customStyle="1" w:styleId="266">
    <w:name w:val="列出段落3"/>
    <w:basedOn w:val="1"/>
    <w:qFormat/>
    <w:uiPriority w:val="34"/>
    <w:pPr>
      <w:ind w:firstLine="420" w:firstLineChars="200"/>
    </w:pPr>
  </w:style>
  <w:style w:type="character" w:customStyle="1" w:styleId="267">
    <w:name w:val="标题 3 Char"/>
    <w:qFormat/>
    <w:locked/>
    <w:uiPriority w:val="99"/>
    <w:rPr>
      <w:rFonts w:eastAsia="黑体"/>
      <w:b/>
      <w:bCs/>
      <w:kern w:val="2"/>
      <w:sz w:val="32"/>
      <w:szCs w:val="32"/>
      <w:lang w:val="zh-CN" w:eastAsia="zh-CN"/>
    </w:rPr>
  </w:style>
  <w:style w:type="character" w:customStyle="1" w:styleId="268">
    <w:name w:val="标题 9 Char"/>
    <w:semiHidden/>
    <w:qFormat/>
    <w:uiPriority w:val="9"/>
    <w:rPr>
      <w:rFonts w:ascii="Cambria" w:hAnsi="Cambria" w:eastAsia="宋体" w:cs="Times New Roman"/>
      <w:szCs w:val="21"/>
    </w:rPr>
  </w:style>
  <w:style w:type="character" w:customStyle="1" w:styleId="269">
    <w:name w:val="first-child"/>
    <w:qFormat/>
    <w:uiPriority w:val="0"/>
  </w:style>
  <w:style w:type="character" w:customStyle="1" w:styleId="270">
    <w:name w:val="layui-layer-tabnow"/>
    <w:qFormat/>
    <w:uiPriority w:val="0"/>
    <w:rPr>
      <w:bdr w:val="single" w:color="CCCCCC" w:sz="6" w:space="0"/>
      <w:shd w:val="clear" w:color="auto" w:fill="FFFFFF"/>
    </w:rPr>
  </w:style>
  <w:style w:type="character" w:customStyle="1" w:styleId="271">
    <w:name w:val="标题 8 Char"/>
    <w:semiHidden/>
    <w:qFormat/>
    <w:uiPriority w:val="9"/>
    <w:rPr>
      <w:rFonts w:ascii="Cambria" w:hAnsi="Cambria" w:eastAsia="宋体" w:cs="Times New Roman"/>
      <w:sz w:val="24"/>
      <w:szCs w:val="24"/>
    </w:rPr>
  </w:style>
  <w:style w:type="character" w:customStyle="1" w:styleId="272">
    <w:name w:val="标题 5 Char"/>
    <w:qFormat/>
    <w:locked/>
    <w:uiPriority w:val="99"/>
    <w:rPr>
      <w:rFonts w:eastAsia="宋体"/>
      <w:b/>
      <w:bCs/>
      <w:kern w:val="2"/>
      <w:sz w:val="28"/>
      <w:szCs w:val="28"/>
      <w:lang w:val="en-US" w:eastAsia="zh-CN"/>
    </w:rPr>
  </w:style>
  <w:style w:type="character" w:customStyle="1" w:styleId="273">
    <w:name w:val="日期 Char"/>
    <w:qFormat/>
    <w:locked/>
    <w:uiPriority w:val="99"/>
    <w:rPr>
      <w:kern w:val="2"/>
      <w:sz w:val="24"/>
      <w:szCs w:val="24"/>
    </w:rPr>
  </w:style>
  <w:style w:type="character" w:customStyle="1" w:styleId="274">
    <w:name w:val="标题 7 Char"/>
    <w:semiHidden/>
    <w:qFormat/>
    <w:uiPriority w:val="9"/>
    <w:rPr>
      <w:b/>
      <w:bCs/>
      <w:sz w:val="24"/>
      <w:szCs w:val="24"/>
    </w:rPr>
  </w:style>
  <w:style w:type="character" w:customStyle="1" w:styleId="275">
    <w:name w:val="标题 1 Char"/>
    <w:qFormat/>
    <w:locked/>
    <w:uiPriority w:val="99"/>
    <w:rPr>
      <w:rFonts w:eastAsia="黑体"/>
      <w:b/>
      <w:bCs/>
      <w:kern w:val="44"/>
      <w:sz w:val="44"/>
      <w:szCs w:val="44"/>
      <w:lang w:val="zh-CN" w:eastAsia="zh-CN"/>
    </w:rPr>
  </w:style>
  <w:style w:type="character" w:customStyle="1" w:styleId="276">
    <w:name w:val="标题 4 Char"/>
    <w:qFormat/>
    <w:locked/>
    <w:uiPriority w:val="99"/>
    <w:rPr>
      <w:rFonts w:ascii="Arial" w:hAnsi="Arial" w:eastAsia="宋体" w:cs="Arial"/>
      <w:b/>
      <w:bCs/>
      <w:kern w:val="2"/>
      <w:sz w:val="28"/>
      <w:szCs w:val="28"/>
      <w:lang w:val="en-US" w:eastAsia="zh-CN"/>
    </w:rPr>
  </w:style>
  <w:style w:type="character" w:customStyle="1" w:styleId="277">
    <w:name w:val="标题 2 Char"/>
    <w:qFormat/>
    <w:locked/>
    <w:uiPriority w:val="99"/>
    <w:rPr>
      <w:rFonts w:ascii="Arial" w:hAnsi="Arial" w:eastAsia="黑体" w:cs="Arial"/>
      <w:b/>
      <w:bCs/>
      <w:kern w:val="2"/>
      <w:sz w:val="32"/>
      <w:szCs w:val="32"/>
      <w:lang w:val="zh-CN" w:eastAsia="zh-CN"/>
    </w:rPr>
  </w:style>
  <w:style w:type="character" w:customStyle="1" w:styleId="278">
    <w:name w:val="标题 6 Char"/>
    <w:semiHidden/>
    <w:qFormat/>
    <w:uiPriority w:val="9"/>
    <w:rPr>
      <w:rFonts w:ascii="Cambria" w:hAnsi="Cambria" w:eastAsia="宋体" w:cs="Times New Roman"/>
      <w:b/>
      <w:bCs/>
      <w:sz w:val="24"/>
      <w:szCs w:val="24"/>
    </w:rPr>
  </w:style>
  <w:style w:type="paragraph" w:customStyle="1" w:styleId="279">
    <w:name w:val="正文文本_1"/>
    <w:basedOn w:val="162"/>
    <w:qFormat/>
    <w:uiPriority w:val="99"/>
    <w:pPr>
      <w:adjustRightInd w:val="0"/>
      <w:spacing w:after="60" w:line="360" w:lineRule="atLeast"/>
      <w:ind w:left="72" w:leftChars="30" w:right="30" w:rightChars="30"/>
      <w:jc w:val="center"/>
      <w:textAlignment w:val="baseline"/>
    </w:pPr>
    <w:rPr>
      <w:rFonts w:ascii="Times New Roman" w:hAnsi="Times New Roman"/>
      <w:kern w:val="0"/>
      <w:sz w:val="22"/>
      <w:szCs w:val="20"/>
    </w:rPr>
  </w:style>
  <w:style w:type="paragraph" w:customStyle="1" w:styleId="280">
    <w:name w:val="_Style 212"/>
    <w:semiHidden/>
    <w:qFormat/>
    <w:uiPriority w:val="99"/>
    <w:rPr>
      <w:rFonts w:ascii="Times New Roman" w:hAnsi="Times New Roman" w:eastAsia="宋体" w:cs="Times New Roman"/>
      <w:kern w:val="2"/>
      <w:sz w:val="21"/>
      <w:szCs w:val="21"/>
      <w:lang w:val="en-US" w:eastAsia="zh-CN" w:bidi="ar-SA"/>
    </w:rPr>
  </w:style>
  <w:style w:type="paragraph" w:customStyle="1" w:styleId="281">
    <w:name w:val="正文呀2_0"/>
    <w:basedOn w:val="282"/>
    <w:qFormat/>
    <w:uiPriority w:val="0"/>
    <w:rPr>
      <w:rFonts w:ascii="Times New Roman" w:hAnsi="Times New Roman"/>
    </w:rPr>
  </w:style>
  <w:style w:type="paragraph" w:customStyle="1" w:styleId="282">
    <w:name w:val="正文呀_0"/>
    <w:basedOn w:val="166"/>
    <w:qFormat/>
    <w:uiPriority w:val="0"/>
    <w:pPr>
      <w:spacing w:line="420" w:lineRule="exact"/>
      <w:ind w:firstLine="420" w:firstLineChars="200"/>
    </w:pPr>
    <w:rPr>
      <w:rFonts w:ascii="宋体" w:hAnsi="宋体"/>
    </w:rPr>
  </w:style>
  <w:style w:type="paragraph" w:customStyle="1" w:styleId="283">
    <w:name w:val="_Style 5_1"/>
    <w:qFormat/>
    <w:uiPriority w:val="1"/>
    <w:rPr>
      <w:rFonts w:ascii="Times New Roman" w:hAnsi="Times New Roman" w:eastAsia="宋体" w:cs="Times New Roman"/>
      <w:sz w:val="22"/>
      <w:szCs w:val="22"/>
      <w:lang w:val="en-US" w:eastAsia="zh-CN" w:bidi="ar-SA"/>
    </w:rPr>
  </w:style>
  <w:style w:type="paragraph" w:customStyle="1" w:styleId="284">
    <w:name w:val="正文呀_0_0"/>
    <w:basedOn w:val="285"/>
    <w:qFormat/>
    <w:uiPriority w:val="0"/>
    <w:pPr>
      <w:spacing w:line="420" w:lineRule="exact"/>
      <w:ind w:firstLine="420" w:firstLineChars="200"/>
    </w:pPr>
    <w:rPr>
      <w:rFonts w:hAnsi="宋体"/>
      <w:szCs w:val="21"/>
    </w:rPr>
  </w:style>
  <w:style w:type="paragraph" w:customStyle="1" w:styleId="285">
    <w:name w:val="正文11"/>
    <w:basedOn w:val="286"/>
    <w:qFormat/>
    <w:uiPriority w:val="0"/>
    <w:pPr>
      <w:adjustRightInd w:val="0"/>
      <w:spacing w:line="410" w:lineRule="atLeast"/>
      <w:jc w:val="left"/>
      <w:textAlignment w:val="baseline"/>
    </w:pPr>
    <w:rPr>
      <w:rFonts w:ascii="宋体" w:hAnsi="Times New Roman"/>
      <w:kern w:val="0"/>
      <w:sz w:val="24"/>
      <w:szCs w:val="20"/>
    </w:rPr>
  </w:style>
  <w:style w:type="paragraph" w:customStyle="1" w:styleId="286">
    <w:name w:val="正文_0_0"/>
    <w:qFormat/>
    <w:uiPriority w:val="0"/>
    <w:pPr>
      <w:widowControl w:val="0"/>
      <w:jc w:val="both"/>
    </w:pPr>
    <w:rPr>
      <w:rFonts w:ascii="等线" w:hAnsi="等线" w:eastAsia="等线" w:cs="Times New Roman"/>
      <w:kern w:val="2"/>
      <w:sz w:val="21"/>
      <w:szCs w:val="24"/>
      <w:lang w:val="en-US" w:eastAsia="zh-CN" w:bidi="ar-SA"/>
    </w:rPr>
  </w:style>
  <w:style w:type="paragraph" w:customStyle="1" w:styleId="287">
    <w:name w:val="xl30"/>
    <w:basedOn w:val="1"/>
    <w:qFormat/>
    <w:uiPriority w:val="0"/>
    <w:pPr>
      <w:widowControl/>
      <w:spacing w:before="100" w:after="100"/>
      <w:jc w:val="center"/>
      <w:textAlignment w:val="center"/>
    </w:pPr>
    <w:rPr>
      <w:rFonts w:hint="eastAsia" w:ascii="仿宋_GB2312" w:hAnsi="宋体" w:eastAsia="仿宋_GB2312"/>
      <w:kern w:val="0"/>
      <w:sz w:val="24"/>
      <w:szCs w:val="20"/>
    </w:rPr>
  </w:style>
  <w:style w:type="paragraph" w:customStyle="1" w:styleId="288">
    <w:name w:val="正文呀2_0_0"/>
    <w:basedOn w:val="284"/>
    <w:qFormat/>
    <w:uiPriority w:val="0"/>
    <w:rPr>
      <w:rFonts w:ascii="Times New Roman" w:hAnsi="Times New Roman" w:eastAsia="宋体"/>
    </w:rPr>
  </w:style>
  <w:style w:type="paragraph" w:customStyle="1" w:styleId="289">
    <w:name w:val="正文_1_0_0"/>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290">
    <w:name w:val="正文呀2 Char Char"/>
    <w:link w:val="188"/>
    <w:qFormat/>
    <w:uiPriority w:val="0"/>
    <w:rPr>
      <w:kern w:val="2"/>
      <w:sz w:val="21"/>
      <w:szCs w:val="21"/>
    </w:rPr>
  </w:style>
  <w:style w:type="paragraph" w:customStyle="1" w:styleId="291">
    <w:name w:val="Blockquote"/>
    <w:basedOn w:val="1"/>
    <w:qFormat/>
    <w:uiPriority w:val="0"/>
    <w:pPr>
      <w:autoSpaceDE w:val="0"/>
      <w:autoSpaceDN w:val="0"/>
      <w:adjustRightInd w:val="0"/>
      <w:spacing w:before="100" w:after="100"/>
      <w:ind w:left="360" w:right="360"/>
      <w:jc w:val="left"/>
    </w:pPr>
    <w:rPr>
      <w:kern w:val="0"/>
      <w:sz w:val="24"/>
      <w:szCs w:val="20"/>
    </w:rPr>
  </w:style>
  <w:style w:type="character" w:customStyle="1" w:styleId="292">
    <w:name w:val="正文文本 Char_0"/>
    <w:link w:val="173"/>
    <w:qFormat/>
    <w:uiPriority w:val="0"/>
    <w:rPr>
      <w:rFonts w:ascii="Calibri" w:hAnsi="Calibri" w:cs="宋体"/>
      <w:kern w:val="2"/>
      <w:sz w:val="21"/>
      <w:szCs w:val="22"/>
    </w:rPr>
  </w:style>
  <w:style w:type="paragraph" w:customStyle="1" w:styleId="293">
    <w:name w:val="修订2"/>
    <w:hidden/>
    <w:unhideWhenUsed/>
    <w:qFormat/>
    <w:uiPriority w:val="99"/>
    <w:rPr>
      <w:rFonts w:ascii="Times New Roman" w:hAnsi="Times New Roman" w:eastAsia="宋体" w:cs="Times New Roman"/>
      <w:kern w:val="2"/>
      <w:sz w:val="21"/>
      <w:szCs w:val="21"/>
      <w:lang w:val="en-US" w:eastAsia="zh-CN" w:bidi="ar-SA"/>
    </w:rPr>
  </w:style>
  <w:style w:type="table" w:customStyle="1" w:styleId="29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header" Target="header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7" Type="http://schemas.openxmlformats.org/officeDocument/2006/relationships/font" Target="fonts/font17.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4782b0f3-0b6e-4cc5-a8f4-a3f68c6b61c6</errorID>
      <errorWord>采 购 项 目 </errorWord>
      <group>L1_AI</group>
      <groupName>深度校对</groupName>
      <ability>L2_AI_Grammar</ability>
      <abilityName>语法纠错</abilityName>
      <candidateList>
        <item>采购项目</item>
      </candidateList>
      <explain/>
      <paraID>48A15349</paraID>
      <start>51</start>
      <end>59</end>
      <status>unmodified</status>
      <modifiedWord/>
      <trackRevisions>false</trackRevisions>
    </reviewItem>
    <reviewItem>
      <errorID>7fca2495-080c-4510-bcf3-55dcc04efaa9</errorID>
      <errorWord> 潜 在 供 应 商 </errorWord>
      <group>L1_AI</group>
      <groupName>深度校对</groupName>
      <ability>L2_AI_Grammar</ability>
      <abilityName>语法纠错</abilityName>
      <candidateList>
        <item>潜在供应商</item>
      </candidateList>
      <explain/>
      <paraID>48A15349</paraID>
      <start>60</start>
      <end>71</end>
      <status>unmodified</status>
      <modifiedWord/>
      <trackRevisions>false</trackRevisions>
    </reviewItem>
    <reviewItem>
      <errorID>f1fa0ea9-cd89-4ce8-9a3f-3ef97b9dbcf6</errorID>
      <errorWord> </errorWord>
      <group>L1_AI</group>
      <groupName>深度校对</groupName>
      <ability>L2_AI_Punc</ability>
      <abilityName>标点纠错</abilityName>
      <candidateList>
        <item/>
      </candidateList>
      <explain>此处空格冗余，建议删除。</explain>
      <paraID>48A15349</paraID>
      <start>72</start>
      <end>73</end>
      <status>unmodified</status>
      <modifiedWord/>
      <trackRevisions>false</trackRevisions>
    </reviewItem>
    <reviewItem>
      <errorID>0dd41908-bd72-4f60-a17e-a397130b4870</errorID>
      <errorWord>(下载) 获取</errorWord>
      <group>L1_AI</group>
      <groupName>深度校对</groupName>
      <ability>L2_AI_Punc</ability>
      <abilityName>标点纠错</abilityName>
      <candidateList>
        <item>（下载）</item>
      </candidateList>
      <explain/>
      <paraID>48A15349</paraID>
      <start>120</start>
      <end>127</end>
      <status>unmodified</status>
      <modifiedWord/>
      <trackRevisions>false</trackRevisions>
    </reviewItem>
    <reviewItem>
      <errorID>6e6ed5d1-231c-43bd-9e12-b2a19a16b529</errorID>
      <errorWord> </errorWord>
      <group>L1_AI</group>
      <groupName>深度校对</groupName>
      <ability>L2_AI_Punc</ability>
      <abilityName>标点纠错</abilityName>
      <candidateList>
        <item/>
      </candidateList>
      <explain>此处空格冗余，建议删除。</explain>
      <paraID>48A15349</paraID>
      <start>142</start>
      <end>143</end>
      <status>unmodified</status>
      <modifiedWord/>
      <trackRevisions>false</trackRevisions>
    </reviewItem>
    <reviewItem>
      <errorID>4e1eca7b-c274-4970-8f3b-ed1443eec572</errorID>
      <errorWord>(北京时间)</errorWord>
      <group>L1_AI</group>
      <groupName>深度校对</groupName>
      <ability>L2_AI_Punc</ability>
      <abilityName>标点纠错</abilityName>
      <candidateList>
        <item>（北京时间）</item>
      </candidateList>
      <explain/>
      <paraID>48A15349</paraID>
      <start>155</start>
      <end>161</end>
      <status>unmodified</status>
      <modifiedWord/>
      <trackRevisions>false</trackRevisions>
    </reviewItem>
    <reviewItem>
      <errorID>e356edc5-5fd6-4adc-8ea1-56145d541276</errorID>
      <errorWord>)</errorWord>
      <group>L1_Format</group>
      <groupName>格式问题</groupName>
      <ability>L2_HalfPunc</ability>
      <abilityName>全半角检查</abilityName>
      <candidateList>
        <item>）</item>
      </candidateList>
      <explain>文本全半角错误。</explain>
      <paraID>48A15349</paraID>
      <start>160</start>
      <end>161</end>
      <status>unmodified</status>
      <modifiedWord/>
      <trackRevisions>false</trackRevisions>
    </reviewItem>
    <reviewItem>
      <errorID>a5eceab1-cd73-443c-bb73-87e3975157b9</errorID>
      <errorWord>[2025]</errorWord>
      <group>L1_Punc</group>
      <groupName>标点问题</groupName>
      <ability>L2_Punc</ability>
      <abilityName>标点符号检查</abilityName>
      <candidateList>
        <item>〔2025〕</item>
      </candidateList>
      <explain/>
      <paraID>2B877916</paraID>
      <start>13</start>
      <end>19</end>
      <status>unmodified</status>
      <modifiedWord/>
      <trackRevisions>false</trackRevisions>
    </reviewItem>
    <reviewItem>
      <errorID>96dd0a6d-baca-4111-a9ed-b3a836ef994a</errorID>
      <errorWord>:</errorWord>
      <group>L1_Format</group>
      <groupName>格式问题</groupName>
      <ability>L2_HalfPunc</ability>
      <abilityName>全半角检查</abilityName>
      <candidateList>
        <item>：</item>
      </candidateList>
      <explain>文本全半角错误。</explain>
      <paraID>3C039B0E</paraID>
      <start>4</start>
      <end>5</end>
      <status>unmodified</status>
      <modifiedWord/>
      <trackRevisions>false</trackRevisions>
    </reviewItem>
    <reviewItem>
      <errorID>c43f4ec8-5c48-4aa5-9913-8216bbc73185</errorID>
      <errorWord>:</errorWord>
      <group>L1_Format</group>
      <groupName>格式问题</groupName>
      <ability>L2_HalfPunc</ability>
      <abilityName>全半角检查</abilityName>
      <candidateList>
        <item>：</item>
      </candidateList>
      <explain>文本全半角错误。</explain>
      <paraID>68570C0B</paraID>
      <start>2</start>
      <end>3</end>
      <status>unmodified</status>
      <modifiedWord/>
      <trackRevisions>false</trackRevisions>
    </reviewItem>
    <reviewItem>
      <errorID>92462aff-6b65-41cc-9d30-024a75adcf0c</errorID>
      <errorWord>:</errorWord>
      <group>L1_Format</group>
      <groupName>格式问题</groupName>
      <ability>L2_HalfPunc</ability>
      <abilityName>全半角检查</abilityName>
      <candidateList>
        <item>：</item>
      </candidateList>
      <explain>文本全半角错误。</explain>
      <paraID> 3801E1E</paraID>
      <start>7</start>
      <end>8</end>
      <status>unmodified</status>
      <modifiedWord/>
      <trackRevisions>false</trackRevisions>
    </reviewItem>
    <reviewItem>
      <errorID>69dd7c20-f457-4adf-9102-f7805329b4fb</errorID>
      <errorWord>平</errorWord>
      <group>L1_Word</group>
      <groupName>字词问题</groupName>
      <ability>L2_Typo</ability>
      <abilityName>字词错误</abilityName>
      <candidateList>
        <item>平方</item>
      </candidateList>
      <explain/>
      <paraID>6550B825</paraID>
      <start>30</start>
      <end>33</end>
      <status>modified</status>
      <modifiedWord>平方</modifiedWord>
      <trackRevisions>true</trackRevisions>
    </reviewItem>
    <reviewItem>
      <errorID>67ed4c7e-37b8-4697-9851-f838379f6c6d</errorID>
      <errorWord>最</errorWord>
      <group>L1_Word</group>
      <groupName>字词问题</groupName>
      <ability>L2_Typo</ability>
      <abilityName>字词错误</abilityName>
      <candidateList>
        <item>最后</item>
      </candidateList>
      <explain>〈名〉在时间上或次序上在所有别的之后：～胜利一定属于我们｜这是全书的～一章。</explain>
      <paraID>124A4C1B</paraID>
      <start>111</start>
      <end>114</end>
      <status>modified</status>
      <modifiedWord>最后</modifiedWord>
      <trackRevisions>true</trackRevisions>
    </reviewItem>
    <reviewItem>
      <errorID>7b8d520e-dcea-4bc1-9d2c-d63c0b8fb737</errorID>
      <errorWord>区域度</errorWord>
      <group>L1_AI</group>
      <groupName>深度校对</groupName>
      <ability>L2_AI_Grammar</ability>
      <abilityName>语法纠错</abilityName>
      <candidateList>
        <item>区域</item>
      </candidateList>
      <explain/>
      <paraID>124A4C1B</paraID>
      <start>160</start>
      <end>163</end>
      <status>unmodified</status>
      <modifiedWord/>
      <trackRevisions>false</trackRevisions>
    </reviewItem>
    <reviewItem>
      <errorID>f0a9fbbf-e432-43cd-a882-d6ad5910b2f4</errorID>
      <errorWord>20 mm</errorWord>
      <group>L1_AI</group>
      <groupName>深度校对</groupName>
      <ability>L2_AI_Grammar</ability>
      <abilityName>语法纠错</abilityName>
      <candidateList>
        <item>20mm</item>
      </candidateList>
      <explain/>
      <paraID>124A4C1B</paraID>
      <start>171</start>
      <end>176</end>
      <status>unmodified</status>
      <modifiedWord/>
      <trackRevisions>false</trackRevisions>
    </reviewItem>
    <reviewItem>
      <errorID>eaa00671-2583-40f3-a160-797cdf9a276a</errorID>
      <errorWord>订</errorWord>
      <group>L1_Word</group>
      <groupName>字词问题</groupName>
      <ability>L2_Typo</ability>
      <abilityName>字词错误</abilityName>
      <candidateList>
        <item>订之</item>
      </candidateList>
      <explain/>
      <paraID> 22B3A19</paraID>
      <start>15</start>
      <end>18</end>
      <status>modified</status>
      <modifiedWord>订之</modifiedWord>
      <trackRevisions>true</trackRevisions>
    </reviewItem>
    <reviewItem>
      <errorID>b1a4653a-386c-4b79-945c-661ee50f7279</errorID>
      <errorWord>：/</errorWord>
      <group>L1_Punc</group>
      <groupName>标点问题</groupName>
      <ability>L2_Punc</ability>
      <abilityName>标点符号检查</abilityName>
      <candidateList>
        <item>：</item>
      </candidateList>
      <explain/>
      <paraID>3F2C378F</paraID>
      <start>2</start>
      <end>4</end>
      <status>unmodified</status>
      <modifiedWord/>
      <trackRevisions>false</trackRevisions>
    </reviewItem>
    <reviewItem>
      <errorID>882c2e4c-150d-4945-9847-0c9126615434</errorID>
      <errorWord>)</errorWord>
      <group>L1_Format</group>
      <groupName>格式问题</groupName>
      <ability>L2_HalfPunc</ability>
      <abilityName>全半角检查</abilityName>
      <candidateList>
        <item>）</item>
      </candidateList>
      <explain>文本全半角错误。</explain>
      <paraID>588A044F</paraID>
      <start>49</start>
      <end>50</end>
      <status>unmodified</status>
      <modifiedWord/>
      <trackRevisions>false</trackRevisions>
    </reviewItem>
    <reviewItem>
      <errorID>1e37958e-11e3-4da4-8efa-2f9745dd95b2</errorID>
      <errorWord>(</errorWord>
      <group>L1_Format</group>
      <groupName>格式问题</groupName>
      <ability>L2_HalfPunc</ability>
      <abilityName>全半角检查</abilityName>
      <candidateList>
        <item>（</item>
      </candidateList>
      <explain>文本全半角错误。</explain>
      <paraID>7F4B2E47</paraID>
      <start>13</start>
      <end>14</end>
      <status>unmodified</status>
      <modifiedWord/>
      <trackRevisions>false</trackRevisions>
    </reviewItem>
    <reviewItem>
      <errorID>82362465-dfe4-4c69-be89-059a9183f593</errorID>
      <errorWord>)</errorWord>
      <group>L1_Format</group>
      <groupName>格式问题</groupName>
      <ability>L2_HalfPunc</ability>
      <abilityName>全半角检查</abilityName>
      <candidateList>
        <item>）</item>
      </candidateList>
      <explain>文本全半角错误。</explain>
      <paraID>7F4B2E47</paraID>
      <start>36</start>
      <end>37</end>
      <status>unmodified</status>
      <modifiedWord/>
      <trackRevisions>false</trackRevisions>
    </reviewItem>
    <reviewItem>
      <errorID>ad0b876d-3a11-4525-ad01-68eb8f9c252e</errorID>
      <errorWord>(</errorWord>
      <group>L1_Format</group>
      <groupName>格式问题</groupName>
      <ability>L2_HalfPunc</ability>
      <abilityName>全半角检查</abilityName>
      <candidateList>
        <item>（</item>
      </candidateList>
      <explain>文本全半角错误。</explain>
      <paraID>7F4B2E47</paraID>
      <start>46</start>
      <end>47</end>
      <status>unmodified</status>
      <modifiedWord/>
      <trackRevisions>false</trackRevisions>
    </reviewItem>
    <reviewItem>
      <errorID>7db19818-863f-4946-aca7-024811a6d5a9</errorID>
      <errorWord>)</errorWord>
      <group>L1_Format</group>
      <groupName>格式问题</groupName>
      <ability>L2_HalfPunc</ability>
      <abilityName>全半角检查</abilityName>
      <candidateList>
        <item>）</item>
      </candidateList>
      <explain>文本全半角错误。</explain>
      <paraID>7F4B2E47</paraID>
      <start>62</start>
      <end>63</end>
      <status>unmodified</status>
      <modifiedWord/>
      <trackRevisions>false</trackRevisions>
    </reviewItem>
    <reviewItem>
      <errorID>e2eac3ab-0e42-48fe-9379-8ea8f0d852a6</errorID>
      <errorWord>上午00:00</errorWord>
      <group>L1_Knowledge</group>
      <groupName>知识性问题</groupName>
      <ability>L2_Time</ability>
      <abilityName>日期时间</abilityName>
      <candidateList/>
      <explain>时间与前缀不匹配，可能的时间前缀有“下午、晚上、凌晨、午夜”。</explain>
      <paraID>6B97A423</paraID>
      <start>55</start>
      <end>62</end>
      <status>unmodified</status>
      <modifiedWord/>
      <trackRevisions>false</trackRevisions>
    </reviewItem>
    <reviewItem>
      <errorID>1a77db74-0a44-4c8a-b272-20264ca187c1</errorID>
      <errorWord>-</errorWord>
      <group>L1_Format</group>
      <groupName>格式问题</groupName>
      <ability>L2_HalfPunc</ability>
      <abilityName>全半角检查</abilityName>
      <candidateList>
        <item>－</item>
      </candidateList>
      <explain>文本全半角错误。</explain>
      <paraID>33ACFCD1</paraID>
      <start>85</start>
      <end>86</end>
      <status>unmodified</status>
      <modifiedWord/>
      <trackRevisions>false</trackRevisions>
    </reviewItem>
    <reviewItem>
      <errorID>708fa8f7-b254-43a7-a35b-45d3241651c6</errorID>
      <errorWord>-</errorWord>
      <group>L1_Format</group>
      <groupName>格式问题</groupName>
      <ability>L2_HalfPunc</ability>
      <abilityName>全半角检查</abilityName>
      <candidateList>
        <item>－</item>
      </candidateList>
      <explain>文本全半角错误。</explain>
      <paraID>33ACFCD1</paraID>
      <start>138</start>
      <end>139</end>
      <status>unmodified</status>
      <modifiedWord/>
      <trackRevisions>false</trackRevisions>
    </reviewItem>
    <reviewItem>
      <errorID>316eaf64-bdb1-4a8e-b45c-602de0a9b818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4751D49F</paraID>
      <start>0</start>
      <end>2</end>
      <status>unmodified</status>
      <modifiedWord/>
      <trackRevisions>false</trackRevisions>
    </reviewItem>
    <reviewItem>
      <errorID>75926063-0972-4e68-9bc2-6c6952f02662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417AC688</paraID>
      <start>0</start>
      <end>2</end>
      <status>unmodified</status>
      <modifiedWord/>
      <trackRevisions>false</trackRevisions>
    </reviewItem>
    <reviewItem>
      <errorID>22e6b129-3aa4-40a3-bc19-d932b02ebebe</errorID>
      <errorWord>操作合</errorWord>
      <group>L1_Word</group>
      <groupName>字词问题</groupName>
      <ability>L2_Typo</ability>
      <abilityName>字词错误</abilityName>
      <candidateList>
        <item>操作台</item>
      </candidateList>
      <explain/>
      <paraID> 68D3AEF</paraID>
      <start>8</start>
      <end>11</end>
      <status>unmodified</status>
      <modifiedWord/>
      <trackRevisions>false</trackRevisions>
    </reviewItem>
    <reviewItem>
      <errorID>59229974-a0d6-4905-a146-9f06c4084b58</errorID>
      <errorWord>，</errorWord>
      <group>L1_Word</group>
      <groupName>字词问题</groupName>
      <ability>L2_Typo</ability>
      <abilityName>字词错误</abilityName>
      <candidateList>
        <item>，在</item>
      </candidateList>
      <explain/>
      <paraID>4F2E7F0A</paraID>
      <start>35</start>
      <end>36</end>
      <status>unmodified</status>
      <modifiedWord/>
      <trackRevisions>false</trackRevisions>
    </reviewItem>
    <reviewItem>
      <errorID>3d760913-ffd5-4d59-84f5-4b29a7c2fd6d</errorID>
      <errorWord>可以</errorWord>
      <group>L1_AI</group>
      <groupName>深度校对</groupName>
      <ability>L2_AI_Grammar</ability>
      <abilityName>语法纠错</abilityName>
      <candidateList>
        <item>，供应商可以</item>
      </candidateList>
      <explain/>
      <paraID>4F2E7F0A</paraID>
      <start>47</start>
      <end>49</end>
      <status>unmodified</status>
      <modifiedWord/>
      <trackRevisions>false</trackRevisions>
    </reviewItem>
    <reviewItem>
      <errorID>1399c24a-0c12-4414-a9fa-19b297578baf</errorID>
      <errorWord>上传递交</errorWord>
      <group>L1_AI</group>
      <groupName>深度校对</groupName>
      <ability>L2_AI_Grammar</ability>
      <abilityName>语法纠错</abilityName>
      <candidateList>
        <item>上传</item>
      </candidateList>
      <explain/>
      <paraID>4F2E7F0A</paraID>
      <start>137</start>
      <end>141</end>
      <status>unmodified</status>
      <modifiedWord/>
      <trackRevisions>false</trackRevisions>
    </reviewItem>
    <reviewItem>
      <errorID>5bb5c803-13dd-4d76-8f3e-4c0cc44b7d16</errorID>
      <errorWord>文件的</errorWord>
      <group>L1_AI</group>
      <groupName>深度校对</groupName>
      <ability>L2_AI_Grammar</ability>
      <abilityName>语法纠错</abilityName>
      <candidateList>
        <item>文件</item>
      </candidateList>
      <explain/>
      <paraID>4F2E7F0A</paraID>
      <start>144</start>
      <end>147</end>
      <status>unmodified</status>
      <modifiedWord/>
      <trackRevisions>false</trackRevisions>
    </reviewItem>
    <reviewItem>
      <errorID>f6956f13-2b22-40bf-aff4-9d843a49865b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794EC567</paraID>
      <start>0</start>
      <end>2</end>
      <status>unmodified</status>
      <modifiedWord/>
      <trackRevisions>false</trackRevisions>
    </reviewItem>
    <reviewItem>
      <errorID>ec06269f-5b4b-4cb6-b759-67703a99239e</errorID>
      <errorWord>须要</errorWord>
      <group>L1_Word</group>
      <groupName>字词问题</groupName>
      <ability>L2_Typo</ability>
      <abilityName>字词错误</abilityName>
      <candidateList>
        <item>需要</item>
      </candidateList>
      <explain>存在发音相同字词的误用。</explain>
      <paraID>794EC567</paraID>
      <start>21</start>
      <end>23</end>
      <status>unmodified</status>
      <modifiedWord/>
      <trackRevisions>false</trackRevisions>
    </reviewItem>
    <reviewItem>
      <errorID>bc212624-088c-4196-b47e-ed3264d9fbfb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50194D18</paraID>
      <start>0</start>
      <end>2</end>
      <status>unmodified</status>
      <modifiedWord/>
      <trackRevisions>false</trackRevisions>
    </reviewItem>
    <reviewItem>
      <errorID>e28d98e9-084e-4aeb-917c-23fa7156f2bf</errorID>
      <errorWord>具备有</errorWord>
      <group>L1_Word</group>
      <groupName>字词问题</groupName>
      <ability>L2_Typo</ability>
      <abilityName>字词错误</abilityName>
      <candidateList>
        <item>具备</item>
      </candidateList>
      <explain/>
      <paraID>50194D18</paraID>
      <start>8</start>
      <end>11</end>
      <status>unmodified</status>
      <modifiedWord/>
      <trackRevisions>false</trackRevisions>
    </reviewItem>
    <reviewItem>
      <errorID>b8167bd7-4d59-4389-a21f-52d09e433804</errorID>
      <errorWord>（</errorWord>
      <group>L1_Punc</group>
      <groupName>标点问题</groupName>
      <ability>L2_Punc</ability>
      <abilityName>标点符号检查</abilityName>
      <candidateList/>
      <explain>同一形式括号套用。</explain>
      <paraID> C2210B8</paraID>
      <start>51</start>
      <end>52</end>
      <status>unmodified</status>
      <modifiedWord/>
      <trackRevisions>false</trackRevisions>
    </reviewItem>
    <reviewItem>
      <errorID>9245daae-8117-42ac-a534-34ca07d4616e</errorID>
      <errorWord>）</errorWord>
      <group>L1_Punc</group>
      <groupName>标点问题</groupName>
      <ability>L2_Punc</ability>
      <abilityName>标点符号检查</abilityName>
      <candidateList/>
      <explain>同一形式括号套用。</explain>
      <paraID> C2210B8</paraID>
      <start>55</start>
      <end>56</end>
      <status>unmodified</status>
      <modifiedWord/>
      <trackRevisions>false</trackRevisions>
    </reviewItem>
    <reviewItem>
      <errorID>57e75ba5-414d-413d-832d-a48237b52c21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615B9BCC</paraID>
      <start>0</start>
      <end>2</end>
      <status>unmodified</status>
      <modifiedWord/>
      <trackRevisions>false</trackRevisions>
    </reviewItem>
    <reviewItem>
      <errorID>ad630819-d8ee-42c0-abee-59153c8eaf48</errorID>
      <errorWord>-</errorWord>
      <group>L1_Format</group>
      <groupName>格式问题</groupName>
      <ability>L2_HalfPunc</ability>
      <abilityName>全半角检查</abilityName>
      <candidateList>
        <item>－</item>
      </candidateList>
      <explain>文本全半角错误。</explain>
      <paraID> B7F3691</paraID>
      <start>66</start>
      <end>67</end>
      <status>unmodified</status>
      <modifiedWord/>
      <trackRevisions>false</trackRevisions>
    </reviewItem>
    <reviewItem>
      <errorID>c0106a0f-cf30-405d-86f3-b0a8b60043a1</errorID>
      <errorWord>操作合</errorWord>
      <group>L1_Word</group>
      <groupName>字词问题</groupName>
      <ability>L2_Typo</ability>
      <abilityName>字词错误</abilityName>
      <candidateList>
        <item>操作台</item>
      </candidateList>
      <explain/>
      <paraID>76ED12F8</paraID>
      <start>8</start>
      <end>11</end>
      <status>unmodified</status>
      <modifiedWord/>
      <trackRevisions>false</trackRevisions>
    </reviewItem>
    <reviewItem>
      <errorID>5660b2d0-951b-46c3-8b3b-74c1a9acd20d</errorID>
      <errorWord>，</errorWord>
      <group>L1_Word</group>
      <groupName>字词问题</groupName>
      <ability>L2_Typo</ability>
      <abilityName>字词错误</abilityName>
      <candidateList>
        <item>，在</item>
      </candidateList>
      <explain/>
      <paraID>489694C9</paraID>
      <start>117</start>
      <end>118</end>
      <status>unmodified</status>
      <modifiedWord/>
      <trackRevisions>false</trackRevisions>
    </reviewItem>
    <reviewItem>
      <errorID>6e850575-5393-473a-8936-f93c2a4c2709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47409B2</paraID>
      <start>0</start>
      <end>2</end>
      <status>unmodified</status>
      <modifiedWord/>
      <trackRevisions>false</trackRevisions>
    </reviewItem>
    <reviewItem>
      <errorID>b8e21c5f-43cc-4bf9-92bb-4aaf78badf44</errorID>
      <errorWord>(</errorWord>
      <group>L1_Format</group>
      <groupName>格式问题</groupName>
      <ability>L2_HalfPunc</ability>
      <abilityName>全半角检查</abilityName>
      <candidateList>
        <item>（</item>
      </candidateList>
      <explain>文本全半角错误。</explain>
      <paraID>6139F3D3</paraID>
      <start>4</start>
      <end>5</end>
      <status>unmodified</status>
      <modifiedWord/>
      <trackRevisions>false</trackRevisions>
    </reviewItem>
    <reviewItem>
      <errorID>3032eb13-4fb8-415d-b2c4-a0a451460908</errorID>
      <errorWord>)</errorWord>
      <group>L1_Format</group>
      <groupName>格式问题</groupName>
      <ability>L2_HalfPunc</ability>
      <abilityName>全半角检查</abilityName>
      <candidateList>
        <item>）</item>
      </candidateList>
      <explain>文本全半角错误。</explain>
      <paraID>6139F3D3</paraID>
      <start>9</start>
      <end>10</end>
      <status>unmodified</status>
      <modifiedWord/>
      <trackRevisions>false</trackRevisions>
    </reviewItem>
    <reviewItem>
      <errorID>0c69e650-741b-4575-bfdf-15af6e2e1bd7</errorID>
      <errorWord>[2025]</errorWord>
      <group>L1_Punc</group>
      <groupName>标点问题</groupName>
      <ability>L2_Punc</ability>
      <abilityName>标点符号检查</abilityName>
      <candidateList>
        <item>〔2025〕</item>
      </candidateList>
      <explain/>
      <paraID>182E99AA</paraID>
      <start>13</start>
      <end>19</end>
      <status>unmodified</status>
      <modifiedWord/>
      <trackRevisions>false</trackRevisions>
    </reviewItem>
    <reviewItem>
      <errorID>242176c4-90a0-46be-8cc5-b475d2ee2179</errorID>
      <errorWord>平</errorWord>
      <group>L1_Word</group>
      <groupName>字词问题</groupName>
      <ability>L2_Typo</ability>
      <abilityName>字词错误</abilityName>
      <candidateList>
        <item>平方</item>
      </candidateList>
      <explain/>
      <paraID>56305F8B</paraID>
      <start>40</start>
      <end>43</end>
      <status>modified</status>
      <modifiedWord>平方</modifiedWord>
      <trackRevisions>true</trackRevisions>
    </reviewItem>
    <reviewItem>
      <errorID>09abd995-b56b-4d5a-b7c8-de35aa90d87f</errorID>
      <errorWord>最</errorWord>
      <group>L1_Word</group>
      <groupName>字词问题</groupName>
      <ability>L2_Typo</ability>
      <abilityName>字词错误</abilityName>
      <candidateList>
        <item>最后</item>
      </candidateList>
      <explain>〈名〉在时间上或次序上在所有别的之后：～胜利一定属于我们｜这是全书的～一章。</explain>
      <paraID> C675D3B</paraID>
      <start>111</start>
      <end>114</end>
      <status>modified</status>
      <modifiedWord>最后</modifiedWord>
      <trackRevisions>true</trackRevisions>
    </reviewItem>
    <reviewItem>
      <errorID>8041cd50-017b-4b9c-a62a-599ba21b7c06</errorID>
      <errorWord>区域度</errorWord>
      <group>L1_Word</group>
      <groupName>字词问题</groupName>
      <ability>L2_Typo</ability>
      <abilityName>字词错误</abilityName>
      <candidateList>
        <item>区域</item>
      </candidateList>
      <explain/>
      <paraID> C675D3B</paraID>
      <start>160</start>
      <end>163</end>
      <status>unmodified</status>
      <modifiedWord/>
      <trackRevisions>false</trackRevisions>
    </reviewItem>
    <reviewItem>
      <errorID>65fd3547-89d2-4f27-995d-d9c9745d0b06</errorID>
      <errorWord>订</errorWord>
      <group>L1_Word</group>
      <groupName>字词问题</groupName>
      <ability>L2_Typo</ability>
      <abilityName>字词错误</abilityName>
      <candidateList>
        <item>订之</item>
      </candidateList>
      <explain/>
      <paraID>6C669AE4</paraID>
      <start>11</start>
      <end>14</end>
      <status>modified</status>
      <modifiedWord>订之</modifiedWord>
      <trackRevisions>true</trackRevisions>
    </reviewItem>
    <reviewItem>
      <errorID>ac9a0030-25a2-4549-9ec7-267e4b859567</errorID>
      <errorWord>)</errorWord>
      <group>L1_Format</group>
      <groupName>格式问题</groupName>
      <ability>L2_HalfPunc</ability>
      <abilityName>全半角检查</abilityName>
      <candidateList>
        <item>）</item>
      </candidateList>
      <explain>文本全半角错误。</explain>
      <paraID>2B939D33</paraID>
      <start>49</start>
      <end>50</end>
      <status>unmodified</status>
      <modifiedWord/>
      <trackRevisions>false</trackRevisions>
    </reviewItem>
    <reviewItem>
      <errorID>41cdf840-2ffc-47e3-adc4-5b2f1282996a</errorID>
      <errorWord>(</errorWord>
      <group>L1_Format</group>
      <groupName>格式问题</groupName>
      <ability>L2_HalfPunc</ability>
      <abilityName>全半角检查</abilityName>
      <candidateList>
        <item>（</item>
      </candidateList>
      <explain>文本全半角错误。</explain>
      <paraID>6F85B658</paraID>
      <start>13</start>
      <end>14</end>
      <status>unmodified</status>
      <modifiedWord/>
      <trackRevisions>false</trackRevisions>
    </reviewItem>
    <reviewItem>
      <errorID>df83b124-1da8-4f7e-b547-e8785ffc06bc</errorID>
      <errorWord>)</errorWord>
      <group>L1_Format</group>
      <groupName>格式问题</groupName>
      <ability>L2_HalfPunc</ability>
      <abilityName>全半角检查</abilityName>
      <candidateList>
        <item>）</item>
      </candidateList>
      <explain>文本全半角错误。</explain>
      <paraID>6F85B658</paraID>
      <start>36</start>
      <end>37</end>
      <status>unmodified</status>
      <modifiedWord/>
      <trackRevisions>false</trackRevisions>
    </reviewItem>
    <reviewItem>
      <errorID>38ad6f13-14e8-4925-8c17-c6f0fec22198</errorID>
      <errorWord>(</errorWord>
      <group>L1_Format</group>
      <groupName>格式问题</groupName>
      <ability>L2_HalfPunc</ability>
      <abilityName>全半角检查</abilityName>
      <candidateList>
        <item>（</item>
      </candidateList>
      <explain>文本全半角错误。</explain>
      <paraID>6F85B658</paraID>
      <start>46</start>
      <end>47</end>
      <status>unmodified</status>
      <modifiedWord/>
      <trackRevisions>false</trackRevisions>
    </reviewItem>
    <reviewItem>
      <errorID>45801e46-8e33-4d54-90d6-2e50dac8fd5e</errorID>
      <errorWord>)</errorWord>
      <group>L1_Format</group>
      <groupName>格式问题</groupName>
      <ability>L2_HalfPunc</ability>
      <abilityName>全半角检查</abilityName>
      <candidateList>
        <item>）</item>
      </candidateList>
      <explain>文本全半角错误。</explain>
      <paraID>6F85B658</paraID>
      <start>62</start>
      <end>63</end>
      <status>unmodified</status>
      <modifiedWord/>
      <trackRevisions>false</trackRevisions>
    </reviewItem>
    <reviewItem>
      <errorID>9fddfc92-eabf-4a15-bd52-1946bae74b80</errorID>
      <errorWord>:</errorWord>
      <group>L1_Format</group>
      <groupName>格式问题</groupName>
      <ability>L2_HalfPunc</ability>
      <abilityName>全半角检查</abilityName>
      <candidateList>
        <item>：</item>
      </candidateList>
      <explain>文本全半角错误。</explain>
      <paraID>4F7451F3</paraID>
      <start>7</start>
      <end>8</end>
      <status>unmodified</status>
      <modifiedWord/>
      <trackRevisions>false</trackRevisions>
    </reviewItem>
    <reviewItem>
      <errorID>c3946567-ffed-4b1f-aecb-71cf6ef3e036</errorID>
      <errorWord>(</errorWord>
      <group>L1_Format</group>
      <groupName>格式问题</groupName>
      <ability>L2_HalfPunc</ability>
      <abilityName>全半角检查</abilityName>
      <candidateList>
        <item>（</item>
      </candidateList>
      <explain>文本全半角错误。</explain>
      <paraID>4A6BE4A6</paraID>
      <start>33</start>
      <end>34</end>
      <status>unmodified</status>
      <modifiedWord/>
      <trackRevisions>false</trackRevisions>
    </reviewItem>
    <reviewItem>
      <errorID>ea9d3977-ef6a-493c-96bd-2d9d5fd2d10b</errorID>
      <errorWord>)</errorWord>
      <group>L1_Format</group>
      <groupName>格式问题</groupName>
      <ability>L2_HalfPunc</ability>
      <abilityName>全半角检查</abilityName>
      <candidateList>
        <item>）</item>
      </candidateList>
      <explain>文本全半角错误。</explain>
      <paraID>4A6BE4A6</paraID>
      <start>36</start>
      <end>37</end>
      <status>unmodified</status>
      <modifiedWord/>
      <trackRevisions>false</trackRevisions>
    </reviewItem>
    <reviewItem>
      <errorID>3cd40bc0-4c54-41ea-9ab6-31509d01bdd6</errorID>
      <errorWord>(</errorWord>
      <group>L1_Format</group>
      <groupName>格式问题</groupName>
      <ability>L2_HalfPunc</ability>
      <abilityName>全半角检查</abilityName>
      <candidateList>
        <item>（</item>
      </candidateList>
      <explain>文本全半角错误。</explain>
      <paraID>289CF302</paraID>
      <start>10</start>
      <end>11</end>
      <status>unmodified</status>
      <modifiedWord/>
      <trackRevisions>false</trackRevisions>
    </reviewItem>
    <reviewItem>
      <errorID>a5ada7de-fc4e-4013-97af-b417ca570a6e</errorID>
      <errorWord>)</errorWord>
      <group>L1_Format</group>
      <groupName>格式问题</groupName>
      <ability>L2_HalfPunc</ability>
      <abilityName>全半角检查</abilityName>
      <candidateList>
        <item>）</item>
      </candidateList>
      <explain>文本全半角错误。</explain>
      <paraID>289CF302</paraID>
      <start>21</start>
      <end>22</end>
      <status>unmodified</status>
      <modifiedWord/>
      <trackRevisions>false</trackRevisions>
    </reviewItem>
    <reviewItem>
      <errorID>06f3121c-afe7-47a0-afd7-9e9d9905a5c5</errorID>
      <errorWord>)</errorWord>
      <group>L1_Format</group>
      <groupName>格式问题</groupName>
      <ability>L2_HalfPunc</ability>
      <abilityName>全半角检查</abilityName>
      <candidateList>
        <item>）</item>
      </candidateList>
      <explain>文本全半角错误。</explain>
      <paraID>79862312</paraID>
      <start>39</start>
      <end>40</end>
      <status>unmodified</status>
      <modifiedWord/>
      <trackRevisions>false</trackRevisions>
    </reviewItem>
    <reviewItem>
      <errorID>db6662ed-861c-4375-ab55-e6c041d79c39</errorID>
      <errorWord>(</errorWord>
      <group>L1_Format</group>
      <groupName>格式问题</groupName>
      <ability>L2_HalfPunc</ability>
      <abilityName>全半角检查</abilityName>
      <candidateList>
        <item>（</item>
      </candidateList>
      <explain>文本全半角错误。</explain>
      <paraID>2121CF2E</paraID>
      <start>31</start>
      <end>32</end>
      <status>unmodified</status>
      <modifiedWord/>
      <trackRevisions>false</trackRevisions>
    </reviewItem>
    <reviewItem>
      <errorID>41fb12b3-dcdc-4d09-9be1-704652553e05</errorID>
      <errorWord>)</errorWord>
      <group>L1_Format</group>
      <groupName>格式问题</groupName>
      <ability>L2_HalfPunc</ability>
      <abilityName>全半角检查</abilityName>
      <candidateList>
        <item>）</item>
      </candidateList>
      <explain>文本全半角错误。</explain>
      <paraID>2121CF2E</paraID>
      <start>42</start>
      <end>43</end>
      <status>unmodified</status>
      <modifiedWord/>
      <trackRevisions>false</trackRevisions>
    </reviewItem>
    <reviewItem>
      <errorID>1788ebf3-25bd-4d9c-a75d-9d45ffede09a</errorID>
      <errorWord>(</errorWord>
      <group>L1_Format</group>
      <groupName>格式问题</groupName>
      <ability>L2_HalfPunc</ability>
      <abilityName>全半角检查</abilityName>
      <candidateList>
        <item>（</item>
      </candidateList>
      <explain>文本全半角错误。</explain>
      <paraID>65E24DCB</paraID>
      <start>27</start>
      <end>28</end>
      <status>unmodified</status>
      <modifiedWord/>
      <trackRevisions>false</trackRevisions>
    </reviewItem>
    <reviewItem>
      <errorID>ab69f670-adec-4389-b51b-3b667974a5fc</errorID>
      <errorWord>)</errorWord>
      <group>L1_Format</group>
      <groupName>格式问题</groupName>
      <ability>L2_HalfPunc</ability>
      <abilityName>全半角检查</abilityName>
      <candidateList>
        <item>）</item>
      </candidateList>
      <explain>文本全半角错误。</explain>
      <paraID>65E24DCB</paraID>
      <start>38</start>
      <end>39</end>
      <status>unmodified</status>
      <modifiedWord/>
      <trackRevisions>false</trackRevisions>
    </reviewItem>
    <reviewItem>
      <errorID>64d297b4-4591-4c98-b8cc-39bf6ba18e29</errorID>
      <errorWord>(</errorWord>
      <group>L1_Format</group>
      <groupName>格式问题</groupName>
      <ability>L2_HalfPunc</ability>
      <abilityName>全半角检查</abilityName>
      <candidateList>
        <item>（</item>
      </candidateList>
      <explain>文本全半角错误。</explain>
      <paraID>41BE74FE</paraID>
      <start>8</start>
      <end>9</end>
      <status>unmodified</status>
      <modifiedWord/>
      <trackRevisions>false</trackRevisions>
    </reviewItem>
    <reviewItem>
      <errorID>d491c910-4650-4203-9cc0-24633f7af62e</errorID>
      <errorWord>)</errorWord>
      <group>L1_Format</group>
      <groupName>格式问题</groupName>
      <ability>L2_HalfPunc</ability>
      <abilityName>全半角检查</abilityName>
      <candidateList>
        <item>）</item>
      </candidateList>
      <explain>文本全半角错误。</explain>
      <paraID>41BE74FE</paraID>
      <start>19</start>
      <end>20</end>
      <status>unmodified</status>
      <modifiedWord/>
      <trackRevisions>false</trackRevisions>
    </reviewItem>
    <reviewItem>
      <errorID>3bc99f2b-8447-473a-a300-4cf403924027</errorID>
      <errorWord>(</errorWord>
      <group>L1_Format</group>
      <groupName>格式问题</groupName>
      <ability>L2_HalfPunc</ability>
      <abilityName>全半角检查</abilityName>
      <candidateList>
        <item>（</item>
      </candidateList>
      <explain>文本全半角错误。</explain>
      <paraID>34D6B48D</paraID>
      <start>19</start>
      <end>20</end>
      <status>unmodified</status>
      <modifiedWord/>
      <trackRevisions>false</trackRevisions>
    </reviewItem>
    <reviewItem>
      <errorID>ffa3dbde-c53e-4cbe-9f12-f384f6207b41</errorID>
      <errorWord>)</errorWord>
      <group>L1_Format</group>
      <groupName>格式问题</groupName>
      <ability>L2_HalfPunc</ability>
      <abilityName>全半角检查</abilityName>
      <candidateList>
        <item>）</item>
      </candidateList>
      <explain>文本全半角错误。</explain>
      <paraID>34D6B48D</paraID>
      <start>43</start>
      <end>44</end>
      <status>unmodified</status>
      <modifiedWord/>
      <trackRevisions>false</trackRevisions>
    </reviewItem>
    <reviewItem>
      <errorID>718a7e8a-a4a8-42d8-9388-aeaa183ca0b7</errorID>
      <errorWord>件</errorWord>
      <group>L1_Word</group>
      <groupName>字词问题</groupName>
      <ability>L2_Typo</ability>
      <abilityName>字词错误</abilityName>
      <candidateList>
        <item>件中</item>
      </candidateList>
      <explain/>
      <paraID> F6C78A1</paraID>
      <start>87</start>
      <end>88</end>
      <status>unmodified</status>
      <modifiedWord/>
      <trackRevisions>false</trackRevisions>
    </reviewItem>
    <reviewItem>
      <errorID>cda907eb-0578-49bb-ab0e-c9cd67d0e964</errorID>
      <errorWord>其它</errorWord>
      <group>L1_Word</group>
      <groupName>字词问题</groupName>
      <ability>L2_Alias</ability>
      <abilityName>也作/曾用词</abilityName>
      <candidateList>
        <item>其他</item>
      </candidateList>
      <explain>词汇[其它]为不规范表述或旧称，其规范书面表述为[其他]。</explain>
      <paraID> F6C78A1</paraID>
      <start>88</start>
      <end>90</end>
      <status>unmodified</status>
      <modifiedWord/>
      <trackRevisions>false</trackRevisions>
    </reviewItem>
    <reviewItem>
      <errorID>0875b250-df89-4813-a8d5-88fb258c5d5a</errorID>
      <errorWord>的的</errorWord>
      <group>L1_Word</group>
      <groupName>字词问题</groupName>
      <ability>L2_Typo</ability>
      <abilityName>字词错误</abilityName>
      <candidateList>
        <item>的</item>
      </candidateList>
      <explain>置于形容词、名词后，用于修饰事物的形态。</explain>
      <paraID>5B27C8A1</paraID>
      <start>16</start>
      <end>18</end>
      <status>unmodified</status>
      <modifiedWord/>
      <trackRevisions>false</trackRevisions>
    </reviewItem>
    <reviewItem>
      <errorID>2cca53a3-5ea4-49d3-965c-47587bc1399d</errorID>
      <errorWord>并且</errorWord>
      <group>L1_Word</group>
      <groupName>字词问题</groupName>
      <ability>L2_Typo</ability>
      <abilityName>字词错误</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❺〈书〉〈介〉用法跟“连”相同（常跟“而”、“亦”呼应）：～此而不知｜～此浅近原理亦不能明。</explain>
      <paraID> 64C9FFB</paraID>
      <start>81</start>
      <end>83</end>
      <status>unmodified</status>
      <modifiedWord/>
      <trackRevisions>false</trackRevisions>
    </reviewItem>
    <reviewItem>
      <errorID>f8c27e84-dd41-4513-9c1d-c08cca16a1a6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1CA64081</paraID>
      <start>0</start>
      <end>2</end>
      <status>unmodified</status>
      <modifiedWord/>
      <trackRevisions>false</trackRevisions>
    </reviewItem>
    <reviewItem>
      <errorID>4b06bf9d-7341-480f-8b74-8d2a88790350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562B8483</paraID>
      <start>0</start>
      <end>2</end>
      <status>unmodified</status>
      <modifiedWord/>
      <trackRevisions>false</trackRevisions>
    </reviewItem>
    <reviewItem>
      <errorID>589500bc-5077-41d5-b7de-ac7da8b56072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5034DC91</paraID>
      <start>0</start>
      <end>2</end>
      <status>unmodified</status>
      <modifiedWord/>
      <trackRevisions>false</trackRevisions>
    </reviewItem>
    <reviewItem>
      <errorID>9a39de25-f0b5-46f3-ab19-d21f3f524abd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7F97859A</paraID>
      <start>0</start>
      <end>2</end>
      <status>unmodified</status>
      <modifiedWord/>
      <trackRevisions>false</trackRevisions>
    </reviewItem>
    <reviewItem>
      <errorID>3257bb19-3cb5-404d-9e15-218b2cadd2ab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3077A7DE</paraID>
      <start>0</start>
      <end>2</end>
      <status>unmodified</status>
      <modifiedWord/>
      <trackRevisions>false</trackRevisions>
    </reviewItem>
    <reviewItem>
      <errorID>b9fcdedf-1113-45ad-9049-5710168a7e46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3DADEC55</paraID>
      <start>0</start>
      <end>2</end>
      <status>unmodified</status>
      <modifiedWord/>
      <trackRevisions>false</trackRevisions>
    </reviewItem>
    <reviewItem>
      <errorID>e18d1999-9312-4da5-9cbf-9b921d93c845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7C5668A1</paraID>
      <start>0</start>
      <end>2</end>
      <status>unmodified</status>
      <modifiedWord/>
      <trackRevisions>false</trackRevisions>
    </reviewItem>
    <reviewItem>
      <errorID>e7ce9505-cc28-4ce1-8b9d-7839400e3b3a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4CCAB59B</paraID>
      <start>0</start>
      <end>2</end>
      <status>unmodified</status>
      <modifiedWord/>
      <trackRevisions>false</trackRevisions>
    </reviewItem>
    <reviewItem>
      <errorID>ce6e36a1-71fc-4fce-9297-98c24ceeab21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F7EF34B</paraID>
      <start>0</start>
      <end>2</end>
      <status>unmodified</status>
      <modifiedWord/>
      <trackRevisions>false</trackRevisions>
    </reviewItem>
    <reviewItem>
      <errorID>6895cc9c-9ae8-4808-a585-b91d07fba6c0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2107C065</paraID>
      <start>0</start>
      <end>2</end>
      <status>unmodified</status>
      <modifiedWord/>
      <trackRevisions>false</trackRevisions>
    </reviewItem>
    <reviewItem>
      <errorID>2b5bce13-ddd7-4fd2-be6a-abab060f9f5b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78BC24A3</paraID>
      <start>0</start>
      <end>2</end>
      <status>unmodified</status>
      <modifiedWord/>
      <trackRevisions>false</trackRevisions>
    </reviewItem>
    <reviewItem>
      <errorID>3f42a088-9612-46c1-b4c2-97051ef979a5</errorID>
      <errorWord>-</errorWord>
      <group>L1_Format</group>
      <groupName>格式问题</groupName>
      <ability>L2_HalfPunc</ability>
      <abilityName>全半角检查</abilityName>
      <candidateList>
        <item>－</item>
      </candidateList>
      <explain>文本全半角错误。</explain>
      <paraID>1F8807EA</paraID>
      <start>35</start>
      <end>36</end>
      <status>unmodified</status>
      <modifiedWord/>
      <trackRevisions>false</trackRevisions>
    </reviewItem>
    <reviewItem>
      <errorID>cd58472d-70ad-4604-b5ba-007334dd9cb8</errorID>
      <errorWord>件件</errorWord>
      <group>L1_Word</group>
      <groupName>字词问题</groupName>
      <ability>L2_Typo</ability>
      <abilityName>字词错误</abilityName>
      <candidateList>
        <item>件</item>
      </candidateList>
      <explain/>
      <paraID>1F8807EA</paraID>
      <start>104</start>
      <end>106</end>
      <status>unmodified</status>
      <modifiedWord/>
      <trackRevisions>false</trackRevisions>
    </reviewItem>
    <reviewItem>
      <errorID>bdbd57c0-9e0f-49ac-a2c7-51f9047d4906</errorID>
      <errorWord>，</errorWord>
      <group>L1_Word</group>
      <groupName>字词问题</groupName>
      <ability>L2_Typo</ability>
      <abilityName>字词错误</abilityName>
      <candidateList>
        <item>，在</item>
      </candidateList>
      <explain/>
      <paraID>608924DA</paraID>
      <start>22</start>
      <end>23</end>
      <status>unmodified</status>
      <modifiedWord/>
      <trackRevisions>false</trackRevisions>
    </reviewItem>
    <reviewItem>
      <errorID>54b067b7-5f22-45ad-93ff-d7bbad2f7c2b</errorID>
      <errorWord>现场勘察</errorWord>
      <group>L1_Word</group>
      <groupName>字词问题</groupName>
      <ability>L2_Typo</ability>
      <abilityName>字词错误</abilityName>
      <candidateList>
        <item>现场勘查</item>
      </candidateList>
      <explain/>
      <paraID>248AA7C7</paraID>
      <start>0</start>
      <end>4</end>
      <status>unmodified</status>
      <modifiedWord/>
      <trackRevisions>false</trackRevisions>
    </reviewItem>
    <reviewItem>
      <errorID>70a8d228-a716-4863-9bd7-2fd24770a53f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352E3361</paraID>
      <start>45</start>
      <end>48</end>
      <status>unmodified</status>
      <modifiedWord/>
      <trackRevisions>false</trackRevisions>
    </reviewItem>
    <reviewItem>
      <errorID>dd9e24f5-0684-4e1c-a777-76de62dc6f01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352E3361</paraID>
      <start>64</start>
      <end>67</end>
      <status>unmodified</status>
      <modifiedWord/>
      <trackRevisions>false</trackRevisions>
    </reviewItem>
    <reviewItem>
      <errorID>f46799ed-265d-442f-b767-d3b1425d2e8d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352E3361</paraID>
      <start>86</start>
      <end>89</end>
      <status>unmodified</status>
      <modifiedWord/>
      <trackRevisions>false</trackRevisions>
    </reviewItem>
    <reviewItem>
      <errorID>9fba95af-7d42-40c9-9f25-932104964f03</errorID>
      <errorWord>法律、法规</errorWord>
      <group>L1_Word</group>
      <groupName>字词问题</groupName>
      <ability>L2_Typo</ability>
      <abilityName>字词错误</abilityName>
      <candidateList>
        <item>法律法规</item>
      </candidateList>
      <explain/>
      <paraID>5EFB63FF</paraID>
      <start>38</start>
      <end>43</end>
      <status>unmodified</status>
      <modifiedWord/>
      <trackRevisions>false</trackRevisions>
    </reviewItem>
    <reviewItem>
      <errorID>c7d2520c-1291-403d-81c6-4a7e264f3b72</errorID>
      <errorWord>不能负</errorWord>
      <group>L1_Word</group>
      <groupName>字词问题</groupName>
      <ability>L2_Typo</ability>
      <abilityName>字词错误</abilityName>
      <candidateList>
        <item>不能</item>
      </candidateList>
      <explain/>
      <paraID> B47857B</paraID>
      <start>42</start>
      <end>45</end>
      <status>unmodified</status>
      <modifiedWord/>
      <trackRevisions>false</trackRevisions>
    </reviewItem>
    <reviewItem>
      <errorID>e83c220b-d8b7-434d-adff-c8bfbd5e7411</errorID>
      <errorWord>[2020]46号</errorWord>
      <group>L1_Knowledge</group>
      <groupName>知识性问题</groupName>
      <ability>L2_Knowledge</ability>
      <abilityName>其他知识</abilityName>
      <candidateList>
        <item>〔2020〕46号</item>
      </candidateList>
      <explain>发文字号格式错误</explain>
      <paraID>2F269D36</paraID>
      <start>26</start>
      <end>35</end>
      <status>unmodified</status>
      <modifiedWord/>
      <trackRevisions>false</trackRevisions>
    </reviewItem>
    <reviewItem>
      <errorID>ce21e461-9c62-45ed-b08e-e1911fa9ae10</errorID>
      <errorWord>-</errorWord>
      <group>L1_Knowledge</group>
      <groupName>知识性问题</groupName>
      <ability>L2_Knowledge</ability>
      <abilityName>其他知识</abilityName>
      <candidateList>
        <item>～</item>
      </candidateList>
      <explain>连接号使用不恰当</explain>
      <paraID>2F269D36</paraID>
      <start>121</start>
      <end>122</end>
      <status>unmodified</status>
      <modifiedWord/>
      <trackRevisions>false</trackRevisions>
    </reviewItem>
    <reviewItem>
      <errorID>f5fdf98b-3333-4954-ad60-288c9111f22a</errorID>
      <errorWord>—</errorWord>
      <group>L1_Knowledge</group>
      <groupName>知识性问题</groupName>
      <ability>L2_Knowledge</ability>
      <abilityName>其他知识</abilityName>
      <candidateList>
        <item>～</item>
      </candidateList>
      <explain>连接号使用不恰当</explain>
      <paraID>2F269D36</paraID>
      <start>133</start>
      <end>134</end>
      <status>unmodified</status>
      <modifiedWord/>
      <trackRevisions>false</trackRevisions>
    </reviewItem>
    <reviewItem>
      <errorID>ebdf2b82-fe33-4489-ac46-cbfdfe3c7a58</errorID>
      <errorWord>[2020]46号</errorWord>
      <group>L1_Knowledge</group>
      <groupName>知识性问题</groupName>
      <ability>L2_Knowledge</ability>
      <abilityName>其他知识</abilityName>
      <candidateList>
        <item>〔2020〕46号</item>
      </candidateList>
      <explain>发文字号格式错误</explain>
      <paraID>7BDFD568</paraID>
      <start>26</start>
      <end>35</end>
      <status>unmodified</status>
      <modifiedWord/>
      <trackRevisions>false</trackRevisions>
    </reviewItem>
    <reviewItem>
      <errorID>f5355a43-b742-4beb-9fe1-2c571017f038</errorID>
      <errorWord>-</errorWord>
      <group>L1_Knowledge</group>
      <groupName>知识性问题</groupName>
      <ability>L2_Knowledge</ability>
      <abilityName>其他知识</abilityName>
      <candidateList>
        <item>～</item>
      </candidateList>
      <explain>连接号使用不恰当</explain>
      <paraID>7BDFD568</paraID>
      <start>128</start>
      <end>129</end>
      <status>unmodified</status>
      <modifiedWord/>
      <trackRevisions>false</trackRevisions>
    </reviewItem>
    <reviewItem>
      <errorID>a1b1bcb1-a424-441e-af89-e489c5a233b9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703202D9</paraID>
      <start>0</start>
      <end>2</end>
      <status>unmodified</status>
      <modifiedWord/>
      <trackRevisions>false</trackRevisions>
    </reviewItem>
    <reviewItem>
      <errorID>cf8b1315-641c-4545-b3bc-8973cf668991</errorID>
      <errorWord>供应商尽</errorWord>
      <group>L1_Word</group>
      <groupName>字词问题</groupName>
      <ability>L2_Typo</ability>
      <abilityName>字词错误</abilityName>
      <candidateList>
        <item>供应商</item>
      </candidateList>
      <explain/>
      <paraID>3A87754C</paraID>
      <start>48</start>
      <end>52</end>
      <status>unmodified</status>
      <modifiedWord/>
      <trackRevisions>false</trackRevisions>
    </reviewItem>
    <reviewItem>
      <errorID>f580930d-df80-47e8-b4a4-41f4e2938d11</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1AFAF292</paraID>
      <start>0</start>
      <end>3</end>
      <status>unmodified</status>
      <modifiedWord/>
      <trackRevisions>false</trackRevisions>
    </reviewItem>
    <reviewItem>
      <errorID>af4c5430-dbb5-4723-b2d1-1d48e8e71dd9</errorID>
      <errorWord>-</errorWord>
      <group>L1_Format</group>
      <groupName>格式问题</groupName>
      <ability>L2_HalfPunc</ability>
      <abilityName>全半角检查</abilityName>
      <candidateList>
        <item>－</item>
      </candidateList>
      <explain>文本全半角错误。</explain>
      <paraID>1A1A7FA1</paraID>
      <start>70</start>
      <end>71</end>
      <status>unmodified</status>
      <modifiedWord/>
      <trackRevisions>false</trackRevisions>
    </reviewItem>
    <reviewItem>
      <errorID>6db0cc20-4ffb-40bc-959d-97eda705ee9e</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3484C969</paraID>
      <start>0</start>
      <end>3</end>
      <status>unmodified</status>
      <modifiedWord/>
      <trackRevisions>false</trackRevisions>
    </reviewItem>
    <reviewItem>
      <errorID>a95fd18e-4ccc-451a-b9c2-9f888da82d66</errorID>
      <errorWord>、</errorWord>
      <group>L1_Word</group>
      <groupName>字词问题</groupName>
      <ability>L2_Typo</ability>
      <abilityName>字词错误</abilityName>
      <candidateList>
        <item>、具</item>
      </candidateList>
      <explain/>
      <paraID>77F37716</paraID>
      <start>27</start>
      <end>28</end>
      <status>unmodified</status>
      <modifiedWord/>
      <trackRevisions>false</trackRevisions>
    </reviewItem>
    <reviewItem>
      <errorID>56c0f5ac-eab8-410d-b1d9-8735df784023</errorID>
      <errorWord>付</errorWord>
      <group>L1_Word</group>
      <groupName>字词问题</groupName>
      <ability>L2_Typo</ability>
      <abilityName>字词错误</abilityName>
      <candidateList>
        <item>付金</item>
      </candidateList>
      <explain/>
      <paraID>22BC96FE</paraID>
      <start>163</start>
      <end>164</end>
      <status>unmodified</status>
      <modifiedWord/>
      <trackRevisions>false</trackRevisions>
    </reviewItem>
    <reviewItem>
      <errorID>df2f498d-595a-496f-9ea7-4a1442155bfd</errorID>
      <errorWord>己</errorWord>
      <group>L1_Word</group>
      <groupName>字词问题</groupName>
      <ability>L2_Typo</ability>
      <abilityName>字词错误</abilityName>
      <candidateList>
        <item>已</item>
      </candidateList>
      <explain>存在字形相近字词的误用。</explain>
      <paraID>6B06134F</paraID>
      <start>34</start>
      <end>36</end>
      <status>modified</status>
      <modifiedWord>已</modifiedWord>
      <trackRevisions>true</trackRevisions>
    </reviewItem>
    <reviewItem>
      <errorID>c1c68937-573e-49bc-a112-ff0c414d9149</errorID>
      <errorWord>总额</errorWord>
      <group>L1_Word</group>
      <groupName>字词问题</groupName>
      <ability>L2_Typo</ability>
      <abilityName>字词错误</abilityName>
      <candidateList>
        <item>总</item>
      </candidateList>
      <explain/>
      <paraID> 2AA2523</paraID>
      <start>57</start>
      <end>59</end>
      <status>unmodified</status>
      <modifiedWord/>
      <trackRevisions>false</trackRevisions>
    </reviewItem>
    <reviewItem>
      <errorID>c48d64a8-9838-4c8c-a895-d48e17016a8e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4BA652FF</paraID>
      <start>46</start>
      <end>49</end>
      <status>unmodified</status>
      <modifiedWord/>
      <trackRevisions>false</trackRevisions>
    </reviewItem>
    <reviewItem>
      <errorID>a26d4d72-acba-4eba-a04c-ccd695926953</errorID>
      <errorWord>房</errorWord>
      <group>L1_Word</group>
      <groupName>字词问题</groupName>
      <ability>L2_Typo</ability>
      <abilityName>字词错误</abilityName>
      <candidateList>
        <item>房和</item>
      </candidateList>
      <explain/>
      <paraID>6C47285F</paraID>
      <start>7</start>
      <end>10</end>
      <status>modified</status>
      <modifiedWord>房和</modifiedWord>
      <trackRevisions>true</trackRevisions>
    </reviewItem>
    <reviewItem>
      <errorID>821286a7-8012-4817-87f3-58e09b5c444b</errorID>
      <errorWord>:</errorWord>
      <group>L1_Format</group>
      <groupName>格式问题</groupName>
      <ability>L2_HalfPunc</ability>
      <abilityName>全半角检查</abilityName>
      <candidateList>
        <item>：</item>
      </candidateList>
      <explain>文本全半角错误。</explain>
      <paraID>4EF0E6B7</paraID>
      <start>4</start>
      <end>5</end>
      <status>unmodified</status>
      <modifiedWord/>
      <trackRevisions>false</trackRevisions>
    </reviewItem>
    <reviewItem>
      <errorID>cf8f54e7-b7aa-477b-8e46-a3bea696e6c0</errorID>
      <errorWord>标价</errorWord>
      <group>L1_Word</group>
      <groupName>字词问题</groupName>
      <ability>L2_Typo</ability>
      <abilityName>字词错误</abilityName>
      <candidateList>
        <item>报价</item>
      </candidateList>
      <explain/>
      <paraID>36359D3E</paraID>
      <start>39</start>
      <end>41</end>
      <status>unmodified</status>
      <modifiedWord/>
      <trackRevisions>false</trackRevisions>
    </reviewItem>
    <reviewItem>
      <errorID>7aeca71e-1d3b-46a0-95bd-027cd0a659c6</errorID>
      <errorWord>做</errorWord>
      <group>L1_Word</group>
      <groupName>字词问题</groupName>
      <ability>L2_Typo</ability>
      <abilityName>字词错误</abilityName>
      <candidateList>
        <item>作</item>
      </candidateList>
      <explain>存在发音相同字词的误用。</explain>
      <paraID>36359D3E</paraID>
      <start>191</start>
      <end>192</end>
      <status>unmodified</status>
      <modifiedWord/>
      <trackRevisions>false</trackRevisions>
    </reviewItem>
    <reviewItem>
      <errorID>439db04a-ecf4-4153-920e-fd673dc317cb</errorID>
      <errorWord>件</errorWord>
      <group>L1_Word</group>
      <groupName>字词问题</groupName>
      <ability>L2_Typo</ability>
      <abilityName>字词错误</abilityName>
      <candidateList>
        <item>件中</item>
      </candidateList>
      <explain/>
      <paraID> CC474B2</paraID>
      <start>97</start>
      <end>98</end>
      <status>unmodified</status>
      <modifiedWord/>
      <trackRevisions>false</trackRevisions>
    </reviewItem>
    <reviewItem>
      <errorID>a53ac7cd-dd91-4c3d-8c34-89b38fb8245f</errorID>
      <errorWord>其它</errorWord>
      <group>L1_Word</group>
      <groupName>字词问题</groupName>
      <ability>L2_Alias</ability>
      <abilityName>也作/曾用词</abilityName>
      <candidateList>
        <item>其他</item>
      </candidateList>
      <explain>词汇[其它]为不规范表述或旧称，其规范书面表述为[其他]。</explain>
      <paraID> CC474B2</paraID>
      <start>98</start>
      <end>100</end>
      <status>unmodified</status>
      <modifiedWord/>
      <trackRevisions>false</trackRevisions>
    </reviewItem>
    <reviewItem>
      <errorID>9ad243c6-68f6-4b46-a7d8-bc5d2f38ff6f</errorID>
      <errorWord>的的</errorWord>
      <group>L1_Word</group>
      <groupName>字词问题</groupName>
      <ability>L2_Typo</ability>
      <abilityName>字词错误</abilityName>
      <candidateList>
        <item>的</item>
      </candidateList>
      <explain>置于形容词、名词后，用于修饰事物的形态。</explain>
      <paraID>248B93F4</paraID>
      <start>16</start>
      <end>18</end>
      <status>unmodified</status>
      <modifiedWord/>
      <trackRevisions>false</trackRevisions>
    </reviewItem>
    <reviewItem>
      <errorID>b0fe5399-0f5e-4a3a-989b-5919d30364de</errorID>
      <errorWord>-</errorWord>
      <group>L1_Format</group>
      <groupName>格式问题</groupName>
      <ability>L2_HalfPunc</ability>
      <abilityName>全半角检查</abilityName>
      <candidateList>
        <item>－</item>
      </candidateList>
      <explain>文本全半角错误。</explain>
      <paraID>1DF526C5</paraID>
      <start>52</start>
      <end>53</end>
      <status>unmodified</status>
      <modifiedWord/>
      <trackRevisions>false</trackRevisions>
    </reviewItem>
    <reviewItem>
      <errorID>55241f0b-6872-4a86-98a7-252f7921b683</errorID>
      <errorWord>在按</errorWord>
      <group>L1_Word</group>
      <groupName>字词问题</groupName>
      <ability>L2_Typo</ability>
      <abilityName>字词错误</abilityName>
      <candidateList>
        <item>在</item>
      </candidateList>
      <explain>❶〈动〉存在；生存：精神永～｜留得青山～，不怕没柴烧｜父母都～。❷〈动〉表示人或事物的位置：我今天晚上不～厂里｜你的钢笔～桌子上呢。❸〈动〉留在：～职｜～位。❹〈动〉参加（某团体）；属于（某团体）：～党｜～组织。❺〈动〉在于；决定于：事～人为｜学习好，主要～自己努力。❻“在”和“所”连用，表示强调，下面多连“不”：～所不辞｜～所不惜｜～所不计｜～所难免。❼〈介〉表示时间、处所、范围、条件等：事情发生～去年｜～礼堂开会｜这件事～方式上还可以研究｜～他的帮助下，我取得了较好的成绩。❽〈副〉正在：风～刮，雨～下｜姐姐～做功课。</explain>
      <paraID>1DF526C5</paraID>
      <start>237</start>
      <end>239</end>
      <status>unmodified</status>
      <modifiedWord/>
      <trackRevisions>false</trackRevisions>
    </reviewItem>
    <reviewItem>
      <errorID>b3d25cc4-5915-4660-b9ed-eaa89721c680</errorID>
      <errorWord>操作合</errorWord>
      <group>L1_Word</group>
      <groupName>字词问题</groupName>
      <ability>L2_Typo</ability>
      <abilityName>字词错误</abilityName>
      <candidateList>
        <item>操作台</item>
      </candidateList>
      <explain/>
      <paraID>43EA6240</paraID>
      <start>9</start>
      <end>12</end>
      <status>unmodified</status>
      <modifiedWord/>
      <trackRevisions>false</trackRevisions>
    </reviewItem>
    <reviewItem>
      <errorID>80a95335-8c57-45ce-9f02-4ee1a6761484</errorID>
      <errorWord>，</errorWord>
      <group>L1_Word</group>
      <groupName>字词问题</groupName>
      <ability>L2_Typo</ability>
      <abilityName>字词错误</abilityName>
      <candidateList>
        <item>，在</item>
      </candidateList>
      <explain/>
      <paraID>236B91FD</paraID>
      <start>51</start>
      <end>52</end>
      <status>unmodified</status>
      <modifiedWord/>
      <trackRevisions>false</trackRevisions>
    </reviewItem>
    <reviewItem>
      <errorID>3de4252b-76e6-4b97-8ba5-07e1fb2b2d5b</errorID>
      <errorWord>重新重新</errorWord>
      <group>L1_Word</group>
      <groupName>字词问题</groupName>
      <ability>L2_Typo</ability>
      <abilityName>字词错误</abilityName>
      <candidateList>
        <item>重新</item>
      </candidateList>
      <explain>〈副〉❶再一次：～抄写一遍｜他～来到战斗过的地方。❷表示从头另行开始（变更方式或内容）：～部署｜～做人。</explain>
      <paraID>65F47E82</paraID>
      <start>117</start>
      <end>121</end>
      <status>unmodified</status>
      <modifiedWord/>
      <trackRevisions>false</trackRevisions>
    </reviewItem>
    <reviewItem>
      <errorID>bc353069-21a4-4a5f-bed0-75e999778e40</errorID>
      <errorWord>项</errorWord>
      <group>L1_Word</group>
      <groupName>字词问题</groupName>
      <ability>L2_Typo</ability>
      <abilityName>字词错误</abilityName>
      <candidateList>
        <item>项目</item>
      </candidateList>
      <explain>〈名〉事物分成的门类：服务～｜体育～｜建设～。</explain>
      <paraID>72024CD5</paraID>
      <start>97</start>
      <end>98</end>
      <status>unmodified</status>
      <modifiedWord/>
      <trackRevisions>false</trackRevisions>
    </reviewItem>
    <reviewItem>
      <errorID>a499b711-3b6c-4cc4-83df-afe7a171bc59</errorID>
      <errorWord>(</errorWord>
      <group>L1_Format</group>
      <groupName>格式问题</groupName>
      <ability>L2_HalfPunc</ability>
      <abilityName>全半角检查</abilityName>
      <candidateList>
        <item>（</item>
      </candidateList>
      <explain>文本全半角错误。</explain>
      <paraID>4B0ABD9E</paraID>
      <start>75</start>
      <end>76</end>
      <status>unmodified</status>
      <modifiedWord/>
      <trackRevisions>false</trackRevisions>
    </reviewItem>
    <reviewItem>
      <errorID>b7602afb-e731-4c2b-bf10-52cfe25e0e9d</errorID>
      <errorWord>)</errorWord>
      <group>L1_Format</group>
      <groupName>格式问题</groupName>
      <ability>L2_HalfPunc</ability>
      <abilityName>全半角检查</abilityName>
      <candidateList>
        <item>）</item>
      </candidateList>
      <explain>文本全半角错误。</explain>
      <paraID>4B0ABD9E</paraID>
      <start>83</start>
      <end>84</end>
      <status>unmodified</status>
      <modifiedWord/>
      <trackRevisions>false</trackRevisions>
    </reviewItem>
    <reviewItem>
      <errorID>5a291326-758f-4db2-becc-7e19142e979d</errorID>
      <errorWord>（</errorWord>
      <group>L1_Punc</group>
      <groupName>标点问题</groupName>
      <ability>L2_Punc</ability>
      <abilityName>标点符号检查</abilityName>
      <candidateList/>
      <explain>同一形式括号套用。</explain>
      <paraID>7203D73C</paraID>
      <start>76</start>
      <end>77</end>
      <status>unmodified</status>
      <modifiedWord/>
      <trackRevisions>false</trackRevisions>
    </reviewItem>
    <reviewItem>
      <errorID>5aa86408-583e-42bd-bd31-54e6c3908377</errorID>
      <errorWord>）</errorWord>
      <group>L1_Punc</group>
      <groupName>标点问题</groupName>
      <ability>L2_Punc</ability>
      <abilityName>标点符号检查</abilityName>
      <candidateList/>
      <explain>同一形式括号套用。</explain>
      <paraID>7203D73C</paraID>
      <start>83</start>
      <end>84</end>
      <status>unmodified</status>
      <modifiedWord/>
      <trackRevisions>false</trackRevisions>
    </reviewItem>
    <reviewItem>
      <errorID>7d638812-f022-45cd-9834-c04156680b41</errorID>
      <errorWord>重新重新</errorWord>
      <group>L1_Word</group>
      <groupName>字词问题</groupName>
      <ability>L2_Typo</ability>
      <abilityName>字词错误</abilityName>
      <candidateList>
        <item>重新</item>
      </candidateList>
      <explain>〈副〉❶再一次：～抄写一遍｜他～来到战斗过的地方。❷表示从头另行开始（变更方式或内容）：～部署｜～做人。</explain>
      <paraID>682F0B23</paraID>
      <start>204</start>
      <end>208</end>
      <status>unmodified</status>
      <modifiedWord/>
      <trackRevisions>false</trackRevisions>
    </reviewItem>
    <reviewItem>
      <errorID>36962ebd-ee71-46fc-bc4d-b0e91b5bf074</errorID>
      <errorWord>，</errorWord>
      <group>L1_Word</group>
      <groupName>字词问题</groupName>
      <ability>L2_Typo</ability>
      <abilityName>字词错误</abilityName>
      <candidateList>
        <item>，在</item>
      </candidateList>
      <explain/>
      <paraID>4AA98839</paraID>
      <start>50</start>
      <end>51</end>
      <status>unmodified</status>
      <modifiedWord/>
      <trackRevisions>false</trackRevisions>
    </reviewItem>
    <reviewItem>
      <errorID>2f725c95-5ab4-493d-8f32-5aa235e237a4</errorID>
      <errorWord>重新重新</errorWord>
      <group>L1_Word</group>
      <groupName>字词问题</groupName>
      <ability>L2_Typo</ability>
      <abilityName>字词错误</abilityName>
      <candidateList>
        <item>重新</item>
      </candidateList>
      <explain>〈副〉❶再一次：～抄写一遍｜他～来到战斗过的地方。❷表示从头另行开始（变更方式或内容）：～部署｜～做人。</explain>
      <paraID>488D2C40</paraID>
      <start>112</start>
      <end>116</end>
      <status>unmodified</status>
      <modifiedWord/>
      <trackRevisions>false</trackRevisions>
    </reviewItem>
    <reviewItem>
      <errorID>85d365af-a49f-4a4f-b7d1-b3c41b8be83b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1C534C53</paraID>
      <start>30</start>
      <end>33</end>
      <status>unmodified</status>
      <modifiedWord/>
      <trackRevisions>false</trackRevisions>
    </reviewItem>
    <reviewItem>
      <errorID>1c1183e0-8aa6-407e-9926-01f56345fddc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1C534C53</paraID>
      <start>49</start>
      <end>52</end>
      <status>unmodified</status>
      <modifiedWord/>
      <trackRevisions>false</trackRevisions>
    </reviewItem>
    <reviewItem>
      <errorID>b51325b4-72d8-4db9-a900-544354b01ec0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1C534C53</paraID>
      <start>71</start>
      <end>74</end>
      <status>unmodified</status>
      <modifiedWord/>
      <trackRevisions>false</trackRevisions>
    </reviewItem>
    <reviewItem>
      <errorID>3b20c9c0-2ac9-4c49-a5ac-0db88964e52b</errorID>
      <errorWord>属</errorWord>
      <group>L1_Word</group>
      <groupName>字词问题</groupName>
      <ability>L2_Typo</ability>
      <abilityName>字词错误</abilityName>
      <candidateList>
        <item>属于</item>
      </candidateList>
      <explain/>
      <paraID>1C534C53</paraID>
      <start>133</start>
      <end>134</end>
      <status>unmodified</status>
      <modifiedWord/>
      <trackRevisions>false</trackRevisions>
    </reviewItem>
    <reviewItem>
      <errorID>ebfeb97e-0b9c-453c-95a5-3fd8a8c8644f</errorID>
      <errorWord>100～500万</errorWord>
      <group>L1_Knowledge</group>
      <groupName>知识性问题</groupName>
      <ability>L2_Knowledge</ability>
      <abilityName>其他知识</abilityName>
      <candidateList>
        <item>100万～500万</item>
      </candidateList>
      <explain>“100～500万”中的单位“万”仅出现在后一个数字上，容易引起歧义；根据《现代汉语标点符号数字用法规范手册》，数字表示范围两边需要使用统一的格式。</explain>
      <paraID> 7B1EC6D</paraID>
      <start>0</start>
      <end>8</end>
      <status>unmodified</status>
      <modifiedWord/>
      <trackRevisions>false</trackRevisions>
    </reviewItem>
    <reviewItem>
      <errorID>a55f0a66-6874-4129-967a-6f0ad2f8ef9d</errorID>
      <errorWord>500～1000万</errorWord>
      <group>L1_Knowledge</group>
      <groupName>知识性问题</groupName>
      <ability>L2_Knowledge</ability>
      <abilityName>其他知识</abilityName>
      <candidateList>
        <item>500万～1000万</item>
      </candidateList>
      <explain>“500～1000万”中的单位“万”仅出现在后一个数字上，容易引起歧义；根据《现代汉语标点符号数字用法规范手册》，数字表示范围两边需要使用统一的格式。</explain>
      <paraID>3FF4006F</paraID>
      <start>0</start>
      <end>9</end>
      <status>unmodified</status>
      <modifiedWord/>
      <trackRevisions>false</trackRevisions>
    </reviewItem>
    <reviewItem>
      <errorID>34ebf611-0b9b-4264-8452-aedb9540bd19</errorID>
      <errorWord>1000～5000万</errorWord>
      <group>L1_Knowledge</group>
      <groupName>知识性问题</groupName>
      <ability>L2_Knowledge</ability>
      <abilityName>其他知识</abilityName>
      <candidateList>
        <item>1000万～5000万</item>
      </candidateList>
      <explain>“1000～5000万”中的单位“万”仅出现在后一个数字上，容易引起歧义；根据《现代汉语标点符号数字用法规范手册》，数字表示范围两边需要使用统一的格式。</explain>
      <paraID>539F043A</paraID>
      <start>0</start>
      <end>10</end>
      <status>unmodified</status>
      <modifiedWord/>
      <trackRevisions>false</trackRevisions>
    </reviewItem>
    <reviewItem>
      <errorID>0c3faa57-9d2c-4e23-a373-4147ba4135ab</errorID>
      <errorWord>1～5亿</errorWord>
      <group>L1_Knowledge</group>
      <groupName>知识性问题</groupName>
      <ability>L2_Knowledge</ability>
      <abilityName>其他知识</abilityName>
      <candidateList>
        <item>1亿～5亿</item>
      </candidateList>
      <explain>“1～5亿”中的单位“亿”仅出现在后一个数字上，容易引起歧义；根据《现代汉语标点符号数字用法规范手册》，数字表示范围两边需要使用统一的格式。</explain>
      <paraID>3DB39226</paraID>
      <start>0</start>
      <end>4</end>
      <status>unmodified</status>
      <modifiedWord/>
      <trackRevisions>false</trackRevisions>
    </reviewItem>
    <reviewItem>
      <errorID>12c2cb18-ec45-4e28-8202-98ade8f0d39e</errorID>
      <errorWord>5～10亿</errorWord>
      <group>L1_Knowledge</group>
      <groupName>知识性问题</groupName>
      <ability>L2_Knowledge</ability>
      <abilityName>其他知识</abilityName>
      <candidateList>
        <item>5亿～10亿</item>
      </candidateList>
      <explain>“5～10亿”中的单位“亿”仅出现在后一个数字上，容易引起歧义；根据《现代汉语标点符号数字用法规范手册》，数字表示范围两边需要使用统一的格式。</explain>
      <paraID>340F83F0</paraID>
      <start>0</start>
      <end>5</end>
      <status>unmodified</status>
      <modifiedWord/>
      <trackRevisions>false</trackRevisions>
    </reviewItem>
    <reviewItem>
      <errorID>2ef4f2b4-afe8-4aa5-bc44-6ac16e07333d</errorID>
      <errorWord>10～50亿</errorWord>
      <group>L1_Knowledge</group>
      <groupName>知识性问题</groupName>
      <ability>L2_Knowledge</ability>
      <abilityName>其他知识</abilityName>
      <candidateList>
        <item>10亿～50亿</item>
      </candidateList>
      <explain>“10～50亿”中的单位“亿”仅出现在后一个数字上，容易引起歧义；根据《现代汉语标点符号数字用法规范手册》，数字表示范围两边需要使用统一的格式。</explain>
      <paraID> C623CE3</paraID>
      <start>0</start>
      <end>6</end>
      <status>unmodified</status>
      <modifiedWord/>
      <trackRevisions>false</trackRevisions>
    </reviewItem>
    <reviewItem>
      <errorID>ae5eecab-7a59-4825-ac8b-b68bd8096256</errorID>
      <errorWord>50～100亿</errorWord>
      <group>L1_Knowledge</group>
      <groupName>知识性问题</groupName>
      <ability>L2_Knowledge</ability>
      <abilityName>其他知识</abilityName>
      <candidateList>
        <item>50亿～100亿</item>
      </candidateList>
      <explain>“50～100亿”中的单位“亿”仅出现在后一个数字上，容易引起歧义；根据《现代汉语标点符号数字用法规范手册》，数字表示范围两边需要使用统一的格式。</explain>
      <paraID>53373E61</paraID>
      <start>0</start>
      <end>7</end>
      <status>unmodified</status>
      <modifiedWord/>
      <trackRevisions>false</trackRevisions>
    </reviewItem>
    <reviewItem>
      <errorID>cade8e8e-eaeb-4f69-8401-2caf029cbf6d</errorID>
      <errorWord>(</errorWord>
      <group>L1_Format</group>
      <groupName>格式问题</groupName>
      <ability>L2_HalfPunc</ability>
      <abilityName>全半角检查</abilityName>
      <candidateList>
        <item>（</item>
      </candidateList>
      <explain>文本全半角错误。</explain>
      <paraID> 56156E7</paraID>
      <start>66</start>
      <end>67</end>
      <status>unmodified</status>
      <modifiedWord/>
      <trackRevisions>false</trackRevisions>
    </reviewItem>
    <reviewItem>
      <errorID>e2a37102-54d8-4385-a76d-20612ef0520f</errorID>
      <errorWord>)</errorWord>
      <group>L1_Format</group>
      <groupName>格式问题</groupName>
      <ability>L2_HalfPunc</ability>
      <abilityName>全半角检查</abilityName>
      <candidateList>
        <item>）</item>
      </candidateList>
      <explain>文本全半角错误。</explain>
      <paraID> 56156E7</paraID>
      <start>72</start>
      <end>73</end>
      <status>unmodified</status>
      <modifiedWord/>
      <trackRevisions>false</trackRevisions>
    </reviewItem>
    <reviewItem>
      <errorID>efdfb6f7-656d-47ed-8aa7-1a32c6fe0cd0</errorID>
      <errorWord>强</errorWord>
      <group>L1_Word</group>
      <groupName>字词问题</groupName>
      <ability>L2_Typo</ability>
      <abilityName>字词错误</abilityName>
      <candidateList>
        <item>强度</item>
      </candidateList>
      <explain/>
      <paraID> 56156E7</paraID>
      <start>78</start>
      <end>81</end>
      <status>modified</status>
      <modifiedWord>强度</modifiedWord>
      <trackRevisions>true</trackRevisions>
    </reviewItem>
    <reviewItem>
      <errorID>f0f9b059-b285-443f-bdfe-f91f666a3d8d</errorID>
      <errorWord>;</errorWord>
      <group>L1_Format</group>
      <groupName>格式问题</groupName>
      <ability>L2_HalfPunc</ability>
      <abilityName>全半角检查</abilityName>
      <candidateList>
        <item>；</item>
      </candidateList>
      <explain>文本全半角错误。</explain>
      <paraID> 56156E7</paraID>
      <start>103</start>
      <end>104</end>
      <status>unmodified</status>
      <modifiedWord/>
      <trackRevisions>false</trackRevisions>
    </reviewItem>
    <reviewItem>
      <errorID>920133a1-259c-45fb-8ad8-a0ac3f995cbe</errorID>
      <errorWord>(</errorWord>
      <group>L1_Format</group>
      <groupName>格式问题</groupName>
      <ability>L2_HalfPunc</ability>
      <abilityName>全半角检查</abilityName>
      <candidateList>
        <item>（</item>
      </candidateList>
      <explain>文本全半角错误。</explain>
      <paraID>356AAAAA</paraID>
      <start>22</start>
      <end>23</end>
      <status>unmodified</status>
      <modifiedWord/>
      <trackRevisions>false</trackRevisions>
    </reviewItem>
    <reviewItem>
      <errorID>9c4161dc-dfca-4c82-926c-4f1ee88a3236</errorID>
      <errorWord>)</errorWord>
      <group>L1_Format</group>
      <groupName>格式问题</groupName>
      <ability>L2_HalfPunc</ability>
      <abilityName>全半角检查</abilityName>
      <candidateList>
        <item>）</item>
      </candidateList>
      <explain>文本全半角错误。</explain>
      <paraID>356AAAAA</paraID>
      <start>26</start>
      <end>27</end>
      <status>unmodified</status>
      <modifiedWord/>
      <trackRevisions>false</trackRevisions>
    </reviewItem>
    <reviewItem>
      <errorID>2a832d34-13a9-43a1-aea7-08784bb840fd</errorID>
      <errorWord>(</errorWord>
      <group>L1_Format</group>
      <groupName>格式问题</groupName>
      <ability>L2_HalfPunc</ability>
      <abilityName>全半角检查</abilityName>
      <candidateList>
        <item>（</item>
      </candidateList>
      <explain>文本全半角错误。</explain>
      <paraID>356AAAAA</paraID>
      <start>36</start>
      <end>37</end>
      <status>unmodified</status>
      <modifiedWord/>
      <trackRevisions>false</trackRevisions>
    </reviewItem>
    <reviewItem>
      <errorID>a64487e1-da9a-46c6-95f7-ae6d0f112ea6</errorID>
      <errorWord>)</errorWord>
      <group>L1_Format</group>
      <groupName>格式问题</groupName>
      <ability>L2_HalfPunc</ability>
      <abilityName>全半角检查</abilityName>
      <candidateList>
        <item>）</item>
      </candidateList>
      <explain>文本全半角错误。</explain>
      <paraID>356AAAAA</paraID>
      <start>39</start>
      <end>40</end>
      <status>unmodified</status>
      <modifiedWord/>
      <trackRevisions>false</trackRevisions>
    </reviewItem>
    <reviewItem>
      <errorID>7f7b78a2-58dd-4c2e-84d0-6e01ba7a7502</errorID>
      <errorWord>(</errorWord>
      <group>L1_Format</group>
      <groupName>格式问题</groupName>
      <ability>L2_HalfPunc</ability>
      <abilityName>全半角检查</abilityName>
      <candidateList>
        <item>（</item>
      </candidateList>
      <explain>文本全半角错误。</explain>
      <paraID>356AAAAA</paraID>
      <start>45</start>
      <end>46</end>
      <status>unmodified</status>
      <modifiedWord/>
      <trackRevisions>false</trackRevisions>
    </reviewItem>
    <reviewItem>
      <errorID>58ed6e76-7621-44d9-91c7-328fa74eed02</errorID>
      <errorWord>)</errorWord>
      <group>L1_Format</group>
      <groupName>格式问题</groupName>
      <ability>L2_HalfPunc</ability>
      <abilityName>全半角检查</abilityName>
      <candidateList>
        <item>）</item>
      </candidateList>
      <explain>文本全半角错误。</explain>
      <paraID>356AAAAA</paraID>
      <start>52</start>
      <end>53</end>
      <status>unmodified</status>
      <modifiedWord/>
      <trackRevisions>false</trackRevisions>
    </reviewItem>
    <reviewItem>
      <errorID>5a09d863-daa3-46ba-93bd-6a784d64dabb</errorID>
      <errorWord>满</errorWord>
      <group>L1_Word</group>
      <groupName>字词问题</groupName>
      <ability>L2_Typo</ability>
      <abilityName>字词错误</abilityName>
      <candidateList>
        <item>满足</item>
      </candidateList>
      <explain/>
      <paraID>356AAAAA</paraID>
      <start>69</start>
      <end>72</end>
      <status>modified</status>
      <modifiedWord>满足</modifiedWord>
      <trackRevisions>true</trackRevisions>
    </reviewItem>
    <reviewItem>
      <errorID>6f039b4f-c46c-4add-b86c-802c1705f23b</errorID>
      <errorWord>(</errorWord>
      <group>L1_Format</group>
      <groupName>格式问题</groupName>
      <ability>L2_HalfPunc</ability>
      <abilityName>全半角检查</abilityName>
      <candidateList>
        <item>（</item>
      </candidateList>
      <explain>文本全半角错误。</explain>
      <paraID> 98479DA</paraID>
      <start>19</start>
      <end>20</end>
      <status>unmodified</status>
      <modifiedWord/>
      <trackRevisions>false</trackRevisions>
    </reviewItem>
    <reviewItem>
      <errorID>7dd8c404-fc2b-421f-a4e2-92c1990e4950</errorID>
      <errorWord>)</errorWord>
      <group>L1_Format</group>
      <groupName>格式问题</groupName>
      <ability>L2_HalfPunc</ability>
      <abilityName>全半角检查</abilityName>
      <candidateList>
        <item>）</item>
      </candidateList>
      <explain>文本全半角错误。</explain>
      <paraID> 98479DA</paraID>
      <start>33</start>
      <end>34</end>
      <status>unmodified</status>
      <modifiedWord/>
      <trackRevisions>false</trackRevisions>
    </reviewItem>
    <reviewItem>
      <errorID>b82df9bd-27cb-4bef-9886-1c3482990988</errorID>
      <errorWord>(</errorWord>
      <group>L1_Format</group>
      <groupName>格式问题</groupName>
      <ability>L2_HalfPunc</ability>
      <abilityName>全半角检查</abilityName>
      <candidateList>
        <item>（</item>
      </candidateList>
      <explain>文本全半角错误。</explain>
      <paraID> 636CE87</paraID>
      <start>27</start>
      <end>28</end>
      <status>unmodified</status>
      <modifiedWord/>
      <trackRevisions>false</trackRevisions>
    </reviewItem>
    <reviewItem>
      <errorID>c94776d7-c2e2-4b30-8abb-c1694bd9e110</errorID>
      <errorWord>)</errorWord>
      <group>L1_Format</group>
      <groupName>格式问题</groupName>
      <ability>L2_HalfPunc</ability>
      <abilityName>全半角检查</abilityName>
      <candidateList>
        <item>）</item>
      </candidateList>
      <explain>文本全半角错误。</explain>
      <paraID> 636CE87</paraID>
      <start>95</start>
      <end>96</end>
      <status>unmodified</status>
      <modifiedWord/>
      <trackRevisions>false</trackRevisions>
    </reviewItem>
    <reviewItem>
      <errorID>6d0a39c4-ea1f-4d48-b124-f4c3d9f531bb</errorID>
      <errorWord>(</errorWord>
      <group>L1_Format</group>
      <groupName>格式问题</groupName>
      <ability>L2_HalfPunc</ability>
      <abilityName>全半角检查</abilityName>
      <candidateList>
        <item>（</item>
      </candidateList>
      <explain>文本全半角错误。</explain>
      <paraID> 636CE87</paraID>
      <start>105</start>
      <end>106</end>
      <status>unmodified</status>
      <modifiedWord/>
      <trackRevisions>false</trackRevisions>
    </reviewItem>
    <reviewItem>
      <errorID>69ac52ca-92ec-4c65-abe0-c98f9c8a3b81</errorID>
      <errorWord>)</errorWord>
      <group>L1_Format</group>
      <groupName>格式问题</groupName>
      <ability>L2_HalfPunc</ability>
      <abilityName>全半角检查</abilityName>
      <candidateList>
        <item>）</item>
      </candidateList>
      <explain>文本全半角错误。</explain>
      <paraID> 636CE87</paraID>
      <start>159</start>
      <end>160</end>
      <status>unmodified</status>
      <modifiedWord/>
      <trackRevisions>false</trackRevisions>
    </reviewItem>
    <reviewItem>
      <errorID>df44f0d2-a9f7-4e86-9096-ffc8d3840e07</errorID>
      <errorWord>(</errorWord>
      <group>L1_Format</group>
      <groupName>格式问题</groupName>
      <ability>L2_HalfPunc</ability>
      <abilityName>全半角检查</abilityName>
      <candidateList>
        <item>（</item>
      </candidateList>
      <explain>文本全半角错误。</explain>
      <paraID> B163945</paraID>
      <start>22</start>
      <end>23</end>
      <status>unmodified</status>
      <modifiedWord/>
      <trackRevisions>false</trackRevisions>
    </reviewItem>
    <reviewItem>
      <errorID>84acacc0-f037-4759-abd8-9af31fb24c5e</errorID>
      <errorWord>)</errorWord>
      <group>L1_Format</group>
      <groupName>格式问题</groupName>
      <ability>L2_HalfPunc</ability>
      <abilityName>全半角检查</abilityName>
      <candidateList>
        <item>）</item>
      </candidateList>
      <explain>文本全半角错误。</explain>
      <paraID> B163945</paraID>
      <start>45</start>
      <end>46</end>
      <status>unmodified</status>
      <modifiedWord/>
      <trackRevisions>false</trackRevisions>
    </reviewItem>
    <reviewItem>
      <errorID>3e8f9a4a-5c95-41f2-a66f-22957bf6ae88</errorID>
      <errorWord>(</errorWord>
      <group>L1_Format</group>
      <groupName>格式问题</groupName>
      <ability>L2_HalfPunc</ability>
      <abilityName>全半角检查</abilityName>
      <candidateList>
        <item>（</item>
      </candidateList>
      <explain>文本全半角错误。</explain>
      <paraID> B163945</paraID>
      <start>55</start>
      <end>56</end>
      <status>unmodified</status>
      <modifiedWord/>
      <trackRevisions>false</trackRevisions>
    </reviewItem>
    <reviewItem>
      <errorID>8632070c-47dd-41a8-bdeb-7011622be2ba</errorID>
      <errorWord>)</errorWord>
      <group>L1_Format</group>
      <groupName>格式问题</groupName>
      <ability>L2_HalfPunc</ability>
      <abilityName>全半角检查</abilityName>
      <candidateList>
        <item>）</item>
      </candidateList>
      <explain>文本全半角错误。</explain>
      <paraID> B163945</paraID>
      <start>71</start>
      <end>72</end>
      <status>unmodified</status>
      <modifiedWord/>
      <trackRevisions>false</trackRevisions>
    </reviewItem>
    <reviewItem>
      <errorID>fcbe0b89-d98b-41d5-9a59-753fd271803b</errorID>
      <errorWord>已</errorWord>
      <group>L1_Word</group>
      <groupName>字词问题</groupName>
      <ability>L2_Typo</ability>
      <abilityName>字词错误</abilityName>
      <candidateList>
        <item>以</item>
      </candidateList>
      <explain>用在单纯的方位词前，组成合成的方位词或方位结构，表示时间、方位、数量的界限：～前｜～上｜三日～后｜县级～上｜长江～南｜五千～内｜二十岁～下。</explain>
      <paraID>3BA00A80</paraID>
      <start>53</start>
      <end>54</end>
      <status>unmodified</status>
      <modifiedWord/>
      <trackRevisions>false</trackRevisions>
    </reviewItem>
    <reviewItem>
      <errorID>f97b5625-915e-4f2b-a925-6764eef13015</errorID>
      <errorWord>-</errorWord>
      <group>L1_Format</group>
      <groupName>格式问题</groupName>
      <ability>L2_HalfPunc</ability>
      <abilityName>全半角检查</abilityName>
      <candidateList>
        <item>－</item>
      </candidateList>
      <explain>文本全半角错误。</explain>
      <paraID> 5E919C8</paraID>
      <start>20</start>
      <end>21</end>
      <status>unmodified</status>
      <modifiedWord/>
      <trackRevisions>false</trackRevisions>
    </reviewItem>
    <reviewItem>
      <errorID>9557a9ed-ba18-42a8-8221-98766d701366</errorID>
      <errorWord>法律、法规</errorWord>
      <group>L1_Word</group>
      <groupName>字词问题</groupName>
      <ability>L2_Typo</ability>
      <abilityName>字词错误</abilityName>
      <candidateList>
        <item>法律法规</item>
      </candidateList>
      <explain/>
      <paraID>3E639B46</paraID>
      <start>3</start>
      <end>8</end>
      <status>unmodified</status>
      <modifiedWord/>
      <trackRevisions>false</trackRevisions>
    </reviewItem>
    <reviewItem>
      <errorID>276a38aa-28a8-4a60-81be-6752b2c65c2e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488D78F1</paraID>
      <start>0</start>
      <end>2</end>
      <status>unmodified</status>
      <modifiedWord/>
      <trackRevisions>false</trackRevisions>
    </reviewItem>
    <reviewItem>
      <errorID>acd17797-de59-4950-9a39-0a86ada34995</errorID>
      <errorWord>，</errorWord>
      <group>L1_Word</group>
      <groupName>字词问题</groupName>
      <ability>L2_Typo</ability>
      <abilityName>字词错误</abilityName>
      <candidateList>
        <item>，对</item>
      </candidateList>
      <explain/>
      <paraID>2013410A</paraID>
      <start>114</start>
      <end>115</end>
      <status>unmodified</status>
      <modifiedWord/>
      <trackRevisions>false</trackRevisions>
    </reviewItem>
    <reviewItem>
      <errorID>05ee72d4-94b2-4e26-899d-fc5816bce7b2</errorID>
      <errorWord>去掉</errorWord>
      <group>L1_Word</group>
      <groupName>字词问题</groupName>
      <ability>L2_Typo</ability>
      <abilityName>字词错误</abilityName>
      <candidateList>
        <item>取消</item>
      </candidateList>
      <explain/>
      <paraID>4CF5C4F1</paraID>
      <start>43</start>
      <end>45</end>
      <status>unmodified</status>
      <modifiedWord/>
      <trackRevisions>false</trackRevisions>
    </reviewItem>
    <reviewItem>
      <errorID>942fca35-7cd9-4777-8f3a-1f7b94248e88</errorID>
      <errorWord>【2022】30号</errorWord>
      <group>L1_Knowledge</group>
      <groupName>知识性问题</groupName>
      <ability>L2_Knowledge</ability>
      <abilityName>其他知识</abilityName>
      <candidateList>
        <item>〔2022〕30号</item>
      </candidateList>
      <explain>发文字号格式错误</explain>
      <paraID>753FFF97</paraID>
      <start>77</start>
      <end>86</end>
      <status>unmodified</status>
      <modifiedWord/>
      <trackRevisions>false</trackRevisions>
    </reviewItem>
    <reviewItem>
      <errorID>dfdef5d8-a248-40a3-ae4e-27336cdbf6c3</errorID>
      <errorWord>(</errorWord>
      <group>L1_Format</group>
      <groupName>格式问题</groupName>
      <ability>L2_HalfPunc</ability>
      <abilityName>全半角检查</abilityName>
      <candidateList>
        <item>（</item>
      </candidateList>
      <explain>文本全半角错误。</explain>
      <paraID>5C6BA26A</paraID>
      <start>131</start>
      <end>132</end>
      <status>unmodified</status>
      <modifiedWord/>
      <trackRevisions>false</trackRevisions>
    </reviewItem>
    <reviewItem>
      <errorID>0fe1d451-f0f3-41c9-8b88-4db7aa18d04e</errorID>
      <errorWord>)</errorWord>
      <group>L1_Format</group>
      <groupName>格式问题</groupName>
      <ability>L2_HalfPunc</ability>
      <abilityName>全半角检查</abilityName>
      <candidateList>
        <item>）</item>
      </candidateList>
      <explain>文本全半角错误。</explain>
      <paraID>5C6BA26A</paraID>
      <start>141</start>
      <end>142</end>
      <status>unmodified</status>
      <modifiedWord/>
      <trackRevisions>false</trackRevisions>
    </reviewItem>
    <reviewItem>
      <errorID>c359be1f-d05f-4d07-b564-4fb4ca417ef5</errorID>
      <errorWord>-</errorWord>
      <group>L1_Knowledge</group>
      <groupName>知识性问题</groupName>
      <ability>L2_Knowledge</ability>
      <abilityName>其他知识</abilityName>
      <candidateList>
        <item>%～</item>
      </candidateList>
      <explain>百分号用法检查</explain>
      <paraID>4356866D</paraID>
      <start>94</start>
      <end>95</end>
      <status>unmodified</status>
      <modifiedWord/>
      <trackRevisions>false</trackRevisions>
    </reviewItem>
    <reviewItem>
      <errorID>9568f227-9bf0-458c-bd7f-a680d78bde70</errorID>
      <errorWord>占到</errorWord>
      <group>L1_Word</group>
      <groupName>字词问题</groupName>
      <ability>L2_Typo</ability>
      <abilityName>字词错误</abilityName>
      <candidateList>
        <item>占</item>
      </candidateList>
      <explain/>
      <paraID>4356866D</paraID>
      <start>159</start>
      <end>161</end>
      <status>unmodified</status>
      <modifiedWord/>
      <trackRevisions>false</trackRevisions>
    </reviewItem>
    <reviewItem>
      <errorID>5bdfea84-04df-4716-975e-f43273bd8187</errorID>
      <errorWord>(</errorWord>
      <group>L1_Format</group>
      <groupName>格式问题</groupName>
      <ability>L2_HalfPunc</ability>
      <abilityName>全半角检查</abilityName>
      <candidateList>
        <item>（</item>
      </candidateList>
      <explain>文本全半角错误。</explain>
      <paraID>55576219</paraID>
      <start>15</start>
      <end>16</end>
      <status>unmodified</status>
      <modifiedWord/>
      <trackRevisions>false</trackRevisions>
    </reviewItem>
    <reviewItem>
      <errorID>cf7a4761-bdde-47e2-a505-8055ba348896</errorID>
      <errorWord>)</errorWord>
      <group>L1_Format</group>
      <groupName>格式问题</groupName>
      <ability>L2_HalfPunc</ability>
      <abilityName>全半角检查</abilityName>
      <candidateList>
        <item>）</item>
      </candidateList>
      <explain>文本全半角错误。</explain>
      <paraID>55576219</paraID>
      <start>26</start>
      <end>27</end>
      <status>unmodified</status>
      <modifiedWord/>
      <trackRevisions>false</trackRevisions>
    </reviewItem>
    <reviewItem>
      <errorID>9aa211d1-9638-4b3b-b2dd-42531f913a61</errorID>
      <errorWord>(</errorWord>
      <group>L1_Format</group>
      <groupName>格式问题</groupName>
      <ability>L2_HalfPunc</ability>
      <abilityName>全半角检查</abilityName>
      <candidateList>
        <item>（</item>
      </candidateList>
      <explain>文本全半角错误。</explain>
      <paraID>12AAE0F5</paraID>
      <start>1</start>
      <end>2</end>
      <status>unmodified</status>
      <modifiedWord/>
      <trackRevisions>false</trackRevisions>
    </reviewItem>
    <reviewItem>
      <errorID>cc33231a-d801-4ab7-b8a1-5f101fab2584</errorID>
      <errorWord>)</errorWord>
      <group>L1_Format</group>
      <groupName>格式问题</groupName>
      <ability>L2_HalfPunc</ability>
      <abilityName>全半角检查</abilityName>
      <candidateList>
        <item>）</item>
      </candidateList>
      <explain>文本全半角错误。</explain>
      <paraID>12AAE0F5</paraID>
      <start>4</start>
      <end>5</end>
      <status>unmodified</status>
      <modifiedWord/>
      <trackRevisions>false</trackRevisions>
    </reviewItem>
    <reviewItem>
      <errorID>35dd9695-561d-4190-9856-4c5bceab069d</errorID>
      <errorWord>(</errorWord>
      <group>L1_Format</group>
      <groupName>格式问题</groupName>
      <ability>L2_HalfPunc</ability>
      <abilityName>全半角检查</abilityName>
      <candidateList>
        <item>（</item>
      </candidateList>
      <explain>文本全半角错误。</explain>
      <paraID>651FE3E4</paraID>
      <start>1</start>
      <end>2</end>
      <status>unmodified</status>
      <modifiedWord/>
      <trackRevisions>false</trackRevisions>
    </reviewItem>
    <reviewItem>
      <errorID>f2987af7-d7d2-4921-bfd0-daa2ac3b9c2b</errorID>
      <errorWord>)</errorWord>
      <group>L1_Format</group>
      <groupName>格式问题</groupName>
      <ability>L2_HalfPunc</ability>
      <abilityName>全半角检查</abilityName>
      <candidateList>
        <item>）</item>
      </candidateList>
      <explain>文本全半角错误。</explain>
      <paraID>651FE3E4</paraID>
      <start>4</start>
      <end>5</end>
      <status>unmodified</status>
      <modifiedWord/>
      <trackRevisions>false</trackRevisions>
    </reviewItem>
    <reviewItem>
      <errorID>9a14bf10-b4db-49a9-83cb-68d73dbcf2f0</errorID>
      <errorWord>中(</errorWord>
      <group>L1_Word</group>
      <groupName>字词问题</groupName>
      <ability>L2_Typo</ability>
      <abilityName>字词错误</abilityName>
      <candidateList>
        <item>(</item>
      </candidateList>
      <explain/>
      <paraID>612A1579</paraID>
      <start>0</start>
      <end>2</end>
      <status>unmodified</status>
      <modifiedWord/>
      <trackRevisions>false</trackRevisions>
    </reviewItem>
    <reviewItem>
      <errorID>bbcafe50-0d26-428e-b78f-7fa941f59536</errorID>
      <errorWord>)</errorWord>
      <group>L1_Format</group>
      <groupName>格式问题</groupName>
      <ability>L2_HalfPunc</ability>
      <abilityName>全半角检查</abilityName>
      <candidateList>
        <item>）</item>
      </candidateList>
      <explain>文本全半角错误。</explain>
      <paraID>612A1579</paraID>
      <start>4</start>
      <end>5</end>
      <status>unmodified</status>
      <modifiedWord/>
      <trackRevisions>false</trackRevisions>
    </reviewItem>
    <reviewItem>
      <errorID>03f34335-46f8-4ccf-92e5-60cec1c4162f</errorID>
      <errorWord>(</errorWord>
      <group>L1_Format</group>
      <groupName>格式问题</groupName>
      <ability>L2_HalfPunc</ability>
      <abilityName>全半角检查</abilityName>
      <candidateList>
        <item>（</item>
      </candidateList>
      <explain>文本全半角错误。</explain>
      <paraID>3AAE2B14</paraID>
      <start>1</start>
      <end>2</end>
      <status>unmodified</status>
      <modifiedWord/>
      <trackRevisions>false</trackRevisions>
    </reviewItem>
    <reviewItem>
      <errorID>baa44fb5-ea3e-46f0-8d5b-533febbd52f1</errorID>
      <errorWord>)</errorWord>
      <group>L1_Format</group>
      <groupName>格式问题</groupName>
      <ability>L2_HalfPunc</ability>
      <abilityName>全半角检查</abilityName>
      <candidateList>
        <item>）</item>
      </candidateList>
      <explain>文本全半角错误。</explain>
      <paraID>3AAE2B14</paraID>
      <start>4</start>
      <end>5</end>
      <status>unmodified</status>
      <modifiedWord/>
      <trackRevisions>false</trackRevisions>
    </reviewItem>
    <reviewItem>
      <errorID>6d885f55-7ce0-4c64-a67e-ae851fd97946</errorID>
      <errorWord>认为的</errorWord>
      <group>L1_Word</group>
      <groupName>字词问题</groupName>
      <ability>L2_Typo</ability>
      <abilityName>字词错误</abilityName>
      <candidateList>
        <item>认为</item>
      </candidateList>
      <explain/>
      <paraID>439DABE4</paraID>
      <start>16</start>
      <end>19</end>
      <status>unmodified</status>
      <modifiedWord/>
      <trackRevisions>false</trackRevisions>
    </reviewItem>
    <reviewItem>
      <errorID>fb8bdbf5-4a95-43ea-a1b5-c68f9e3c74be</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380BBDF0</paraID>
      <start>58</start>
      <end>59</end>
      <status>unmodified</status>
      <modifiedWord/>
      <trackRevisions>false</trackRevisions>
    </reviewItem>
    <reviewItem>
      <errorID>72da2deb-8b79-417f-9156-6f5842d0668b</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15185085</paraID>
      <start>59</start>
      <end>60</end>
      <status>unmodified</status>
      <modifiedWord/>
      <trackRevisions>false</trackRevisions>
    </reviewItem>
    <reviewItem>
      <errorID>96ed007f-06eb-49c0-9e7d-e15865dc7216</errorID>
      <errorWord>(</errorWord>
      <group>L1_Format</group>
      <groupName>格式问题</groupName>
      <ability>L2_HalfPunc</ability>
      <abilityName>全半角检查</abilityName>
      <candidateList>
        <item>（</item>
      </candidateList>
      <explain>文本全半角错误。</explain>
      <paraID>291BCB01</paraID>
      <start>1</start>
      <end>2</end>
      <status>unmodified</status>
      <modifiedWord/>
      <trackRevisions>false</trackRevisions>
    </reviewItem>
    <reviewItem>
      <errorID>8304cf2d-c6f3-4b08-bf7b-541d4ecfc282</errorID>
      <errorWord>)</errorWord>
      <group>L1_Format</group>
      <groupName>格式问题</groupName>
      <ability>L2_HalfPunc</ability>
      <abilityName>全半角检查</abilityName>
      <candidateList>
        <item>）</item>
      </candidateList>
      <explain>文本全半角错误。</explain>
      <paraID>291BCB01</paraID>
      <start>4</start>
      <end>5</end>
      <status>unmodified</status>
      <modifiedWord/>
      <trackRevisions>false</trackRevisions>
    </reviewItem>
    <reviewItem>
      <errorID>9bb31052-ad81-49cf-b72e-c0eb09d98241</errorID>
      <errorWord>(</errorWord>
      <group>L1_Format</group>
      <groupName>格式问题</groupName>
      <ability>L2_HalfPunc</ability>
      <abilityName>全半角检查</abilityName>
      <candidateList>
        <item>（</item>
      </candidateList>
      <explain>文本全半角错误。</explain>
      <paraID>5C006FFA</paraID>
      <start>1</start>
      <end>2</end>
      <status>unmodified</status>
      <modifiedWord/>
      <trackRevisions>false</trackRevisions>
    </reviewItem>
    <reviewItem>
      <errorID>3860c57a-7149-4f07-b65a-75e7389f0766</errorID>
      <errorWord>)</errorWord>
      <group>L1_Format</group>
      <groupName>格式问题</groupName>
      <ability>L2_HalfPunc</ability>
      <abilityName>全半角检查</abilityName>
      <candidateList>
        <item>）</item>
      </candidateList>
      <explain>文本全半角错误。</explain>
      <paraID>5C006FFA</paraID>
      <start>4</start>
      <end>5</end>
      <status>unmodified</status>
      <modifiedWord/>
      <trackRevisions>false</trackRevisions>
    </reviewItem>
    <reviewItem>
      <errorID>199d189b-a292-485b-8a36-daea92aee8a0</errorID>
      <errorWord>中(</errorWord>
      <group>L1_Word</group>
      <groupName>字词问题</groupName>
      <ability>L2_Typo</ability>
      <abilityName>字词错误</abilityName>
      <candidateList>
        <item>(</item>
      </candidateList>
      <explain/>
      <paraID>106EA487</paraID>
      <start>0</start>
      <end>2</end>
      <status>unmodified</status>
      <modifiedWord/>
      <trackRevisions>false</trackRevisions>
    </reviewItem>
    <reviewItem>
      <errorID>f771e859-8ee8-47ee-a1e5-c0573e7f8be2</errorID>
      <errorWord>)</errorWord>
      <group>L1_Format</group>
      <groupName>格式问题</groupName>
      <ability>L2_HalfPunc</ability>
      <abilityName>全半角检查</abilityName>
      <candidateList>
        <item>）</item>
      </candidateList>
      <explain>文本全半角错误。</explain>
      <paraID>106EA487</paraID>
      <start>4</start>
      <end>5</end>
      <status>unmodified</status>
      <modifiedWord/>
      <trackRevisions>false</trackRevisions>
    </reviewItem>
    <reviewItem>
      <errorID>49444070-3916-4834-9181-43a355117167</errorID>
      <errorWord>(</errorWord>
      <group>L1_Format</group>
      <groupName>格式问题</groupName>
      <ability>L2_HalfPunc</ability>
      <abilityName>全半角检查</abilityName>
      <candidateList>
        <item>（</item>
      </candidateList>
      <explain>文本全半角错误。</explain>
      <paraID>45651A07</paraID>
      <start>1</start>
      <end>2</end>
      <status>unmodified</status>
      <modifiedWord/>
      <trackRevisions>false</trackRevisions>
    </reviewItem>
    <reviewItem>
      <errorID>435ca740-36d0-4eba-812b-962fef99c799</errorID>
      <errorWord>)</errorWord>
      <group>L1_Format</group>
      <groupName>格式问题</groupName>
      <ability>L2_HalfPunc</ability>
      <abilityName>全半角检查</abilityName>
      <candidateList>
        <item>）</item>
      </candidateList>
      <explain>文本全半角错误。</explain>
      <paraID>45651A07</paraID>
      <start>4</start>
      <end>5</end>
      <status>unmodified</status>
      <modifiedWord/>
      <trackRevisions>false</trackRevisions>
    </reviewItem>
    <reviewItem>
      <errorID>d5315845-7a7e-4657-94b9-11d4c9eccc18</errorID>
      <errorWord>(</errorWord>
      <group>L1_Format</group>
      <groupName>格式问题</groupName>
      <ability>L2_HalfPunc</ability>
      <abilityName>全半角检查</abilityName>
      <candidateList>
        <item>（</item>
      </candidateList>
      <explain>文本全半角错误。</explain>
      <paraID>71363AA2</paraID>
      <start>1</start>
      <end>2</end>
      <status>unmodified</status>
      <modifiedWord/>
      <trackRevisions>false</trackRevisions>
    </reviewItem>
    <reviewItem>
      <errorID>ab4d598a-1e74-4130-ab56-e67d30db05b0</errorID>
      <errorWord>)</errorWord>
      <group>L1_Format</group>
      <groupName>格式问题</groupName>
      <ability>L2_HalfPunc</ability>
      <abilityName>全半角检查</abilityName>
      <candidateList>
        <item>）</item>
      </candidateList>
      <explain>文本全半角错误。</explain>
      <paraID>71363AA2</paraID>
      <start>5</start>
      <end>6</end>
      <status>unmodified</status>
      <modifiedWord/>
      <trackRevisions>false</trackRevisions>
    </reviewItem>
    <reviewItem>
      <errorID>8ac4cc4f-e8d6-4367-969e-3b4df003f27b</errorID>
      <errorWord>(</errorWord>
      <group>L1_Format</group>
      <groupName>格式问题</groupName>
      <ability>L2_HalfPunc</ability>
      <abilityName>全半角检查</abilityName>
      <candidateList>
        <item>（</item>
      </candidateList>
      <explain>文本全半角错误。</explain>
      <paraID>5DFD3A59</paraID>
      <start>1</start>
      <end>2</end>
      <status>unmodified</status>
      <modifiedWord/>
      <trackRevisions>false</trackRevisions>
    </reviewItem>
    <reviewItem>
      <errorID>953327e2-7c2a-4a04-a2a4-7dc5fa27534a</errorID>
      <errorWord>)</errorWord>
      <group>L1_Format</group>
      <groupName>格式问题</groupName>
      <ability>L2_HalfPunc</ability>
      <abilityName>全半角检查</abilityName>
      <candidateList>
        <item>）</item>
      </candidateList>
      <explain>文本全半角错误。</explain>
      <paraID>5DFD3A59</paraID>
      <start>4</start>
      <end>5</end>
      <status>unmodified</status>
      <modifiedWord/>
      <trackRevisions>false</trackRevisions>
    </reviewItem>
    <reviewItem>
      <errorID>3e34952e-62e1-4554-91a8-e8b58342a035</errorID>
      <errorWord>(</errorWord>
      <group>L1_Format</group>
      <groupName>格式问题</groupName>
      <ability>L2_HalfPunc</ability>
      <abilityName>全半角检查</abilityName>
      <candidateList>
        <item>（</item>
      </candidateList>
      <explain>文本全半角错误。</explain>
      <paraID>5D8E5D38</paraID>
      <start>1</start>
      <end>2</end>
      <status>unmodified</status>
      <modifiedWord/>
      <trackRevisions>false</trackRevisions>
    </reviewItem>
    <reviewItem>
      <errorID>b7f12200-50fd-402a-a30e-0c8956fad71c</errorID>
      <errorWord>)</errorWord>
      <group>L1_Format</group>
      <groupName>格式问题</groupName>
      <ability>L2_HalfPunc</ability>
      <abilityName>全半角检查</abilityName>
      <candidateList>
        <item>）</item>
      </candidateList>
      <explain>文本全半角错误。</explain>
      <paraID>5D8E5D38</paraID>
      <start>4</start>
      <end>5</end>
      <status>unmodified</status>
      <modifiedWord/>
      <trackRevisions>false</trackRevisions>
    </reviewItem>
    <reviewItem>
      <errorID>245f86d9-ae38-4b1f-826e-d2c75dd9ced0</errorID>
      <errorWord>(</errorWord>
      <group>L1_Format</group>
      <groupName>格式问题</groupName>
      <ability>L2_HalfPunc</ability>
      <abilityName>全半角检查</abilityName>
      <candidateList>
        <item>（</item>
      </candidateList>
      <explain>文本全半角错误。</explain>
      <paraID>6507E97A</paraID>
      <start>1</start>
      <end>2</end>
      <status>unmodified</status>
      <modifiedWord/>
      <trackRevisions>false</trackRevisions>
    </reviewItem>
    <reviewItem>
      <errorID>9e857c27-44d6-4076-a016-9db1afe3cd42</errorID>
      <errorWord>)</errorWord>
      <group>L1_Format</group>
      <groupName>格式问题</groupName>
      <ability>L2_HalfPunc</ability>
      <abilityName>全半角检查</abilityName>
      <candidateList>
        <item>）</item>
      </candidateList>
      <explain>文本全半角错误。</explain>
      <paraID>6507E97A</paraID>
      <start>4</start>
      <end>5</end>
      <status>unmodified</status>
      <modifiedWord/>
      <trackRevisions>false</trackRevisions>
    </reviewItem>
    <reviewItem>
      <errorID>1fd6c6ff-5cf9-4fc4-b4f4-85dcdad6fb78</errorID>
      <errorWord>(</errorWord>
      <group>L1_Format</group>
      <groupName>格式问题</groupName>
      <ability>L2_HalfPunc</ability>
      <abilityName>全半角检查</abilityName>
      <candidateList>
        <item>（</item>
      </candidateList>
      <explain>文本全半角错误。</explain>
      <paraID>673E5187</paraID>
      <start>1</start>
      <end>2</end>
      <status>unmodified</status>
      <modifiedWord/>
      <trackRevisions>false</trackRevisions>
    </reviewItem>
    <reviewItem>
      <errorID>1847f274-408c-4aa6-bf2f-876e3b604de9</errorID>
      <errorWord>)</errorWord>
      <group>L1_Format</group>
      <groupName>格式问题</groupName>
      <ability>L2_HalfPunc</ability>
      <abilityName>全半角检查</abilityName>
      <candidateList>
        <item>）</item>
      </candidateList>
      <explain>文本全半角错误。</explain>
      <paraID>673E5187</paraID>
      <start>5</start>
      <end>6</end>
      <status>unmodified</status>
      <modifiedWord/>
      <trackRevisions>false</trackRevisions>
    </reviewItem>
    <reviewItem>
      <errorID>de2b2295-3298-4755-8535-3357a2effb6e</errorID>
      <errorWord>(</errorWord>
      <group>L1_Format</group>
      <groupName>格式问题</groupName>
      <ability>L2_HalfPunc</ability>
      <abilityName>全半角检查</abilityName>
      <candidateList>
        <item>（</item>
      </candidateList>
      <explain>文本全半角错误。</explain>
      <paraID> BDC7C75</paraID>
      <start>1</start>
      <end>2</end>
      <status>unmodified</status>
      <modifiedWord/>
      <trackRevisions>false</trackRevisions>
    </reviewItem>
    <reviewItem>
      <errorID>eb6a6fb3-418e-4694-af45-03701cdccb61</errorID>
      <errorWord>)</errorWord>
      <group>L1_Format</group>
      <groupName>格式问题</groupName>
      <ability>L2_HalfPunc</ability>
      <abilityName>全半角检查</abilityName>
      <candidateList>
        <item>）</item>
      </candidateList>
      <explain>文本全半角错误。</explain>
      <paraID> BDC7C75</paraID>
      <start>4</start>
      <end>5</end>
      <status>unmodified</status>
      <modifiedWord/>
      <trackRevisions>false</trackRevisions>
    </reviewItem>
    <reviewItem>
      <errorID>8b80ab3a-0bb9-400b-a1a1-c11807854835</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 BDC7C75</paraID>
      <start>36</start>
      <end>37</end>
      <status>unmodified</status>
      <modifiedWord/>
      <trackRevisions>false</trackRevisions>
    </reviewItem>
    <reviewItem>
      <errorID>63c8de9f-e6c5-407a-bb28-f50685196fe1</errorID>
      <errorWord>(</errorWord>
      <group>L1_Format</group>
      <groupName>格式问题</groupName>
      <ability>L2_HalfPunc</ability>
      <abilityName>全半角检查</abilityName>
      <candidateList>
        <item>（</item>
      </candidateList>
      <explain>文本全半角错误。</explain>
      <paraID>6A409059</paraID>
      <start>1</start>
      <end>2</end>
      <status>unmodified</status>
      <modifiedWord/>
      <trackRevisions>false</trackRevisions>
    </reviewItem>
    <reviewItem>
      <errorID>0772ba49-a6e2-4dfa-9c1d-f54035bed886</errorID>
      <errorWord>)</errorWord>
      <group>L1_Format</group>
      <groupName>格式问题</groupName>
      <ability>L2_HalfPunc</ability>
      <abilityName>全半角检查</abilityName>
      <candidateList>
        <item>）</item>
      </candidateList>
      <explain>文本全半角错误。</explain>
      <paraID>6A409059</paraID>
      <start>4</start>
      <end>5</end>
      <status>unmodified</status>
      <modifiedWord/>
      <trackRevisions>false</trackRevisions>
    </reviewItem>
    <reviewItem>
      <errorID>27f2f83e-dfd1-4a77-a188-f3ba39ba9f0a</errorID>
      <errorWord>(</errorWord>
      <group>L1_Format</group>
      <groupName>格式问题</groupName>
      <ability>L2_HalfPunc</ability>
      <abilityName>全半角检查</abilityName>
      <candidateList>
        <item>（</item>
      </candidateList>
      <explain>文本全半角错误。</explain>
      <paraID>5729B621</paraID>
      <start>1</start>
      <end>2</end>
      <status>unmodified</status>
      <modifiedWord/>
      <trackRevisions>false</trackRevisions>
    </reviewItem>
    <reviewItem>
      <errorID>77fec605-5735-49ae-88b6-7b55f1d7ea9d</errorID>
      <errorWord>)</errorWord>
      <group>L1_Format</group>
      <groupName>格式问题</groupName>
      <ability>L2_HalfPunc</ability>
      <abilityName>全半角检查</abilityName>
      <candidateList>
        <item>）</item>
      </candidateList>
      <explain>文本全半角错误。</explain>
      <paraID>5729B621</paraID>
      <start>4</start>
      <end>5</end>
      <status>unmodified</status>
      <modifiedWord/>
      <trackRevisions>false</trackRevisions>
    </reviewItem>
    <reviewItem>
      <errorID>5f7923a5-fdfe-4d5a-8f10-ec944ebb1f93</errorID>
      <errorWord>(</errorWord>
      <group>L1_Format</group>
      <groupName>格式问题</groupName>
      <ability>L2_HalfPunc</ability>
      <abilityName>全半角检查</abilityName>
      <candidateList>
        <item>（</item>
      </candidateList>
      <explain>文本全半角错误。</explain>
      <paraID>2ADED4D4</paraID>
      <start>1</start>
      <end>2</end>
      <status>unmodified</status>
      <modifiedWord/>
      <trackRevisions>false</trackRevisions>
    </reviewItem>
    <reviewItem>
      <errorID>9270cc9f-f2fc-4e52-b2c7-c164f185bafc</errorID>
      <errorWord>)</errorWord>
      <group>L1_Format</group>
      <groupName>格式问题</groupName>
      <ability>L2_HalfPunc</ability>
      <abilityName>全半角检查</abilityName>
      <candidateList>
        <item>）</item>
      </candidateList>
      <explain>文本全半角错误。</explain>
      <paraID>2ADED4D4</paraID>
      <start>4</start>
      <end>5</end>
      <status>unmodified</status>
      <modifiedWord/>
      <trackRevisions>false</trackRevisions>
    </reviewItem>
    <reviewItem>
      <errorID>82180d5a-3d83-42bd-9ba4-e1d905289c35</errorID>
      <errorWord>，</errorWord>
      <group>L1_Word</group>
      <groupName>字词问题</groupName>
      <ability>L2_Typo</ability>
      <abilityName>字词错误</abilityName>
      <candidateList>
        <item>，具</item>
      </candidateList>
      <explain/>
      <paraID>2ADED4D4</paraID>
      <start>15</start>
      <end>16</end>
      <status>unmodified</status>
      <modifiedWord/>
      <trackRevisions>false</trackRevisions>
    </reviewItem>
    <reviewItem>
      <errorID>7f1761ed-70f1-44da-abe4-322055957eb8</errorID>
      <errorWord>(</errorWord>
      <group>L1_Format</group>
      <groupName>格式问题</groupName>
      <ability>L2_HalfPunc</ability>
      <abilityName>全半角检查</abilityName>
      <candidateList>
        <item>（</item>
      </candidateList>
      <explain>文本全半角错误。</explain>
      <paraID>2ADED4D4</paraID>
      <start>53</start>
      <end>54</end>
      <status>unmodified</status>
      <modifiedWord/>
      <trackRevisions>false</trackRevisions>
    </reviewItem>
    <reviewItem>
      <errorID>6f5ecc9b-b81e-43f4-b709-8828e1523450</errorID>
      <errorWord>(</errorWord>
      <group>L1_Format</group>
      <groupName>格式问题</groupName>
      <ability>L2_HalfPunc</ability>
      <abilityName>全半角检查</abilityName>
      <candidateList>
        <item>（</item>
      </candidateList>
      <explain>文本全半角错误。</explain>
      <paraID>23A2D0E3</paraID>
      <start>1</start>
      <end>2</end>
      <status>unmodified</status>
      <modifiedWord/>
      <trackRevisions>false</trackRevisions>
    </reviewItem>
    <reviewItem>
      <errorID>99f1aebf-5c3a-4849-8815-19904e04fe72</errorID>
      <errorWord>)</errorWord>
      <group>L1_Format</group>
      <groupName>格式问题</groupName>
      <ability>L2_HalfPunc</ability>
      <abilityName>全半角检查</abilityName>
      <candidateList>
        <item>）</item>
      </candidateList>
      <explain>文本全半角错误。</explain>
      <paraID>23A2D0E3</paraID>
      <start>4</start>
      <end>5</end>
      <status>unmodified</status>
      <modifiedWord/>
      <trackRevisions>false</trackRevisions>
    </reviewItem>
    <reviewItem>
      <errorID>ea3f5ca3-04a3-4f21-9367-0b3b09f515b9</errorID>
      <errorWord>，</errorWord>
      <group>L1_Word</group>
      <groupName>字词问题</groupName>
      <ability>L2_Typo</ability>
      <abilityName>字词错误</abilityName>
      <candidateList>
        <item>，具</item>
      </candidateList>
      <explain/>
      <paraID>23A2D0E3</paraID>
      <start>15</start>
      <end>16</end>
      <status>unmodified</status>
      <modifiedWord/>
      <trackRevisions>false</trackRevisions>
    </reviewItem>
    <reviewItem>
      <errorID>467bb2ab-53df-49ce-8bf5-728a0ef4b7ac</errorID>
      <errorWord>(</errorWord>
      <group>L1_Format</group>
      <groupName>格式问题</groupName>
      <ability>L2_HalfPunc</ability>
      <abilityName>全半角检查</abilityName>
      <candidateList>
        <item>（</item>
      </candidateList>
      <explain>文本全半角错误。</explain>
      <paraID>23A2D0E3</paraID>
      <start>54</start>
      <end>55</end>
      <status>unmodified</status>
      <modifiedWord/>
      <trackRevisions>false</trackRevisions>
    </reviewItem>
    <reviewItem>
      <errorID>52073921-b818-46fe-9999-aeebd043491c</errorID>
      <errorWord>(</errorWord>
      <group>L1_Format</group>
      <groupName>格式问题</groupName>
      <ability>L2_HalfPunc</ability>
      <abilityName>全半角检查</abilityName>
      <candidateList>
        <item>（</item>
      </candidateList>
      <explain>文本全半角错误。</explain>
      <paraID>37210D6B</paraID>
      <start>1</start>
      <end>2</end>
      <status>unmodified</status>
      <modifiedWord/>
      <trackRevisions>false</trackRevisions>
    </reviewItem>
    <reviewItem>
      <errorID>8d388ae2-b743-42f3-95b4-52207ce01e70</errorID>
      <errorWord>)</errorWord>
      <group>L1_Format</group>
      <groupName>格式问题</groupName>
      <ability>L2_HalfPunc</ability>
      <abilityName>全半角检查</abilityName>
      <candidateList>
        <item>）</item>
      </candidateList>
      <explain>文本全半角错误。</explain>
      <paraID>37210D6B</paraID>
      <start>4</start>
      <end>5</end>
      <status>unmodified</status>
      <modifiedWord/>
      <trackRevisions>false</trackRevisions>
    </reviewItem>
    <reviewItem>
      <errorID>51bb712a-d16e-4ddb-b08b-cb66810140c7</errorID>
      <errorWord>，</errorWord>
      <group>L1_Word</group>
      <groupName>字词问题</groupName>
      <ability>L2_Typo</ability>
      <abilityName>字词错误</abilityName>
      <candidateList>
        <item>，具</item>
      </candidateList>
      <explain/>
      <paraID>37210D6B</paraID>
      <start>15</start>
      <end>16</end>
      <status>unmodified</status>
      <modifiedWord/>
      <trackRevisions>false</trackRevisions>
    </reviewItem>
    <reviewItem>
      <errorID>49443439-25e6-4789-ba76-23a114a31a2f</errorID>
      <errorWord>(</errorWord>
      <group>L1_Format</group>
      <groupName>格式问题</groupName>
      <ability>L2_HalfPunc</ability>
      <abilityName>全半角检查</abilityName>
      <candidateList>
        <item>（</item>
      </candidateList>
      <explain>文本全半角错误。</explain>
      <paraID>37210D6B</paraID>
      <start>54</start>
      <end>55</end>
      <status>unmodified</status>
      <modifiedWord/>
      <trackRevisions>false</trackRevisions>
    </reviewItem>
    <reviewItem>
      <errorID>60358aa6-ebd8-41ae-a6e8-f24f2e26ed6d</errorID>
      <errorWord>(</errorWord>
      <group>L1_Format</group>
      <groupName>格式问题</groupName>
      <ability>L2_HalfPunc</ability>
      <abilityName>全半角检查</abilityName>
      <candidateList>
        <item>（</item>
      </candidateList>
      <explain>文本全半角错误。</explain>
      <paraID>7FC49AA9</paraID>
      <start>1</start>
      <end>2</end>
      <status>unmodified</status>
      <modifiedWord/>
      <trackRevisions>false</trackRevisions>
    </reviewItem>
    <reviewItem>
      <errorID>d6fc98f1-f340-414a-93d5-c75c987dde70</errorID>
      <errorWord>)</errorWord>
      <group>L1_Format</group>
      <groupName>格式问题</groupName>
      <ability>L2_HalfPunc</ability>
      <abilityName>全半角检查</abilityName>
      <candidateList>
        <item>）</item>
      </candidateList>
      <explain>文本全半角错误。</explain>
      <paraID>7FC49AA9</paraID>
      <start>4</start>
      <end>5</end>
      <status>unmodified</status>
      <modifiedWord/>
      <trackRevisions>false</trackRevisions>
    </reviewItem>
    <reviewItem>
      <errorID>9a4f8bf2-1d86-4379-855b-50f7f6d2a9d4</errorID>
      <errorWord>(</errorWord>
      <group>L1_Format</group>
      <groupName>格式问题</groupName>
      <ability>L2_HalfPunc</ability>
      <abilityName>全半角检查</abilityName>
      <candidateList>
        <item>（</item>
      </candidateList>
      <explain>文本全半角错误。</explain>
      <paraID>7FC49AA9</paraID>
      <start>54</start>
      <end>55</end>
      <status>unmodified</status>
      <modifiedWord/>
      <trackRevisions>false</trackRevisions>
    </reviewItem>
    <reviewItem>
      <errorID>24f392f8-bc18-4c19-a341-965ca0278f4c</errorID>
      <errorWord>认为的</errorWord>
      <group>L1_Word</group>
      <groupName>字词问题</groupName>
      <ability>L2_Typo</ability>
      <abilityName>字词错误</abilityName>
      <candidateList>
        <item>认为</item>
      </candidateList>
      <explain/>
      <paraID>233DC4DF</paraID>
      <start>37</start>
      <end>40</end>
      <status>unmodified</status>
      <modifiedWord/>
      <trackRevisions>false</trackRevisions>
    </reviewItem>
    <reviewItem>
      <errorID>e70cabf3-8f88-4802-9b8f-b72949a9a6b0</errorID>
      <errorWord>(</errorWord>
      <group>L1_Format</group>
      <groupName>格式问题</groupName>
      <ability>L2_HalfPunc</ability>
      <abilityName>全半角检查</abilityName>
      <candidateList>
        <item>（</item>
      </candidateList>
      <explain>文本全半角错误。</explain>
      <paraID>556A62A0</paraID>
      <start>1</start>
      <end>2</end>
      <status>unmodified</status>
      <modifiedWord/>
      <trackRevisions>false</trackRevisions>
    </reviewItem>
    <reviewItem>
      <errorID>7f194bf2-e0b2-47db-bb37-39ce324113c0</errorID>
      <errorWord>)</errorWord>
      <group>L1_Format</group>
      <groupName>格式问题</groupName>
      <ability>L2_HalfPunc</ability>
      <abilityName>全半角检查</abilityName>
      <candidateList>
        <item>）</item>
      </candidateList>
      <explain>文本全半角错误。</explain>
      <paraID>556A62A0</paraID>
      <start>4</start>
      <end>5</end>
      <status>unmodified</status>
      <modifiedWord/>
      <trackRevisions>false</trackRevisions>
    </reviewItem>
    <reviewItem>
      <errorID>84dcbf04-86b0-4328-a4d3-ffc6dabcfe30</errorID>
      <errorWord>(</errorWord>
      <group>L1_Format</group>
      <groupName>格式问题</groupName>
      <ability>L2_HalfPunc</ability>
      <abilityName>全半角检查</abilityName>
      <candidateList>
        <item>（</item>
      </candidateList>
      <explain>文本全半角错误。</explain>
      <paraID>21AE060C</paraID>
      <start>1</start>
      <end>2</end>
      <status>unmodified</status>
      <modifiedWord/>
      <trackRevisions>false</trackRevisions>
    </reviewItem>
    <reviewItem>
      <errorID>789f6afb-fd3c-4962-8247-e28d902c6a1b</errorID>
      <errorWord>)</errorWord>
      <group>L1_Format</group>
      <groupName>格式问题</groupName>
      <ability>L2_HalfPunc</ability>
      <abilityName>全半角检查</abilityName>
      <candidateList>
        <item>）</item>
      </candidateList>
      <explain>文本全半角错误。</explain>
      <paraID>21AE060C</paraID>
      <start>4</start>
      <end>5</end>
      <status>unmodified</status>
      <modifiedWord/>
      <trackRevisions>false</trackRevisions>
    </reviewItem>
    <reviewItem>
      <errorID>76997b0f-dad1-4b1b-92eb-597dd12f8cae</errorID>
      <errorWord>中(</errorWord>
      <group>L1_Word</group>
      <groupName>字词问题</groupName>
      <ability>L2_Typo</ability>
      <abilityName>字词错误</abilityName>
      <candidateList>
        <item>(</item>
      </candidateList>
      <explain/>
      <paraID>31249173</paraID>
      <start>0</start>
      <end>2</end>
      <status>unmodified</status>
      <modifiedWord/>
      <trackRevisions>false</trackRevisions>
    </reviewItem>
    <reviewItem>
      <errorID>b027fd11-786e-43bd-9fc1-8777ec0d58fe</errorID>
      <errorWord>)</errorWord>
      <group>L1_Format</group>
      <groupName>格式问题</groupName>
      <ability>L2_HalfPunc</ability>
      <abilityName>全半角检查</abilityName>
      <candidateList>
        <item>）</item>
      </candidateList>
      <explain>文本全半角错误。</explain>
      <paraID>31249173</paraID>
      <start>4</start>
      <end>5</end>
      <status>unmodified</status>
      <modifiedWord/>
      <trackRevisions>false</trackRevisions>
    </reviewItem>
    <reviewItem>
      <errorID>ed34b960-5ae7-4e2a-b1dd-94d521f7cab2</errorID>
      <errorWord>(</errorWord>
      <group>L1_Format</group>
      <groupName>格式问题</groupName>
      <ability>L2_HalfPunc</ability>
      <abilityName>全半角检查</abilityName>
      <candidateList>
        <item>（</item>
      </candidateList>
      <explain>文本全半角错误。</explain>
      <paraID>18050DF3</paraID>
      <start>1</start>
      <end>2</end>
      <status>unmodified</status>
      <modifiedWord/>
      <trackRevisions>false</trackRevisions>
    </reviewItem>
    <reviewItem>
      <errorID>ae77f97d-1277-4670-8ffd-05cf5e6ac06e</errorID>
      <errorWord>)</errorWord>
      <group>L1_Format</group>
      <groupName>格式问题</groupName>
      <ability>L2_HalfPunc</ability>
      <abilityName>全半角检查</abilityName>
      <candidateList>
        <item>）</item>
      </candidateList>
      <explain>文本全半角错误。</explain>
      <paraID>18050DF3</paraID>
      <start>4</start>
      <end>5</end>
      <status>unmodified</status>
      <modifiedWord/>
      <trackRevisions>false</trackRevisions>
    </reviewItem>
    <reviewItem>
      <errorID>df0deb26-9831-4f65-8261-baac3ff5c333</errorID>
      <errorWord>认为的</errorWord>
      <group>L1_Word</group>
      <groupName>字词问题</groupName>
      <ability>L2_Typo</ability>
      <abilityName>字词错误</abilityName>
      <candidateList>
        <item>认为</item>
      </candidateList>
      <explain/>
      <paraID>3F362021</paraID>
      <start>67</start>
      <end>70</end>
      <status>unmodified</status>
      <modifiedWord/>
      <trackRevisions>false</trackRevisions>
    </reviewItem>
    <reviewItem>
      <errorID>8f5f2d1b-2b17-4b8c-8f33-d32953a5746e</errorID>
      <errorWord>以来年</errorWord>
      <group>L1_Word</group>
      <groupName>字词问题</groupName>
      <ability>L2_Typo</ability>
      <abilityName>字词错误</abilityName>
      <candidateList>
        <item>以来</item>
      </candidateList>
      <explain/>
      <paraID>501CD050</paraID>
      <start>7</start>
      <end>10</end>
      <status>unmodified</status>
      <modifiedWord/>
      <trackRevisions>false</trackRevisions>
    </reviewItem>
    <reviewItem>
      <errorID>d080ee1e-e267-466d-aca9-728498c162bd</errorID>
      <errorWord>,</errorWord>
      <group>L1_Format</group>
      <groupName>格式问题</groupName>
      <ability>L2_HalfPunc</ability>
      <abilityName>全半角检查</abilityName>
      <candidateList>
        <item>，</item>
      </candidateList>
      <explain>文本全半角错误。</explain>
      <paraID>4376B2D2</paraID>
      <start>39</start>
      <end>40</end>
      <status>unmodified</status>
      <modifiedWord/>
      <trackRevisions>false</trackRevisions>
    </reviewItem>
    <reviewItem>
      <errorID>2553728e-6f5d-4681-9b56-5a938b013ee0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A30CF1A</paraID>
      <start>124</start>
      <end>127</end>
      <status>unmodified</status>
      <modifiedWord/>
      <trackRevisions>false</trackRevisions>
    </reviewItem>
    <reviewItem>
      <errorID>0679e80c-7ec1-44ee-b82c-94ee50044656</errorID>
      <errorWord>房</errorWord>
      <group>L1_Word</group>
      <groupName>字词问题</groupName>
      <ability>L2_Typo</ability>
      <abilityName>字词错误</abilityName>
      <candidateList>
        <item>房和</item>
      </candidateList>
      <explain/>
      <paraID> A30CF1A</paraID>
      <start>247</start>
      <end>250</end>
      <status>modified</status>
      <modifiedWord>房和</modifiedWord>
      <trackRevisions>true</trackRevisions>
    </reviewItem>
    <reviewItem>
      <errorID>9866b986-8c01-423b-96f7-274ea801c817</errorID>
      <errorWord>其它</errorWord>
      <group>L1_Word</group>
      <groupName>字词问题</groupName>
      <ability>L2_Alias</ability>
      <abilityName>也作/曾用词</abilityName>
      <candidateList>
        <item>其他</item>
      </candidateList>
      <explain>词汇[其它]为不规范表述或旧称，其规范书面表述为[其他]。</explain>
      <paraID>1FCEAD22</paraID>
      <start>5</start>
      <end>7</end>
      <status>unmodified</status>
      <modifiedWord/>
      <trackRevisions>false</trackRevisions>
    </reviewItem>
    <reviewItem>
      <errorID>996d1074-1e1b-4d7e-b2f6-d771fb5a1c92</errorID>
      <errorWord>费</errorWord>
      <group>L1_Word</group>
      <groupName>字词问题</groupName>
      <ability>L2_Typo</ability>
      <abilityName>字词错误</abilityName>
      <candidateList>
        <item>费用</item>
      </candidateList>
      <explain/>
      <paraID>5E2500AD</paraID>
      <start>14</start>
      <end>15</end>
      <status>unmodified</status>
      <modifiedWord/>
      <trackRevisions>false</trackRevisions>
    </reviewItem>
    <reviewItem>
      <errorID>9dc9d67a-beec-4610-a909-ce6d3b13081c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7377927A</paraID>
      <start>46</start>
      <end>49</end>
      <status>unmodified</status>
      <modifiedWord/>
      <trackRevisions>false</trackRevisions>
    </reviewItem>
    <reviewItem>
      <errorID>baebac05-3ea7-4879-ae04-b80d2ba3b5d1</errorID>
      <errorWord>房</errorWord>
      <group>L1_Word</group>
      <groupName>字词问题</groupName>
      <ability>L2_Typo</ability>
      <abilityName>字词错误</abilityName>
      <candidateList>
        <item>房和</item>
      </candidateList>
      <explain/>
      <paraID>398AD6BF</paraID>
      <start>7</start>
      <end>8</end>
      <status>unmodified</status>
      <modifiedWord/>
      <trackRevisions>false</trackRevisions>
    </reviewItem>
    <reviewItem>
      <errorID>6c57ada1-750c-49db-ac58-23bd8e6d6d9a</errorID>
      <errorWord>:</errorWord>
      <group>L1_Format</group>
      <groupName>格式问题</groupName>
      <ability>L2_HalfPunc</ability>
      <abilityName>全半角检查</abilityName>
      <candidateList>
        <item>：</item>
      </candidateList>
      <explain>文本全半角错误。</explain>
      <paraID>55597F8C</paraID>
      <start>4</start>
      <end>5</end>
      <status>unmodified</status>
      <modifiedWord/>
      <trackRevisions>false</trackRevisions>
    </reviewItem>
    <reviewItem>
      <errorID>936b9abb-cad9-4b4e-aee7-a1bb7e0d938b</errorID>
      <errorWord>》</errorWord>
      <group>L1_Word</group>
      <groupName>字词问题</groupName>
      <ability>L2_Typo</ability>
      <abilityName>字词错误</abilityName>
      <candidateList>
        <item>》等</item>
      </candidateList>
      <explain/>
      <paraID> DD6812C</paraID>
      <start>40</start>
      <end>41</end>
      <status>unmodified</status>
      <modifiedWord/>
      <trackRevisions>false</trackRevisions>
    </reviewItem>
    <reviewItem>
      <errorID>556f3d01-e2bd-46a0-aad4-f9fb5363e27f</errorID>
      <errorWord>房</errorWord>
      <group>L1_Word</group>
      <groupName>字词问题</groupName>
      <ability>L2_Typo</ability>
      <abilityName>字词错误</abilityName>
      <candidateList>
        <item>房和</item>
      </candidateList>
      <explain/>
      <paraID>633629AB</paraID>
      <start>31</start>
      <end>34</end>
      <status>modified</status>
      <modifiedWord>房和</modifiedWord>
      <trackRevisions>true</trackRevisions>
    </reviewItem>
    <reviewItem>
      <errorID>d90b3e3c-afa6-4e7b-a6fc-cd2601352ed6</errorID>
      <errorWord>其它</errorWord>
      <group>L1_Word</group>
      <groupName>字词问题</groupName>
      <ability>L2_Alias</ability>
      <abilityName>也作/曾用词</abilityName>
      <candidateList>
        <item>其他</item>
      </candidateList>
      <explain>词汇[其它]为不规范表述或旧称，其规范书面表述为[其他]。</explain>
      <paraID>6C098E9F</paraID>
      <start>4</start>
      <end>6</end>
      <status>unmodified</status>
      <modifiedWord/>
      <trackRevisions>false</trackRevisions>
    </reviewItem>
    <reviewItem>
      <errorID>463aeeea-10bf-4704-9d24-6b08f2e1b71a</errorID>
      <errorWord>间</errorWord>
      <group>L1_Word</group>
      <groupName>字词问题</groupName>
      <ability>L2_Typo</ability>
      <abilityName>字词错误</abilityName>
      <candidateList>
        <item>间之</item>
      </candidateList>
      <explain/>
      <paraID>728B2012</paraID>
      <start>11</start>
      <end>12</end>
      <status>unmodified</status>
      <modifiedWord/>
      <trackRevisions>false</trackRevisions>
    </reviewItem>
    <reviewItem>
      <errorID>a58205bd-a182-4847-901f-6bb45c9d3adc</errorID>
      <errorWord>:</errorWord>
      <group>L1_Format</group>
      <groupName>格式问题</groupName>
      <ability>L2_HalfPunc</ability>
      <abilityName>全半角检查</abilityName>
      <candidateList>
        <item>：</item>
      </candidateList>
      <explain>文本全半角错误。</explain>
      <paraID>3A4C4A7E</paraID>
      <start>6</start>
      <end>7</end>
      <status>unmodified</status>
      <modifiedWord/>
      <trackRevisions>false</trackRevisions>
    </reviewItem>
    <reviewItem>
      <errorID>9edb173b-7ae3-4a61-84cb-fa4e75cc28e0</errorID>
      <errorWord>(</errorWord>
      <group>L1_Format</group>
      <groupName>格式问题</groupName>
      <ability>L2_HalfPunc</ability>
      <abilityName>全半角检查</abilityName>
      <candidateList>
        <item>（</item>
      </candidateList>
      <explain>文本全半角错误。</explain>
      <paraID>44FFB560</paraID>
      <start>32</start>
      <end>33</end>
      <status>unmodified</status>
      <modifiedWord/>
      <trackRevisions>false</trackRevisions>
    </reviewItem>
    <reviewItem>
      <errorID>fece7ac1-d139-49ef-ab2b-13830f4c6aca</errorID>
      <errorWord>)</errorWord>
      <group>L1_Format</group>
      <groupName>格式问题</groupName>
      <ability>L2_HalfPunc</ability>
      <abilityName>全半角检查</abilityName>
      <candidateList>
        <item>）</item>
      </candidateList>
      <explain>文本全半角错误。</explain>
      <paraID>44FFB560</paraID>
      <start>35</start>
      <end>36</end>
      <status>unmodified</status>
      <modifiedWord/>
      <trackRevisions>false</trackRevisions>
    </reviewItem>
    <reviewItem>
      <errorID>b78f1da6-81f5-4c2f-8e73-6977f6da0951</errorID>
      <errorWord>…………</errorWord>
      <group>L1_Punc</group>
      <groupName>标点问题</groupName>
      <ability>L2_Punc</ability>
      <abilityName>标点符号检查</abilityName>
      <candidateList>
        <item>…</item>
      </candidateList>
      <explain/>
      <paraID>57A0CACE</paraID>
      <start>123</start>
      <end>127</end>
      <status>unmodified</status>
      <modifiedWord/>
      <trackRevisions>false</trackRevisions>
    </reviewItem>
    <reviewItem>
      <errorID>bc37429f-d8ec-4571-bd3a-217ca1c4a0d9</errorID>
      <errorWord>…………</errorWord>
      <group>L1_Punc</group>
      <groupName>标点问题</groupName>
      <ability>L2_Punc</ability>
      <abilityName>标点符号检查</abilityName>
      <candidateList>
        <item>…</item>
      </candidateList>
      <explain/>
      <paraID> 215797D</paraID>
      <start>168</start>
      <end>172</end>
      <status>unmodified</status>
      <modifiedWord/>
      <trackRevisions>false</trackRevisions>
    </reviewItem>
    <reviewItem>
      <errorID>9256a19c-bb11-4f24-80f0-9135252e83d5</errorID>
      <errorWord>…………</errorWord>
      <group>L1_Punc</group>
      <groupName>标点问题</groupName>
      <ability>L2_Punc</ability>
      <abilityName>标点符号检查</abilityName>
      <candidateList>
        <item>…</item>
      </candidateList>
      <explain/>
      <paraID>24DDC042</paraID>
      <start>131</start>
      <end>135</end>
      <status>unmodified</status>
      <modifiedWord/>
      <trackRevisions>false</trackRevisions>
    </reviewItem>
    <reviewItem>
      <errorID>d8b8fa8d-b974-4cd5-891f-996d403aae4f</errorID>
      <errorWord>:</errorWord>
      <group>L1_Format</group>
      <groupName>格式问题</groupName>
      <ability>L2_HalfPunc</ability>
      <abilityName>全半角检查</abilityName>
      <candidateList>
        <item>：</item>
      </candidateList>
      <explain>文本全半角错误。</explain>
      <paraID> F22A605</paraID>
      <start>6</start>
      <end>7</end>
      <status>unmodified</status>
      <modifiedWord/>
      <trackRevisions>false</trackRevisions>
    </reviewItem>
    <reviewItem>
      <errorID>7911fd38-62bd-4b7a-aca6-f0dae2355100</errorID>
      <errorWord>(</errorWord>
      <group>L1_Format</group>
      <groupName>格式问题</groupName>
      <ability>L2_HalfPunc</ability>
      <abilityName>全半角检查</abilityName>
      <candidateList>
        <item>（</item>
      </candidateList>
      <explain>文本全半角错误。</explain>
      <paraID>69C40585</paraID>
      <start>32</start>
      <end>33</end>
      <status>unmodified</status>
      <modifiedWord/>
      <trackRevisions>false</trackRevisions>
    </reviewItem>
    <reviewItem>
      <errorID>d48b62b2-15d7-4b63-afd8-5e643ddda0ae</errorID>
      <errorWord>)</errorWord>
      <group>L1_Format</group>
      <groupName>格式问题</groupName>
      <ability>L2_HalfPunc</ability>
      <abilityName>全半角检查</abilityName>
      <candidateList>
        <item>）</item>
      </candidateList>
      <explain>文本全半角错误。</explain>
      <paraID>69C40585</paraID>
      <start>35</start>
      <end>36</end>
      <status>unmodified</status>
      <modifiedWord/>
      <trackRevisions>false</trackRevisions>
    </reviewItem>
    <reviewItem>
      <errorID>d2451002-b752-40ef-96c6-02f95e65a669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29A84B78</paraID>
      <start>2</start>
      <end>4</end>
      <status>unmodified</status>
      <modifiedWord/>
      <trackRevisions>false</trackRevisions>
    </reviewItem>
    <reviewItem>
      <errorID>1320f1a0-6fb2-4343-b478-28787f3708bb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2DDE29BE</paraID>
      <start>2</start>
      <end>4</end>
      <status>unmodified</status>
      <modifiedWord/>
      <trackRevisions>false</trackRevisions>
    </reviewItem>
    <reviewItem>
      <errorID>696f4af6-7411-4aaf-8de1-8d84656c4f12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56F5901C</paraID>
      <start>2</start>
      <end>4</end>
      <status>unmodified</status>
      <modifiedWord/>
      <trackRevisions>false</trackRevisions>
    </reviewItem>
    <reviewItem>
      <errorID>63467a54-f64b-490b-b661-8b61eaac4812</errorID>
      <errorWord>的</errorWord>
      <group>L1_Word</group>
      <groupName>字词问题</groupName>
      <ability>L2_Typo</ability>
      <abilityName>字词错误</abilityName>
      <candidateList>
        <item/>
      </candidateList>
      <explain/>
      <paraID>4D34361B</paraID>
      <start>79</start>
      <end>80</end>
      <status>unmodified</status>
      <modifiedWord/>
      <trackRevisions>false</trackRevisions>
    </reviewItem>
    <reviewItem>
      <errorID>003807cd-b561-4e7c-bda6-8cbbf7abab15</errorID>
      <errorWord>[2009]50号</errorWord>
      <group>L1_Knowledge</group>
      <groupName>知识性问题</groupName>
      <ability>L2_Knowledge</ability>
      <abilityName>其他知识</abilityName>
      <candidateList>
        <item>〔2009〕50号</item>
      </candidateList>
      <explain>发文字号格式错误</explain>
      <paraID>379336F4</paraID>
      <start>66</start>
      <end>75</end>
      <status>unmodified</status>
      <modifiedWord/>
      <trackRevisions>false</trackRevisions>
    </reviewItem>
    <reviewItem>
      <errorID>680f37a1-b642-457e-8c7a-b8835b88940a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CFC7308</paraID>
      <start>0</start>
      <end>2</end>
      <status>unmodified</status>
      <modifiedWord/>
      <trackRevisions>false</trackRevisions>
    </reviewItem>
    <reviewItem>
      <errorID>2c47527a-2a6e-47b9-8a8b-d53564d0123f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57EBFD07</paraID>
      <start>0</start>
      <end>2</end>
      <status>unmodified</status>
      <modifiedWord/>
      <trackRevisions>false</trackRevisions>
    </reviewItem>
    <reviewItem>
      <errorID>5991da26-f98d-4625-9ec1-733ff7b68a69</errorID>
      <errorWord>存入指定帐户</errorWord>
      <group>L1_Word</group>
      <groupName>字词问题</groupName>
      <ability>L2_Alias</ability>
      <abilityName>也作/曾用词</abilityName>
      <candidateList>
        <item>存入指定账户</item>
      </candidateList>
      <explain>词汇[存入指定帐户]为不规范表述或旧称，其规范书面表述为[存入指定账户]。</explain>
      <paraID>57EBFD07</paraID>
      <start>70</start>
      <end>76</end>
      <status>unmodified</status>
      <modifiedWord/>
      <trackRevisions>false</trackRevisions>
    </reviewItem>
    <reviewItem>
      <errorID>873c51b8-5845-4411-8204-5d23bddcd798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2339D9F1</paraID>
      <start>0</start>
      <end>2</end>
      <status>unmodified</status>
      <modifiedWord/>
      <trackRevisions>false</trackRevisions>
    </reviewItem>
    <reviewItem>
      <errorID>4d997978-fd88-42ec-a4bd-66f1647cd57f</errorID>
      <errorWord>其它</errorWord>
      <group>L1_Word</group>
      <groupName>字词问题</groupName>
      <ability>L2_Alias</ability>
      <abilityName>也作/曾用词</abilityName>
      <candidateList>
        <item>其他</item>
      </candidateList>
      <explain>词汇[其它]为不规范表述或旧称，其规范书面表述为[其他]。</explain>
      <paraID>2339D9F1</paraID>
      <start>43</start>
      <end>45</end>
      <status>unmodified</status>
      <modifiedWord/>
      <trackRevisions>false</trackRevisions>
    </reviewItem>
    <reviewItem>
      <errorID>4b51cc78-770f-4981-83fd-f689d4fbd637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70BD16AB</paraID>
      <start>0</start>
      <end>2</end>
      <status>unmodified</status>
      <modifiedWord/>
      <trackRevisions>false</trackRevisions>
    </reviewItem>
    <reviewItem>
      <errorID>7fb2ebb2-6278-48f3-bd83-0835040296dc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544349F9</paraID>
      <start>0</start>
      <end>2</end>
      <status>unmodified</status>
      <modifiedWord/>
      <trackRevisions>false</trackRevisions>
    </reviewItem>
    <reviewItem>
      <errorID>f501c704-953b-4801-ad8f-94335a9c9841</errorID>
      <errorWord>房</errorWord>
      <group>L1_Word</group>
      <groupName>字词问题</groupName>
      <ability>L2_Typo</ability>
      <abilityName>字词错误</abilityName>
      <candidateList>
        <item>房和</item>
      </candidateList>
      <explain/>
      <paraID>544349F9</paraID>
      <start>97</start>
      <end>100</end>
      <status>modified</status>
      <modifiedWord>房和</modifiedWord>
      <trackRevisions>true</trackRevisions>
    </reviewItem>
    <reviewItem>
      <errorID>cd1ce10a-78b1-436e-a2bc-c1b426c55d81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2E12A5DB</paraID>
      <start>0</start>
      <end>2</end>
      <status>unmodified</status>
      <modifiedWord/>
      <trackRevisions>false</trackRevisions>
    </reviewItem>
    <reviewItem>
      <errorID>2bb65089-11fd-447c-8680-d11953c906ab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44F540D5</paraID>
      <start>0</start>
      <end>2</end>
      <status>unmodified</status>
      <modifiedWord/>
      <trackRevisions>false</trackRevisions>
    </reviewItem>
    <reviewItem>
      <errorID>2a2df4cc-6cbf-42d9-ad46-0244f886a211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201FFC4A</paraID>
      <start>0</start>
      <end>2</end>
      <status>unmodified</status>
      <modifiedWord/>
      <trackRevisions>false</trackRevisions>
    </reviewItem>
    <reviewItem>
      <errorID>8e8a9d0f-02eb-4efa-a291-d2263301f257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5F6E5F4F</paraID>
      <start>0</start>
      <end>2</end>
      <status>unmodified</status>
      <modifiedWord/>
      <trackRevisions>false</trackRevisions>
    </reviewItem>
    <reviewItem>
      <errorID>d112d45f-7228-47c3-bfe5-2606c6fae566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21329070</paraID>
      <start>0</start>
      <end>2</end>
      <status>unmodified</status>
      <modifiedWord/>
      <trackRevisions>false</trackRevisions>
    </reviewItem>
    <reviewItem>
      <errorID>0c61a0fd-e881-48c0-bcbc-8e157d35dc47</errorID>
      <errorWord>噪音</errorWord>
      <group>L1_Word</group>
      <groupName>字词问题</groupName>
      <ability>L2_Alias</ability>
      <abilityName>也作/曾用词</abilityName>
      <candidateList>
        <item>噪声</item>
      </candidateList>
      <explain>词汇[噪音]为不规范表述或旧称，其规范书面表述为[噪声]。</explain>
      <paraID>21329070</paraID>
      <start>156</start>
      <end>158</end>
      <status>unmodified</status>
      <modifiedWord/>
      <trackRevisions>false</trackRevisions>
    </reviewItem>
    <reviewItem>
      <errorID>6f56dd9b-9ec3-42b4-aaea-645ace3bc0c5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7DC3D87F</paraID>
      <start>0</start>
      <end>2</end>
      <status>unmodified</status>
      <modifiedWord/>
      <trackRevisions>false</trackRevisions>
    </reviewItem>
    <reviewItem>
      <errorID>58c437b9-6040-4e59-9f55-b143da15c18a</errorID>
      <errorWord>（</errorWord>
      <group>L1_Format</group>
      <groupName>格式问题</groupName>
      <ability>L2_HalfPunc</ability>
      <abilityName>全半角检查</abilityName>
      <candidateList>
        <item>(</item>
      </candidateList>
      <explain>文本全半角错误。</explain>
      <paraID>3153B306</paraID>
      <start>0</start>
      <end>1</end>
      <status>unmodified</status>
      <modifiedWord/>
      <trackRevisions>false</trackRevisions>
    </reviewItem>
    <reviewItem>
      <errorID>028cff4d-486e-4be1-b63f-54d599a544d7</errorID>
      <errorWord>KW</errorWord>
      <group>L1_Word</group>
      <groupName>字词问题</groupName>
      <ability>L2_Typo</ability>
      <abilityName>字词错误</abilityName>
      <candidateList>
        <item>kW</item>
      </candidateList>
      <explain/>
      <paraID>3153B306</paraID>
      <start>1</start>
      <end>3</end>
      <status>unmodified</status>
      <modifiedWord/>
      <trackRevisions>false</trackRevisions>
    </reviewItem>
    <reviewItem>
      <errorID>b56bb7fe-88aa-4982-a29c-0264c46189a5</errorID>
      <errorWord>）</errorWord>
      <group>L1_Format</group>
      <groupName>格式问题</groupName>
      <ability>L2_HalfPunc</ability>
      <abilityName>全半角检查</abilityName>
      <candidateList>
        <item>)</item>
      </candidateList>
      <explain>文本全半角错误。</explain>
      <paraID>3153B306</paraID>
      <start>3</start>
      <end>4</end>
      <status>unmodified</status>
      <modifiedWord/>
      <trackRevisions>false</trackRevisions>
    </reviewItem>
    <reviewItem>
      <errorID>c75d5c1e-98b0-49b2-bcd2-548471714829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6113EA2D</paraID>
      <start>0</start>
      <end>2</end>
      <status>unmodified</status>
      <modifiedWord/>
      <trackRevisions>false</trackRevisions>
    </reviewItem>
    <reviewItem>
      <errorID>0f677f6a-d360-4ac5-a5bd-c252e6d1ec07</errorID>
      <errorWord>。】</errorWord>
      <group>L1_Punc</group>
      <groupName>标点问题</groupName>
      <ability>L2_Punc</ability>
      <abilityName>标点符号检查</abilityName>
      <candidateList>
        <item>】</item>
      </candidateList>
      <explain/>
      <paraID>38918147</paraID>
      <start>22</start>
      <end>24</end>
      <status>unmodified</status>
      <modifiedWord/>
      <trackRevisions>false</trackRevisions>
    </reviewItem>
    <reviewItem>
      <errorID>37a17f8d-1a2a-42c2-83e7-0074c3095ed7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7121B39F</paraID>
      <start>0</start>
      <end>2</end>
      <status>unmodified</status>
      <modifiedWord/>
      <trackRevisions>false</trackRevisions>
    </reviewItem>
    <reviewItem>
      <errorID>9dd3ae46-493c-4b4c-99e1-ac41574dbde7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1CA459D3</paraID>
      <start>0</start>
      <end>2</end>
      <status>unmodified</status>
      <modifiedWord/>
      <trackRevisions>false</trackRevisions>
    </reviewItem>
    <reviewItem>
      <errorID>6d04af54-976d-4cf9-985c-859156e27f8e</errorID>
      <errorWord>以来年</errorWord>
      <group>L1_Word</group>
      <groupName>字词问题</groupName>
      <ability>L2_Typo</ability>
      <abilityName>字词错误</abilityName>
      <candidateList>
        <item>以来</item>
      </candidateList>
      <explain/>
      <paraID> D9BD69F</paraID>
      <start>7</start>
      <end>10</end>
      <status>unmodified</status>
      <modifiedWord/>
      <trackRevisions>false</trackRevisions>
    </reviewItem>
    <reviewItem>
      <errorID>b3c5623a-de6c-4567-904b-71018df96b1c</errorID>
      <errorWord>以来年</errorWord>
      <group>L1_Word</group>
      <groupName>字词问题</groupName>
      <ability>L2_Typo</ability>
      <abilityName>字词错误</abilityName>
      <candidateList>
        <item>以来</item>
      </candidateList>
      <explain/>
      <paraID>2995FEB6</paraID>
      <start>10</start>
      <end>13</end>
      <status>unmodified</status>
      <modifiedWord/>
      <trackRevisions>false</trackRevisions>
    </reviewItem>
    <reviewItem>
      <errorID>c7c4c8b5-1025-443d-9e02-ac526f2032f4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4F24334B</paraID>
      <start>0</start>
      <end>2</end>
      <status>unmodified</status>
      <modifiedWord/>
      <trackRevisions>false</trackRevisions>
    </reviewItem>
    <reviewItem>
      <errorID>f640b685-b51f-4ffd-91c9-caf37c3d92e3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5EE21689</paraID>
      <start>0</start>
      <end>2</end>
      <status>unmodified</status>
      <modifiedWord/>
      <trackRevisions>false</trackRevisions>
    </reviewItem>
    <reviewItem>
      <errorID>292c012c-5dba-49b9-85ed-c9599931256a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7897E188</paraID>
      <start>5</start>
      <end>7</end>
      <status>unmodified</status>
      <modifiedWord/>
      <trackRevisions>false</trackRevisions>
    </reviewItem>
    <reviewItem>
      <errorID>3a64af65-3496-4b94-b2df-4cf491db1796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23FAB645</paraID>
      <start>0</start>
      <end>2</end>
      <status>unmodified</status>
      <modifiedWord/>
      <trackRevisions>false</trackRevisions>
    </reviewItem>
    <reviewItem>
      <errorID>d3ea1e52-698b-45db-a69e-7ee6e10a8b51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47CB349D</paraID>
      <start>0</start>
      <end>2</end>
      <status>unmodified</status>
      <modifiedWord/>
      <trackRevisions>false</trackRevisions>
    </reviewItem>
    <reviewItem>
      <errorID>2ab9fb3c-190a-402f-ba44-8f7b502740a8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7C5AEC1E</paraID>
      <start>0</start>
      <end>2</end>
      <status>unmodified</status>
      <modifiedWord/>
      <trackRevisions>false</trackRevisions>
    </reviewItem>
    <reviewItem>
      <errorID>9bb59b52-9fe4-4214-a4a9-b3e0f63ebd31</errorID>
      <errorWord>(</errorWord>
      <group>L1_Format</group>
      <groupName>格式问题</groupName>
      <ability>L2_HalfPunc</ability>
      <abilityName>全半角检查</abilityName>
      <candidateList>
        <item>（</item>
      </candidateList>
      <explain>文本全半角错误。</explain>
      <paraID>3ACFAD2F</paraID>
      <start>6</start>
      <end>7</end>
      <status>unmodified</status>
      <modifiedWord/>
      <trackRevisions>false</trackRevisions>
    </reviewItem>
    <reviewItem>
      <errorID>f8f5e5a7-1875-4588-9475-81e2680370cb</errorID>
      <errorWord>)</errorWord>
      <group>L1_Format</group>
      <groupName>格式问题</groupName>
      <ability>L2_HalfPunc</ability>
      <abilityName>全半角检查</abilityName>
      <candidateList>
        <item>）</item>
      </candidateList>
      <explain>文本全半角错误。</explain>
      <paraID>3ACFAD2F</paraID>
      <start>9</start>
      <end>10</end>
      <status>unmodified</status>
      <modifiedWord/>
      <trackRevisions>false</trackRevisions>
    </reviewItem>
    <reviewItem>
      <errorID>60b1b5fa-5d01-43e2-a9db-b6136c26c58e</errorID>
      <errorWord>(</errorWord>
      <group>L1_Format</group>
      <groupName>格式问题</groupName>
      <ability>L2_HalfPunc</ability>
      <abilityName>全半角检查</abilityName>
      <candidateList>
        <item>（</item>
      </candidateList>
      <explain>文本全半角错误。</explain>
      <paraID>274E590B</paraID>
      <start>6</start>
      <end>7</end>
      <status>unmodified</status>
      <modifiedWord/>
      <trackRevisions>false</trackRevisions>
    </reviewItem>
    <reviewItem>
      <errorID>df0e8de6-af2a-40d4-a905-e7ac09163fc9</errorID>
      <errorWord>)</errorWord>
      <group>L1_Format</group>
      <groupName>格式问题</groupName>
      <ability>L2_HalfPunc</ability>
      <abilityName>全半角检查</abilityName>
      <candidateList>
        <item>）</item>
      </candidateList>
      <explain>文本全半角错误。</explain>
      <paraID>274E590B</paraID>
      <start>12</start>
      <end>13</end>
      <status>unmodified</status>
      <modifiedWord/>
      <trackRevisions>false</trackRevisions>
    </reviewItem>
    <reviewItem>
      <errorID>9aedeff1-6c2d-40f5-bd29-3f28534bb2e4</errorID>
      <errorWord>:</errorWord>
      <group>L1_Format</group>
      <groupName>格式问题</groupName>
      <ability>L2_HalfPunc</ability>
      <abilityName>全半角检查</abilityName>
      <candidateList>
        <item>：</item>
      </candidateList>
      <explain>文本全半角错误。</explain>
      <paraID> FD9C2E4</paraID>
      <start>12</start>
      <end>13</end>
      <status>unmodified</status>
      <modifiedWord/>
      <trackRevisions>false</trackRevisions>
    </reviewItem>
    <reviewItem>
      <errorID>5987dd42-14c1-40bc-96be-43216cfb32dc</errorID>
      <errorWord>(</errorWord>
      <group>L1_Format</group>
      <groupName>格式问题</groupName>
      <ability>L2_HalfPunc</ability>
      <abilityName>全半角检查</abilityName>
      <candidateList>
        <item>（</item>
      </candidateList>
      <explain>文本全半角错误。</explain>
      <paraID>22D86078</paraID>
      <start>25</start>
      <end>26</end>
      <status>unmodified</status>
      <modifiedWord/>
      <trackRevisions>false</trackRevisions>
    </reviewItem>
    <reviewItem>
      <errorID>a3302b40-172a-4d72-9a34-3efa6aabd2fb</errorID>
      <errorWord>)</errorWord>
      <group>L1_Format</group>
      <groupName>格式问题</groupName>
      <ability>L2_HalfPunc</ability>
      <abilityName>全半角检查</abilityName>
      <candidateList>
        <item>）</item>
      </candidateList>
      <explain>文本全半角错误。</explain>
      <paraID>22D86078</paraID>
      <start>38</start>
      <end>39</end>
      <status>unmodified</status>
      <modifiedWord/>
      <trackRevisions>false</trackRevisions>
    </reviewItem>
    <reviewItem>
      <errorID>866e73f2-9c09-432f-b005-3aed9ab88dab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22D86078</paraID>
      <start>64</start>
      <end>67</end>
      <status>unmodified</status>
      <modifiedWord/>
      <trackRevisions>false</trackRevisions>
    </reviewItem>
    <reviewItem>
      <errorID>bd1c9bf6-fa06-4217-b6ed-6f26cb3e6626</errorID>
      <errorWord>及其</errorWord>
      <group>L1_Word</group>
      <groupName>字词问题</groupName>
      <ability>L2_Typo</ability>
      <abilityName>字词错误</abilityName>
      <candidateList>
        <item>及</item>
      </candidateList>
      <explain>〈连〉连接并列的名词或名词性词组：图书、仪器、标本～其他。注意用“及”连接的成分多在意义上有主次之分，主要的成分放在“及”的前面。</explain>
      <paraID>5CD2E40C</paraID>
      <start>33</start>
      <end>35</end>
      <status>unmodified</status>
      <modifiedWord/>
      <trackRevisions>false</trackRevisions>
    </reviewItem>
    <reviewItem>
      <errorID>190c16f4-ab26-47ac-8906-d64be7bdcac1</errorID>
      <errorWord>件</errorWord>
      <group>L1_Word</group>
      <groupName>字词问题</groupName>
      <ability>L2_Typo</ability>
      <abilityName>字词错误</abilityName>
      <candidateList>
        <item>件和</item>
      </candidateList>
      <explain/>
      <paraID>74A5B779</paraID>
      <start>31</start>
      <end>32</end>
      <status>unmodified</status>
      <modifiedWord/>
      <trackRevisions>false</trackRevisions>
    </reviewItem>
    <reviewItem>
      <errorID>4b6fd680-bf51-4615-a27b-9fcc316c5333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5E29909B</paraID>
      <start>0</start>
      <end>2</end>
      <status>unmodified</status>
      <modifiedWord/>
      <trackRevisions>false</trackRevisions>
    </reviewItem>
    <reviewItem>
      <errorID>1ae34580-27e6-4ee6-9b40-8120add31932</errorID>
      <errorWord>[2020]46号</errorWord>
      <group>L1_Knowledge</group>
      <groupName>知识性问题</groupName>
      <ability>L2_Knowledge</ability>
      <abilityName>其他知识</abilityName>
      <candidateList>
        <item>〔2020〕46号</item>
      </candidateList>
      <explain>发文字号格式错误</explain>
      <paraID>247BF468</paraID>
      <start>31</start>
      <end>40</end>
      <status>unmodified</status>
      <modifiedWord/>
      <trackRevisions>false</trackRevisions>
    </reviewItem>
    <reviewItem>
      <errorID>a8de5822-6641-4a26-b991-24b0a9d5d848</errorID>
      <errorWord>＜</errorWord>
      <group>L1_Format</group>
      <groupName>格式问题</groupName>
      <ability>L2_HalfPunc</ability>
      <abilityName>全半角检查</abilityName>
      <candidateList>
        <item>&lt;</item>
      </candidateList>
      <explain>文本全半角错误。</explain>
      <paraID>5FE4C83D</paraID>
      <start>5</start>
      <end>6</end>
      <status>unmodified</status>
      <modifiedWord/>
      <trackRevisions>false</trackRevisions>
    </reviewItem>
    <reviewItem>
      <errorID>0893e8b6-d9ef-4de7-929d-8e31c9797e05</errorID>
      <errorWord>＜</errorWord>
      <group>L1_Format</group>
      <groupName>格式问题</groupName>
      <ability>L2_HalfPunc</ability>
      <abilityName>全半角检查</abilityName>
      <candidateList>
        <item>&lt;</item>
      </candidateList>
      <explain>文本全半角错误。</explain>
      <paraID> 5ED62C7</paraID>
      <start>4</start>
      <end>5</end>
      <status>unmodified</status>
      <modifiedWord/>
      <trackRevisions>false</trackRevisions>
    </reviewItem>
    <reviewItem>
      <errorID>a833f6f7-68fb-48a7-8a28-7a4cc08abf54</errorID>
      <errorWord>＜</errorWord>
      <group>L1_Format</group>
      <groupName>格式问题</groupName>
      <ability>L2_HalfPunc</ability>
      <abilityName>全半角检查</abilityName>
      <candidateList>
        <item>&lt;</item>
      </candidateList>
      <explain>文本全半角错误。</explain>
      <paraID> F048F8A</paraID>
      <start>1</start>
      <end>2</end>
      <status>unmodified</status>
      <modifiedWord/>
      <trackRevisions>false</trackRevisions>
    </reviewItem>
    <reviewItem>
      <errorID>b89b4e30-778b-4982-b0eb-0314f43ceb72</errorID>
      <errorWord>＜</errorWord>
      <group>L1_Format</group>
      <groupName>格式问题</groupName>
      <ability>L2_HalfPunc</ability>
      <abilityName>全半角检查</abilityName>
      <candidateList>
        <item>&lt;</item>
      </candidateList>
      <explain>文本全半角错误。</explain>
      <paraID>36D32B32</paraID>
      <start>5</start>
      <end>6</end>
      <status>unmodified</status>
      <modifiedWord/>
      <trackRevisions>false</trackRevisions>
    </reviewItem>
    <reviewItem>
      <errorID>1dbe68b2-1dc2-41d9-a740-e6ed72f38a39</errorID>
      <errorWord>＜</errorWord>
      <group>L1_Format</group>
      <groupName>格式问题</groupName>
      <ability>L2_HalfPunc</ability>
      <abilityName>全半角检查</abilityName>
      <candidateList>
        <item>&lt;</item>
      </candidateList>
      <explain>文本全半角错误。</explain>
      <paraID>51898D0E</paraID>
      <start>4</start>
      <end>5</end>
      <status>unmodified</status>
      <modifiedWord/>
      <trackRevisions>false</trackRevisions>
    </reviewItem>
    <reviewItem>
      <errorID>e711df2b-3ba7-4478-82df-95d547e07045</errorID>
      <errorWord>＜</errorWord>
      <group>L1_Format</group>
      <groupName>格式问题</groupName>
      <ability>L2_HalfPunc</ability>
      <abilityName>全半角检查</abilityName>
      <candidateList>
        <item>&lt;</item>
      </candidateList>
      <explain>文本全半角错误。</explain>
      <paraID> 2D5D00D</paraID>
      <start>1</start>
      <end>2</end>
      <status>unmodified</status>
      <modifiedWord/>
      <trackRevisions>false</trackRevisions>
    </reviewItem>
    <reviewItem>
      <errorID>b1ad7789-8550-4c26-9f12-fe97aa24c127</errorID>
      <errorWord>＜</errorWord>
      <group>L1_Format</group>
      <groupName>格式问题</groupName>
      <ability>L2_HalfPunc</ability>
      <abilityName>全半角检查</abilityName>
      <candidateList>
        <item>&lt;</item>
      </candidateList>
      <explain>文本全半角错误。</explain>
      <paraID>55BEF103</paraID>
      <start>6</start>
      <end>7</end>
      <status>unmodified</status>
      <modifiedWord/>
      <trackRevisions>false</trackRevisions>
    </reviewItem>
    <reviewItem>
      <errorID>f71fc733-76d5-45ea-b19e-e1b44019bfc7</errorID>
      <errorWord>＜</errorWord>
      <group>L1_Format</group>
      <groupName>格式问题</groupName>
      <ability>L2_HalfPunc</ability>
      <abilityName>全半角检查</abilityName>
      <candidateList>
        <item>&lt;</item>
      </candidateList>
      <explain>文本全半角错误。</explain>
      <paraID>69DEF9D5</paraID>
      <start>5</start>
      <end>6</end>
      <status>unmodified</status>
      <modifiedWord/>
      <trackRevisions>false</trackRevisions>
    </reviewItem>
    <reviewItem>
      <errorID>175f327e-9b9d-4233-9f7d-75bdbff43f4b</errorID>
      <errorWord>＜</errorWord>
      <group>L1_Format</group>
      <groupName>格式问题</groupName>
      <ability>L2_HalfPunc</ability>
      <abilityName>全半角检查</abilityName>
      <candidateList>
        <item>&lt;</item>
      </candidateList>
      <explain>文本全半角错误。</explain>
      <paraID>46691786</paraID>
      <start>1</start>
      <end>2</end>
      <status>unmodified</status>
      <modifiedWord/>
      <trackRevisions>false</trackRevisions>
    </reviewItem>
    <reviewItem>
      <errorID>5323b238-35dd-4c6d-96c9-537f20ff7dd1</errorID>
      <errorWord>＜</errorWord>
      <group>L1_Format</group>
      <groupName>格式问题</groupName>
      <ability>L2_HalfPunc</ability>
      <abilityName>全半角检查</abilityName>
      <candidateList>
        <item>&lt;</item>
      </candidateList>
      <explain>文本全半角错误。</explain>
      <paraID>10AFBF81</paraID>
      <start>6</start>
      <end>7</end>
      <status>unmodified</status>
      <modifiedWord/>
      <trackRevisions>false</trackRevisions>
    </reviewItem>
    <reviewItem>
      <errorID>45fa5cb9-178e-468a-91ab-5fd0cea7b4e6</errorID>
      <errorWord>＜</errorWord>
      <group>L1_Format</group>
      <groupName>格式问题</groupName>
      <ability>L2_HalfPunc</ability>
      <abilityName>全半角检查</abilityName>
      <candidateList>
        <item>&lt;</item>
      </candidateList>
      <explain>文本全半角错误。</explain>
      <paraID>228E840E</paraID>
      <start>5</start>
      <end>6</end>
      <status>unmodified</status>
      <modifiedWord/>
      <trackRevisions>false</trackRevisions>
    </reviewItem>
    <reviewItem>
      <errorID>f90df9ba-2890-44ee-93e0-bda180cc8693</errorID>
      <errorWord>＜</errorWord>
      <group>L1_Format</group>
      <groupName>格式问题</groupName>
      <ability>L2_HalfPunc</ability>
      <abilityName>全半角检查</abilityName>
      <candidateList>
        <item>&lt;</item>
      </candidateList>
      <explain>文本全半角错误。</explain>
      <paraID> 932F2BC</paraID>
      <start>1</start>
      <end>2</end>
      <status>unmodified</status>
      <modifiedWord/>
      <trackRevisions>false</trackRevisions>
    </reviewItem>
    <reviewItem>
      <errorID>8fd798f0-8077-4c16-be7b-da50d9a264d7</errorID>
      <errorWord>＜</errorWord>
      <group>L1_Format</group>
      <groupName>格式问题</groupName>
      <ability>L2_HalfPunc</ability>
      <abilityName>全半角检查</abilityName>
      <candidateList>
        <item>&lt;</item>
      </candidateList>
      <explain>文本全半角错误。</explain>
      <paraID>50CB5386</paraID>
      <start>6</start>
      <end>7</end>
      <status>unmodified</status>
      <modifiedWord/>
      <trackRevisions>false</trackRevisions>
    </reviewItem>
    <reviewItem>
      <errorID>173f5ba4-9647-4396-bba5-b2caa0cb6fee</errorID>
      <errorWord>＜</errorWord>
      <group>L1_Format</group>
      <groupName>格式问题</groupName>
      <ability>L2_HalfPunc</ability>
      <abilityName>全半角检查</abilityName>
      <candidateList>
        <item>&lt;</item>
      </candidateList>
      <explain>文本全半角错误。</explain>
      <paraID>3730B80F</paraID>
      <start>5</start>
      <end>6</end>
      <status>unmodified</status>
      <modifiedWord/>
      <trackRevisions>false</trackRevisions>
    </reviewItem>
    <reviewItem>
      <errorID>171942a8-29bf-4db9-ad86-ab6599f4e46d</errorID>
      <errorWord>＜</errorWord>
      <group>L1_Format</group>
      <groupName>格式问题</groupName>
      <ability>L2_HalfPunc</ability>
      <abilityName>全半角检查</abilityName>
      <candidateList>
        <item>&lt;</item>
      </candidateList>
      <explain>文本全半角错误。</explain>
      <paraID>3702C77D</paraID>
      <start>1</start>
      <end>2</end>
      <status>unmodified</status>
      <modifiedWord/>
      <trackRevisions>false</trackRevisions>
    </reviewItem>
    <reviewItem>
      <errorID>b3700041-7cc8-4184-84a6-48b2132fb378</errorID>
      <errorWord>＜</errorWord>
      <group>L1_Format</group>
      <groupName>格式问题</groupName>
      <ability>L2_HalfPunc</ability>
      <abilityName>全半角检查</abilityName>
      <candidateList>
        <item>&lt;</item>
      </candidateList>
      <explain>文本全半角错误。</explain>
      <paraID>2B6F1F95</paraID>
      <start>4</start>
      <end>5</end>
      <status>unmodified</status>
      <modifiedWord/>
      <trackRevisions>false</trackRevisions>
    </reviewItem>
    <reviewItem>
      <errorID>7a0e578c-1890-4a8c-ac08-36c6d8afacf4</errorID>
      <errorWord>＜</errorWord>
      <group>L1_Format</group>
      <groupName>格式问题</groupName>
      <ability>L2_HalfPunc</ability>
      <abilityName>全半角检查</abilityName>
      <candidateList>
        <item>&lt;</item>
      </candidateList>
      <explain>文本全半角错误。</explain>
      <paraID>7CE64D93</paraID>
      <start>3</start>
      <end>4</end>
      <status>unmodified</status>
      <modifiedWord/>
      <trackRevisions>false</trackRevisions>
    </reviewItem>
    <reviewItem>
      <errorID>0a8bb763-6880-4f7b-8bed-b04cd8632857</errorID>
      <errorWord>＜</errorWord>
      <group>L1_Format</group>
      <groupName>格式问题</groupName>
      <ability>L2_HalfPunc</ability>
      <abilityName>全半角检查</abilityName>
      <candidateList>
        <item>&lt;</item>
      </candidateList>
      <explain>文本全半角错误。</explain>
      <paraID>34812F74</paraID>
      <start>1</start>
      <end>2</end>
      <status>unmodified</status>
      <modifiedWord/>
      <trackRevisions>false</trackRevisions>
    </reviewItem>
    <reviewItem>
      <errorID>e47bbc43-332a-4d3b-87ef-799fd2f9b39c</errorID>
      <errorWord>＜</errorWord>
      <group>L1_Format</group>
      <groupName>格式问题</groupName>
      <ability>L2_HalfPunc</ability>
      <abilityName>全半角检查</abilityName>
      <candidateList>
        <item>&lt;</item>
      </candidateList>
      <explain>文本全半角错误。</explain>
      <paraID>10869E57</paraID>
      <start>6</start>
      <end>7</end>
      <status>unmodified</status>
      <modifiedWord/>
      <trackRevisions>false</trackRevisions>
    </reviewItem>
    <reviewItem>
      <errorID>a574eb03-b30c-4a54-848b-c4582002c7ea</errorID>
      <errorWord>＜</errorWord>
      <group>L1_Format</group>
      <groupName>格式问题</groupName>
      <ability>L2_HalfPunc</ability>
      <abilityName>全半角检查</abilityName>
      <candidateList>
        <item>&lt;</item>
      </candidateList>
      <explain>文本全半角错误。</explain>
      <paraID>1FB9F486</paraID>
      <start>6</start>
      <end>7</end>
      <status>unmodified</status>
      <modifiedWord/>
      <trackRevisions>false</trackRevisions>
    </reviewItem>
    <reviewItem>
      <errorID>9c362472-c844-4ac7-bbec-c642b3455529</errorID>
      <errorWord>＜</errorWord>
      <group>L1_Format</group>
      <groupName>格式问题</groupName>
      <ability>L2_HalfPunc</ability>
      <abilityName>全半角检查</abilityName>
      <candidateList>
        <item>&lt;</item>
      </candidateList>
      <explain>文本全半角错误。</explain>
      <paraID> D7A01F8</paraID>
      <start>1</start>
      <end>2</end>
      <status>unmodified</status>
      <modifiedWord/>
      <trackRevisions>false</trackRevisions>
    </reviewItem>
    <reviewItem>
      <errorID>93194a65-3841-421b-89cf-2fd902c0a2f2</errorID>
      <errorWord>＜</errorWord>
      <group>L1_Format</group>
      <groupName>格式问题</groupName>
      <ability>L2_HalfPunc</ability>
      <abilityName>全半角检查</abilityName>
      <candidateList>
        <item>&lt;</item>
      </candidateList>
      <explain>文本全半角错误。</explain>
      <paraID>4D9781B2</paraID>
      <start>4</start>
      <end>5</end>
      <status>unmodified</status>
      <modifiedWord/>
      <trackRevisions>false</trackRevisions>
    </reviewItem>
    <reviewItem>
      <errorID>f2af713a-d0da-4138-91d4-1ec2b22a3f99</errorID>
      <errorWord>＜</errorWord>
      <group>L1_Format</group>
      <groupName>格式问题</groupName>
      <ability>L2_HalfPunc</ability>
      <abilityName>全半角检查</abilityName>
      <candidateList>
        <item>&lt;</item>
      </candidateList>
      <explain>文本全半角错误。</explain>
      <paraID>5548FA77</paraID>
      <start>4</start>
      <end>5</end>
      <status>unmodified</status>
      <modifiedWord/>
      <trackRevisions>false</trackRevisions>
    </reviewItem>
    <reviewItem>
      <errorID>e335a3f8-0c7f-4c4c-9219-29e357118df3</errorID>
      <errorWord>＜</errorWord>
      <group>L1_Format</group>
      <groupName>格式问题</groupName>
      <ability>L2_HalfPunc</ability>
      <abilityName>全半角检查</abilityName>
      <candidateList>
        <item>&lt;</item>
      </candidateList>
      <explain>文本全半角错误。</explain>
      <paraID>328E7EA8</paraID>
      <start>1</start>
      <end>2</end>
      <status>unmodified</status>
      <modifiedWord/>
      <trackRevisions>false</trackRevisions>
    </reviewItem>
    <reviewItem>
      <errorID>9a143a8b-0bc0-49a7-b940-6f6f2cbeebc0</errorID>
      <errorWord>＜</errorWord>
      <group>L1_Format</group>
      <groupName>格式问题</groupName>
      <ability>L2_HalfPunc</ability>
      <abilityName>全半角检查</abilityName>
      <candidateList>
        <item>&lt;</item>
      </candidateList>
      <explain>文本全半角错误。</explain>
      <paraID> EA6209B</paraID>
      <start>5</start>
      <end>6</end>
      <status>unmodified</status>
      <modifiedWord/>
      <trackRevisions>false</trackRevisions>
    </reviewItem>
    <reviewItem>
      <errorID>a6134223-358c-47ab-b889-dbeafff05e17</errorID>
      <errorWord>＜</errorWord>
      <group>L1_Format</group>
      <groupName>格式问题</groupName>
      <ability>L2_HalfPunc</ability>
      <abilityName>全半角检查</abilityName>
      <candidateList>
        <item>&lt;</item>
      </candidateList>
      <explain>文本全半角错误。</explain>
      <paraID>57D79F18</paraID>
      <start>5</start>
      <end>6</end>
      <status>unmodified</status>
      <modifiedWord/>
      <trackRevisions>false</trackRevisions>
    </reviewItem>
    <reviewItem>
      <errorID>76e4d42a-34ae-442e-b30d-2a90ad9759b3</errorID>
      <errorWord>＜</errorWord>
      <group>L1_Format</group>
      <groupName>格式问题</groupName>
      <ability>L2_HalfPunc</ability>
      <abilityName>全半角检查</abilityName>
      <candidateList>
        <item>&lt;</item>
      </candidateList>
      <explain>文本全半角错误。</explain>
      <paraID>1D51E28D</paraID>
      <start>1</start>
      <end>2</end>
      <status>unmodified</status>
      <modifiedWord/>
      <trackRevisions>false</trackRevisions>
    </reviewItem>
    <reviewItem>
      <errorID>603060a8-afd7-4d05-9070-f05aae4ede76</errorID>
      <errorWord>＜</errorWord>
      <group>L1_Format</group>
      <groupName>格式问题</groupName>
      <ability>L2_HalfPunc</ability>
      <abilityName>全半角检查</abilityName>
      <candidateList>
        <item>&lt;</item>
      </candidateList>
      <explain>文本全半角错误。</explain>
      <paraID>738DDCE8</paraID>
      <start>5</start>
      <end>6</end>
      <status>unmodified</status>
      <modifiedWord/>
      <trackRevisions>false</trackRevisions>
    </reviewItem>
    <reviewItem>
      <errorID>ef1b7d1b-bf40-4596-bbab-bfe94a168127</errorID>
      <errorWord>＜</errorWord>
      <group>L1_Format</group>
      <groupName>格式问题</groupName>
      <ability>L2_HalfPunc</ability>
      <abilityName>全半角检查</abilityName>
      <candidateList>
        <item>&lt;</item>
      </candidateList>
      <explain>文本全半角错误。</explain>
      <paraID>4E0F9B9F</paraID>
      <start>4</start>
      <end>5</end>
      <status>unmodified</status>
      <modifiedWord/>
      <trackRevisions>false</trackRevisions>
    </reviewItem>
    <reviewItem>
      <errorID>0dd1d0cd-73f4-4d7e-9a45-9b87a03f7bc2</errorID>
      <errorWord>＜</errorWord>
      <group>L1_Format</group>
      <groupName>格式问题</groupName>
      <ability>L2_HalfPunc</ability>
      <abilityName>全半角检查</abilityName>
      <candidateList>
        <item>&lt;</item>
      </candidateList>
      <explain>文本全半角错误。</explain>
      <paraID>2BF133A7</paraID>
      <start>1</start>
      <end>2</end>
      <status>unmodified</status>
      <modifiedWord/>
      <trackRevisions>false</trackRevisions>
    </reviewItem>
    <reviewItem>
      <errorID>fbdfbc03-799d-44a6-a247-5b062b5047ee</errorID>
      <errorWord>＜</errorWord>
      <group>L1_Format</group>
      <groupName>格式问题</groupName>
      <ability>L2_HalfPunc</ability>
      <abilityName>全半角检查</abilityName>
      <candidateList>
        <item>&lt;</item>
      </candidateList>
      <explain>文本全半角错误。</explain>
      <paraID>4F86E7FB</paraID>
      <start>6</start>
      <end>7</end>
      <status>unmodified</status>
      <modifiedWord/>
      <trackRevisions>false</trackRevisions>
    </reviewItem>
    <reviewItem>
      <errorID>442e4d32-241e-4b66-8eb7-37713e184363</errorID>
      <errorWord>＜</errorWord>
      <group>L1_Format</group>
      <groupName>格式问题</groupName>
      <ability>L2_HalfPunc</ability>
      <abilityName>全半角检查</abilityName>
      <candidateList>
        <item>&lt;</item>
      </candidateList>
      <explain>文本全半角错误。</explain>
      <paraID>1D9D30EF</paraID>
      <start>5</start>
      <end>6</end>
      <status>unmodified</status>
      <modifiedWord/>
      <trackRevisions>false</trackRevisions>
    </reviewItem>
    <reviewItem>
      <errorID>38e7d788-fc2a-43fc-8388-091732449751</errorID>
      <errorWord>＜</errorWord>
      <group>L1_Format</group>
      <groupName>格式问题</groupName>
      <ability>L2_HalfPunc</ability>
      <abilityName>全半角检查</abilityName>
      <candidateList>
        <item>&lt;</item>
      </candidateList>
      <explain>文本全半角错误。</explain>
      <paraID>14D80260</paraID>
      <start>1</start>
      <end>2</end>
      <status>unmodified</status>
      <modifiedWord/>
      <trackRevisions>false</trackRevisions>
    </reviewItem>
    <reviewItem>
      <errorID>57d37ad7-642e-47fc-aca1-402cebdb8866</errorID>
      <errorWord>＜</errorWord>
      <group>L1_Format</group>
      <groupName>格式问题</groupName>
      <ability>L2_HalfPunc</ability>
      <abilityName>全半角检查</abilityName>
      <candidateList>
        <item>&lt;</item>
      </candidateList>
      <explain>文本全半角错误。</explain>
      <paraID>1A8C1DB0</paraID>
      <start>5</start>
      <end>6</end>
      <status>unmodified</status>
      <modifiedWord/>
      <trackRevisions>false</trackRevisions>
    </reviewItem>
    <reviewItem>
      <errorID>7e19eb47-ecf9-4c02-8315-acfd70c46e94</errorID>
      <errorWord>＜</errorWord>
      <group>L1_Format</group>
      <groupName>格式问题</groupName>
      <ability>L2_HalfPunc</ability>
      <abilityName>全半角检查</abilityName>
      <candidateList>
        <item>&lt;</item>
      </candidateList>
      <explain>文本全半角错误。</explain>
      <paraID>54731A8F</paraID>
      <start>4</start>
      <end>5</end>
      <status>unmodified</status>
      <modifiedWord/>
      <trackRevisions>false</trackRevisions>
    </reviewItem>
    <reviewItem>
      <errorID>baefd8e8-90e0-4a95-95ef-b404dedf8b08</errorID>
      <errorWord>＜</errorWord>
      <group>L1_Format</group>
      <groupName>格式问题</groupName>
      <ability>L2_HalfPunc</ability>
      <abilityName>全半角检查</abilityName>
      <candidateList>
        <item>&lt;</item>
      </candidateList>
      <explain>文本全半角错误。</explain>
      <paraID>452755D7</paraID>
      <start>1</start>
      <end>2</end>
      <status>unmodified</status>
      <modifiedWord/>
      <trackRevisions>false</trackRevisions>
    </reviewItem>
    <reviewItem>
      <errorID>5c25d395-178c-489d-9ed7-d311f97f281c</errorID>
      <errorWord>＜</errorWord>
      <group>L1_Format</group>
      <groupName>格式问题</groupName>
      <ability>L2_HalfPunc</ability>
      <abilityName>全半角检查</abilityName>
      <candidateList>
        <item>&lt;</item>
      </candidateList>
      <explain>文本全半角错误。</explain>
      <paraID>37A12F5B</paraID>
      <start>6</start>
      <end>7</end>
      <status>unmodified</status>
      <modifiedWord/>
      <trackRevisions>false</trackRevisions>
    </reviewItem>
    <reviewItem>
      <errorID>031043b4-e04c-494c-9975-c458b45cf4b2</errorID>
      <errorWord>＜</errorWord>
      <group>L1_Format</group>
      <groupName>格式问题</groupName>
      <ability>L2_HalfPunc</ability>
      <abilityName>全半角检查</abilityName>
      <candidateList>
        <item>&lt;</item>
      </candidateList>
      <explain>文本全半角错误。</explain>
      <paraID>42A32D0E</paraID>
      <start>5</start>
      <end>6</end>
      <status>unmodified</status>
      <modifiedWord/>
      <trackRevisions>false</trackRevisions>
    </reviewItem>
    <reviewItem>
      <errorID>5e18c00d-8278-4d3c-b484-aba826354d30</errorID>
      <errorWord>＜</errorWord>
      <group>L1_Format</group>
      <groupName>格式问题</groupName>
      <ability>L2_HalfPunc</ability>
      <abilityName>全半角检查</abilityName>
      <candidateList>
        <item>&lt;</item>
      </candidateList>
      <explain>文本全半角错误。</explain>
      <paraID>62852074</paraID>
      <start>1</start>
      <end>2</end>
      <status>unmodified</status>
      <modifiedWord/>
      <trackRevisions>false</trackRevisions>
    </reviewItem>
    <reviewItem>
      <errorID>b972d6a0-fa38-4307-bc1b-a9cbe376fbe2</errorID>
      <errorWord>＜</errorWord>
      <group>L1_Format</group>
      <groupName>格式问题</groupName>
      <ability>L2_HalfPunc</ability>
      <abilityName>全半角检查</abilityName>
      <candidateList>
        <item>&lt;</item>
      </candidateList>
      <explain>文本全半角错误。</explain>
      <paraID>7BEAE613</paraID>
      <start>5</start>
      <end>6</end>
      <status>unmodified</status>
      <modifiedWord/>
      <trackRevisions>false</trackRevisions>
    </reviewItem>
    <reviewItem>
      <errorID>1dbc1ae4-c967-4e51-bf5f-ddf040592208</errorID>
      <errorWord>＜</errorWord>
      <group>L1_Format</group>
      <groupName>格式问题</groupName>
      <ability>L2_HalfPunc</ability>
      <abilityName>全半角检查</abilityName>
      <candidateList>
        <item>&lt;</item>
      </candidateList>
      <explain>文本全半角错误。</explain>
      <paraID>251D66CF</paraID>
      <start>4</start>
      <end>5</end>
      <status>unmodified</status>
      <modifiedWord/>
      <trackRevisions>false</trackRevisions>
    </reviewItem>
    <reviewItem>
      <errorID>46ca6c13-62f9-4eb6-aee1-749d958ed174</errorID>
      <errorWord>＜</errorWord>
      <group>L1_Format</group>
      <groupName>格式问题</groupName>
      <ability>L2_HalfPunc</ability>
      <abilityName>全半角检查</abilityName>
      <candidateList>
        <item>&lt;</item>
      </candidateList>
      <explain>文本全半角错误。</explain>
      <paraID>6FFA6EE3</paraID>
      <start>1</start>
      <end>2</end>
      <status>unmodified</status>
      <modifiedWord/>
      <trackRevisions>false</trackRevisions>
    </reviewItem>
    <reviewItem>
      <errorID>98d38e2b-a4ef-43a1-be56-77006dac8976</errorID>
      <errorWord>＜</errorWord>
      <group>L1_Format</group>
      <groupName>格式问题</groupName>
      <ability>L2_HalfPunc</ability>
      <abilityName>全半角检查</abilityName>
      <candidateList>
        <item>&lt;</item>
      </candidateList>
      <explain>文本全半角错误。</explain>
      <paraID>2E3FBD5B</paraID>
      <start>6</start>
      <end>7</end>
      <status>unmodified</status>
      <modifiedWord/>
      <trackRevisions>false</trackRevisions>
    </reviewItem>
    <reviewItem>
      <errorID>11c09475-37e1-416e-b47e-f9d2babf7580</errorID>
      <errorWord>＜</errorWord>
      <group>L1_Format</group>
      <groupName>格式问题</groupName>
      <ability>L2_HalfPunc</ability>
      <abilityName>全半角检查</abilityName>
      <candidateList>
        <item>&lt;</item>
      </candidateList>
      <explain>文本全半角错误。</explain>
      <paraID>15B6C9AB</paraID>
      <start>5</start>
      <end>6</end>
      <status>unmodified</status>
      <modifiedWord/>
      <trackRevisions>false</trackRevisions>
    </reviewItem>
    <reviewItem>
      <errorID>e325ef40-f59d-4c00-9428-aa655d49f40c</errorID>
      <errorWord>＜</errorWord>
      <group>L1_Format</group>
      <groupName>格式问题</groupName>
      <ability>L2_HalfPunc</ability>
      <abilityName>全半角检查</abilityName>
      <candidateList>
        <item>&lt;</item>
      </candidateList>
      <explain>文本全半角错误。</explain>
      <paraID>37EDF6F6</paraID>
      <start>1</start>
      <end>2</end>
      <status>unmodified</status>
      <modifiedWord/>
      <trackRevisions>false</trackRevisions>
    </reviewItem>
    <reviewItem>
      <errorID>991b6761-faf5-4651-b27c-e143c3e39cf7</errorID>
      <errorWord>＜</errorWord>
      <group>L1_Format</group>
      <groupName>格式问题</groupName>
      <ability>L2_HalfPunc</ability>
      <abilityName>全半角检查</abilityName>
      <candidateList>
        <item>&lt;</item>
      </candidateList>
      <explain>文本全半角错误。</explain>
      <paraID>4D31F402</paraID>
      <start>5</start>
      <end>6</end>
      <status>unmodified</status>
      <modifiedWord/>
      <trackRevisions>false</trackRevisions>
    </reviewItem>
    <reviewItem>
      <errorID>d0b28e38-67f0-4495-9bc4-c3b53ca4f729</errorID>
      <errorWord>＜</errorWord>
      <group>L1_Format</group>
      <groupName>格式问题</groupName>
      <ability>L2_HalfPunc</ability>
      <abilityName>全半角检查</abilityName>
      <candidateList>
        <item>&lt;</item>
      </candidateList>
      <explain>文本全半角错误。</explain>
      <paraID>1D126272</paraID>
      <start>4</start>
      <end>5</end>
      <status>unmodified</status>
      <modifiedWord/>
      <trackRevisions>false</trackRevisions>
    </reviewItem>
    <reviewItem>
      <errorID>f641be7a-34ee-408b-95be-77af486e9da5</errorID>
      <errorWord>＜</errorWord>
      <group>L1_Format</group>
      <groupName>格式问题</groupName>
      <ability>L2_HalfPunc</ability>
      <abilityName>全半角检查</abilityName>
      <candidateList>
        <item>&lt;</item>
      </candidateList>
      <explain>文本全半角错误。</explain>
      <paraID>4B849FFD</paraID>
      <start>1</start>
      <end>2</end>
      <status>unmodified</status>
      <modifiedWord/>
      <trackRevisions>false</trackRevisions>
    </reviewItem>
    <reviewItem>
      <errorID>43c8aac9-461b-4366-a9b3-9608987fdddb</errorID>
      <errorWord>＜</errorWord>
      <group>L1_Format</group>
      <groupName>格式问题</groupName>
      <ability>L2_HalfPunc</ability>
      <abilityName>全半角检查</abilityName>
      <candidateList>
        <item>&lt;</item>
      </candidateList>
      <explain>文本全半角错误。</explain>
      <paraID>792086F0</paraID>
      <start>6</start>
      <end>7</end>
      <status>unmodified</status>
      <modifiedWord/>
      <trackRevisions>false</trackRevisions>
    </reviewItem>
    <reviewItem>
      <errorID>240d1bca-87f5-4cd8-b63b-105e8a5989d3</errorID>
      <errorWord>＜</errorWord>
      <group>L1_Format</group>
      <groupName>格式问题</groupName>
      <ability>L2_HalfPunc</ability>
      <abilityName>全半角检查</abilityName>
      <candidateList>
        <item>&lt;</item>
      </candidateList>
      <explain>文本全半角错误。</explain>
      <paraID>268AA850</paraID>
      <start>5</start>
      <end>6</end>
      <status>unmodified</status>
      <modifiedWord/>
      <trackRevisions>false</trackRevisions>
    </reviewItem>
    <reviewItem>
      <errorID>ed43da8e-45b5-4996-b491-3001163d454d</errorID>
      <errorWord>＜</errorWord>
      <group>L1_Format</group>
      <groupName>格式问题</groupName>
      <ability>L2_HalfPunc</ability>
      <abilityName>全半角检查</abilityName>
      <candidateList>
        <item>&lt;</item>
      </candidateList>
      <explain>文本全半角错误。</explain>
      <paraID>1C19BC2C</paraID>
      <start>1</start>
      <end>2</end>
      <status>unmodified</status>
      <modifiedWord/>
      <trackRevisions>false</trackRevisions>
    </reviewItem>
    <reviewItem>
      <errorID>cf26b3f8-1fa0-4138-b913-2a434e975eb9</errorID>
      <errorWord>＜</errorWord>
      <group>L1_Format</group>
      <groupName>格式问题</groupName>
      <ability>L2_HalfPunc</ability>
      <abilityName>全半角检查</abilityName>
      <candidateList>
        <item>&lt;</item>
      </candidateList>
      <explain>文本全半角错误。</explain>
      <paraID>30AFF490</paraID>
      <start>5</start>
      <end>6</end>
      <status>unmodified</status>
      <modifiedWord/>
      <trackRevisions>false</trackRevisions>
    </reviewItem>
    <reviewItem>
      <errorID>399d7005-f121-4425-9c05-dd15d197a1ce</errorID>
      <errorWord>＜</errorWord>
      <group>L1_Format</group>
      <groupName>格式问题</groupName>
      <ability>L2_HalfPunc</ability>
      <abilityName>全半角检查</abilityName>
      <candidateList>
        <item>&lt;</item>
      </candidateList>
      <explain>文本全半角错误。</explain>
      <paraID> 359DE41</paraID>
      <start>4</start>
      <end>5</end>
      <status>unmodified</status>
      <modifiedWord/>
      <trackRevisions>false</trackRevisions>
    </reviewItem>
    <reviewItem>
      <errorID>e1dc0092-4707-466f-88d9-ee84878348c0</errorID>
      <errorWord>＜</errorWord>
      <group>L1_Format</group>
      <groupName>格式问题</groupName>
      <ability>L2_HalfPunc</ability>
      <abilityName>全半角检查</abilityName>
      <candidateList>
        <item>&lt;</item>
      </candidateList>
      <explain>文本全半角错误。</explain>
      <paraID>72747AED</paraID>
      <start>1</start>
      <end>2</end>
      <status>unmodified</status>
      <modifiedWord/>
      <trackRevisions>false</trackRevisions>
    </reviewItem>
    <reviewItem>
      <errorID>a4a2c614-7011-4b27-9aad-ec715df0279b</errorID>
      <errorWord>＜</errorWord>
      <group>L1_Format</group>
      <groupName>格式问题</groupName>
      <ability>L2_HalfPunc</ability>
      <abilityName>全半角检查</abilityName>
      <candidateList>
        <item>&lt;</item>
      </candidateList>
      <explain>文本全半角错误。</explain>
      <paraID>77F57D7E</paraID>
      <start>6</start>
      <end>7</end>
      <status>unmodified</status>
      <modifiedWord/>
      <trackRevisions>false</trackRevisions>
    </reviewItem>
    <reviewItem>
      <errorID>47d8807c-a6c6-4960-90ea-76dbbeccbf60</errorID>
      <errorWord>＜</errorWord>
      <group>L1_Format</group>
      <groupName>格式问题</groupName>
      <ability>L2_HalfPunc</ability>
      <abilityName>全半角检查</abilityName>
      <candidateList>
        <item>&lt;</item>
      </candidateList>
      <explain>文本全半角错误。</explain>
      <paraID>45A7AB4C</paraID>
      <start>5</start>
      <end>6</end>
      <status>unmodified</status>
      <modifiedWord/>
      <trackRevisions>false</trackRevisions>
    </reviewItem>
    <reviewItem>
      <errorID>198d456a-21f6-4a46-a396-08ca8a3abaff</errorID>
      <errorWord>＜</errorWord>
      <group>L1_Format</group>
      <groupName>格式问题</groupName>
      <ability>L2_HalfPunc</ability>
      <abilityName>全半角检查</abilityName>
      <candidateList>
        <item>&lt;</item>
      </candidateList>
      <explain>文本全半角错误。</explain>
      <paraID>4959312D</paraID>
      <start>1</start>
      <end>2</end>
      <status>unmodified</status>
      <modifiedWord/>
      <trackRevisions>false</trackRevisions>
    </reviewItem>
    <reviewItem>
      <errorID>c3d79f7e-eba8-4e25-8df4-982373636ce9</errorID>
      <errorWord>＜</errorWord>
      <group>L1_Format</group>
      <groupName>格式问题</groupName>
      <ability>L2_HalfPunc</ability>
      <abilityName>全半角检查</abilityName>
      <candidateList>
        <item>&lt;</item>
      </candidateList>
      <explain>文本全半角错误。</explain>
      <paraID>159AEFF5</paraID>
      <start>5</start>
      <end>6</end>
      <status>unmodified</status>
      <modifiedWord/>
      <trackRevisions>false</trackRevisions>
    </reviewItem>
    <reviewItem>
      <errorID>42fc2498-0cf7-4e4a-a769-730fbb2b5886</errorID>
      <errorWord>＜</errorWord>
      <group>L1_Format</group>
      <groupName>格式问题</groupName>
      <ability>L2_HalfPunc</ability>
      <abilityName>全半角检查</abilityName>
      <candidateList>
        <item>&lt;</item>
      </candidateList>
      <explain>文本全半角错误。</explain>
      <paraID>7C8580C0</paraID>
      <start>4</start>
      <end>5</end>
      <status>unmodified</status>
      <modifiedWord/>
      <trackRevisions>false</trackRevisions>
    </reviewItem>
    <reviewItem>
      <errorID>95524f0f-e4d1-4a3f-975f-7257f0061f35</errorID>
      <errorWord>＜</errorWord>
      <group>L1_Format</group>
      <groupName>格式问题</groupName>
      <ability>L2_HalfPunc</ability>
      <abilityName>全半角检查</abilityName>
      <candidateList>
        <item>&lt;</item>
      </candidateList>
      <explain>文本全半角错误。</explain>
      <paraID>18B69EFB</paraID>
      <start>1</start>
      <end>2</end>
      <status>unmodified</status>
      <modifiedWord/>
      <trackRevisions>false</trackRevisions>
    </reviewItem>
    <reviewItem>
      <errorID>919d66f8-dc8e-4235-b763-b4543e5b5109</errorID>
      <errorWord>＜</errorWord>
      <group>L1_Format</group>
      <groupName>格式问题</groupName>
      <ability>L2_HalfPunc</ability>
      <abilityName>全半角检查</abilityName>
      <candidateList>
        <item>&lt;</item>
      </candidateList>
      <explain>文本全半角错误。</explain>
      <paraID>7C7DB68F</paraID>
      <start>6</start>
      <end>7</end>
      <status>unmodified</status>
      <modifiedWord/>
      <trackRevisions>false</trackRevisions>
    </reviewItem>
    <reviewItem>
      <errorID>3215eaa8-c095-4faa-98ea-93da508ddf55</errorID>
      <errorWord>＜</errorWord>
      <group>L1_Format</group>
      <groupName>格式问题</groupName>
      <ability>L2_HalfPunc</ability>
      <abilityName>全半角检查</abilityName>
      <candidateList>
        <item>&lt;</item>
      </candidateList>
      <explain>文本全半角错误。</explain>
      <paraID> 8AC7EA6</paraID>
      <start>5</start>
      <end>6</end>
      <status>unmodified</status>
      <modifiedWord/>
      <trackRevisions>false</trackRevisions>
    </reviewItem>
    <reviewItem>
      <errorID>eb54862e-c651-440d-828f-422cb57a885c</errorID>
      <errorWord>＜</errorWord>
      <group>L1_Format</group>
      <groupName>格式问题</groupName>
      <ability>L2_HalfPunc</ability>
      <abilityName>全半角检查</abilityName>
      <candidateList>
        <item>&lt;</item>
      </candidateList>
      <explain>文本全半角错误。</explain>
      <paraID>18C82E80</paraID>
      <start>1</start>
      <end>2</end>
      <status>unmodified</status>
      <modifiedWord/>
      <trackRevisions>false</trackRevisions>
    </reviewItem>
    <reviewItem>
      <errorID>28f55918-8468-4559-9973-feb75c118aa6</errorID>
      <errorWord>＜</errorWord>
      <group>L1_Format</group>
      <groupName>格式问题</groupName>
      <ability>L2_HalfPunc</ability>
      <abilityName>全半角检查</abilityName>
      <candidateList>
        <item>&lt;</item>
      </candidateList>
      <explain>文本全半角错误。</explain>
      <paraID>6555C1AE</paraID>
      <start>5</start>
      <end>6</end>
      <status>unmodified</status>
      <modifiedWord/>
      <trackRevisions>false</trackRevisions>
    </reviewItem>
    <reviewItem>
      <errorID>89951130-8918-41a7-b780-f37758e85ad3</errorID>
      <errorWord>＜</errorWord>
      <group>L1_Format</group>
      <groupName>格式问题</groupName>
      <ability>L2_HalfPunc</ability>
      <abilityName>全半角检查</abilityName>
      <candidateList>
        <item>&lt;</item>
      </candidateList>
      <explain>文本全半角错误。</explain>
      <paraID>767D0295</paraID>
      <start>4</start>
      <end>5</end>
      <status>unmodified</status>
      <modifiedWord/>
      <trackRevisions>false</trackRevisions>
    </reviewItem>
    <reviewItem>
      <errorID>bdb7cf73-8f59-47fc-84d8-4207f055ca76</errorID>
      <errorWord>＜</errorWord>
      <group>L1_Format</group>
      <groupName>格式问题</groupName>
      <ability>L2_HalfPunc</ability>
      <abilityName>全半角检查</abilityName>
      <candidateList>
        <item>&lt;</item>
      </candidateList>
      <explain>文本全半角错误。</explain>
      <paraID>13F02E82</paraID>
      <start>1</start>
      <end>2</end>
      <status>unmodified</status>
      <modifiedWord/>
      <trackRevisions>false</trackRevisions>
    </reviewItem>
    <reviewItem>
      <errorID>4ed61f5b-23bd-412d-9a71-c542832757f0</errorID>
      <errorWord>＜</errorWord>
      <group>L1_Format</group>
      <groupName>格式问题</groupName>
      <ability>L2_HalfPunc</ability>
      <abilityName>全半角检查</abilityName>
      <candidateList>
        <item>&lt;</item>
      </candidateList>
      <explain>文本全半角错误。</explain>
      <paraID>7FD3422A</paraID>
      <start>6</start>
      <end>7</end>
      <status>unmodified</status>
      <modifiedWord/>
      <trackRevisions>false</trackRevisions>
    </reviewItem>
    <reviewItem>
      <errorID>9bc6efc2-7a54-4095-b9ac-464f0725839b</errorID>
      <errorWord>＜</errorWord>
      <group>L1_Format</group>
      <groupName>格式问题</groupName>
      <ability>L2_HalfPunc</ability>
      <abilityName>全半角检查</abilityName>
      <candidateList>
        <item>&lt;</item>
      </candidateList>
      <explain>文本全半角错误。</explain>
      <paraID>45B5A804</paraID>
      <start>4</start>
      <end>5</end>
      <status>unmodified</status>
      <modifiedWord/>
      <trackRevisions>false</trackRevisions>
    </reviewItem>
    <reviewItem>
      <errorID>61cc9202-d6e3-478e-82f0-62bb103e0ab6</errorID>
      <errorWord>＜</errorWord>
      <group>L1_Format</group>
      <groupName>格式问题</groupName>
      <ability>L2_HalfPunc</ability>
      <abilityName>全半角检查</abilityName>
      <candidateList>
        <item>&lt;</item>
      </candidateList>
      <explain>文本全半角错误。</explain>
      <paraID>57E1DD52</paraID>
      <start>1</start>
      <end>2</end>
      <status>unmodified</status>
      <modifiedWord/>
      <trackRevisions>false</trackRevisions>
    </reviewItem>
    <reviewItem>
      <errorID>88e2d40b-1525-48ed-b7d7-14d9519d6101</errorID>
      <errorWord>＜</errorWord>
      <group>L1_Format</group>
      <groupName>格式问题</groupName>
      <ability>L2_HalfPunc</ability>
      <abilityName>全半角检查</abilityName>
      <candidateList>
        <item>&lt;</item>
      </candidateList>
      <explain>文本全半角错误。</explain>
      <paraID> C63C2E7</paraID>
      <start>6</start>
      <end>7</end>
      <status>unmodified</status>
      <modifiedWord/>
      <trackRevisions>false</trackRevisions>
    </reviewItem>
    <reviewItem>
      <errorID>7ccb7ac7-b00a-49a7-bfdf-e23e7ee49dea</errorID>
      <errorWord>＜</errorWord>
      <group>L1_Format</group>
      <groupName>格式问题</groupName>
      <ability>L2_HalfPunc</ability>
      <abilityName>全半角检查</abilityName>
      <candidateList>
        <item>&lt;</item>
      </candidateList>
      <explain>文本全半角错误。</explain>
      <paraID>5FFE7329</paraID>
      <start>5</start>
      <end>6</end>
      <status>unmodified</status>
      <modifiedWord/>
      <trackRevisions>false</trackRevisions>
    </reviewItem>
    <reviewItem>
      <errorID>af9dbd42-8bfb-43ac-8b48-e72cdcf64d97</errorID>
      <errorWord>＜</errorWord>
      <group>L1_Format</group>
      <groupName>格式问题</groupName>
      <ability>L2_HalfPunc</ability>
      <abilityName>全半角检查</abilityName>
      <candidateList>
        <item>&lt;</item>
      </candidateList>
      <explain>文本全半角错误。</explain>
      <paraID>37BA3637</paraID>
      <start>1</start>
      <end>2</end>
      <status>unmodified</status>
      <modifiedWord/>
      <trackRevisions>false</trackRevisions>
    </reviewItem>
    <reviewItem>
      <errorID>74cd5d63-cf22-4447-be7d-b247d254e727</errorID>
      <errorWord>＜</errorWord>
      <group>L1_Format</group>
      <groupName>格式问题</groupName>
      <ability>L2_HalfPunc</ability>
      <abilityName>全半角检查</abilityName>
      <candidateList>
        <item>&lt;</item>
      </candidateList>
      <explain>文本全半角错误。</explain>
      <paraID>5666B469</paraID>
      <start>6</start>
      <end>7</end>
      <status>unmodified</status>
      <modifiedWord/>
      <trackRevisions>false</trackRevisions>
    </reviewItem>
    <reviewItem>
      <errorID>fbebd413-d855-4b63-8f6a-1f0872844d56</errorID>
      <errorWord>＜</errorWord>
      <group>L1_Format</group>
      <groupName>格式问题</groupName>
      <ability>L2_HalfPunc</ability>
      <abilityName>全半角检查</abilityName>
      <candidateList>
        <item>&lt;</item>
      </candidateList>
      <explain>文本全半角错误。</explain>
      <paraID>4D0D5BA9</paraID>
      <start>6</start>
      <end>7</end>
      <status>unmodified</status>
      <modifiedWord/>
      <trackRevisions>false</trackRevisions>
    </reviewItem>
    <reviewItem>
      <errorID>0d7adbcb-a7f2-4a58-956d-fe51f7a0ce2f</errorID>
      <errorWord>＜</errorWord>
      <group>L1_Format</group>
      <groupName>格式问题</groupName>
      <ability>L2_HalfPunc</ability>
      <abilityName>全半角检查</abilityName>
      <candidateList>
        <item>&lt;</item>
      </candidateList>
      <explain>文本全半角错误。</explain>
      <paraID>2146C366</paraID>
      <start>1</start>
      <end>2</end>
      <status>unmodified</status>
      <modifiedWord/>
      <trackRevisions>false</trackRevisions>
    </reviewItem>
    <reviewItem>
      <errorID>415882e2-6cf5-47e7-b760-a2b757204283</errorID>
      <errorWord>＜</errorWord>
      <group>L1_Format</group>
      <groupName>格式问题</groupName>
      <ability>L2_HalfPunc</ability>
      <abilityName>全半角检查</abilityName>
      <candidateList>
        <item>&lt;</item>
      </candidateList>
      <explain>文本全半角错误。</explain>
      <paraID>5659A7BA</paraID>
      <start>5</start>
      <end>6</end>
      <status>unmodified</status>
      <modifiedWord/>
      <trackRevisions>false</trackRevisions>
    </reviewItem>
    <reviewItem>
      <errorID>044974ff-ba35-4388-a286-5655723e9b18</errorID>
      <errorWord>＜</errorWord>
      <group>L1_Format</group>
      <groupName>格式问题</groupName>
      <ability>L2_HalfPunc</ability>
      <abilityName>全半角检查</abilityName>
      <candidateList>
        <item>&lt;</item>
      </candidateList>
      <explain>文本全半角错误。</explain>
      <paraID>1568F3F4</paraID>
      <start>5</start>
      <end>6</end>
      <status>unmodified</status>
      <modifiedWord/>
      <trackRevisions>false</trackRevisions>
    </reviewItem>
    <reviewItem>
      <errorID>b5444564-de0d-427b-8db9-3bbdabed6c2e</errorID>
      <errorWord>＜</errorWord>
      <group>L1_Format</group>
      <groupName>格式问题</groupName>
      <ability>L2_HalfPunc</ability>
      <abilityName>全半角检查</abilityName>
      <candidateList>
        <item>&lt;</item>
      </candidateList>
      <explain>文本全半角错误。</explain>
      <paraID>6F6B06EE</paraID>
      <start>1</start>
      <end>2</end>
      <status>unmodified</status>
      <modifiedWord/>
      <trackRevisions>false</trackRevisions>
    </reviewItem>
    <reviewItem>
      <errorID>ae34a263-5bf9-4502-83c6-da01a9f9d3d8</errorID>
      <errorWord>＜</errorWord>
      <group>L1_Format</group>
      <groupName>格式问题</groupName>
      <ability>L2_HalfPunc</ability>
      <abilityName>全半角检查</abilityName>
      <candidateList>
        <item>&lt;</item>
      </candidateList>
      <explain>文本全半角错误。</explain>
      <paraID>3A443921</paraID>
      <start>6</start>
      <end>7</end>
      <status>unmodified</status>
      <modifiedWord/>
      <trackRevisions>false</trackRevisions>
    </reviewItem>
    <reviewItem>
      <errorID>3a0e94c8-4500-4e33-9208-dc3937b16ead</errorID>
      <errorWord>＜</errorWord>
      <group>L1_Format</group>
      <groupName>格式问题</groupName>
      <ability>L2_HalfPunc</ability>
      <abilityName>全半角检查</abilityName>
      <candidateList>
        <item>&lt;</item>
      </candidateList>
      <explain>文本全半角错误。</explain>
      <paraID>1F7CFE57</paraID>
      <start>5</start>
      <end>6</end>
      <status>unmodified</status>
      <modifiedWord/>
      <trackRevisions>false</trackRevisions>
    </reviewItem>
    <reviewItem>
      <errorID>d52c6ae2-5913-4819-aa54-ca0532be6077</errorID>
      <errorWord>＜</errorWord>
      <group>L1_Format</group>
      <groupName>格式问题</groupName>
      <ability>L2_HalfPunc</ability>
      <abilityName>全半角检查</abilityName>
      <candidateList>
        <item>&lt;</item>
      </candidateList>
      <explain>文本全半角错误。</explain>
      <paraID>6A5D672C</paraID>
      <start>1</start>
      <end>2</end>
      <status>unmodified</status>
      <modifiedWord/>
      <trackRevisions>false</trackRevisions>
    </reviewItem>
    <reviewItem>
      <errorID>c1fab107-b415-481c-8a92-1f2137d2199c</errorID>
      <errorWord>＜</errorWord>
      <group>L1_Format</group>
      <groupName>格式问题</groupName>
      <ability>L2_HalfPunc</ability>
      <abilityName>全半角检查</abilityName>
      <candidateList>
        <item>&lt;</item>
      </candidateList>
      <explain>文本全半角错误。</explain>
      <paraID>450F1907</paraID>
      <start>5</start>
      <end>6</end>
      <status>unmodified</status>
      <modifiedWord/>
      <trackRevisions>false</trackRevisions>
    </reviewItem>
    <reviewItem>
      <errorID>0848cc8c-e1ec-41bc-a75b-008ae47ef249</errorID>
      <errorWord>＜</errorWord>
      <group>L1_Format</group>
      <groupName>格式问题</groupName>
      <ability>L2_HalfPunc</ability>
      <abilityName>全半角检查</abilityName>
      <candidateList>
        <item>&lt;</item>
      </candidateList>
      <explain>文本全半角错误。</explain>
      <paraID>2CD55DA8</paraID>
      <start>4</start>
      <end>5</end>
      <status>unmodified</status>
      <modifiedWord/>
      <trackRevisions>false</trackRevisions>
    </reviewItem>
    <reviewItem>
      <errorID>8658615b-3f4f-42b3-8f3c-7c8985055874</errorID>
      <errorWord>＜</errorWord>
      <group>L1_Format</group>
      <groupName>格式问题</groupName>
      <ability>L2_HalfPunc</ability>
      <abilityName>全半角检查</abilityName>
      <candidateList>
        <item>&lt;</item>
      </candidateList>
      <explain>文本全半角错误。</explain>
      <paraID>52458014</paraID>
      <start>1</start>
      <end>2</end>
      <status>unmodified</status>
      <modifiedWord/>
      <trackRevisions>false</trackRevisions>
    </reviewItem>
    <reviewItem>
      <errorID>8a31611e-1efd-4a18-a248-f221638a6947</errorID>
      <errorWord>＜</errorWord>
      <group>L1_Format</group>
      <groupName>格式问题</groupName>
      <ability>L2_HalfPunc</ability>
      <abilityName>全半角检查</abilityName>
      <candidateList>
        <item>&lt;</item>
      </candidateList>
      <explain>文本全半角错误。</explain>
      <paraID>167F8ABD</paraID>
      <start>6</start>
      <end>7</end>
      <status>unmodified</status>
      <modifiedWord/>
      <trackRevisions>false</trackRevisions>
    </reviewItem>
    <reviewItem>
      <errorID>06434285-0856-49c5-8b41-6755dcd0b102</errorID>
      <errorWord>＜</errorWord>
      <group>L1_Format</group>
      <groupName>格式问题</groupName>
      <ability>L2_HalfPunc</ability>
      <abilityName>全半角检查</abilityName>
      <candidateList>
        <item>&lt;</item>
      </candidateList>
      <explain>文本全半角错误。</explain>
      <paraID>7E46B238</paraID>
      <start>5</start>
      <end>6</end>
      <status>unmodified</status>
      <modifiedWord/>
      <trackRevisions>false</trackRevisions>
    </reviewItem>
    <reviewItem>
      <errorID>4eaf5c30-c0bc-42da-9732-bcdeb1b9ed0e</errorID>
      <errorWord>＜</errorWord>
      <group>L1_Format</group>
      <groupName>格式问题</groupName>
      <ability>L2_HalfPunc</ability>
      <abilityName>全半角检查</abilityName>
      <candidateList>
        <item>&lt;</item>
      </candidateList>
      <explain>文本全半角错误。</explain>
      <paraID> F3273CB</paraID>
      <start>1</start>
      <end>2</end>
      <status>unmodified</status>
      <modifiedWord/>
      <trackRevisions>false</trackRevisions>
    </reviewItem>
    <reviewItem>
      <errorID>de8e3309-f48f-4706-b88d-6149e8bd5684</errorID>
      <errorWord>＜</errorWord>
      <group>L1_Format</group>
      <groupName>格式问题</groupName>
      <ability>L2_HalfPunc</ability>
      <abilityName>全半角检查</abilityName>
      <candidateList>
        <item>&lt;</item>
      </candidateList>
      <explain>文本全半角错误。</explain>
      <paraID>62403461</paraID>
      <start>5</start>
      <end>6</end>
      <status>unmodified</status>
      <modifiedWord/>
      <trackRevisions>false</trackRevisions>
    </reviewItem>
    <reviewItem>
      <errorID>ba4aa633-5e08-4ac5-9c71-154dafd5fd41</errorID>
      <errorWord>＜</errorWord>
      <group>L1_Format</group>
      <groupName>格式问题</groupName>
      <ability>L2_HalfPunc</ability>
      <abilityName>全半角检查</abilityName>
      <candidateList>
        <item>&lt;</item>
      </candidateList>
      <explain>文本全半角错误。</explain>
      <paraID>2362C63E</paraID>
      <start>4</start>
      <end>5</end>
      <status>unmodified</status>
      <modifiedWord/>
      <trackRevisions>false</trackRevisions>
    </reviewItem>
    <reviewItem>
      <errorID>d0b78fd7-a26f-4415-bd8a-e354ef13b503</errorID>
      <errorWord>＜</errorWord>
      <group>L1_Format</group>
      <groupName>格式问题</groupName>
      <ability>L2_HalfPunc</ability>
      <abilityName>全半角检查</abilityName>
      <candidateList>
        <item>&lt;</item>
      </candidateList>
      <explain>文本全半角错误。</explain>
      <paraID>479672B2</paraID>
      <start>1</start>
      <end>2</end>
      <status>unmodified</status>
      <modifiedWord/>
      <trackRevisions>false</trackRevisions>
    </reviewItem>
    <reviewItem>
      <errorID>162e67ab-c2aa-47fd-b0c6-d0f398e2103b</errorID>
      <errorWord>[2011]300号</errorWord>
      <group>L1_Knowledge</group>
      <groupName>知识性问题</groupName>
      <ability>L2_Knowledge</ability>
      <abilityName>其他知识</abilityName>
      <candidateList>
        <item>〔2011〕300号</item>
      </candidateList>
      <explain>发文字号格式错误</explain>
      <paraID>46379931</paraID>
      <start>35</start>
      <end>45</end>
      <status>unmodified</status>
      <modifiedWord/>
      <trackRevisions>false</trackRevisions>
    </reviewItem>
    <reviewItem>
      <errorID>7892904b-f389-4e94-9f76-78c686bb4e9d</errorID>
      <errorWord>只须</errorWord>
      <group>L1_Word</group>
      <groupName>字词问题</groupName>
      <ability>L2_Typo</ability>
      <abilityName>字词错误</abilityName>
      <candidateList>
        <item>只需</item>
      </candidateList>
      <explain/>
      <paraID>46379931</paraID>
      <start>81</start>
      <end>83</end>
      <status>unmodified</status>
      <modifiedWord/>
      <trackRevisions>false</trackRevisions>
    </reviewItem>
    <reviewItem>
      <errorID>c7fc8522-fa49-4533-98d2-bdaef4fb2a4d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7634C4B7</paraID>
      <start>0</start>
      <end>2</end>
      <status>unmodified</status>
      <modifiedWord/>
      <trackRevisions>false</trackRevisions>
    </reviewItem>
    <reviewItem>
      <errorID>9724bc3e-300b-4282-a45c-0aa3f43a8511</errorID>
      <errorWord>(</errorWord>
      <group>L1_Format</group>
      <groupName>格式问题</groupName>
      <ability>L2_HalfPunc</ability>
      <abilityName>全半角检查</abilityName>
      <candidateList>
        <item>（</item>
      </candidateList>
      <explain>文本全半角错误。</explain>
      <paraID>576640C7</paraID>
      <start>24</start>
      <end>25</end>
      <status>unmodified</status>
      <modifiedWord/>
      <trackRevisions>false</trackRevisions>
    </reviewItem>
    <reviewItem>
      <errorID>5d6171d9-c041-46e2-a568-732517a599d9</errorID>
      <errorWord>[2014]</errorWord>
      <group>L1_Punc</group>
      <groupName>标点问题</groupName>
      <ability>L2_Punc</ability>
      <abilityName>标点符号检查</abilityName>
      <candidateList>
        <item>〔2014〕</item>
      </candidateList>
      <explain/>
      <paraID>576640C7</paraID>
      <start>27</start>
      <end>33</end>
      <status>unmodified</status>
      <modifiedWord/>
      <trackRevisions>false</trackRevisions>
    </reviewItem>
    <reviewItem>
      <errorID>655a87a5-8541-4c13-9804-453e3f963261</errorID>
      <errorWord>)</errorWord>
      <group>L1_Format</group>
      <groupName>格式问题</groupName>
      <ability>L2_HalfPunc</ability>
      <abilityName>全半角检查</abilityName>
      <candidateList>
        <item>）</item>
      </candidateList>
      <explain>文本全半角错误。</explain>
      <paraID>576640C7</paraID>
      <start>37</start>
      <end>38</end>
      <status>unmodified</status>
      <modifiedWord/>
      <trackRevisions>false</trackRevisions>
    </reviewItem>
    <reviewItem>
      <errorID>ee47072a-88d0-4499-8dfe-f41a7a88fc1f</errorID>
      <errorWord>(</errorWord>
      <group>L1_Format</group>
      <groupName>格式问题</groupName>
      <ability>L2_HalfPunc</ability>
      <abilityName>全半角检查</abilityName>
      <candidateList>
        <item>（</item>
      </candidateList>
      <explain>文本全半角错误。</explain>
      <paraID>576640C7</paraID>
      <start>104</start>
      <end>105</end>
      <status>unmodified</status>
      <modifiedWord/>
      <trackRevisions>false</trackRevisions>
    </reviewItem>
    <reviewItem>
      <errorID>dbd6fb8d-3e98-46ac-8b81-c07a2019be96</errorID>
      <errorWord>)</errorWord>
      <group>L1_Format</group>
      <groupName>格式问题</groupName>
      <ability>L2_HalfPunc</ability>
      <abilityName>全半角检查</abilityName>
      <candidateList>
        <item>）</item>
      </candidateList>
      <explain>文本全半角错误。</explain>
      <paraID>576640C7</paraID>
      <start>114</start>
      <end>115</end>
      <status>unmodified</status>
      <modifiedWord/>
      <trackRevisions>false</trackRevisions>
    </reviewItem>
    <reviewItem>
      <errorID>c19b86e6-e652-4aed-91df-a75ce0085ed2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3BCAA1C6</paraID>
      <start>0</start>
      <end>2</end>
      <status>unmodified</status>
      <modifiedWord/>
      <trackRevisions>false</trackRevisions>
    </reviewItem>
    <reviewItem>
      <errorID>9b8f56ec-b009-46b1-9172-e5219b5180b5</errorID>
      <errorWord>:</errorWord>
      <group>L1_Format</group>
      <groupName>格式问题</groupName>
      <ability>L2_HalfPunc</ability>
      <abilityName>全半角检查</abilityName>
      <candidateList>
        <item>：</item>
      </candidateList>
      <explain>文本全半角错误。</explain>
      <paraID>3ADF5109</paraID>
      <start>12</start>
      <end>13</end>
      <status>unmodified</status>
      <modifiedWord/>
      <trackRevisions>false</trackRevisions>
    </reviewItem>
    <reviewItem>
      <errorID>ca724017-5b15-4fc8-bbb0-8cbd70b0f575</errorID>
      <errorWord>标价</errorWord>
      <group>L1_Word</group>
      <groupName>字词问题</groupName>
      <ability>L2_Typo</ability>
      <abilityName>字词错误</abilityName>
      <candidateList>
        <item>报价</item>
      </candidateList>
      <explain/>
      <paraID> 83E00F7</paraID>
      <start>8</start>
      <end>10</end>
      <status>unmodified</status>
      <modifiedWord/>
      <trackRevisions>false</trackRevisions>
    </reviewItem>
    <reviewItem>
      <errorID>59dc9385-663b-403c-ae51-6795f8beb651</errorID>
      <errorWord>(</errorWord>
      <group>L1_Format</group>
      <groupName>格式问题</groupName>
      <ability>L2_HalfPunc</ability>
      <abilityName>全半角检查</abilityName>
      <candidateList>
        <item>（</item>
      </candidateList>
      <explain>文本全半角错误。</explain>
      <paraID>52F4B04B</paraID>
      <start>26</start>
      <end>27</end>
      <status>unmodified</status>
      <modifiedWord/>
      <trackRevisions>false</trackRevisions>
    </reviewItem>
    <reviewItem>
      <errorID>60c422a7-f0a3-4650-851f-5dbd088a292f</errorID>
      <errorWord>)</errorWord>
      <group>L1_Format</group>
      <groupName>格式问题</groupName>
      <ability>L2_HalfPunc</ability>
      <abilityName>全半角检查</abilityName>
      <candidateList>
        <item>）</item>
      </candidateList>
      <explain>文本全半角错误。</explain>
      <paraID>52F4B04B</paraID>
      <start>39</start>
      <end>40</end>
      <status>unmodified</status>
      <modifiedWord/>
      <trackRevisions>false</trackRevisions>
    </reviewItem>
    <reviewItem>
      <errorID>302f7e2a-bac4-49b4-8cac-dd204e0fd4e0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52F4B04B</paraID>
      <start>65</start>
      <end>68</end>
      <status>unmodified</status>
      <modifiedWord/>
      <trackRevisions>false</trackRevisions>
    </reviewItem>
    <reviewItem>
      <errorID>175811a0-6a1f-48d0-b4b9-e0453f2d8f19</errorID>
      <errorWord>及其</errorWord>
      <group>L1_Word</group>
      <groupName>字词问题</groupName>
      <ability>L2_Typo</ability>
      <abilityName>字词错误</abilityName>
      <candidateList>
        <item>及</item>
      </candidateList>
      <explain>〈连〉连接并列的名词或名词性词组：图书、仪器、标本～其他。注意用“及”连接的成分多在意义上有主次之分，主要的成分放在“及”的前面。</explain>
      <paraID>38138C05</paraID>
      <start>33</start>
      <end>35</end>
      <status>unmodified</status>
      <modifiedWord/>
      <trackRevisions>false</trackRevisions>
    </reviewItem>
    <reviewItem>
      <errorID>c64ff2b0-4a04-411d-8450-a8d9c66343c8</errorID>
      <errorWord>件</errorWord>
      <group>L1_Word</group>
      <groupName>字词问题</groupName>
      <ability>L2_Typo</ability>
      <abilityName>字词错误</abilityName>
      <candidateList>
        <item>件和</item>
      </candidateList>
      <explain/>
      <paraID>6303B610</paraID>
      <start>31</start>
      <end>32</end>
      <status>unmodified</status>
      <modifiedWord/>
      <trackRevisions>false</trackRevisions>
    </reviewItem>
    <reviewItem>
      <errorID>d742b186-f3de-49bc-bb9b-5c56d7f09af6</errorID>
      <errorWord>（</errorWord>
      <group>L1_Format</group>
      <groupName>格式问题</groupName>
      <ability>L2_HalfPunc</ability>
      <abilityName>全半角检查</abilityName>
      <candidateList>
        <item>(</item>
      </candidateList>
      <explain>文本全半角错误。</explain>
      <paraID>7C92DF77</paraID>
      <start>0</start>
      <end>1</end>
      <status>unmodified</status>
      <modifiedWord/>
      <trackRevisions>false</trackRevisions>
    </reviewItem>
    <reviewItem>
      <errorID>20f9521e-235f-4ed1-b516-3dd8191b539d</errorID>
      <errorWord>）</errorWord>
      <group>L1_Format</group>
      <groupName>格式问题</groupName>
      <ability>L2_HalfPunc</ability>
      <abilityName>全半角检查</abilityName>
      <candidateList>
        <item>)</item>
      </candidateList>
      <explain>文本全半角错误。</explain>
      <paraID>7C92DF77</paraID>
      <start>13</start>
      <end>14</end>
      <status>unmodified</status>
      <modifiedWord/>
      <trackRevisions>false</trackRevisions>
    </reviewItem>
    <reviewItem>
      <errorID>df5f5afc-27ea-42cd-8222-d416f5ac5a1c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51C90EA5</paraID>
      <start>13</start>
      <end>16</end>
      <status>unmodified</status>
      <modifiedWord/>
      <trackRevisions>false</trackRevisions>
    </reviewItem>
    <reviewItem>
      <errorID>d2af17c0-6ef7-4daa-90fd-1bf7bb7d2adb</errorID>
      <errorWord>：。</errorWord>
      <group>L1_Punc</group>
      <groupName>标点问题</groupName>
      <ability>L2_Punc</ability>
      <abilityName>标点符号检查</abilityName>
      <candidateList>
        <item>：</item>
      </candidateList>
      <explain/>
      <paraID>27A9633B</paraID>
      <start>7</start>
      <end>9</end>
      <status>unmodified</status>
      <modifiedWord/>
      <trackRevisions>false</trackRevisions>
    </reviewItem>
    <reviewItem>
      <errorID>102ab50a-09f7-4794-bef5-1c92d65762e2</errorID>
      <errorWord>：。</errorWord>
      <group>L1_Punc</group>
      <groupName>标点问题</groupName>
      <ability>L2_Punc</ability>
      <abilityName>标点符号检查</abilityName>
      <candidateList>
        <item>：</item>
      </candidateList>
      <explain/>
      <paraID>28508F9F</paraID>
      <start>7</start>
      <end>9</end>
      <status>unmodified</status>
      <modifiedWord/>
      <trackRevisions>false</trackRevisions>
    </reviewItem>
    <reviewItem>
      <errorID>29811a9e-9e14-4360-bc80-50984dfd2f86</errorID>
      <errorWord>：。</errorWord>
      <group>L1_Punc</group>
      <groupName>标点问题</groupName>
      <ability>L2_Punc</ability>
      <abilityName>标点符号检查</abilityName>
      <candidateList>
        <item>：</item>
      </candidateList>
      <explain/>
      <paraID>35A2A1A7</paraID>
      <start>11</start>
      <end>13</end>
      <status>unmodified</status>
      <modifiedWord/>
      <trackRevisions>false</trackRevisions>
    </reviewItem>
    <reviewItem>
      <errorID>9ea926ee-5522-4ffd-bd7d-ea8606a04f77</errorID>
      <errorWord>：。</errorWord>
      <group>L1_Punc</group>
      <groupName>标点问题</groupName>
      <ability>L2_Punc</ability>
      <abilityName>标点符号检查</abilityName>
      <candidateList>
        <item>：</item>
      </candidateList>
      <explain/>
      <paraID>5FD62241</paraID>
      <start>7</start>
      <end>9</end>
      <status>unmodified</status>
      <modifiedWord/>
      <trackRevisions>false</trackRevisions>
    </reviewItem>
    <reviewItem>
      <errorID>7b9ce58e-b713-41f7-b245-e82f1f591c75</errorID>
      <errorWord>：。</errorWord>
      <group>L1_Punc</group>
      <groupName>标点问题</groupName>
      <ability>L2_Punc</ability>
      <abilityName>标点符号检查</abilityName>
      <candidateList>
        <item>：</item>
      </candidateList>
      <explain/>
      <paraID>1D5A770F</paraID>
      <start>9</start>
      <end>11</end>
      <status>unmodified</status>
      <modifiedWord/>
      <trackRevisions>false</trackRevisions>
    </reviewItem>
    <reviewItem>
      <errorID>68aa1349-c8c0-46f9-a3ef-8dce6950b17e</errorID>
      <errorWord>：。</errorWord>
      <group>L1_Punc</group>
      <groupName>标点问题</groupName>
      <ability>L2_Punc</ability>
      <abilityName>标点符号检查</abilityName>
      <candidateList>
        <item>：</item>
      </candidateList>
      <explain/>
      <paraID>47C87F1F</paraID>
      <start>7</start>
      <end>9</end>
      <status>unmodified</status>
      <modifiedWord/>
      <trackRevisions>false</trackRevisions>
    </reviewItem>
    <reviewItem>
      <errorID>47527875-a3e0-4dc3-a410-bd63d739363b</errorID>
      <errorWord>本合同在</errorWord>
      <group>L1_Word</group>
      <groupName>字词问题</groupName>
      <ability>L2_Typo</ability>
      <abilityName>字词错误</abilityName>
      <candidateList>
        <item>本合同</item>
      </candidateList>
      <explain/>
      <paraID>1F8A76E9</paraID>
      <start>0</start>
      <end>4</end>
      <status>unmodified</status>
      <modifiedWord/>
      <trackRevisions>false</trackRevisions>
    </reviewItem>
    <reviewItem>
      <errorID>cfb2bb4b-f24e-4b25-a4b7-ab75bcf0c273</errorID>
      <errorWord>：；</errorWord>
      <group>L1_Punc</group>
      <groupName>标点问题</groupName>
      <ability>L2_Punc</ability>
      <abilityName>标点符号检查</abilityName>
      <candidateList>
        <item>：</item>
      </candidateList>
      <explain/>
      <paraID>37679343</paraID>
      <start>2</start>
      <end>4</end>
      <status>unmodified</status>
      <modifiedWord/>
      <trackRevisions>false</trackRevisions>
    </reviewItem>
    <reviewItem>
      <errorID>f44f8898-f5b7-464d-a7fb-0dca3a495beb</errorID>
      <errorWord>：；</errorWord>
      <group>L1_Punc</group>
      <groupName>标点问题</groupName>
      <ability>L2_Punc</ability>
      <abilityName>标点符号检查</abilityName>
      <candidateList>
        <item>：</item>
      </candidateList>
      <explain/>
      <paraID>1B8948EF</paraID>
      <start>7</start>
      <end>9</end>
      <status>unmodified</status>
      <modifiedWord/>
      <trackRevisions>false</trackRevisions>
    </reviewItem>
    <reviewItem>
      <errorID>264927d6-c928-4727-8715-5f2605e4c6a2</errorID>
      <errorWord>：；</errorWord>
      <group>L1_Punc</group>
      <groupName>标点问题</groupName>
      <ability>L2_Punc</ability>
      <abilityName>标点符号检查</abilityName>
      <candidateList>
        <item>：</item>
      </candidateList>
      <explain/>
      <paraID>7CBFB942</paraID>
      <start>4</start>
      <end>6</end>
      <status>unmodified</status>
      <modifiedWord/>
      <trackRevisions>false</trackRevisions>
    </reviewItem>
    <reviewItem>
      <errorID>31bbc992-1b60-43d6-a536-723227778d2b</errorID>
      <errorWord>：；</errorWord>
      <group>L1_Punc</group>
      <groupName>标点问题</groupName>
      <ability>L2_Punc</ability>
      <abilityName>标点符号检查</abilityName>
      <candidateList>
        <item>：</item>
      </candidateList>
      <explain/>
      <paraID>62332145</paraID>
      <start>4</start>
      <end>6</end>
      <status>unmodified</status>
      <modifiedWord/>
      <trackRevisions>false</trackRevisions>
    </reviewItem>
    <reviewItem>
      <errorID>b810f6ce-c6e6-42d2-9d74-ce3bfa2edff8</errorID>
      <errorWord>：。</errorWord>
      <group>L1_Punc</group>
      <groupName>标点问题</groupName>
      <ability>L2_Punc</ability>
      <abilityName>标点符号检查</abilityName>
      <candidateList>
        <item>：</item>
      </candidateList>
      <explain/>
      <paraID>5E903D7D</paraID>
      <start>4</start>
      <end>6</end>
      <status>unmodified</status>
      <modifiedWord/>
      <trackRevisions>false</trackRevisions>
    </reviewItem>
    <reviewItem>
      <errorID>3e84e541-41bd-470f-aab3-81b534e2869a</errorID>
      <errorWord>：；</errorWord>
      <group>L1_Punc</group>
      <groupName>标点问题</groupName>
      <ability>L2_Punc</ability>
      <abilityName>标点符号检查</abilityName>
      <candidateList>
        <item>：</item>
      </candidateList>
      <explain/>
      <paraID>683AE949</paraID>
      <start>2</start>
      <end>4</end>
      <status>unmodified</status>
      <modifiedWord/>
      <trackRevisions>false</trackRevisions>
    </reviewItem>
    <reviewItem>
      <errorID>5714af75-6cce-411e-b86d-6ac3fc788925</errorID>
      <errorWord>：；</errorWord>
      <group>L1_Punc</group>
      <groupName>标点问题</groupName>
      <ability>L2_Punc</ability>
      <abilityName>标点符号检查</abilityName>
      <candidateList>
        <item>：</item>
      </candidateList>
      <explain/>
      <paraID>37148B4F</paraID>
      <start>7</start>
      <end>9</end>
      <status>unmodified</status>
      <modifiedWord/>
      <trackRevisions>false</trackRevisions>
    </reviewItem>
    <reviewItem>
      <errorID>390e9996-844e-45eb-a2fe-244710c98048</errorID>
      <errorWord>：；</errorWord>
      <group>L1_Punc</group>
      <groupName>标点问题</groupName>
      <ability>L2_Punc</ability>
      <abilityName>标点符号检查</abilityName>
      <candidateList>
        <item>：</item>
      </candidateList>
      <explain/>
      <paraID>2A311DDB</paraID>
      <start>4</start>
      <end>6</end>
      <status>unmodified</status>
      <modifiedWord/>
      <trackRevisions>false</trackRevisions>
    </reviewItem>
    <reviewItem>
      <errorID>513ae1e9-b0c6-4606-a69b-a2f08e674720</errorID>
      <errorWord>：；</errorWord>
      <group>L1_Punc</group>
      <groupName>标点问题</groupName>
      <ability>L2_Punc</ability>
      <abilityName>标点符号检查</abilityName>
      <candidateList>
        <item>：</item>
      </candidateList>
      <explain/>
      <paraID>39533154</paraID>
      <start>4</start>
      <end>6</end>
      <status>unmodified</status>
      <modifiedWord/>
      <trackRevisions>false</trackRevisions>
    </reviewItem>
    <reviewItem>
      <errorID>1c640409-9e42-4810-a254-eae3dedf27df</errorID>
      <errorWord>：。</errorWord>
      <group>L1_Punc</group>
      <groupName>标点问题</groupName>
      <ability>L2_Punc</ability>
      <abilityName>标点符号检查</abilityName>
      <candidateList>
        <item>：</item>
      </candidateList>
      <explain/>
      <paraID>47982407</paraID>
      <start>4</start>
      <end>6</end>
      <status>unmodified</status>
      <modifiedWord/>
      <trackRevisions>false</trackRevisions>
    </reviewItem>
    <reviewItem>
      <errorID>fedbb871-2a54-4340-8499-908ad2538e78</errorID>
      <errorWord>国标</errorWord>
      <group>L1_Word</group>
      <groupName>字词问题</groupName>
      <ability>L2_Typo</ability>
      <abilityName>字词错误</abilityName>
      <candidateList>
        <item>国家</item>
      </candidateList>
      <explain/>
      <paraID>1789BAFE</paraID>
      <start>32</start>
      <end>36</end>
      <status>modified</status>
      <modifiedWord>国家</modifiedWord>
      <trackRevisions>true</trackRevisions>
    </reviewItem>
    <reviewItem>
      <errorID>3ebb0103-20aa-4ecf-b2db-d3436f002376</errorID>
      <errorWord>：</errorWord>
      <group>L1_Word</group>
      <groupName>字词问题</groupName>
      <ability>L2_Typo</ability>
      <abilityName>字词错误</abilityName>
      <candidateList>
        <item>：自</item>
      </candidateList>
      <explain/>
      <paraID>4BC10199</paraID>
      <start>14</start>
      <end>15</end>
      <status>unmodified</status>
      <modifiedWord/>
      <trackRevisions>false</trackRevisions>
    </reviewItem>
    <reviewItem>
      <errorID>b0a0b978-8bde-42d1-b784-bcfdb446d64b</errorID>
      <errorWord>容</errorWord>
      <group>L1_Word</group>
      <groupName>字词问题</groupName>
      <ability>L2_Typo</ability>
      <abilityName>字词错误</abilityName>
      <candidateList>
        <item>容和</item>
      </candidateList>
      <explain/>
      <paraID>20FF5E02</paraID>
      <start>50</start>
      <end>51</end>
      <status>unmodified</status>
      <modifiedWord/>
      <trackRevisions>false</trackRevisions>
    </reviewItem>
    <reviewItem>
      <errorID>81f0bbd3-3137-4aba-9519-8501f048bbdd</errorID>
      <errorWord>：；</errorWord>
      <group>L1_Punc</group>
      <groupName>标点问题</groupName>
      <ability>L2_Punc</ability>
      <abilityName>标点符号检查</abilityName>
      <candidateList>
        <item>：</item>
      </candidateList>
      <explain/>
      <paraID>74E1F960</paraID>
      <start>2</start>
      <end>4</end>
      <status>unmodified</status>
      <modifiedWord/>
      <trackRevisions>false</trackRevisions>
    </reviewItem>
    <reviewItem>
      <errorID>1b43a7ad-c576-479e-9e43-1623211e373a</errorID>
      <errorWord>：；</errorWord>
      <group>L1_Punc</group>
      <groupName>标点问题</groupName>
      <ability>L2_Punc</ability>
      <abilityName>标点符号检查</abilityName>
      <candidateList>
        <item>：</item>
      </candidateList>
      <explain/>
      <paraID>1C28BCF5</paraID>
      <start>4</start>
      <end>6</end>
      <status>unmodified</status>
      <modifiedWord/>
      <trackRevisions>false</trackRevisions>
    </reviewItem>
    <reviewItem>
      <errorID>ae17f8a6-20de-403e-a09e-591bec3a2449</errorID>
      <errorWord>：；</errorWord>
      <group>L1_Punc</group>
      <groupName>标点问题</groupName>
      <ability>L2_Punc</ability>
      <abilityName>标点符号检查</abilityName>
      <candidateList>
        <item>：</item>
      </candidateList>
      <explain/>
      <paraID>61E5B7D4</paraID>
      <start>2</start>
      <end>4</end>
      <status>unmodified</status>
      <modifiedWord/>
      <trackRevisions>false</trackRevisions>
    </reviewItem>
    <reviewItem>
      <errorID>76bb2412-a8f1-41e9-9e6a-2c691400cb2b</errorID>
      <errorWord>：；</errorWord>
      <group>L1_Punc</group>
      <groupName>标点问题</groupName>
      <ability>L2_Punc</ability>
      <abilityName>标点符号检查</abilityName>
      <candidateList>
        <item>：</item>
      </candidateList>
      <explain/>
      <paraID>44CA1C07</paraID>
      <start>4</start>
      <end>6</end>
      <status>unmodified</status>
      <modifiedWord/>
      <trackRevisions>false</trackRevisions>
    </reviewItem>
    <reviewItem>
      <errorID>294bb9ee-a454-4920-8fe9-aee194c3354b</errorID>
      <errorWord>：；</errorWord>
      <group>L1_Punc</group>
      <groupName>标点问题</groupName>
      <ability>L2_Punc</ability>
      <abilityName>标点符号检查</abilityName>
      <candidateList>
        <item>：</item>
      </candidateList>
      <explain/>
      <paraID>18A2147C</paraID>
      <start>4</start>
      <end>6</end>
      <status>unmodified</status>
      <modifiedWord/>
      <trackRevisions>false</trackRevisions>
    </reviewItem>
    <reviewItem>
      <errorID>ff84ebbd-317d-484e-bea1-90ca6c05034b</errorID>
      <errorWord>：。</errorWord>
      <group>L1_Punc</group>
      <groupName>标点问题</groupName>
      <ability>L2_Punc</ability>
      <abilityName>标点符号检查</abilityName>
      <candidateList>
        <item>：</item>
      </candidateList>
      <explain/>
      <paraID>1CF887A8</paraID>
      <start>4</start>
      <end>6</end>
      <status>unmodified</status>
      <modifiedWord/>
      <trackRevisions>false</trackRevisions>
    </reviewItem>
    <reviewItem>
      <errorID>64283a2f-b840-414f-bf9f-8f9659f8d17a</errorID>
      <errorWord>限</errorWord>
      <group>L1_Word</group>
      <groupName>字词问题</groupName>
      <ability>L2_Typo</ability>
      <abilityName>字词错误</abilityName>
      <candidateList>
        <item>限内</item>
      </candidateList>
      <explain/>
      <paraID>7B9ED75D</paraID>
      <start>324</start>
      <end>327</end>
      <status>modified</status>
      <modifiedWord>限内</modifiedWord>
      <trackRevisions>true</trackRevisions>
    </reviewItem>
    <reviewItem>
      <errorID>3b4e89dd-9fdd-4e81-8add-345a18af4b24</errorID>
      <errorWord>座标</errorWord>
      <group>L1_Word</group>
      <groupName>字词问题</groupName>
      <ability>L2_Typo</ability>
      <abilityName>字词错误</abilityName>
      <candidateList>
        <item>坐标</item>
      </candidateList>
      <explain>〈名〉能够确定一个点在空间的位置的一个或一组数，叫做这个点的坐标。通常由这个点到垂直相交的若干条固定的直线的距离来表示。这些直线叫做坐标轴。坐标轴的数目在平面上为2，在空间里为3。</explain>
      <paraID>303245BB</paraID>
      <start>4</start>
      <end>6</end>
      <status>unmodified</status>
      <modifiedWord/>
      <trackRevisions>false</trackRevisions>
    </reviewItem>
    <reviewItem>
      <errorID>e60c2625-e6a8-4698-9197-6d68d535cd87</errorID>
      <errorWord>：/。</errorWord>
      <group>L1_Punc</group>
      <groupName>标点问题</groupName>
      <ability>L2_Punc</ability>
      <abilityName>标点符号检查</abilityName>
      <candidateList>
        <item>：</item>
      </candidateList>
      <explain/>
      <paraID>781F5DC4</paraID>
      <start>16</start>
      <end>19</end>
      <status>unmodified</status>
      <modifiedWord/>
      <trackRevisions>false</trackRevisions>
    </reviewItem>
    <reviewItem>
      <errorID>994e4db3-ebda-4d91-8757-eeb86a24cbd4</errorID>
      <errorWord>。】</errorWord>
      <group>L1_Punc</group>
      <groupName>标点问题</groupName>
      <ability>L2_Punc</ability>
      <abilityName>标点符号检查</abilityName>
      <candidateList>
        <item>】</item>
      </candidateList>
      <explain/>
      <paraID>665D1200</paraID>
      <start>187</start>
      <end>189</end>
      <status>unmodified</status>
      <modifiedWord/>
      <trackRevisions>false</trackRevisions>
    </reviewItem>
    <reviewItem>
      <errorID>f8c6b5f1-5ff6-41da-a165-18ce5f663885</errorID>
      <errorWord>共同协商</errorWord>
      <group>L1_Word</group>
      <groupName>字词问题</groupName>
      <ability>L2_Typo</ability>
      <abilityName>字词错误</abilityName>
      <candidateList>
        <item>协商</item>
      </candidateList>
      <explain/>
      <paraID>5C46B1B0</paraID>
      <start>58</start>
      <end>62</end>
      <status>unmodified</status>
      <modifiedWord/>
      <trackRevisions>false</trackRevisions>
    </reviewItem>
    <reviewItem>
      <errorID>75307411-2f67-43e4-9139-7b96cb90bf9a</errorID>
      <errorWord>作好</errorWord>
      <group>L1_Word</group>
      <groupName>字词问题</groupName>
      <ability>L2_Typo</ability>
      <abilityName>字词错误</abilityName>
      <candidateList>
        <item>做好</item>
      </candidateList>
      <explain/>
      <paraID>773E9E72</paraID>
      <start>8</start>
      <end>10</end>
      <status>unmodified</status>
      <modifiedWord/>
      <trackRevisions>false</trackRevisions>
    </reviewItem>
    <reviewItem>
      <errorID>5606049e-b19f-4258-a0e2-7f90849979d2</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6495E4E8</paraID>
      <start>0</start>
      <end>3</end>
      <status>unmodified</status>
      <modifiedWord/>
      <trackRevisions>false</trackRevisions>
    </reviewItem>
    <reviewItem>
      <errorID>2782199e-7724-4ff6-8d7e-68c9d7d5740f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657B7F9B</paraID>
      <start>16</start>
      <end>19</end>
      <status>unmodified</status>
      <modifiedWord/>
      <trackRevisions>false</trackRevisions>
    </reviewItem>
    <reviewItem>
      <errorID>60dcdcb2-130b-4e44-842a-b8bce7dba0a3</errorID>
      <errorWord>&lt;</errorWord>
      <group>L1_Format</group>
      <groupName>格式问题</groupName>
      <ability>L2_HalfPunc</ability>
      <abilityName>全半角检查</abilityName>
      <candidateList>
        <item>〈</item>
      </candidateList>
      <explain>文本全半角错误。</explain>
      <paraID>657B7F9B</paraID>
      <start>71</start>
      <end>72</end>
      <status>unmodified</status>
      <modifiedWord/>
      <trackRevisions>false</trackRevisions>
    </reviewItem>
    <reviewItem>
      <errorID>84f7954f-7eec-4702-8c73-27002e106125</errorID>
      <errorWord>&gt;</errorWord>
      <group>L1_Format</group>
      <groupName>格式问题</groupName>
      <ability>L2_HalfPunc</ability>
      <abilityName>全半角检查</abilityName>
      <candidateList>
        <item>〉</item>
      </candidateList>
      <explain>文本全半角错误。</explain>
      <paraID>657B7F9B</paraID>
      <start>93</start>
      <end>94</end>
      <status>unmodified</status>
      <modifiedWord/>
      <trackRevisions>false</trackRevisions>
    </reviewItem>
    <reviewItem>
      <errorID>ca178104-7553-41f4-9242-aef1769bc7d6</errorID>
      <errorWord>：；</errorWord>
      <group>L1_Punc</group>
      <groupName>标点问题</groupName>
      <ability>L2_Punc</ability>
      <abilityName>标点符号检查</abilityName>
      <candidateList>
        <item>：</item>
      </candidateList>
      <explain/>
      <paraID>17F412B5</paraID>
      <start>2</start>
      <end>4</end>
      <status>unmodified</status>
      <modifiedWord/>
      <trackRevisions>false</trackRevisions>
    </reviewItem>
    <reviewItem>
      <errorID>2630bc84-382d-48e8-98b2-02a3f4a268a1</errorID>
      <errorWord>：；</errorWord>
      <group>L1_Punc</group>
      <groupName>标点问题</groupName>
      <ability>L2_Punc</ability>
      <abilityName>标点符号检查</abilityName>
      <candidateList>
        <item>：</item>
      </candidateList>
      <explain/>
      <paraID> 97E616E</paraID>
      <start>4</start>
      <end>6</end>
      <status>unmodified</status>
      <modifiedWord/>
      <trackRevisions>false</trackRevisions>
    </reviewItem>
    <reviewItem>
      <errorID>b2e73c75-88e4-44cb-8d09-0a4426f1ee41</errorID>
      <errorWord>：；</errorWord>
      <group>L1_Punc</group>
      <groupName>标点问题</groupName>
      <ability>L2_Punc</ability>
      <abilityName>标点符号检查</abilityName>
      <candidateList>
        <item>：</item>
      </candidateList>
      <explain/>
      <paraID>506C6ADD</paraID>
      <start>9</start>
      <end>11</end>
      <status>unmodified</status>
      <modifiedWord/>
      <trackRevisions>false</trackRevisions>
    </reviewItem>
    <reviewItem>
      <errorID>22d401ff-fac6-41f5-9333-551305972d9b</errorID>
      <errorWord>：；</errorWord>
      <group>L1_Punc</group>
      <groupName>标点问题</groupName>
      <ability>L2_Punc</ability>
      <abilityName>标点符号检查</abilityName>
      <candidateList>
        <item>：</item>
      </candidateList>
      <explain/>
      <paraID>6A4C7913</paraID>
      <start>8</start>
      <end>10</end>
      <status>unmodified</status>
      <modifiedWord/>
      <trackRevisions>false</trackRevisions>
    </reviewItem>
    <reviewItem>
      <errorID>bfa744da-d78b-468a-a96e-a31f7cacc614</errorID>
      <errorWord>：；</errorWord>
      <group>L1_Punc</group>
      <groupName>标点问题</groupName>
      <ability>L2_Punc</ability>
      <abilityName>标点符号检查</abilityName>
      <candidateList>
        <item>：</item>
      </candidateList>
      <explain/>
      <paraID>12CDB11C</paraID>
      <start>11</start>
      <end>13</end>
      <status>unmodified</status>
      <modifiedWord/>
      <trackRevisions>false</trackRevisions>
    </reviewItem>
    <reviewItem>
      <errorID>40aaee50-ef0e-4bb7-83ba-5dc7fd3f68fe</errorID>
      <errorWord>：；</errorWord>
      <group>L1_Punc</group>
      <groupName>标点问题</groupName>
      <ability>L2_Punc</ability>
      <abilityName>标点符号检查</abilityName>
      <candidateList>
        <item>：</item>
      </candidateList>
      <explain/>
      <paraID>78104587</paraID>
      <start>4</start>
      <end>6</end>
      <status>unmodified</status>
      <modifiedWord/>
      <trackRevisions>false</trackRevisions>
    </reviewItem>
    <reviewItem>
      <errorID>8a5e2590-72a8-4ca4-9577-d25dd75d92cd</errorID>
      <errorWord>：；</errorWord>
      <group>L1_Punc</group>
      <groupName>标点问题</groupName>
      <ability>L2_Punc</ability>
      <abilityName>标点符号检查</abilityName>
      <candidateList>
        <item>：</item>
      </candidateList>
      <explain/>
      <paraID>23483B63</paraID>
      <start>4</start>
      <end>6</end>
      <status>unmodified</status>
      <modifiedWord/>
      <trackRevisions>false</trackRevisions>
    </reviewItem>
    <reviewItem>
      <errorID>55830719-6ff4-4513-b60d-4459641fa461</errorID>
      <errorWord>：；</errorWord>
      <group>L1_Punc</group>
      <groupName>标点问题</groupName>
      <ability>L2_Punc</ability>
      <abilityName>标点符号检查</abilityName>
      <candidateList>
        <item>：</item>
      </candidateList>
      <explain/>
      <paraID>251B1BCF</paraID>
      <start>4</start>
      <end>6</end>
      <status>unmodified</status>
      <modifiedWord/>
      <trackRevisions>false</trackRevisions>
    </reviewItem>
    <reviewItem>
      <errorID>726c986b-6209-4658-b604-cda1c162a365</errorID>
      <errorWord>(</errorWord>
      <group>L1_Format</group>
      <groupName>格式问题</groupName>
      <ability>L2_HalfPunc</ability>
      <abilityName>全半角检查</abilityName>
      <candidateList>
        <item>（</item>
      </candidateList>
      <explain>文本全半角错误。</explain>
      <paraID>448F46FD</paraID>
      <start>92</start>
      <end>93</end>
      <status>unmodified</status>
      <modifiedWord/>
      <trackRevisions>false</trackRevisions>
    </reviewItem>
    <reviewItem>
      <errorID>6a78f59e-8418-4683-9735-cb8b388e4a75</errorID>
      <errorWord>)</errorWord>
      <group>L1_Format</group>
      <groupName>格式问题</groupName>
      <ability>L2_HalfPunc</ability>
      <abilityName>全半角检查</abilityName>
      <candidateList>
        <item>）</item>
      </candidateList>
      <explain>文本全半角错误。</explain>
      <paraID>448F46FD</paraID>
      <start>96</start>
      <end>97</end>
      <status>unmodified</status>
      <modifiedWord/>
      <trackRevisions>false</trackRevisions>
    </reviewItem>
    <reviewItem>
      <errorID>73caa717-1597-4c69-8f9d-d19f4053bc17</errorID>
      <errorWord>人</errorWord>
      <group>L1_Word</group>
      <groupName>字词问题</groupName>
      <ability>L2_Typo</ability>
      <abilityName>字词错误</abilityName>
      <candidateList>
        <item>人在</item>
      </candidateList>
      <explain/>
      <paraID>10204D76</paraID>
      <start>35</start>
      <end>36</end>
      <status>unmodified</status>
      <modifiedWord/>
      <trackRevisions>false</trackRevisions>
    </reviewItem>
    <reviewItem>
      <errorID>bc9f75a7-3d25-43c9-8754-85b0f18a38a7</errorID>
      <errorWord>超过工期一半以上</errorWord>
      <group>L1_Word</group>
      <groupName>字词问题</groupName>
      <ability>L2_Typo</ability>
      <abilityName>字词错误</abilityName>
      <candidateList>
        <item>超过工期一半</item>
      </candidateList>
      <explain/>
      <paraID>10204D76</paraID>
      <start>272</start>
      <end>280</end>
      <status>unmodified</status>
      <modifiedWord/>
      <trackRevisions>false</trackRevisions>
    </reviewItem>
    <reviewItem>
      <errorID>2a17e210-86dd-4df4-9ede-ca76bddcf306</errorID>
      <errorWord>交纳</errorWord>
      <group>L1_Word</group>
      <groupName>字词问题</groupName>
      <ability>L2_Typo</ability>
      <abilityName>字词错误</abilityName>
      <candidateList>
        <item>缴纳</item>
      </candidateList>
      <explain>〈动〉交纳：～税款。</explain>
      <paraID>4248642F</paraID>
      <start>69</start>
      <end>71</end>
      <status>unmodified</status>
      <modifiedWord/>
      <trackRevisions>false</trackRevisions>
    </reviewItem>
    <reviewItem>
      <errorID>650b640a-6cb5-4e05-855e-0007395d7ef4</errorID>
      <errorWord>交纳</errorWord>
      <group>L1_Word</group>
      <groupName>字词问题</groupName>
      <ability>L2_Typo</ability>
      <abilityName>字词错误</abilityName>
      <candidateList>
        <item>缴纳</item>
      </candidateList>
      <explain>〈动〉交纳：～税款。</explain>
      <paraID>3F4D6F07</paraID>
      <start>87</start>
      <end>89</end>
      <status>unmodified</status>
      <modifiedWord/>
      <trackRevisions>false</trackRevisions>
    </reviewItem>
    <reviewItem>
      <errorID>9c275a14-f8b6-4b7a-b2dd-7ec8223b4d8a</errorID>
      <errorWord>：：</errorWord>
      <group>L1_Punc</group>
      <groupName>标点问题</groupName>
      <ability>L2_Punc</ability>
      <abilityName>标点符号检查</abilityName>
      <candidateList>
        <item>：</item>
      </candidateList>
      <explain/>
      <paraID>18A94633</paraID>
      <start>28</start>
      <end>30</end>
      <status>unmodified</status>
      <modifiedWord/>
      <trackRevisions>false</trackRevisions>
    </reviewItem>
    <reviewItem>
      <errorID>bc98fb4b-2d84-40b6-a0b2-dab8225ae9a4</errorID>
      <errorWord>其它</errorWord>
      <group>L1_Word</group>
      <groupName>字词问题</groupName>
      <ability>L2_Alias</ability>
      <abilityName>也作/曾用词</abilityName>
      <candidateList>
        <item>其他</item>
      </candidateList>
      <explain>词汇[其它]为不规范表述或旧称，其规范书面表述为[其他]。</explain>
      <paraID>30F6C029</paraID>
      <start>46</start>
      <end>48</end>
      <status>unmodified</status>
      <modifiedWord/>
      <trackRevisions>false</trackRevisions>
    </reviewItem>
    <reviewItem>
      <errorID>2f66c2b3-1408-4aab-b353-cb9794dfcdfe</errorID>
      <errorWord>其它</errorWord>
      <group>L1_Word</group>
      <groupName>字词问题</groupName>
      <ability>L2_Alias</ability>
      <abilityName>也作/曾用词</abilityName>
      <candidateList>
        <item>其他</item>
      </candidateList>
      <explain>词汇[其它]为不规范表述或旧称，其规范书面表述为[其他]。</explain>
      <paraID>30F6C029</paraID>
      <start>133</start>
      <end>135</end>
      <status>unmodified</status>
      <modifiedWord/>
      <trackRevisions>false</trackRevisions>
    </reviewItem>
    <reviewItem>
      <errorID>ef5ddeac-f923-447c-bce5-15222d4f230c</errorID>
      <errorWord>其它</errorWord>
      <group>L1_Word</group>
      <groupName>字词问题</groupName>
      <ability>L2_Alias</ability>
      <abilityName>也作/曾用词</abilityName>
      <candidateList>
        <item>其他</item>
      </candidateList>
      <explain>词汇[其它]为不规范表述或旧称，其规范书面表述为[其他]。</explain>
      <paraID> 536B020</paraID>
      <start>175</start>
      <end>177</end>
      <status>unmodified</status>
      <modifiedWord/>
      <trackRevisions>false</trackRevisions>
    </reviewItem>
    <reviewItem>
      <errorID>79c9dbfb-afac-422e-b182-95f29c2aa0f5</errorID>
      <errorWord>,</errorWord>
      <group>L1_Format</group>
      <groupName>格式问题</groupName>
      <ability>L2_HalfPunc</ability>
      <abilityName>全半角检查</abilityName>
      <candidateList>
        <item>，</item>
      </candidateList>
      <explain>文本全半角错误。</explain>
      <paraID>1E0F7D31</paraID>
      <start>134</start>
      <end>135</end>
      <status>unmodified</status>
      <modifiedWord/>
      <trackRevisions>false</trackRevisions>
    </reviewItem>
    <reviewItem>
      <errorID>4ccf97c3-400c-451a-a06c-107b4a5bd766</errorID>
      <errorWord>发包人的</errorWord>
      <group>L1_Word</group>
      <groupName>字词问题</groupName>
      <ability>L2_Typo</ability>
      <abilityName>字词错误</abilityName>
      <candidateList>
        <item>发包人</item>
      </candidateList>
      <explain/>
      <paraID>1EFFA24C</paraID>
      <start>12</start>
      <end>16</end>
      <status>unmodified</status>
      <modifiedWord/>
      <trackRevisions>false</trackRevisions>
    </reviewItem>
    <reviewItem>
      <errorID>66602ecd-539c-4b5c-ac63-35112b925d94</errorID>
      <errorWord>(</errorWord>
      <group>L1_Format</group>
      <groupName>格式问题</groupName>
      <ability>L2_HalfPunc</ability>
      <abilityName>全半角检查</abilityName>
      <candidateList>
        <item>（</item>
      </candidateList>
      <explain>文本全半角错误。</explain>
      <paraID>35C776E1</paraID>
      <start>60</start>
      <end>61</end>
      <status>unmodified</status>
      <modifiedWord/>
      <trackRevisions>false</trackRevisions>
    </reviewItem>
    <reviewItem>
      <errorID>df53aaa9-bf08-4e0c-8070-fe1fa7eddc76</errorID>
      <errorWord>)</errorWord>
      <group>L1_Format</group>
      <groupName>格式问题</groupName>
      <ability>L2_HalfPunc</ability>
      <abilityName>全半角检查</abilityName>
      <candidateList>
        <item>）</item>
      </candidateList>
      <explain>文本全半角错误。</explain>
      <paraID>35C776E1</paraID>
      <start>62</start>
      <end>63</end>
      <status>unmodified</status>
      <modifiedWord/>
      <trackRevisions>false</trackRevisions>
    </reviewItem>
    <reviewItem>
      <errorID>0ea85387-0643-4a99-9455-a41cf5ee17dc</errorID>
      <errorWord>挂勾</errorWord>
      <group>L1_Word</group>
      <groupName>字词问题</groupName>
      <ability>L2_Typo</ability>
      <abilityName>字词错误</abilityName>
      <candidateList>
        <item>挂钩</item>
      </candidateList>
      <explain>❶（－∥－）〈动〉用钩把两节车厢连接起来。❷（－∥－）〈动〉比喻建立某种联系：企业直接跟原料产地～｜这两个单位早就挂起钩来了。❸〈名〉用来吊起重物或把车厢等连接起来的钩：吊车～｜火车～。</explain>
      <paraID>4E44ABFF</paraID>
      <start>26</start>
      <end>30</end>
      <status>modified</status>
      <modifiedWord>挂钩</modifiedWord>
      <trackRevisions>true</trackRevisions>
    </reviewItem>
    <reviewItem>
      <errorID>9971862d-c2a9-410a-9079-65c6195adf2d</errorID>
      <errorWord>期限的</errorWord>
      <group>L1_Word</group>
      <groupName>字词问题</groupName>
      <ability>L2_Typo</ability>
      <abilityName>字词错误</abilityName>
      <candidateList>
        <item>期限</item>
      </candidateList>
      <explain/>
      <paraID>72CBE644</paraID>
      <start>16</start>
      <end>19</end>
      <status>unmodified</status>
      <modifiedWord/>
      <trackRevisions>false</trackRevisions>
    </reviewItem>
    <reviewItem>
      <errorID>83d627e3-1388-423a-be1c-c85dede22f74</errorID>
      <errorWord>：；</errorWord>
      <group>L1_Punc</group>
      <groupName>标点问题</groupName>
      <ability>L2_Punc</ability>
      <abilityName>标点符号检查</abilityName>
      <candidateList>
        <item>：</item>
      </candidateList>
      <explain/>
      <paraID>4D2E1E23</paraID>
      <start>2</start>
      <end>4</end>
      <status>unmodified</status>
      <modifiedWord/>
      <trackRevisions>false</trackRevisions>
    </reviewItem>
    <reviewItem>
      <errorID>ac5e81ec-3924-4038-a7b3-ec885e814a3d</errorID>
      <errorWord>：；</errorWord>
      <group>L1_Punc</group>
      <groupName>标点问题</groupName>
      <ability>L2_Punc</ability>
      <abilityName>标点符号检查</abilityName>
      <candidateList>
        <item>：</item>
      </candidateList>
      <explain/>
      <paraID>7D46F675</paraID>
      <start>2</start>
      <end>4</end>
      <status>unmodified</status>
      <modifiedWord/>
      <trackRevisions>false</trackRevisions>
    </reviewItem>
    <reviewItem>
      <errorID>28713541-2b40-4703-b1bf-8a146656b9d7</errorID>
      <errorWord>：；</errorWord>
      <group>L1_Punc</group>
      <groupName>标点问题</groupName>
      <ability>L2_Punc</ability>
      <abilityName>标点符号检查</abilityName>
      <candidateList>
        <item>：</item>
      </candidateList>
      <explain/>
      <paraID>2669ED3A</paraID>
      <start>10</start>
      <end>12</end>
      <status>unmodified</status>
      <modifiedWord/>
      <trackRevisions>false</trackRevisions>
    </reviewItem>
    <reviewItem>
      <errorID>c5a021c8-1851-43a9-bb7b-9ce691eee531</errorID>
      <errorWord>：；</errorWord>
      <group>L1_Punc</group>
      <groupName>标点问题</groupName>
      <ability>L2_Punc</ability>
      <abilityName>标点符号检查</abilityName>
      <candidateList>
        <item>：</item>
      </candidateList>
      <explain/>
      <paraID>48BE9453</paraID>
      <start>4</start>
      <end>6</end>
      <status>unmodified</status>
      <modifiedWord/>
      <trackRevisions>false</trackRevisions>
    </reviewItem>
    <reviewItem>
      <errorID>91787216-fcab-4e39-b459-2c82da10bfba</errorID>
      <errorWord>：；</errorWord>
      <group>L1_Punc</group>
      <groupName>标点问题</groupName>
      <ability>L2_Punc</ability>
      <abilityName>标点符号检查</abilityName>
      <candidateList>
        <item>：</item>
      </candidateList>
      <explain/>
      <paraID>524D0E37</paraID>
      <start>4</start>
      <end>6</end>
      <status>unmodified</status>
      <modifiedWord/>
      <trackRevisions>false</trackRevisions>
    </reviewItem>
    <reviewItem>
      <errorID>8cd6c2ea-e396-4d45-ba92-f6c6947e985a</errorID>
      <errorWord>：；</errorWord>
      <group>L1_Punc</group>
      <groupName>标点问题</groupName>
      <ability>L2_Punc</ability>
      <abilityName>标点符号检查</abilityName>
      <candidateList>
        <item>：</item>
      </candidateList>
      <explain/>
      <paraID>71273A8E</paraID>
      <start>4</start>
      <end>6</end>
      <status>unmodified</status>
      <modifiedWord/>
      <trackRevisions>false</trackRevisions>
    </reviewItem>
    <reviewItem>
      <errorID>14fdecf2-a192-452b-9120-0ac0d599e103</errorID>
      <errorWord>有如</errorWord>
      <group>L1_Word</group>
      <groupName>字词问题</groupName>
      <ability>L2_Typo</ability>
      <abilityName>字词错误</abilityName>
      <candidateList>
        <item>有</item>
      </candidateList>
      <explain>〈书〉同“又”▲：三十～八年。</explain>
      <paraID>503C9345</paraID>
      <start>2</start>
      <end>4</end>
      <status>unmodified</status>
      <modifiedWord/>
      <trackRevisions>false</trackRevisions>
    </reviewItem>
    <reviewItem>
      <errorID>d9f2b5d9-96d1-40a8-a34e-96feab499976</errorID>
      <errorWord>,</errorWord>
      <group>L1_Format</group>
      <groupName>格式问题</groupName>
      <ability>L2_HalfPunc</ability>
      <abilityName>全半角检查</abilityName>
      <candidateList>
        <item>，</item>
      </candidateList>
      <explain>文本全半角错误。</explain>
      <paraID>503C9345</paraID>
      <start>124</start>
      <end>125</end>
      <status>unmodified</status>
      <modifiedWord/>
      <trackRevisions>false</trackRevisions>
    </reviewItem>
    <reviewItem>
      <errorID>0d5b2e2b-23a8-45be-b2dc-9abeb555b4af</errorID>
      <errorWord>（</errorWord>
      <group>L1_Format</group>
      <groupName>格式问题</groupName>
      <ability>L2_HalfPunc</ability>
      <abilityName>全半角检查</abilityName>
      <candidateList>
        <item>(</item>
      </candidateList>
      <explain>文本全半角错误。</explain>
      <paraID>18682D7E</paraID>
      <start>0</start>
      <end>1</end>
      <status>unmodified</status>
      <modifiedWord/>
      <trackRevisions>false</trackRevisions>
    </reviewItem>
    <reviewItem>
      <errorID>50f6e0de-a410-4b62-bdda-42e6c53eb9d7</errorID>
      <errorWord>）；</errorWord>
      <group>L1_Format</group>
      <groupName>格式问题</groupName>
      <ability>L2_HalfPunc</ability>
      <abilityName>全半角检查</abilityName>
      <candidateList>
        <item>);</item>
      </candidateList>
      <explain>文本全半角错误。</explain>
      <paraID>18682D7E</paraID>
      <start>2</start>
      <end>4</end>
      <status>unmodified</status>
      <modifiedWord/>
      <trackRevisions>false</trackRevisions>
    </reviewItem>
    <reviewItem>
      <errorID>56b38d63-9c66-453e-bb42-57099d23bb09</errorID>
      <errorWord>（</errorWord>
      <group>L1_Format</group>
      <groupName>格式问题</groupName>
      <ability>L2_HalfPunc</ability>
      <abilityName>全半角检查</abilityName>
      <candidateList>
        <item>(</item>
      </candidateList>
      <explain>文本全半角错误。</explain>
      <paraID>6FA60912</paraID>
      <start>0</start>
      <end>1</end>
      <status>unmodified</status>
      <modifiedWord/>
      <trackRevisions>false</trackRevisions>
    </reviewItem>
    <reviewItem>
      <errorID>a17a6b41-65c9-4f08-a2ae-588f431007ef</errorID>
      <errorWord>）。</errorWord>
      <group>L1_Format</group>
      <groupName>格式问题</groupName>
      <ability>L2_HalfPunc</ability>
      <abilityName>全半角检查</abilityName>
      <candidateList>
        <item>).</item>
      </candidateList>
      <explain>文本全半角错误。</explain>
      <paraID>6FA60912</paraID>
      <start>2</start>
      <end>4</end>
      <status>unmodified</status>
      <modifiedWord/>
      <trackRevisions>false</trackRevisions>
    </reviewItem>
    <reviewItem>
      <errorID>c50712d0-e311-44ed-9a35-6ef358fcf379</errorID>
      <errorWord>(</errorWord>
      <group>L1_Format</group>
      <groupName>格式问题</groupName>
      <ability>L2_HalfPunc</ability>
      <abilityName>全半角检查</abilityName>
      <candidateList>
        <item>（</item>
      </candidateList>
      <explain>文本全半角错误。</explain>
      <paraID>22050B71</paraID>
      <start>89</start>
      <end>90</end>
      <status>unmodified</status>
      <modifiedWord/>
      <trackRevisions>false</trackRevisions>
    </reviewItem>
    <reviewItem>
      <errorID>f2ceb851-6697-41c4-91e8-d4f8db2f023a</errorID>
      <errorWord>[2014]96号</errorWord>
      <group>L1_Knowledge</group>
      <groupName>知识性问题</groupName>
      <ability>L2_Knowledge</ability>
      <abilityName>其他知识</abilityName>
      <candidateList>
        <item>〔2014〕96号</item>
      </candidateList>
      <explain>发文字号格式错误</explain>
      <paraID>22050B71</paraID>
      <start>93</start>
      <end>102</end>
      <status>unmodified</status>
      <modifiedWord/>
      <trackRevisions>false</trackRevisions>
    </reviewItem>
    <reviewItem>
      <errorID>f4b59dae-f1e1-41c9-bbc8-f1b640b88d2d</errorID>
      <errorWord>)</errorWord>
      <group>L1_Format</group>
      <groupName>格式问题</groupName>
      <ability>L2_HalfPunc</ability>
      <abilityName>全半角检查</abilityName>
      <candidateList>
        <item>）</item>
      </candidateList>
      <explain>文本全半角错误。</explain>
      <paraID>22050B71</paraID>
      <start>102</start>
      <end>103</end>
      <status>unmodified</status>
      <modifiedWord/>
      <trackRevisions>false</trackRevisions>
    </reviewItem>
    <reviewItem>
      <errorID>8348cc2d-90d6-4dcf-86be-2f3634608b47</errorID>
      <errorWord>[2014]155号</errorWord>
      <group>L1_Knowledge</group>
      <groupName>知识性问题</groupName>
      <ability>L2_Knowledge</ability>
      <abilityName>其他知识</abilityName>
      <candidateList>
        <item>〔2014〕155号</item>
      </candidateList>
      <explain>发文字号格式错误</explain>
      <paraID>22050B71</paraID>
      <start>147</start>
      <end>157</end>
      <status>unmodified</status>
      <modifiedWord/>
      <trackRevisions>false</trackRevisions>
    </reviewItem>
    <reviewItem>
      <errorID>05c5a5cc-a73a-4911-adf4-8411057d4165</errorID>
      <errorWord>商订</errorWord>
      <group>L1_Word</group>
      <groupName>字词问题</groupName>
      <ability>L2_Typo</ability>
      <abilityName>字词错误</abilityName>
      <candidateList>
        <item>商定</item>
      </candidateList>
      <explain/>
      <paraID>4AE003CA</paraID>
      <start>123</start>
      <end>125</end>
      <status>unmodified</status>
      <modifiedWord/>
      <trackRevisions>false</trackRevisions>
    </reviewItem>
    <reviewItem>
      <errorID>c9a140d6-192b-4de4-a29d-15f43bc67c0a</errorID>
      <errorWord>循序</errorWord>
      <group>L1_Word</group>
      <groupName>字词问题</groupName>
      <ability>L2_Typo</ability>
      <abilityName>字词错误</abilityName>
      <candidateList>
        <item>顺序</item>
      </candidateList>
      <explain/>
      <paraID>4AE003CA</paraID>
      <start>134</start>
      <end>138</end>
      <status>modified</status>
      <modifiedWord>顺序</modifiedWord>
      <trackRevisions>true</trackRevisions>
    </reviewItem>
    <reviewItem>
      <errorID>b8d40abc-2adf-4e22-a9ac-1088141167e4</errorID>
      <errorWord>：</errorWord>
      <group>L1_Word</group>
      <groupName>字词问题</groupName>
      <ability>L2_Typo</ability>
      <abilityName>字词错误</abilityName>
      <candidateList>
        <item>：由</item>
      </candidateList>
      <explain/>
      <paraID>1A9A3A2F</paraID>
      <start>25</start>
      <end>26</end>
      <status>unmodified</status>
      <modifiedWord/>
      <trackRevisions>false</trackRevisions>
    </reviewItem>
    <reviewItem>
      <errorID>b9df4427-db6d-42d9-aa63-4b8ae40cd0d1</errorID>
      <errorWord>，</errorWord>
      <group>L1_Word</group>
      <groupName>字词问题</groupName>
      <ability>L2_Typo</ability>
      <abilityName>字词错误</abilityName>
      <candidateList>
        <item>，在</item>
      </candidateList>
      <explain/>
      <paraID>1A9A3A2F</paraID>
      <start>85</start>
      <end>86</end>
      <status>unmodified</status>
      <modifiedWord/>
      <trackRevisions>false</trackRevisions>
    </reviewItem>
    <reviewItem>
      <errorID>e8b553c9-067f-42ec-983d-318289802fb5</errorID>
      <errorWord>建设工程安全生产管理条件</errorWord>
      <group>L1_Knowledge</group>
      <groupName>知识性问题</groupName>
      <ability>L2_Knowledge</ability>
      <abilityName>其他知识</abilityName>
      <candidateList>
        <item>建设工程安全生产管理条例</item>
      </candidateList>
      <explain>当前法律法规未收录或尚未生效，注意核查是否正确。</explain>
      <paraID>1A9A3A2F</paraID>
      <start>99</start>
      <end>123</end>
      <status>modified</status>
      <modifiedWord>建设工程安全生产管理条例</modifiedWord>
      <trackRevisions>true</trackRevisions>
    </reviewItem>
    <reviewItem>
      <errorID>87aba766-772c-40a0-a08e-58b7ec5ece8e</errorID>
      <errorWord>[2015]16号</errorWord>
      <group>L1_Knowledge</group>
      <groupName>知识性问题</groupName>
      <ability>L2_Knowledge</ability>
      <abilityName>其他知识</abilityName>
      <candidateList>
        <item>〔2015〕16号</item>
      </candidateList>
      <explain>发文字号格式错误</explain>
      <paraID>1A9A3A2F</paraID>
      <start>210</start>
      <end>219</end>
      <status>unmodified</status>
      <modifiedWord/>
      <trackRevisions>false</trackRevisions>
    </reviewItem>
    <reviewItem>
      <errorID>d1be5b48-0139-413a-a453-b9af58d4da94</errorID>
      <errorWord>.。</errorWord>
      <group>L1_Punc</group>
      <groupName>标点问题</groupName>
      <ability>L2_Punc</ability>
      <abilityName>标点符号检查</abilityName>
      <candidateList>
        <item>.</item>
      </candidateList>
      <explain/>
      <paraID>131BACA1</paraID>
      <start>36</start>
      <end>38</end>
      <status>unmodified</status>
      <modifiedWord/>
      <trackRevisions>false</trackRevisions>
    </reviewItem>
    <reviewItem>
      <errorID>301530d7-05ea-4c0e-bbf2-455c49681b64</errorID>
      <errorWord>大气污染防治法</errorWord>
      <group>L1_Knowledge</group>
      <groupName>知识性问题</groupName>
      <ability>L2_Knowledge</ability>
      <abilityName>其他知识</abilityName>
      <candidateList>
        <item>中华人民共和国大气污染防治法</item>
      </candidateList>
      <explain>当前法律法规名称使用简称，请注意是否应当使用全称。</explain>
      <paraID>352F7F26</paraID>
      <start>19</start>
      <end>40</end>
      <status>modified</status>
      <modifiedWord>中华人民共和国大气污染防治法</modifiedWord>
      <trackRevisions>true</trackRevisions>
    </reviewItem>
    <reviewItem>
      <errorID>5398e60b-ba9c-4592-9e18-0bc0ad40dfc6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352F7F26</paraID>
      <start>105</start>
      <end>108</end>
      <status>unmodified</status>
      <modifiedWord/>
      <trackRevisions>false</trackRevisions>
    </reviewItem>
    <reviewItem>
      <errorID>59aa0420-f5f7-4cad-a35a-7d1088f2cc32</errorID>
      <errorWord>必盖</errorWord>
      <group>L1_Word</group>
      <groupName>字词问题</groupName>
      <ability>L2_Typo</ability>
      <abilityName>字词错误</abilityName>
      <candidateList>
        <item>覆盖</item>
      </candidateList>
      <explain>❶〈动〉遮盖：积雪～着地面。❷〈名〉指地面上的植物，对于土壤有保护作用：没有～，水土容易流失。</explain>
      <paraID>352F7F26</paraID>
      <start>318</start>
      <end>320</end>
      <status>unmodified</status>
      <modifiedWord/>
      <trackRevisions>false</trackRevisions>
    </reviewItem>
    <reviewItem>
      <errorID>5b9728dc-8ced-41d6-a24b-15798ee2d7b4</errorID>
      <errorWord>（</errorWord>
      <group>L1_Punc</group>
      <groupName>标点问题</groupName>
      <ability>L2_Punc</ability>
      <abilityName>标点符号检查</abilityName>
      <candidateList/>
      <explain/>
      <paraID>6A685722</paraID>
      <start>59</start>
      <end>60</end>
      <status>unmodified</status>
      <modifiedWord/>
      <trackRevisions>false</trackRevisions>
    </reviewItem>
    <reviewItem>
      <errorID>62fca1ee-40a2-44b7-b560-c9573bc8626f</errorID>
      <errorWord>&lt;</errorWord>
      <group>L1_Format</group>
      <groupName>格式问题</groupName>
      <ability>L2_HalfPunc</ability>
      <abilityName>全半角检查</abilityName>
      <candidateList>
        <item>〈</item>
      </candidateList>
      <explain>文本全半角错误。</explain>
      <paraID>6A685722</paraID>
      <start>65</start>
      <end>66</end>
      <status>unmodified</status>
      <modifiedWord/>
      <trackRevisions>false</trackRevisions>
    </reviewItem>
    <reviewItem>
      <errorID>d7b37721-088c-4668-99b0-e2200f6b188f</errorID>
      <errorWord>&gt;的通知》</errorWord>
      <group>L1_Punc</group>
      <groupName>标点问题</groupName>
      <ability>L2_Punc</ability>
      <abilityName>标点符号检查</abilityName>
      <candidateList>
        <item>〉的通知》</item>
      </candidateList>
      <explain/>
      <paraID>6A685722</paraID>
      <start>90</start>
      <end>95</end>
      <status>unmodified</status>
      <modifiedWord/>
      <trackRevisions>false</trackRevisions>
    </reviewItem>
    <reviewItem>
      <errorID>b8f8383e-148f-4a01-af39-768493708d4c</errorID>
      <errorWord>(</errorWord>
      <group>L1_Format</group>
      <groupName>格式问题</groupName>
      <ability>L2_HalfPunc</ability>
      <abilityName>全半角检查</abilityName>
      <candidateList>
        <item>（</item>
      </candidateList>
      <explain>文本全半角错误。</explain>
      <paraID>6A685722</paraID>
      <start>95</start>
      <end>96</end>
      <status>unmodified</status>
      <modifiedWord/>
      <trackRevisions>false</trackRevisions>
    </reviewItem>
    <reviewItem>
      <errorID>63a48770-00e9-46e1-9d6a-6683c10da50c</errorID>
      <errorWord>(2013)22号</errorWord>
      <group>L1_Knowledge</group>
      <groupName>知识性问题</groupName>
      <ability>L2_Knowledge</ability>
      <abilityName>其他知识</abilityName>
      <candidateList>
        <item>〔2013〕22号</item>
      </candidateList>
      <explain>发文字号格式错误</explain>
      <paraID>6A685722</paraID>
      <start>100</start>
      <end>109</end>
      <status>unmodified</status>
      <modifiedWord/>
      <trackRevisions>false</trackRevisions>
    </reviewItem>
    <reviewItem>
      <errorID>c22a00ef-e0c1-412b-8bfb-06655649a710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21F2A062</paraID>
      <start>25</start>
      <end>26</end>
      <status>unmodified</status>
      <modifiedWord/>
      <trackRevisions>false</trackRevisions>
    </reviewItem>
    <reviewItem>
      <errorID>ff12b10a-f89b-42d4-90ae-00383f001ea9</errorID>
      <errorWord>施工总</errorWord>
      <group>L1_Word</group>
      <groupName>字词问题</groupName>
      <ability>L2_Typo</ability>
      <abilityName>字词错误</abilityName>
      <candidateList>
        <item>施工</item>
      </candidateList>
      <explain>〈动〉按照设计的规格和要求建筑房屋、桥梁、道路、水利工程等。</explain>
      <paraID>5E23DAC2</paraID>
      <start>291</start>
      <end>294</end>
      <status>unmodified</status>
      <modifiedWord/>
      <trackRevisions>false</trackRevisions>
    </reviewItem>
    <reviewItem>
      <errorID>c9d2b5f2-da33-4f8c-a942-67cec8ff792f</errorID>
      <errorWord>依次累推</errorWord>
      <group>L1_Knowledge</group>
      <groupName>知识性问题</groupName>
      <ability>L2_Idiom</ability>
      <abilityName>成语和诗歌</abilityName>
      <candidateList>
        <item>依次类推</item>
      </candidateList>
      <explain/>
      <paraID>247B5F41</paraID>
      <start>143</start>
      <end>151</end>
      <status>modified</status>
      <modifiedWord>依次类推</modifiedWord>
      <trackRevisions>true</trackRevisions>
    </reviewItem>
    <reviewItem>
      <errorID>2a0c33a7-acc2-4daf-a738-c4280e7f77d5</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247B5F41</paraID>
      <start>430</start>
      <end>432</end>
      <status>unmodified</status>
      <modifiedWord/>
      <trackRevisions>false</trackRevisions>
    </reviewItem>
    <reviewItem>
      <errorID>9cb703ab-c8df-4e93-ae85-49491c9d14d8</errorID>
      <errorWord>是为</errorWord>
      <group>L1_Word</group>
      <groupName>字词问题</groupName>
      <ability>L2_Typo</ability>
      <abilityName>字词错误</abilityName>
      <candidateList>
        <item>视为</item>
      </candidateList>
      <explain/>
      <paraID>2C021522</paraID>
      <start>91</start>
      <end>95</end>
      <status>modified</status>
      <modifiedWord>视为</modifiedWord>
      <trackRevisions>true</trackRevisions>
    </reviewItem>
    <reviewItem>
      <errorID>de66a69d-ea3e-489f-8f05-750e62e4b3e1</errorID>
      <errorWord>赔款费</errorWord>
      <group>L1_Word</group>
      <groupName>字词问题</groupName>
      <ability>L2_Typo</ability>
      <abilityName>字词错误</abilityName>
      <candidateList>
        <item>赔偿费</item>
      </candidateList>
      <explain/>
      <paraID>2A542179</paraID>
      <start>169</start>
      <end>175</end>
      <status>modified</status>
      <modifiedWord>赔偿费</modifiedWord>
      <trackRevisions>true</trackRevisions>
    </reviewItem>
    <reviewItem>
      <errorID>ca5d6d4e-f7e0-42e7-956c-399bff8d3eb7</errorID>
      <errorWord>暂列金额</errorWord>
      <group>L1_Knowledge</group>
      <groupName>知识性问题</groupName>
      <ability>L2_Term</ability>
      <abilityName>专业术语</abilityName>
      <candidateList>
        <item>暂定金额</item>
      </candidateList>
      <explain/>
      <paraID>7894D833</paraID>
      <start>46</start>
      <end>50</end>
      <status>unmodified</status>
      <modifiedWord/>
      <trackRevisions>false</trackRevisions>
    </reviewItem>
    <reviewItem>
      <errorID>6555b054-1835-4d3c-b4fb-9aafdb065e84</errorID>
      <errorWord>会</errorWord>
      <group>L1_Word</group>
      <groupName>字词问题</groupName>
      <ability>L2_Typo</ability>
      <abilityName>字词错误</abilityName>
      <candidateList>
        <item>会和</item>
      </candidateList>
      <explain/>
      <paraID>3862E5DF</paraID>
      <start>11</start>
      <end>12</end>
      <status>unmodified</status>
      <modifiedWord/>
      <trackRevisions>false</trackRevisions>
    </reviewItem>
    <reviewItem>
      <errorID>73ec1199-b78c-4a52-8ddf-c62940c7d9aa</errorID>
      <errorWord>【2016】1号</errorWord>
      <group>L1_Knowledge</group>
      <groupName>知识性问题</groupName>
      <ability>L2_Knowledge</ability>
      <abilityName>其他知识</abilityName>
      <candidateList>
        <item>〔2016〕1号</item>
      </candidateList>
      <explain>发文字号格式错误</explain>
      <paraID>3862E5DF</paraID>
      <start>77</start>
      <end>85</end>
      <status>unmodified</status>
      <modifiedWord/>
      <trackRevisions>false</trackRevisions>
    </reviewItem>
    <reviewItem>
      <errorID>8963769a-35a8-4c5f-ae57-71cc52cc2795</errorID>
      <errorWord>费</errorWord>
      <group>L1_Word</group>
      <groupName>字词问题</groupName>
      <ability>L2_Typo</ability>
      <abilityName>字词错误</abilityName>
      <candidateList>
        <item>费用</item>
      </candidateList>
      <explain/>
      <paraID>1A90FE86</paraID>
      <start>47</start>
      <end>48</end>
      <status>unmodified</status>
      <modifiedWord/>
      <trackRevisions>false</trackRevisions>
    </reviewItem>
    <reviewItem>
      <errorID>9ebbb90f-9fb5-4897-8152-e3b5c9efa9d1</errorID>
      <errorWord>用</errorWord>
      <group>L1_Word</group>
      <groupName>字词问题</groupName>
      <ability>L2_Typo</ability>
      <abilityName>字词错误</abilityName>
      <candidateList>
        <item>用于</item>
      </candidateList>
      <explain/>
      <paraID>278C9BAA</paraID>
      <start>83</start>
      <end>84</end>
      <status>unmodified</status>
      <modifiedWord/>
      <trackRevisions>false</trackRevisions>
    </reviewItem>
    <reviewItem>
      <errorID>208b3679-98e5-4ba2-8d65-cd27c10336a1</errorID>
      <errorWord>广西壮族自治区建设工程质量检测管理规定</errorWord>
      <group>L1_Knowledge</group>
      <groupName>知识性问题</groupName>
      <ability>L2_Knowledge</ability>
      <abilityName>其他知识</abilityName>
      <candidateList/>
      <explain>当前法律法规未收录或尚未生效，注意核查是否正确。</explain>
      <paraID>7C9DE1E0</paraID>
      <start>30</start>
      <end>49</end>
      <status>unmodified</status>
      <modifiedWord/>
      <trackRevisions>false</trackRevisions>
    </reviewItem>
    <reviewItem>
      <errorID>d1ccc128-92bd-4745-bb23-2e1065070140</errorID>
      <errorWord>变更的</errorWord>
      <group>L1_Word</group>
      <groupName>字词问题</groupName>
      <ability>L2_Typo</ability>
      <abilityName>字词错误</abilityName>
      <candidateList>
        <item>变更</item>
      </candidateList>
      <explain>〈动〉改变；变动：～原定赛程｜修订版的内容有些～。</explain>
      <paraID>6BD3E856</paraID>
      <start>2</start>
      <end>5</end>
      <status>unmodified</status>
      <modifiedWord/>
      <trackRevisions>false</trackRevisions>
    </reviewItem>
    <reviewItem>
      <errorID>7e2dd7d4-f355-4b62-9fd4-ccc26656aed2</errorID>
      <errorWord>(</errorWord>
      <group>L1_Format</group>
      <groupName>格式问题</groupName>
      <ability>L2_HalfPunc</ability>
      <abilityName>全半角检查</abilityName>
      <candidateList>
        <item>（</item>
      </candidateList>
      <explain>文本全半角错误。</explain>
      <paraID>15DB0EAF</paraID>
      <start>0</start>
      <end>1</end>
      <status>unmodified</status>
      <modifiedWord/>
      <trackRevisions>false</trackRevisions>
    </reviewItem>
    <reviewItem>
      <errorID>e7d8065e-437b-4f87-9073-615d4487bfbe</errorID>
      <errorWord>提交的</errorWord>
      <group>L1_Word</group>
      <groupName>字词问题</groupName>
      <ability>L2_Typo</ability>
      <abilityName>字词错误</abilityName>
      <candidateList>
        <item>提交</item>
      </candidateList>
      <explain/>
      <paraID>15DB0EAF</paraID>
      <start>145</start>
      <end>148</end>
      <status>unmodified</status>
      <modifiedWord/>
      <trackRevisions>false</trackRevisions>
    </reviewItem>
    <reviewItem>
      <errorID>67bce2d6-8c89-4161-a255-6c2be9237ac1</errorID>
      <errorWord>(</errorWord>
      <group>L1_Format</group>
      <groupName>格式问题</groupName>
      <ability>L2_HalfPunc</ability>
      <abilityName>全半角检查</abilityName>
      <candidateList>
        <item>（</item>
      </candidateList>
      <explain>文本全半角错误。</explain>
      <paraID> FCF08BF</paraID>
      <start>0</start>
      <end>1</end>
      <status>unmodified</status>
      <modifiedWord/>
      <trackRevisions>false</trackRevisions>
    </reviewItem>
    <reviewItem>
      <errorID>5cb5ddb5-e2ae-4dcb-a3b0-d87ff45b713a</errorID>
      <errorWord>(</errorWord>
      <group>L1_Format</group>
      <groupName>格式问题</groupName>
      <ability>L2_HalfPunc</ability>
      <abilityName>全半角检查</abilityName>
      <candidateList>
        <item>（</item>
      </candidateList>
      <explain>文本全半角错误。</explain>
      <paraID>148F5192</paraID>
      <start>0</start>
      <end>1</end>
      <status>unmodified</status>
      <modifiedWord/>
      <trackRevisions>false</trackRevisions>
    </reviewItem>
    <reviewItem>
      <errorID>0774d0bc-0e2f-4ff6-a9d4-80dabcb12d9a</errorID>
      <errorWord>(</errorWord>
      <group>L1_Format</group>
      <groupName>格式问题</groupName>
      <ability>L2_HalfPunc</ability>
      <abilityName>全半角检查</abilityName>
      <candidateList>
        <item>（</item>
      </candidateList>
      <explain>文本全半角错误。</explain>
      <paraID>5938FAC5</paraID>
      <start>0</start>
      <end>1</end>
      <status>unmodified</status>
      <modifiedWord/>
      <trackRevisions>false</trackRevisions>
    </reviewItem>
    <reviewItem>
      <errorID>370b786d-3e57-4379-aea5-bfb59935cbd9</errorID>
      <errorWord>(</errorWord>
      <group>L1_Format</group>
      <groupName>格式问题</groupName>
      <ability>L2_HalfPunc</ability>
      <abilityName>全半角检查</abilityName>
      <candidateList>
        <item>（</item>
      </candidateList>
      <explain>文本全半角错误。</explain>
      <paraID>6A6FF75A</paraID>
      <start>0</start>
      <end>1</end>
      <status>unmodified</status>
      <modifiedWord/>
      <trackRevisions>false</trackRevisions>
    </reviewItem>
    <reviewItem>
      <errorID>9ac94598-db99-40bb-b626-f7adee06ac19</errorID>
      <errorWord>(</errorWord>
      <group>L1_Format</group>
      <groupName>格式问题</groupName>
      <ability>L2_HalfPunc</ability>
      <abilityName>全半角检查</abilityName>
      <candidateList>
        <item>（</item>
      </candidateList>
      <explain>文本全半角错误。</explain>
      <paraID>64713101</paraID>
      <start>0</start>
      <end>1</end>
      <status>unmodified</status>
      <modifiedWord/>
      <trackRevisions>false</trackRevisions>
    </reviewItem>
    <reviewItem>
      <errorID>a06660aa-359a-443e-b234-e567ddd5398a</errorID>
      <errorWord>及其</errorWord>
      <group>L1_Word</group>
      <groupName>字词问题</groupName>
      <ability>L2_Typo</ability>
      <abilityName>字词错误</abilityName>
      <candidateList>
        <item>及</item>
      </candidateList>
      <explain>〈连〉连接并列的名词或名词性词组：图书、仪器、标本～其他。注意用“及”连接的成分多在意义上有主次之分，主要的成分放在“及”的前面。</explain>
      <paraID>64713101</paraID>
      <start>31</start>
      <end>33</end>
      <status>unmodified</status>
      <modifiedWord/>
      <trackRevisions>false</trackRevisions>
    </reviewItem>
    <reviewItem>
      <errorID>0a887e74-a7c2-43a7-9799-00c7064d779b</errorID>
      <errorWord>[2004]3号</errorWord>
      <group>L1_Knowledge</group>
      <groupName>知识性问题</groupName>
      <ability>L2_Knowledge</ability>
      <abilityName>其他知识</abilityName>
      <candidateList>
        <item>〔2004〕3号</item>
      </candidateList>
      <explain>发文字号格式错误</explain>
      <paraID>5A4A3084</paraID>
      <start>47</start>
      <end>55</end>
      <status>unmodified</status>
      <modifiedWord/>
      <trackRevisions>false</trackRevisions>
    </reviewItem>
    <reviewItem>
      <errorID>35b25ae7-78c2-4d13-bb49-9832031905bf</errorID>
      <errorWord>[2007]66号</errorWord>
      <group>L1_Knowledge</group>
      <groupName>知识性问题</groupName>
      <ability>L2_Knowledge</ability>
      <abilityName>其他知识</abilityName>
      <candidateList>
        <item>〔2007〕66号</item>
      </candidateList>
      <explain>发文字号格式错误</explain>
      <paraID>5A4A3084</paraID>
      <start>81</start>
      <end>90</end>
      <status>unmodified</status>
      <modifiedWord/>
      <trackRevisions>false</trackRevisions>
    </reviewItem>
    <reviewItem>
      <errorID>262a0361-50fa-4e24-a87c-df89eaf9800a</errorID>
      <errorWord>资料送</errorWord>
      <group>L1_Word</group>
      <groupName>字词问题</groupName>
      <ability>L2_Typo</ability>
      <abilityName>字词错误</abilityName>
      <candidateList>
        <item>资料</item>
      </candidateList>
      <explain>〈名〉❶生产、生活中必需的东西：生产～｜生活～。❷用作参考或依据的材料：收集～｜参考～｜统计～｜谈笑的～。</explain>
      <paraID>6B34306F</paraID>
      <start>55</start>
      <end>58</end>
      <status>unmodified</status>
      <modifiedWord/>
      <trackRevisions>false</trackRevisions>
    </reviewItem>
    <reviewItem>
      <errorID>615ec79b-8965-47da-b55e-2a3962d21d19</errorID>
      <errorWord>，</errorWord>
      <group>L1_Word</group>
      <groupName>字词问题</groupName>
      <ability>L2_Typo</ability>
      <abilityName>字词错误</abilityName>
      <candidateList>
        <item>，以</item>
      </candidateList>
      <explain/>
      <paraID> F582F5F</paraID>
      <start>137</start>
      <end>138</end>
      <status>unmodified</status>
      <modifiedWord/>
      <trackRevisions>false</trackRevisions>
    </reviewItem>
    <reviewItem>
      <errorID>83a05fb4-0cc8-4477-a104-b97b211dfdb2</errorID>
      <errorWord>财厅</errorWord>
      <group>L1_Knowledge</group>
      <groupName>知识性问题</groupName>
      <ability>L2_Knowledge</ability>
      <abilityName>其他知识</abilityName>
      <candidateList>
        <item>财政厅</item>
      </candidateList>
      <explain/>
      <paraID> F582F5F</paraID>
      <start>143</start>
      <end>145</end>
      <status>unmodified</status>
      <modifiedWord/>
      <trackRevisions>false</trackRevisions>
    </reviewItem>
    <reviewItem>
      <errorID>fa22e2d0-ec12-458f-877d-b401f049335c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53A4D083</paraID>
      <start>0</start>
      <end>2</end>
      <status>unmodified</status>
      <modifiedWord/>
      <trackRevisions>false</trackRevisions>
    </reviewItem>
    <reviewItem>
      <errorID>e9d598f0-6b54-4ab8-b9eb-972f9a9f5866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74E0208E</paraID>
      <start>0</start>
      <end>2</end>
      <status>unmodified</status>
      <modifiedWord/>
      <trackRevisions>false</trackRevisions>
    </reviewItem>
    <reviewItem>
      <errorID>eb049920-e74e-489f-9e0f-ae719b123f0f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554DE829</paraID>
      <start>0</start>
      <end>2</end>
      <status>unmodified</status>
      <modifiedWord/>
      <trackRevisions>false</trackRevisions>
    </reviewItem>
    <reviewItem>
      <errorID>783e09a6-98e0-4203-afc6-b591621d6e01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28D06169</paraID>
      <start>0</start>
      <end>2</end>
      <status>unmodified</status>
      <modifiedWord/>
      <trackRevisions>false</trackRevisions>
    </reviewItem>
    <reviewItem>
      <errorID>6830e9b1-aa15-4a93-9ece-689aeb7098d8</errorID>
      <errorWord>涉及到</errorWord>
      <group>L1_Word</group>
      <groupName>字词问题</groupName>
      <ability>L2_Typo</ability>
      <abilityName>字词错误</abilityName>
      <candidateList>
        <item>涉及</item>
      </candidateList>
      <explain>〈动〉牵涉到；关联到：案子～好几个人｜这个问题～面很广。</explain>
      <paraID>28D06169</paraID>
      <start>2</start>
      <end>5</end>
      <status>unmodified</status>
      <modifiedWord/>
      <trackRevisions>false</trackRevisions>
    </reviewItem>
    <reviewItem>
      <errorID>25e42c14-b8bb-4a2b-9813-d0859caa2b21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5D35BDED</paraID>
      <start>0</start>
      <end>2</end>
      <status>unmodified</status>
      <modifiedWord/>
      <trackRevisions>false</trackRevisions>
    </reviewItem>
    <reviewItem>
      <errorID>6b453cfa-a0e8-4397-89c6-7260bea1b959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71C4238E</paraID>
      <start>0</start>
      <end>2</end>
      <status>unmodified</status>
      <modifiedWord/>
      <trackRevisions>false</trackRevisions>
    </reviewItem>
    <reviewItem>
      <errorID>d3bb873e-5b4e-416f-b5ea-0a4fcee845f4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C950576</paraID>
      <start>0</start>
      <end>2</end>
      <status>unmodified</status>
      <modifiedWord/>
      <trackRevisions>false</trackRevisions>
    </reviewItem>
    <reviewItem>
      <errorID>71a77bd5-16cf-4dfa-a2e8-2df25f70c860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4BFF318B</paraID>
      <start>0</start>
      <end>2</end>
      <status>unmodified</status>
      <modifiedWord/>
      <trackRevisions>false</trackRevisions>
    </reviewItem>
    <reviewItem>
      <errorID>2ee702f6-08a4-488d-be0e-9a64042fa3de</errorID>
      <errorWord>/。</errorWord>
      <group>L1_Punc</group>
      <groupName>标点问题</groupName>
      <ability>L2_Punc</ability>
      <abilityName>标点符号检查</abilityName>
      <candidateList>
        <item>/</item>
      </candidateList>
      <explain/>
      <paraID>181C8BBF</paraID>
      <start>16</start>
      <end>18</end>
      <status>unmodified</status>
      <modifiedWord/>
      <trackRevisions>false</trackRevisions>
    </reviewItem>
    <reviewItem>
      <errorID>b705f0e1-5a9a-4026-a1fd-de6f3aef4352</errorID>
      <errorWord>:</errorWord>
      <group>L1_Format</group>
      <groupName>格式问题</groupName>
      <ability>L2_HalfPunc</ability>
      <abilityName>全半角检查</abilityName>
      <candidateList>
        <item>：</item>
      </candidateList>
      <explain>文本全半角错误。</explain>
      <paraID>114170B0</paraID>
      <start>9</start>
      <end>10</end>
      <status>unmodified</status>
      <modifiedWord/>
      <trackRevisions>false</trackRevisions>
    </reviewItem>
    <reviewItem>
      <errorID>1cb46ca4-78f3-49b2-9bb7-fed483efcb70</errorID>
      <errorWord>日</errorWord>
      <group>L1_Word</group>
      <groupName>字词问题</groupName>
      <ability>L2_Typo</ability>
      <abilityName>字词错误</abilityName>
      <candidateList>
        <item>日内</item>
      </candidateList>
      <explain/>
      <paraID>45BEC39F</paraID>
      <start>38</start>
      <end>39</end>
      <status>unmodified</status>
      <modifiedWord/>
      <trackRevisions>false</trackRevisions>
    </reviewItem>
    <reviewItem>
      <errorID>954d57f1-cccc-4cc4-ad7c-51699d06dd6e</errorID>
      <errorWord>：；</errorWord>
      <group>L1_Punc</group>
      <groupName>标点问题</groupName>
      <ability>L2_Punc</ability>
      <abilityName>标点符号检查</abilityName>
      <candidateList>
        <item>：</item>
      </candidateList>
      <explain/>
      <paraID>280F3E7A</paraID>
      <start>31</start>
      <end>33</end>
      <status>unmodified</status>
      <modifiedWord/>
      <trackRevisions>false</trackRevisions>
    </reviewItem>
    <reviewItem>
      <errorID>fc61bd4a-7d46-4fbf-86ed-5cb3b8cc4ab4</errorID>
      <errorWord>,</errorWord>
      <group>L1_Format</group>
      <groupName>格式问题</groupName>
      <ability>L2_HalfPunc</ability>
      <abilityName>全半角检查</abilityName>
      <candidateList>
        <item>，</item>
      </candidateList>
      <explain>文本全半角错误。</explain>
      <paraID> 7D924DA</paraID>
      <start>57</start>
      <end>58</end>
      <status>unmodified</status>
      <modifiedWord/>
      <trackRevisions>false</trackRevisions>
    </reviewItem>
    <reviewItem>
      <errorID>1edcff25-cc95-491b-aac5-a0f947e956ab</errorID>
      <errorWord>住房城乡建设厅</errorWord>
      <group>L1_Political</group>
      <groupName>政治性问题</groupName>
      <ability>L2_Keyword</ability>
      <abilityName>固定表述</abilityName>
      <candidateList>
        <item>住房和城乡建设厅</item>
      </candidateList>
      <explain>词汇“住房和城乡建设厅”在特定场景下为固定表述形式，请确认此处的“住房城乡建设厅”是否存在不当。</explain>
      <paraID>5EC06878</paraID>
      <start>11</start>
      <end>26</end>
      <status>modified</status>
      <modifiedWord>住房和城乡建设厅</modifiedWord>
      <trackRevisions>true</trackRevisions>
    </reviewItem>
    <reviewItem>
      <errorID>95dfdb4a-27dc-475c-8686-a286a69200bb</errorID>
      <errorWord>价格价格</errorWord>
      <group>L1_Word</group>
      <groupName>字词问题</groupName>
      <ability>L2_Typo</ability>
      <abilityName>字词错误</abilityName>
      <candidateList>
        <item>价格</item>
      </candidateList>
      <explain/>
      <paraID>1674BEA1</paraID>
      <start>6</start>
      <end>10</end>
      <status>unmodified</status>
      <modifiedWord/>
      <trackRevisions>false</trackRevisions>
    </reviewItem>
    <reviewItem>
      <errorID>8a10e3f4-ca38-4ad2-b896-558a65986d86</errorID>
      <errorWord>其它</errorWord>
      <group>L1_Word</group>
      <groupName>字词问题</groupName>
      <ability>L2_Alias</ability>
      <abilityName>也作/曾用词</abilityName>
      <candidateList>
        <item>其他</item>
      </candidateList>
      <explain>词汇[其它]为不规范表述或旧称，其规范书面表述为[其他]。</explain>
      <paraID> 4495998</paraID>
      <start>1</start>
      <end>3</end>
      <status>unmodified</status>
      <modifiedWord/>
      <trackRevisions>false</trackRevisions>
    </reviewItem>
    <reviewItem>
      <errorID>031480a2-451a-43b3-bef2-495f613d8076</errorID>
      <errorWord>(</errorWord>
      <group>L1_Format</group>
      <groupName>格式问题</groupName>
      <ability>L2_HalfPunc</ability>
      <abilityName>全半角检查</abilityName>
      <candidateList>
        <item>（</item>
      </candidateList>
      <explain>文本全半角错误。</explain>
      <paraID> 4495998</paraID>
      <start>15</start>
      <end>16</end>
      <status>unmodified</status>
      <modifiedWord/>
      <trackRevisions>false</trackRevisions>
    </reviewItem>
    <reviewItem>
      <errorID>ae7e6c35-7570-4054-b9b6-51c380bfb571</errorID>
      <errorWord>)</errorWord>
      <group>L1_Format</group>
      <groupName>格式问题</groupName>
      <ability>L2_HalfPunc</ability>
      <abilityName>全半角检查</abilityName>
      <candidateList>
        <item>）</item>
      </candidateList>
      <explain>文本全半角错误。</explain>
      <paraID> 4495998</paraID>
      <start>28</start>
      <end>29</end>
      <status>unmodified</status>
      <modifiedWord/>
      <trackRevisions>false</trackRevisions>
    </reviewItem>
    <reviewItem>
      <errorID>dc9952fd-c0b9-4cb3-a40a-eeb64b4c1624</errorID>
      <errorWord>-</errorWord>
      <group>L1_Format</group>
      <groupName>格式问题</groupName>
      <ability>L2_HalfPunc</ability>
      <abilityName>全半角检查</abilityName>
      <candidateList>
        <item>－</item>
      </candidateList>
      <explain>文本全半角错误。</explain>
      <paraID> 4495998</paraID>
      <start>42</start>
      <end>43</end>
      <status>unmodified</status>
      <modifiedWord/>
      <trackRevisions>false</trackRevisions>
    </reviewItem>
    <reviewItem>
      <errorID>d2d0bdbd-1dfb-4ca0-9560-da5ce5cc5ba6</errorID>
      <errorWord>》</errorWord>
      <group>L1_Word</group>
      <groupName>字词问题</groupName>
      <ability>L2_Typo</ability>
      <abilityName>字词错误</abilityName>
      <candidateList>
        <item>》等</item>
      </candidateList>
      <explain/>
      <paraID> 4495998</paraID>
      <start>89</start>
      <end>90</end>
      <status>unmodified</status>
      <modifiedWord/>
      <trackRevisions>false</trackRevisions>
    </reviewItem>
    <reviewItem>
      <errorID>318f10d5-3c53-4e0d-81e3-14e47d1fc260</errorID>
      <errorWord>住房城乡建设厅</errorWord>
      <group>L1_Political</group>
      <groupName>政治性问题</groupName>
      <ability>L2_Keyword</ability>
      <abilityName>固定表述</abilityName>
      <candidateList>
        <item>住房和城乡建设厅</item>
      </candidateList>
      <explain>词汇“住房和城乡建设厅”在特定场景下为固定表述形式，请确认此处的“住房城乡建设厅”是否存在不当。</explain>
      <paraID>479017AC</paraID>
      <start>11</start>
      <end>26</end>
      <status>modified</status>
      <modifiedWord>住房和城乡建设厅</modifiedWord>
      <trackRevisions>true</trackRevisions>
    </reviewItem>
    <reviewItem>
      <errorID>758c07d3-3a95-4e8e-89b2-72decc96b49a</errorID>
      <errorWord>其它</errorWord>
      <group>L1_Word</group>
      <groupName>字词问题</groupName>
      <ability>L2_Alias</ability>
      <abilityName>也作/曾用词</abilityName>
      <candidateList>
        <item>其他</item>
      </candidateList>
      <explain>词汇[其它]为不规范表述或旧称，其规范书面表述为[其他]。</explain>
      <paraID>6CAB4015</paraID>
      <start>13</start>
      <end>16</end>
      <status>unmodified</status>
      <modifiedWord/>
      <trackRevisions>false</trackRevisions>
    </reviewItem>
    <reviewItem>
      <errorID>e499a483-5cef-4a55-abd3-cedc028cb83f</errorID>
      <errorWord>：。</errorWord>
      <group>L1_Punc</group>
      <groupName>标点问题</groupName>
      <ability>L2_Punc</ability>
      <abilityName>标点符号检查</abilityName>
      <candidateList>
        <item>：</item>
      </candidateList>
      <explain/>
      <paraID>6CAB4015</paraID>
      <start>16</start>
      <end>18</end>
      <status>unmodified</status>
      <modifiedWord/>
      <trackRevisions>false</trackRevisions>
    </reviewItem>
    <reviewItem>
      <errorID>c4c3a058-23e6-45d4-9043-afdbb611660e</errorID>
      <errorWord>：。</errorWord>
      <group>L1_Punc</group>
      <groupName>标点问题</groupName>
      <ability>L2_Punc</ability>
      <abilityName>标点符号检查</abilityName>
      <candidateList>
        <item>：</item>
      </candidateList>
      <explain/>
      <paraID>  C658F3</paraID>
      <start>9</start>
      <end>11</end>
      <status>unmodified</status>
      <modifiedWord/>
      <trackRevisions>false</trackRevisions>
    </reviewItem>
    <reviewItem>
      <errorID>3fdbc497-2091-4696-86f1-904f0087dffc</errorID>
      <errorWord>，</errorWord>
      <group>L1_Word</group>
      <groupName>字词问题</groupName>
      <ability>L2_Typo</ability>
      <abilityName>字词错误</abilityName>
      <candidateList>
        <item>，在</item>
      </candidateList>
      <explain/>
      <paraID>451ACAB5</paraID>
      <start>24</start>
      <end>25</end>
      <status>unmodified</status>
      <modifiedWord/>
      <trackRevisions>false</trackRevisions>
    </reviewItem>
    <reviewItem>
      <errorID>4c9baadc-2e46-475c-a26f-1b28708c5720</errorID>
      <errorWord>和</errorWord>
      <group>L1_Word</group>
      <groupName>字词问题</groupName>
      <ability>L2_Typo</ability>
      <abilityName>字词错误</abilityName>
      <candidateList>
        <item>和具</item>
      </candidateList>
      <explain/>
      <paraID>41D91DDD</paraID>
      <start>168</start>
      <end>169</end>
      <status>unmodified</status>
      <modifiedWord/>
      <trackRevisions>false</trackRevisions>
    </reviewItem>
    <reviewItem>
      <errorID>4363762a-24d4-487b-9f8f-e39350694464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76D6027A</paraID>
      <start>0</start>
      <end>3</end>
      <status>unmodified</status>
      <modifiedWord/>
      <trackRevisions>false</trackRevisions>
    </reviewItem>
    <reviewItem>
      <errorID>95684399-fc05-488c-8191-b1b6f4efee8f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B29E7ED</paraID>
      <start>0</start>
      <end>3</end>
      <status>unmodified</status>
      <modifiedWord/>
      <trackRevisions>false</trackRevisions>
    </reviewItem>
    <reviewItem>
      <errorID>b423a854-0d49-4e3d-a262-a05ea775fc91</errorID>
      <errorWord>适时地</errorWord>
      <group>L1_Word</group>
      <groupName>字词问题</groupName>
      <ability>L2_Typo</ability>
      <abilityName>字词错误</abilityName>
      <candidateList>
        <item>适时</item>
      </candidateList>
      <explain/>
      <paraID> B29E7ED</paraID>
      <start>78</start>
      <end>81</end>
      <status>unmodified</status>
      <modifiedWord/>
      <trackRevisions>false</trackRevisions>
    </reviewItem>
    <reviewItem>
      <errorID>0240c4c4-98e8-49e6-83e9-26f2f8c4163b</errorID>
      <errorWord>签</errorWord>
      <group>L1_Word</group>
      <groupName>字词问题</groupName>
      <ability>L2_Typo</ability>
      <abilityName>字词错误</abilityName>
      <candidateList>
        <item>签订</item>
      </candidateList>
      <explain>〈动〉订立条约或合同并签字：两国～了贸易议定书和支付协定。</explain>
      <paraID>32029EE7</paraID>
      <start>35</start>
      <end>36</end>
      <status>unmodified</status>
      <modifiedWord/>
      <trackRevisions>false</trackRevisions>
    </reviewItem>
    <reviewItem>
      <errorID>767c1be4-eace-4efa-9f83-d3abb63a9340</errorID>
      <errorWord>：。</errorWord>
      <group>L1_Punc</group>
      <groupName>标点问题</groupName>
      <ability>L2_Punc</ability>
      <abilityName>标点符号检查</abilityName>
      <candidateList>
        <item>：</item>
      </candidateList>
      <explain/>
      <paraID>1759A01B</paraID>
      <start>14</start>
      <end>16</end>
      <status>unmodified</status>
      <modifiedWord/>
      <trackRevisions>false</trackRevisions>
    </reviewItem>
    <reviewItem>
      <errorID>9f967316-59aa-4c50-b884-3ac004421d20</errorID>
      <errorWord>：/。</errorWord>
      <group>L1_Punc</group>
      <groupName>标点问题</groupName>
      <ability>L2_Punc</ability>
      <abilityName>标点符号检查</abilityName>
      <candidateList>
        <item>：</item>
      </candidateList>
      <explain/>
      <paraID>242C68FD</paraID>
      <start>19</start>
      <end>22</end>
      <status>unmodified</status>
      <modifiedWord/>
      <trackRevisions>false</trackRevisions>
    </reviewItem>
    <reviewItem>
      <errorID>531e6081-8749-4e27-8676-d2a6c2880f92</errorID>
      <errorWord>：。</errorWord>
      <group>L1_Punc</group>
      <groupName>标点问题</groupName>
      <ability>L2_Punc</ability>
      <abilityName>标点符号检查</abilityName>
      <candidateList>
        <item>：</item>
      </candidateList>
      <explain/>
      <paraID>56C47F76</paraID>
      <start>23</start>
      <end>25</end>
      <status>unmodified</status>
      <modifiedWord/>
      <trackRevisions>false</trackRevisions>
    </reviewItem>
    <reviewItem>
      <errorID>34aa933f-a96c-4e8b-8564-593a4e87c603</errorID>
      <errorWord>分分</errorWord>
      <group>L1_Word</group>
      <groupName>字词问题</groupName>
      <ability>L2_Typo</ability>
      <abilityName>字词错误</abilityName>
      <candidateList>
        <item>分</item>
      </candidateList>
      <explain/>
      <paraID>57819375</paraID>
      <start>25</start>
      <end>27</end>
      <status>unmodified</status>
      <modifiedWord/>
      <trackRevisions>false</trackRevisions>
    </reviewItem>
    <reviewItem>
      <errorID>9317471c-35d6-41c3-b87e-d7f0c198cd22</errorID>
      <errorWord>，</errorWord>
      <group>L1_Word</group>
      <groupName>字词问题</groupName>
      <ability>L2_Typo</ability>
      <abilityName>字词错误</abilityName>
      <candidateList>
        <item>，由</item>
      </candidateList>
      <explain/>
      <paraID>57819375</paraID>
      <start>47</start>
      <end>48</end>
      <status>unmodified</status>
      <modifiedWord/>
      <trackRevisions>false</trackRevisions>
    </reviewItem>
    <reviewItem>
      <errorID>999ae3b9-260d-48a4-86ee-48bbe0b6231f</errorID>
      <errorWord>(</errorWord>
      <group>L1_Format</group>
      <groupName>格式问题</groupName>
      <ability>L2_HalfPunc</ability>
      <abilityName>全半角检查</abilityName>
      <candidateList>
        <item>（</item>
      </candidateList>
      <explain>文本全半角错误。</explain>
      <paraID>64EF3103</paraID>
      <start>38</start>
      <end>39</end>
      <status>unmodified</status>
      <modifiedWord/>
      <trackRevisions>false</trackRevisions>
    </reviewItem>
    <reviewItem>
      <errorID>cbd0cc5e-6038-43ca-be8a-264de209dff3</errorID>
      <errorWord>)</errorWord>
      <group>L1_Format</group>
      <groupName>格式问题</groupName>
      <ability>L2_HalfPunc</ability>
      <abilityName>全半角检查</abilityName>
      <candidateList>
        <item>）</item>
      </candidateList>
      <explain>文本全半角错误。</explain>
      <paraID>64EF3103</paraID>
      <start>40</start>
      <end>41</end>
      <status>unmodified</status>
      <modifiedWord/>
      <trackRevisions>false</trackRevisions>
    </reviewItem>
    <reviewItem>
      <errorID>11ec7080-ccae-4207-9b6c-1982be988e8c</errorID>
      <errorWord>(</errorWord>
      <group>L1_Format</group>
      <groupName>格式问题</groupName>
      <ability>L2_HalfPunc</ability>
      <abilityName>全半角检查</abilityName>
      <candidateList>
        <item>（</item>
      </candidateList>
      <explain>文本全半角错误。</explain>
      <paraID>64EF3103</paraID>
      <start>109</start>
      <end>110</end>
      <status>unmodified</status>
      <modifiedWord/>
      <trackRevisions>false</trackRevisions>
    </reviewItem>
    <reviewItem>
      <errorID>8239a7f5-244b-4ee9-b5b5-97deb9af3ebc</errorID>
      <errorWord>)</errorWord>
      <group>L1_Format</group>
      <groupName>格式问题</groupName>
      <ability>L2_HalfPunc</ability>
      <abilityName>全半角检查</abilityName>
      <candidateList>
        <item>）</item>
      </candidateList>
      <explain>文本全半角错误。</explain>
      <paraID>64EF3103</paraID>
      <start>123</start>
      <end>124</end>
      <status>unmodified</status>
      <modifiedWord/>
      <trackRevisions>false</trackRevisions>
    </reviewItem>
    <reviewItem>
      <errorID>a795dc44-2469-4ae3-be63-f0c59cb30576</errorID>
      <errorWord>款</errorWord>
      <group>L1_Word</group>
      <groupName>字词问题</groupName>
      <ability>L2_Typo</ability>
      <abilityName>字词错误</abilityName>
      <candidateList>
        <item>款和</item>
      </candidateList>
      <explain/>
      <paraID>6B8BC200</paraID>
      <start>43</start>
      <end>46</end>
      <status>modified</status>
      <modifiedWord>款和</modifiedWord>
      <trackRevisions>true</trackRevisions>
    </reviewItem>
    <reviewItem>
      <errorID>47dc622a-997f-4b35-b5bd-04925fcb26d1</errorID>
      <errorWord>撤除</errorWord>
      <group>L1_Word</group>
      <groupName>字词问题</groupName>
      <ability>L2_Typo</ability>
      <abilityName>字词错误</abilityName>
      <candidateList>
        <item>撤出</item>
      </candidateList>
      <explain>存在发音相同字词的误用。</explain>
      <paraID>6B8BC200</paraID>
      <start>90</start>
      <end>94</end>
      <status>modified</status>
      <modifiedWord>撤出</modifiedWord>
      <trackRevisions>true</trackRevisions>
    </reviewItem>
    <reviewItem>
      <errorID>eec4306e-66be-440f-b537-1e8a8e94917f</errorID>
      <errorWord>档案</errorWord>
      <group>L1_Word</group>
      <groupName>字词问题</groupName>
      <ability>L2_Typo</ability>
      <abilityName>字词错误</abilityName>
      <candidateList>
        <item>档</item>
      </candidateList>
      <explain/>
      <paraID>322B81A0</paraID>
      <start>117</start>
      <end>119</end>
      <status>unmodified</status>
      <modifiedWord/>
      <trackRevisions>false</trackRevisions>
    </reviewItem>
    <reviewItem>
      <errorID>55a770d0-efca-4348-8340-6cdee23011d5</errorID>
      <errorWord>(</errorWord>
      <group>L1_Format</group>
      <groupName>格式问题</groupName>
      <ability>L2_HalfPunc</ability>
      <abilityName>全半角检查</abilityName>
      <candidateList>
        <item>（</item>
      </candidateList>
      <explain>文本全半角错误。</explain>
      <paraID>561C2472</paraID>
      <start>14</start>
      <end>15</end>
      <status>unmodified</status>
      <modifiedWord/>
      <trackRevisions>false</trackRevisions>
    </reviewItem>
    <reviewItem>
      <errorID>5b36c364-c7ac-402d-97d7-03afb2dffa2e</errorID>
      <errorWord>)</errorWord>
      <group>L1_Format</group>
      <groupName>格式问题</groupName>
      <ability>L2_HalfPunc</ability>
      <abilityName>全半角检查</abilityName>
      <candidateList>
        <item>）</item>
      </candidateList>
      <explain>文本全半角错误。</explain>
      <paraID>561C2472</paraID>
      <start>24</start>
      <end>25</end>
      <status>unmodified</status>
      <modifiedWord/>
      <trackRevisions>false</trackRevisions>
    </reviewItem>
    <reviewItem>
      <errorID>6bc3a8a6-0da8-4ba2-a3aa-3db62901d4f0</errorID>
      <errorWord>【2015】70号</errorWord>
      <group>L1_Knowledge</group>
      <groupName>知识性问题</groupName>
      <ability>L2_Knowledge</ability>
      <abilityName>其他知识</abilityName>
      <candidateList>
        <item>〔2015〕70号</item>
      </candidateList>
      <explain>发文字号格式错误</explain>
      <paraID>4634D781</paraID>
      <start>34</start>
      <end>43</end>
      <status>unmodified</status>
      <modifiedWord/>
      <trackRevisions>false</trackRevisions>
    </reviewItem>
    <reviewItem>
      <errorID>b4c5c3f9-ca56-4360-84b7-326f2b86f429</errorID>
      <errorWord>费</errorWord>
      <group>L1_Word</group>
      <groupName>字词问题</groupName>
      <ability>L2_Typo</ability>
      <abilityName>字词错误</abilityName>
      <candidateList>
        <item>费用</item>
      </candidateList>
      <explain/>
      <paraID>743C558A</paraID>
      <start>46</start>
      <end>47</end>
      <status>unmodified</status>
      <modifiedWord/>
      <trackRevisions>false</trackRevisions>
    </reviewItem>
    <reviewItem>
      <errorID>4f7f4353-b6cd-4696-bf5d-717a32942d13</errorID>
      <errorWord>”</errorWord>
      <group>L1_Punc</group>
      <groupName>标点问题</groupName>
      <ability>L2_Punc</ability>
      <abilityName>标点符号检查</abilityName>
      <candidateList/>
      <explain/>
      <paraID>49AA7BA1</paraID>
      <start>65</start>
      <end>66</end>
      <status>unmodified</status>
      <modifiedWord/>
      <trackRevisions>false</trackRevisions>
    </reviewItem>
    <reviewItem>
      <errorID>04a6b34a-0bda-490f-8bb6-e5b7262eed3c</errorID>
      <errorWord>,</errorWord>
      <group>L1_Format</group>
      <groupName>格式问题</groupName>
      <ability>L2_HalfPunc</ability>
      <abilityName>全半角检查</abilityName>
      <candidateList>
        <item>，</item>
      </candidateList>
      <explain>文本全半角错误。</explain>
      <paraID>6D64CC27</paraID>
      <start>35</start>
      <end>36</end>
      <status>unmodified</status>
      <modifiedWord/>
      <trackRevisions>false</trackRevisions>
    </reviewItem>
    <reviewItem>
      <errorID>7f1e29b2-2eba-43f7-b938-30f1cca82f74</errorID>
      <errorWord>,</errorWord>
      <group>L1_Format</group>
      <groupName>格式问题</groupName>
      <ability>L2_HalfPunc</ability>
      <abilityName>全半角检查</abilityName>
      <candidateList>
        <item>，</item>
      </candidateList>
      <explain>文本全半角错误。</explain>
      <paraID>6D64CC27</paraID>
      <start>54</start>
      <end>55</end>
      <status>unmodified</status>
      <modifiedWord/>
      <trackRevisions>false</trackRevisions>
    </reviewItem>
    <reviewItem>
      <errorID>8b1e78e6-975b-42d1-9765-436871cfccae</errorID>
      <errorWord>百分之二</errorWord>
      <group>L1_Knowledge</group>
      <groupName>知识性问题</groupName>
      <ability>L2_Knowledge</ability>
      <abilityName>其他知识</abilityName>
      <candidateList>
        <item>2%</item>
      </candidateList>
      <explain/>
      <paraID>6D64CC27</paraID>
      <start>102</start>
      <end>106</end>
      <status>unmodified</status>
      <modifiedWord/>
      <trackRevisions>false</trackRevisions>
    </reviewItem>
    <reviewItem>
      <errorID>31d775da-942c-43e6-b453-961e329f9c24</errorID>
      <errorWord>（</errorWord>
      <group>L1_Punc</group>
      <groupName>标点问题</groupName>
      <ability>L2_Punc</ability>
      <abilityName>标点符号检查</abilityName>
      <candidateList/>
      <explain>同一形式括号套用。</explain>
      <paraID>29A4C697</paraID>
      <start>68</start>
      <end>69</end>
      <status>unmodified</status>
      <modifiedWord/>
      <trackRevisions>false</trackRevisions>
    </reviewItem>
    <reviewItem>
      <errorID>0a4b0387-2a73-436e-afbe-4e2cd65641e4</errorID>
      <errorWord>）</errorWord>
      <group>L1_Punc</group>
      <groupName>标点问题</groupName>
      <ability>L2_Punc</ability>
      <abilityName>标点符号检查</abilityName>
      <candidateList/>
      <explain>同一形式括号套用。</explain>
      <paraID>29A4C697</paraID>
      <start>96</start>
      <end>97</end>
      <status>unmodified</status>
      <modifiedWord/>
      <trackRevisions>false</trackRevisions>
    </reviewItem>
    <reviewItem>
      <errorID>2bee9952-17d3-49d3-8ddd-b8c334d77535</errorID>
      <errorWord>：；</errorWord>
      <group>L1_Punc</group>
      <groupName>标点问题</groupName>
      <ability>L2_Punc</ability>
      <abilityName>标点符号检查</abilityName>
      <candidateList>
        <item>：</item>
      </candidateList>
      <explain/>
      <paraID>29A4C697</paraID>
      <start>118</start>
      <end>120</end>
      <status>unmodified</status>
      <modifiedWord/>
      <trackRevisions>false</trackRevisions>
    </reviewItem>
    <reviewItem>
      <errorID>c5204a68-f63c-47dd-82ef-7b422e5b1ffc</errorID>
      <errorWord>：；</errorWord>
      <group>L1_Punc</group>
      <groupName>标点问题</groupName>
      <ability>L2_Punc</ability>
      <abilityName>标点符号检查</abilityName>
      <candidateList>
        <item>：</item>
      </candidateList>
      <explain/>
      <paraID>31634781</paraID>
      <start>58</start>
      <end>60</end>
      <status>unmodified</status>
      <modifiedWord/>
      <trackRevisions>false</trackRevisions>
    </reviewItem>
    <reviewItem>
      <errorID>a57c70b1-a12e-45d6-b31b-98e049782785</errorID>
      <errorWord>，</errorWord>
      <group>L1_Word</group>
      <groupName>字词问题</groupName>
      <ability>L2_Typo</ability>
      <abilityName>字词错误</abilityName>
      <candidateList>
        <item>，将</item>
      </candidateList>
      <explain/>
      <paraID>48BADFA1</paraID>
      <start>82</start>
      <end>83</end>
      <status>unmodified</status>
      <modifiedWord/>
      <trackRevisions>false</trackRevisions>
    </reviewItem>
    <reviewItem>
      <errorID>c57f0064-5221-4355-bc01-fd731ab9b9c6</errorID>
      <errorWord>履</errorWord>
      <group>L1_Word</group>
      <groupName>字词问题</groupName>
      <ability>L2_Typo</ability>
      <abilityName>字词错误</abilityName>
      <candidateList>
        <item>履约</item>
      </candidateList>
      <explain/>
      <paraID>1887B58E</paraID>
      <start>7</start>
      <end>10</end>
      <status>modified</status>
      <modifiedWord>履约</modifiedWord>
      <trackRevisions>true</trackRevisions>
    </reviewItem>
    <reviewItem>
      <errorID>02b8324a-e2bf-4b11-b4cc-b047dd041cf3</errorID>
      <errorWord>:</errorWord>
      <group>L1_Format</group>
      <groupName>格式问题</groupName>
      <ability>L2_HalfPunc</ability>
      <abilityName>全半角检查</abilityName>
      <candidateList>
        <item>：</item>
      </candidateList>
      <explain>文本全半角错误。</explain>
      <paraID> 32A5D35</paraID>
      <start>9</start>
      <end>10</end>
      <status>unmodified</status>
      <modifiedWord/>
      <trackRevisions>false</trackRevisions>
    </reviewItem>
    <reviewItem>
      <errorID>c2bd7b6e-3178-4cec-a938-51122b996ae5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18E34859</paraID>
      <start>0</start>
      <end>3</end>
      <status>unmodified</status>
      <modifiedWord/>
      <trackRevisions>false</trackRevisions>
    </reviewItem>
    <reviewItem>
      <errorID>55003dd3-f7bc-4c4b-9b37-7d0cdc0ac1ea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625B48CF</paraID>
      <start>0</start>
      <end>3</end>
      <status>unmodified</status>
      <modifiedWord/>
      <trackRevisions>false</trackRevisions>
    </reviewItem>
    <reviewItem>
      <errorID>4299a33d-1690-468a-8107-2ffbda17a77e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63051C2B</paraID>
      <start>0</start>
      <end>3</end>
      <status>unmodified</status>
      <modifiedWord/>
      <trackRevisions>false</trackRevisions>
    </reviewItem>
    <reviewItem>
      <errorID>3f0e468c-1dae-4267-a5a1-7d7d201e812d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561677D5</paraID>
      <start>0</start>
      <end>3</end>
      <status>unmodified</status>
      <modifiedWord/>
      <trackRevisions>false</trackRevisions>
    </reviewItem>
    <reviewItem>
      <errorID>fa65c672-ae94-4986-8bee-0a797e459c68</errorID>
      <errorWord>超过3天以上</errorWord>
      <group>L1_Word</group>
      <groupName>字词问题</groupName>
      <ability>L2_Typo</ability>
      <abilityName>字词错误</abilityName>
      <candidateList>
        <item>超过3天</item>
      </candidateList>
      <explain/>
      <paraID>561677D5</paraID>
      <start>51</start>
      <end>57</end>
      <status>unmodified</status>
      <modifiedWord/>
      <trackRevisions>false</trackRevisions>
    </reviewItem>
    <reviewItem>
      <errorID>2518d1cd-8a55-47b3-a76b-7dec6f649395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37001AE5</paraID>
      <start>0</start>
      <end>3</end>
      <status>unmodified</status>
      <modifiedWord/>
      <trackRevisions>false</trackRevisions>
    </reviewItem>
    <reviewItem>
      <errorID>a2882deb-4e68-4e39-a9f7-df13826911a5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1A1487FA</paraID>
      <start>0</start>
      <end>3</end>
      <status>unmodified</status>
      <modifiedWord/>
      <trackRevisions>false</trackRevisions>
    </reviewItem>
    <reviewItem>
      <errorID>0743d8bf-d726-408c-a604-e95dd64c868f</errorID>
      <errorWord>款</errorWord>
      <group>L1_Word</group>
      <groupName>字词问题</groupName>
      <ability>L2_Typo</ability>
      <abilityName>字词错误</abilityName>
      <candidateList>
        <item>款和</item>
      </candidateList>
      <explain/>
      <paraID>221683C8</paraID>
      <start>49</start>
      <end>52</end>
      <status>modified</status>
      <modifiedWord>款和</modifiedWord>
      <trackRevisions>true</trackRevisions>
    </reviewItem>
    <reviewItem>
      <errorID>de58650b-10d5-4302-8b46-0bb5a88fa4f0</errorID>
      <errorWord>撤除</errorWord>
      <group>L1_Word</group>
      <groupName>字词问题</groupName>
      <ability>L2_Typo</ability>
      <abilityName>字词错误</abilityName>
      <candidateList>
        <item>撤出</item>
      </candidateList>
      <explain>存在发音相同字词的误用。</explain>
      <paraID>221683C8</paraID>
      <start>84</start>
      <end>88</end>
      <status>modified</status>
      <modifiedWord>撤出</modifiedWord>
      <trackRevisions>true</trackRevisions>
    </reviewItem>
    <reviewItem>
      <errorID>97970559-6d4f-4fd6-aff0-2337aec72b3e</errorID>
      <errorWord>经验</errorWord>
      <group>L1_Word</group>
      <groupName>字词问题</groupName>
      <ability>L2_Typo</ability>
      <abilityName>字词错误</abilityName>
      <candidateList>
        <item>验</item>
      </candidateList>
      <explain/>
      <paraID>54CA538A</paraID>
      <start>31</start>
      <end>33</end>
      <status>unmodified</status>
      <modifiedWord/>
      <trackRevisions>false</trackRevisions>
    </reviewItem>
    <reviewItem>
      <errorID>f8e51644-35cb-4b5a-879a-9aaccbeffb54</errorID>
      <errorWord>其它</errorWord>
      <group>L1_Word</group>
      <groupName>字词问题</groupName>
      <ability>L2_Alias</ability>
      <abilityName>也作/曾用词</abilityName>
      <candidateList>
        <item>其他</item>
      </candidateList>
      <explain>词汇[其它]为不规范表述或旧称，其规范书面表述为[其他]。</explain>
      <paraID> B500945</paraID>
      <start>142</start>
      <end>144</end>
      <status>unmodified</status>
      <modifiedWord/>
      <trackRevisions>false</trackRevisions>
    </reviewItem>
    <reviewItem>
      <errorID>6cf109df-4893-4b0c-8c98-da7139ef20f8</errorID>
      <errorWord>办理办理</errorWord>
      <group>L1_Word</group>
      <groupName>字词问题</groupName>
      <ability>L2_Typo</ability>
      <abilityName>字词错误</abilityName>
      <candidateList>
        <item>办理</item>
      </candidateList>
      <explain/>
      <paraID>273C1188</paraID>
      <start>36</start>
      <end>40</end>
      <status>unmodified</status>
      <modifiedWord/>
      <trackRevisions>false</trackRevisions>
    </reviewItem>
    <reviewItem>
      <errorID>9b0538c7-438b-41e9-ad96-2c847fb4338e</errorID>
      <errorWord>法律、法规</errorWord>
      <group>L1_Word</group>
      <groupName>字词问题</groupName>
      <ability>L2_Typo</ability>
      <abilityName>字词错误</abilityName>
      <candidateList>
        <item>法律法规</item>
      </candidateList>
      <explain/>
      <paraID> 2E180A1</paraID>
      <start>27</start>
      <end>32</end>
      <status>unmodified</status>
      <modifiedWord/>
      <trackRevisions>false</trackRevisions>
    </reviewItem>
    <reviewItem>
      <errorID>e443bb0c-1380-4da7-8a41-ca58eceb8986</errorID>
      <errorWord>包括了</errorWord>
      <group>L1_Word</group>
      <groupName>字词问题</groupName>
      <ability>L2_Typo</ability>
      <abilityName>字词错误</abilityName>
      <candidateList>
        <item>包括</item>
      </candidateList>
      <explain/>
      <paraID>1427E17E</paraID>
      <start>8</start>
      <end>11</end>
      <status>unmodified</status>
      <modifiedWord/>
      <trackRevisions>false</trackRevisions>
    </reviewItem>
    <reviewItem>
      <errorID>bdc8f5c2-28fb-4c15-90ee-e07e73679575</errorID>
      <errorWord>包括了</errorWord>
      <group>L1_Word</group>
      <groupName>字词问题</groupName>
      <ability>L2_Typo</ability>
      <abilityName>字词错误</abilityName>
      <candidateList>
        <item>包括</item>
      </candidateList>
      <explain/>
      <paraID>4C75AC41</paraID>
      <start>9</start>
      <end>12</end>
      <status>unmodified</status>
      <modifiedWord/>
      <trackRevisions>false</trackRevisions>
    </reviewItem>
    <reviewItem>
      <errorID>2ff916de-8498-4d1a-a0a5-3c2494bace66</errorID>
      <errorWord>围</errorWord>
      <group>L1_Word</group>
      <groupName>字词问题</groupName>
      <ability>L2_Typo</ability>
      <abilityName>字词错误</abilityName>
      <candidateList>
        <item>围内</item>
      </candidateList>
      <explain/>
      <paraID>4C75AC41</paraID>
      <start>16</start>
      <end>17</end>
      <status>unmodified</status>
      <modifiedWord/>
      <trackRevisions>false</trackRevisions>
    </reviewItem>
    <reviewItem>
      <errorID>04813682-3a1f-4b50-a11d-89cd980d164c</errorID>
      <errorWord>承保人</errorWord>
      <group>L1_Word</group>
      <groupName>字词问题</groupName>
      <ability>L2_Typo</ability>
      <abilityName>字词错误</abilityName>
      <candidateList>
        <item>承包人</item>
      </candidateList>
      <explain/>
      <paraID>3C5D7EAE</paraID>
      <start>101</start>
      <end>107</end>
      <status>modified</status>
      <modifiedWord>承包人</modifiedWord>
      <trackRevisions>true</trackRevisions>
    </reviewItem>
    <reviewItem>
      <errorID>8775d54a-79b6-4405-9c89-b49aa309459b</errorID>
      <errorWord>(</errorWord>
      <group>L1_Format</group>
      <groupName>格式问题</groupName>
      <ability>L2_HalfPunc</ability>
      <abilityName>全半角检查</abilityName>
      <candidateList>
        <item>（</item>
      </candidateList>
      <explain>文本全半角错误。</explain>
      <paraID> 88F44CC</paraID>
      <start>4</start>
      <end>5</end>
      <status>unmodified</status>
      <modifiedWord/>
      <trackRevisions>false</trackRevisions>
    </reviewItem>
    <reviewItem>
      <errorID>77661e3e-f3ea-45c1-b471-a19b9c8d95df</errorID>
      <errorWord>)</errorWord>
      <group>L1_Format</group>
      <groupName>格式问题</groupName>
      <ability>L2_HalfPunc</ability>
      <abilityName>全半角检查</abilityName>
      <candidateList>
        <item>）</item>
      </candidateList>
      <explain>文本全半角错误。</explain>
      <paraID> 88F44CC</paraID>
      <start>8</start>
      <end>9</end>
      <status>unmodified</status>
      <modifiedWord/>
      <trackRevisions>false</trackRevisions>
    </reviewItem>
    <reviewItem>
      <errorID>e4513781-1fed-4321-8558-8e3d98128b5c</errorID>
      <errorWord>属</errorWord>
      <group>L1_Word</group>
      <groupName>字词问题</groupName>
      <ability>L2_Typo</ability>
      <abilityName>字词错误</abilityName>
      <candidateList>
        <item>属于</item>
      </candidateList>
      <explain/>
      <paraID>35920DC8</paraID>
      <start>38</start>
      <end>39</end>
      <status>unmodified</status>
      <modifiedWord/>
      <trackRevisions>false</trackRevisions>
    </reviewItem>
    <reviewItem>
      <errorID>8210ea2f-d2b4-4a9b-9245-fe15fb73d07b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1D67B615</paraID>
      <start>0</start>
      <end>2</end>
      <status>unmodified</status>
      <modifiedWord/>
      <trackRevisions>false</trackRevisions>
    </reviewItem>
    <reviewItem>
      <errorID>8eb60c13-6f2c-4cc7-b04a-c83bb9501831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2EC0F2AF</paraID>
      <start>0</start>
      <end>2</end>
      <status>unmodified</status>
      <modifiedWord/>
      <trackRevisions>false</trackRevisions>
    </reviewItem>
    <reviewItem>
      <errorID>4b2f0b42-a900-4077-873b-f4edb905ada9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3B2B001C</paraID>
      <start>0</start>
      <end>2</end>
      <status>unmodified</status>
      <modifiedWord/>
      <trackRevisions>false</trackRevisions>
    </reviewItem>
    <reviewItem>
      <errorID>42fb8e7c-e83d-4c7c-8ca7-246d7345e58c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7BB01885</paraID>
      <start>0</start>
      <end>2</end>
      <status>unmodified</status>
      <modifiedWord/>
      <trackRevisions>false</trackRevisions>
    </reviewItem>
    <reviewItem>
      <errorID>fcd0561d-1482-42ca-84a1-b64edade334d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2DA9AB2A</paraID>
      <start>0</start>
      <end>2</end>
      <status>unmodified</status>
      <modifiedWord/>
      <trackRevisions>false</trackRevisions>
    </reviewItem>
    <reviewItem>
      <errorID>26b9d5d2-9bf5-4d97-9a60-f3883c13ffc6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6118460B</paraID>
      <start>0</start>
      <end>2</end>
      <status>unmodified</status>
      <modifiedWord/>
      <trackRevisions>false</trackRevisions>
    </reviewItem>
    <reviewItem>
      <errorID>8758e051-76a5-468a-b3fb-ae9f39ab68e7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7B440163</paraID>
      <start>0</start>
      <end>2</end>
      <status>unmodified</status>
      <modifiedWord/>
      <trackRevisions>false</trackRevisions>
    </reviewItem>
    <reviewItem>
      <errorID>6c6642f6-ef94-4725-89cb-161648a74eb7</errorID>
      <errorWord>。</errorWord>
      <group>L1_Punc</group>
      <groupName>标点问题</groupName>
      <ability>L2_Punc</ability>
      <abilityName>标点符号检查</abilityName>
      <candidateList/>
      <explain/>
      <paraID>7AF63AA8</paraID>
      <start>0</start>
      <end>1</end>
      <status>unmodified</status>
      <modifiedWord/>
      <trackRevisions>false</trackRevisions>
    </reviewItem>
    <reviewItem>
      <errorID>53a0433d-6794-41ff-a341-affab5ff0d28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73ED0109</paraID>
      <start>0</start>
      <end>2</end>
      <status>unmodified</status>
      <modifiedWord/>
      <trackRevisions>false</trackRevisions>
    </reviewItem>
    <reviewItem>
      <errorID>9570d538-9e08-4c3d-94ce-4a8a4de3e349</errorID>
      <errorWord>保修</errorWord>
      <group>L1_Word</group>
      <groupName>字词问题</groupName>
      <ability>L2_Typo</ability>
      <abilityName>字词错误</abilityName>
      <candidateList>
        <item>报修</item>
      </candidateList>
      <explain/>
      <paraID>73ED0109</paraID>
      <start>50</start>
      <end>52</end>
      <status>unmodified</status>
      <modifiedWord/>
      <trackRevisions>false</trackRevisions>
    </reviewItem>
    <reviewItem>
      <errorID>065e9086-0239-419b-b6cf-ea97bc07b9e0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664D9E31</paraID>
      <start>0</start>
      <end>2</end>
      <status>unmodified</status>
      <modifiedWord/>
      <trackRevisions>false</trackRevisions>
    </reviewItem>
    <reviewItem>
      <errorID>bf036099-19b1-48ce-ac89-eec39013eb77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4ABABB9B</paraID>
      <start>0</start>
      <end>2</end>
      <status>unmodified</status>
      <modifiedWord/>
      <trackRevisions>false</trackRevisions>
    </reviewItem>
    <reviewItem>
      <errorID>57f47d99-75b1-4a10-870a-5dfe354b5db5</errorID>
      <errorWord>，</errorWord>
      <group>L1_Word</group>
      <groupName>字词问题</groupName>
      <ability>L2_Typo</ability>
      <abilityName>字词错误</abilityName>
      <candidateList>
        <item>，由</item>
      </candidateList>
      <explain/>
      <paraID>4ABABB9B</paraID>
      <start>92</start>
      <end>93</end>
      <status>unmodified</status>
      <modifiedWord/>
      <trackRevisions>false</trackRevisions>
    </reviewItem>
    <reviewItem>
      <errorID>95c2afac-ef84-4be0-a51b-a4b504b66bb4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78BC022C</paraID>
      <start>0</start>
      <end>2</end>
      <status>unmodified</status>
      <modifiedWord/>
      <trackRevisions>false</trackRevisions>
    </reviewItem>
    <reviewItem>
      <errorID>0fae1a73-5f71-42bf-b6ea-0baae8f85ccd</errorID>
      <errorWord>期</errorWord>
      <group>L1_Word</group>
      <groupName>字词问题</groupName>
      <ability>L2_Typo</ability>
      <abilityName>字词错误</abilityName>
      <candidateList>
        <item>期间</item>
      </candidateList>
      <explain>〈名〉某个时期里面：农忙～｜春节～｜抗战～。</explain>
      <paraID>76F2A4D0</paraID>
      <start>6</start>
      <end>7</end>
      <status>unmodified</status>
      <modifiedWord/>
      <trackRevisions>false</trackRevisions>
    </reviewItem>
    <reviewItem>
      <errorID>54cc4089-db81-4617-b24f-ff90ddde9b3f</errorID>
      <errorWord>承担的</errorWord>
      <group>L1_Word</group>
      <groupName>字词问题</groupName>
      <ability>L2_Typo</ability>
      <abilityName>字词错误</abilityName>
      <candidateList>
        <item>承担</item>
      </candidateList>
      <explain>〈动〉担负；担当：～义务｜～责任。</explain>
      <paraID>7D77A8CE</paraID>
      <start>33</start>
      <end>36</end>
      <status>unmodified</status>
      <modifiedWord/>
      <trackRevisions>false</trackRevisions>
    </reviewItem>
    <reviewItem>
      <errorID>bacb3a88-cbba-4f40-bde0-ba5b20d9380a</errorID>
      <errorWord>：。</errorWord>
      <group>L1_Punc</group>
      <groupName>标点问题</groupName>
      <ability>L2_Punc</ability>
      <abilityName>标点符号检查</abilityName>
      <candidateList>
        <item>：</item>
      </candidateList>
      <explain/>
      <paraID>6BED7C47</paraID>
      <start>22</start>
      <end>24</end>
      <status>unmodified</status>
      <modifiedWord/>
      <trackRevisions>false</trackRevisions>
    </reviewItem>
    <reviewItem>
      <errorID>a7c3dd53-bbf7-498c-a05a-a1c8f782053b</errorID>
      <errorWord>但是</errorWord>
      <group>L1_Word</group>
      <groupName>字词问题</groupName>
      <ability>L2_Typo</ability>
      <abilityName>字词错误</abilityName>
      <candidateList>
        <item>但</item>
      </candidateList>
      <explain>❶〈副〉只；仅仅：～愿如此｜不求有功，～求无过｜辽阔的原野上，～见麦浪随风起伏。❷〈连〉但是：屋子小，～挺干净｜工作虽然忙，～一点也没放松学习。❸（Dàn）〈名〉姓。</explain>
      <paraID>6C012B71</paraID>
      <start>29</start>
      <end>31</end>
      <status>unmodified</status>
      <modifiedWord/>
      <trackRevisions>false</trackRevisions>
    </reviewItem>
    <reviewItem>
      <errorID>48c3d2c7-b724-436e-97c5-4a102aeb4d31</errorID>
      <errorWord>表</errorWord>
      <group>L1_Word</group>
      <groupName>字词问题</groupName>
      <ability>L2_Typo</ability>
      <abilityName>字词错误</abilityName>
      <candidateList>
        <item>表人</item>
      </candidateList>
      <explain/>
      <paraID>22964255</paraID>
      <start>17</start>
      <end>18</end>
      <status>unmodified</status>
      <modifiedWord/>
      <trackRevisions>false</trackRevisions>
    </reviewItem>
    <reviewItem>
      <errorID>1125f27c-b686-4cfd-acd8-fd13ebea34f1</errorID>
      <errorWord>承担的</errorWord>
      <group>L1_Word</group>
      <groupName>字词问题</groupName>
      <ability>L2_Typo</ability>
      <abilityName>字词错误</abilityName>
      <candidateList>
        <item>承担</item>
      </candidateList>
      <explain>〈动〉担负；担当：～义务｜～责任。</explain>
      <paraID>4D2140A2</paraID>
      <start>31</start>
      <end>34</end>
      <status>unmodified</status>
      <modifiedWord/>
      <trackRevisions>false</trackRevisions>
    </reviewItem>
    <reviewItem>
      <errorID>b5e0ba9b-ece6-48e9-8e68-02c5829e10c2</errorID>
      <errorWord>其它情形的</errorWord>
      <group>L1_Word</group>
      <groupName>字词问题</groupName>
      <ability>L2_Alias</ability>
      <abilityName>也作/曾用词</abilityName>
      <candidateList>
        <item>其他情形的</item>
      </candidateList>
      <explain>词汇[其它情形的]为不规范表述或旧称，其规范书面表述为[其他情形的]。</explain>
      <paraID>4A85C0CC</paraID>
      <start>23</start>
      <end>28</end>
      <status>unmodified</status>
      <modifiedWord/>
      <trackRevisions>false</trackRevisions>
    </reviewItem>
    <reviewItem>
      <errorID>35561c3c-562d-4aab-91cb-8de3ff11bf81</errorID>
      <errorWord>表</errorWord>
      <group>L1_Word</group>
      <groupName>字词问题</groupName>
      <ability>L2_Typo</ability>
      <abilityName>字词错误</abilityName>
      <candidateList>
        <item>表人</item>
      </candidateList>
      <explain/>
      <paraID>6D76FB7C</paraID>
      <start>19</start>
      <end>20</end>
      <status>unmodified</status>
      <modifiedWord/>
      <trackRevisions>false</trackRevisions>
    </reviewItem>
    <reviewItem>
      <errorID>47bc9af5-a626-4d9f-8e43-ea42d4a9bc6c</errorID>
      <errorWord>承担的</errorWord>
      <group>L1_Word</group>
      <groupName>字词问题</groupName>
      <ability>L2_Typo</ability>
      <abilityName>字词错误</abilityName>
      <candidateList>
        <item>承担</item>
      </candidateList>
      <explain>〈动〉担负；担当：～义务｜～责任。</explain>
      <paraID> E583023</paraID>
      <start>42</start>
      <end>45</end>
      <status>unmodified</status>
      <modifiedWord/>
      <trackRevisions>false</trackRevisions>
    </reviewItem>
    <reviewItem>
      <errorID>deba286e-e484-48a0-92ec-4f0f82cc07f8</errorID>
      <errorWord>：。</errorWord>
      <group>L1_Punc</group>
      <groupName>标点问题</groupName>
      <ability>L2_Punc</ability>
      <abilityName>标点符号检查</abilityName>
      <candidateList>
        <item>：</item>
      </candidateList>
      <explain/>
      <paraID> F33B7F7</paraID>
      <start>22</start>
      <end>24</end>
      <status>unmodified</status>
      <modifiedWord/>
      <trackRevisions>false</trackRevisions>
    </reviewItem>
    <reviewItem>
      <errorID>1abaa6e7-a944-4ef4-8be3-b589f406f6b2</errorID>
      <errorWord>但是</errorWord>
      <group>L1_Word</group>
      <groupName>字词问题</groupName>
      <ability>L2_Typo</ability>
      <abilityName>字词错误</abilityName>
      <candidateList>
        <item>但</item>
      </candidateList>
      <explain>❶〈副〉只；仅仅：～愿如此｜不求有功，～求无过｜辽阔的原野上，～见麦浪随风起伏。❷〈连〉但是：屋子小，～挺干净｜工作虽然忙，～一点也没放松学习。❸（Dàn）〈名〉姓。</explain>
      <paraID>6FF7B896</paraID>
      <start>29</start>
      <end>31</end>
      <status>unmodified</status>
      <modifiedWord/>
      <trackRevisions>false</trackRevisions>
    </reviewItem>
    <reviewItem>
      <errorID>0b377a82-52fb-4532-a8f8-92863349c371</errorID>
      <errorWord>表</errorWord>
      <group>L1_Word</group>
      <groupName>字词问题</groupName>
      <ability>L2_Typo</ability>
      <abilityName>字词错误</abilityName>
      <candidateList>
        <item>表人</item>
      </candidateList>
      <explain/>
      <paraID>4ED1D02B</paraID>
      <start>17</start>
      <end>18</end>
      <status>unmodified</status>
      <modifiedWord/>
      <trackRevisions>false</trackRevisions>
    </reviewItem>
    <reviewItem>
      <errorID>caefebeb-5516-48ab-bdaa-84e66d105923</errorID>
      <errorWord>承担的</errorWord>
      <group>L1_Word</group>
      <groupName>字词问题</groupName>
      <ability>L2_Typo</ability>
      <abilityName>字词错误</abilityName>
      <candidateList>
        <item>承担</item>
      </candidateList>
      <explain>〈动〉担负；担当：～义务｜～责任。</explain>
      <paraID>44B668BA</paraID>
      <start>41</start>
      <end>44</end>
      <status>unmodified</status>
      <modifiedWord/>
      <trackRevisions>false</trackRevisions>
    </reviewItem>
    <reviewItem>
      <errorID>0dcd9916-a303-4eed-9563-2569790ae10f</errorID>
      <errorWord>其它情形的</errorWord>
      <group>L1_Word</group>
      <groupName>字词问题</groupName>
      <ability>L2_Alias</ability>
      <abilityName>也作/曾用词</abilityName>
      <candidateList>
        <item>其他情形的</item>
      </candidateList>
      <explain>词汇[其它情形的]为不规范表述或旧称，其规范书面表述为[其他情形的]。</explain>
      <paraID>1F451BF5</paraID>
      <start>23</start>
      <end>28</end>
      <status>unmodified</status>
      <modifiedWord/>
      <trackRevisions>false</trackRevisions>
    </reviewItem>
    <reviewItem>
      <errorID>d064ad82-f49e-420c-8421-bf37009cefda</errorID>
      <errorWord>表</errorWord>
      <group>L1_Word</group>
      <groupName>字词问题</groupName>
      <ability>L2_Typo</ability>
      <abilityName>字词错误</abilityName>
      <candidateList>
        <item>表人</item>
      </candidateList>
      <explain/>
      <paraID>115B1365</paraID>
      <start>19</start>
      <end>20</end>
      <status>unmodified</status>
      <modifiedWord/>
      <trackRevisions>false</trackRevisions>
    </reviewItem>
    <reviewItem>
      <errorID>f590461e-d48c-4c2e-aea0-b98a53181b46</errorID>
      <errorWord>”</errorWord>
      <group>L1_Punc</group>
      <groupName>标点问题</groupName>
      <ability>L2_Punc</ability>
      <abilityName>标点符号检查</abilityName>
      <candidateList/>
      <explain/>
      <paraID>3852D4C5</paraID>
      <start>73</start>
      <end>74</end>
      <status>unmodified</status>
      <modifiedWord/>
      <trackRevisions>false</trackRevisions>
    </reviewItem>
    <reviewItem>
      <errorID>fd9d4449-9e60-4f44-8284-52211fea6a1c</errorID>
      <errorWord>承担的</errorWord>
      <group>L1_Word</group>
      <groupName>字词问题</groupName>
      <ability>L2_Typo</ability>
      <abilityName>字词错误</abilityName>
      <candidateList>
        <item>承担</item>
      </candidateList>
      <explain>〈动〉担负；担当：～义务｜～责任。</explain>
      <paraID>5CB9541E</paraID>
      <start>36</start>
      <end>39</end>
      <status>unmodified</status>
      <modifiedWord/>
      <trackRevisions>false</trackRevisions>
    </reviewItem>
    <reviewItem>
      <errorID>46a99301-37ec-4290-80fd-a86ff440e290</errorID>
      <errorWord>：。</errorWord>
      <group>L1_Punc</group>
      <groupName>标点问题</groupName>
      <ability>L2_Punc</ability>
      <abilityName>标点符号检查</abilityName>
      <candidateList>
        <item>：</item>
      </candidateList>
      <explain/>
      <paraID>67A2EA12</paraID>
      <start>22</start>
      <end>24</end>
      <status>unmodified</status>
      <modifiedWord/>
      <trackRevisions>false</trackRevisions>
    </reviewItem>
    <reviewItem>
      <errorID>9841df16-9be8-4f56-9a1c-8d82d1ca4fb0</errorID>
      <errorWord>但是</errorWord>
      <group>L1_Word</group>
      <groupName>字词问题</groupName>
      <ability>L2_Typo</ability>
      <abilityName>字词错误</abilityName>
      <candidateList>
        <item>但</item>
      </candidateList>
      <explain>❶〈副〉只；仅仅：～愿如此｜不求有功，～求无过｜辽阔的原野上，～见麦浪随风起伏。❷〈连〉但是：屋子小，～挺干净｜工作虽然忙，～一点也没放松学习。❸（Dàn）〈名〉姓。</explain>
      <paraID> 3F9AF98</paraID>
      <start>29</start>
      <end>31</end>
      <status>unmodified</status>
      <modifiedWord/>
      <trackRevisions>false</trackRevisions>
    </reviewItem>
    <reviewItem>
      <errorID>a6f6e496-137a-48c2-835e-539a185c2dac</errorID>
      <errorWord>表</errorWord>
      <group>L1_Word</group>
      <groupName>字词问题</groupName>
      <ability>L2_Typo</ability>
      <abilityName>字词错误</abilityName>
      <candidateList>
        <item>表人</item>
      </candidateList>
      <explain/>
      <paraID>3F283112</paraID>
      <start>17</start>
      <end>18</end>
      <status>unmodified</status>
      <modifiedWord/>
      <trackRevisions>false</trackRevisions>
    </reviewItem>
    <reviewItem>
      <errorID>46a386da-ad4b-4eea-b9e1-10b9945632a2</errorID>
      <errorWord>承担的</errorWord>
      <group>L1_Word</group>
      <groupName>字词问题</groupName>
      <ability>L2_Typo</ability>
      <abilityName>字词错误</abilityName>
      <candidateList>
        <item>承担</item>
      </candidateList>
      <explain>〈动〉担负；担当：～义务｜～责任。</explain>
      <paraID>6AB0C1B2</paraID>
      <start>34</start>
      <end>37</end>
      <status>unmodified</status>
      <modifiedWord/>
      <trackRevisions>false</trackRevisions>
    </reviewItem>
    <reviewItem>
      <errorID>b3fc8e2e-702d-4afa-a482-e507bb2ac699</errorID>
      <errorWord>其它情形的</errorWord>
      <group>L1_Word</group>
      <groupName>字词问题</groupName>
      <ability>L2_Alias</ability>
      <abilityName>也作/曾用词</abilityName>
      <candidateList>
        <item>其他情形的</item>
      </candidateList>
      <explain>词汇[其它情形的]为不规范表述或旧称，其规范书面表述为[其他情形的]。</explain>
      <paraID>542DBBF2</paraID>
      <start>23</start>
      <end>28</end>
      <status>unmodified</status>
      <modifiedWord/>
      <trackRevisions>false</trackRevisions>
    </reviewItem>
    <reviewItem>
      <errorID>8df0b658-65c3-424a-a707-307d1e8854a3</errorID>
      <errorWord>表</errorWord>
      <group>L1_Word</group>
      <groupName>字词问题</groupName>
      <ability>L2_Typo</ability>
      <abilityName>字词错误</abilityName>
      <candidateList>
        <item>表人</item>
      </candidateList>
      <explain/>
      <paraID>3D856D76</paraID>
      <start>19</start>
      <end>20</end>
      <status>unmodified</status>
      <modifiedWord/>
      <trackRevisions>false</trackRevisions>
    </reviewItem>
    <reviewItem>
      <errorID>9bfd9639-2c1e-4bb1-93e5-19d780a402e6</errorID>
      <errorWord>(</errorWord>
      <group>L1_Format</group>
      <groupName>格式问题</groupName>
      <ability>L2_HalfPunc</ability>
      <abilityName>全半角检查</abilityName>
      <candidateList>
        <item>（</item>
      </candidateList>
      <explain>文本全半角错误。</explain>
      <paraID>4FB9F807</paraID>
      <start>24</start>
      <end>25</end>
      <status>unmodified</status>
      <modifiedWord/>
      <trackRevisions>false</trackRevisions>
    </reviewItem>
    <reviewItem>
      <errorID>149f759e-7119-4c52-af3e-0591e8bbeb3d</errorID>
      <errorWord>)</errorWord>
      <group>L1_Format</group>
      <groupName>格式问题</groupName>
      <ability>L2_HalfPunc</ability>
      <abilityName>全半角检查</abilityName>
      <candidateList>
        <item>）</item>
      </candidateList>
      <explain>文本全半角错误。</explain>
      <paraID>4FB9F807</paraID>
      <start>27</start>
      <end>28</end>
      <status>unmodified</status>
      <modifiedWord/>
      <trackRevisions>false</trackRevisions>
    </reviewItem>
    <reviewItem>
      <errorID>abad7ffb-46af-434f-9e94-3788c4d49db9</errorID>
      <errorWord>(</errorWord>
      <group>L1_Format</group>
      <groupName>格式问题</groupName>
      <ability>L2_HalfPunc</ability>
      <abilityName>全半角检查</abilityName>
      <candidateList>
        <item>（</item>
      </candidateList>
      <explain>文本全半角错误。</explain>
      <paraID>4FB9F807</paraID>
      <start>30</start>
      <end>31</end>
      <status>unmodified</status>
      <modifiedWord/>
      <trackRevisions>false</trackRevisions>
    </reviewItem>
    <reviewItem>
      <errorID>0c456e03-1123-4a66-a6dc-5f5cbf78c835</errorID>
      <errorWord>)</errorWord>
      <group>L1_Format</group>
      <groupName>格式问题</groupName>
      <ability>L2_HalfPunc</ability>
      <abilityName>全半角检查</abilityName>
      <candidateList>
        <item>）</item>
      </candidateList>
      <explain>文本全半角错误。</explain>
      <paraID>4FB9F807</paraID>
      <start>33</start>
      <end>34</end>
      <status>unmodified</status>
      <modifiedWord/>
      <trackRevisions>false</trackRevisions>
    </reviewItem>
    <reviewItem>
      <errorID>1a43a8a2-2d00-463c-9879-475746d13443</errorID>
      <errorWord>(</errorWord>
      <group>L1_Format</group>
      <groupName>格式问题</groupName>
      <ability>L2_HalfPunc</ability>
      <abilityName>全半角检查</abilityName>
      <candidateList>
        <item>（</item>
      </candidateList>
      <explain>文本全半角错误。</explain>
      <paraID>458CAEF4</paraID>
      <start>22</start>
      <end>23</end>
      <status>unmodified</status>
      <modifiedWord/>
      <trackRevisions>false</trackRevisions>
    </reviewItem>
    <reviewItem>
      <errorID>0873e130-105f-4647-8b92-3c4748d3d970</errorID>
      <errorWord>)</errorWord>
      <group>L1_Format</group>
      <groupName>格式问题</groupName>
      <ability>L2_HalfPunc</ability>
      <abilityName>全半角检查</abilityName>
      <candidateList>
        <item>）</item>
      </candidateList>
      <explain>文本全半角错误。</explain>
      <paraID>458CAEF4</paraID>
      <start>25</start>
      <end>26</end>
      <status>unmodified</status>
      <modifiedWord/>
      <trackRevisions>false</trackRevisions>
    </reviewItem>
    <reviewItem>
      <errorID>d39c9cc7-31fb-461b-a2ca-6ad8195a2efe</errorID>
      <errorWord>(</errorWord>
      <group>L1_Format</group>
      <groupName>格式问题</groupName>
      <ability>L2_HalfPunc</ability>
      <abilityName>全半角检查</abilityName>
      <candidateList>
        <item>（</item>
      </candidateList>
      <explain>文本全半角错误。</explain>
      <paraID>7EEAFC6E</paraID>
      <start>36</start>
      <end>37</end>
      <status>unmodified</status>
      <modifiedWord/>
      <trackRevisions>false</trackRevisions>
    </reviewItem>
    <reviewItem>
      <errorID>ce4e854d-0659-4abf-bfd1-7635545c7efd</errorID>
      <errorWord>)</errorWord>
      <group>L1_Format</group>
      <groupName>格式问题</groupName>
      <ability>L2_HalfPunc</ability>
      <abilityName>全半角检查</abilityName>
      <candidateList>
        <item>）</item>
      </candidateList>
      <explain>文本全半角错误。</explain>
      <paraID>7EEAFC6E</paraID>
      <start>39</start>
      <end>40</end>
      <status>unmodified</status>
      <modifiedWord/>
      <trackRevisions>false</trackRevisions>
    </reviewItem>
    <reviewItem>
      <errorID>bb810ee2-6f86-4e1a-aa8f-187fa405edb4</errorID>
      <errorWord>(</errorWord>
      <group>L1_Format</group>
      <groupName>格式问题</groupName>
      <ability>L2_HalfPunc</ability>
      <abilityName>全半角检查</abilityName>
      <candidateList>
        <item>（</item>
      </candidateList>
      <explain>文本全半角错误。</explain>
      <paraID>7EEAFC6E</paraID>
      <start>42</start>
      <end>43</end>
      <status>unmodified</status>
      <modifiedWord/>
      <trackRevisions>false</trackRevisions>
    </reviewItem>
    <reviewItem>
      <errorID>0e1d81e5-d471-4efa-9bad-68b46a6b126f</errorID>
      <errorWord>)</errorWord>
      <group>L1_Format</group>
      <groupName>格式问题</groupName>
      <ability>L2_HalfPunc</ability>
      <abilityName>全半角检查</abilityName>
      <candidateList>
        <item>）</item>
      </candidateList>
      <explain>文本全半角错误。</explain>
      <paraID>7EEAFC6E</paraID>
      <start>45</start>
      <end>46</end>
      <status>unmodified</status>
      <modifiedWord/>
      <trackRevisions>false</trackRevisions>
    </reviewItem>
    <reviewItem>
      <errorID>14384c19-7b07-4efb-b1dc-49c5c2bcd6e4</errorID>
      <errorWord>(</errorWord>
      <group>L1_Format</group>
      <groupName>格式问题</groupName>
      <ability>L2_HalfPunc</ability>
      <abilityName>全半角检查</abilityName>
      <candidateList>
        <item>（</item>
      </candidateList>
      <explain>文本全半角错误。</explain>
      <paraID>7F98FB66</paraID>
      <start>24</start>
      <end>25</end>
      <status>unmodified</status>
      <modifiedWord/>
      <trackRevisions>false</trackRevisions>
    </reviewItem>
    <reviewItem>
      <errorID>e1907637-e962-449b-bb10-18a836bfac7b</errorID>
      <errorWord>)</errorWord>
      <group>L1_Format</group>
      <groupName>格式问题</groupName>
      <ability>L2_HalfPunc</ability>
      <abilityName>全半角检查</abilityName>
      <candidateList>
        <item>）</item>
      </candidateList>
      <explain>文本全半角错误。</explain>
      <paraID>7F98FB66</paraID>
      <start>27</start>
      <end>28</end>
      <status>unmodified</status>
      <modifiedWord/>
      <trackRevisions>false</trackRevisions>
    </reviewItem>
    <reviewItem>
      <errorID>3e4072ae-2e6c-4f17-b500-ddc0dc7d9b69</errorID>
      <errorWord>(</errorWord>
      <group>L1_Format</group>
      <groupName>格式问题</groupName>
      <ability>L2_HalfPunc</ability>
      <abilityName>全半角检查</abilityName>
      <candidateList>
        <item>（</item>
      </candidateList>
      <explain>文本全半角错误。</explain>
      <paraID>5C01F394</paraID>
      <start>43</start>
      <end>44</end>
      <status>unmodified</status>
      <modifiedWord/>
      <trackRevisions>false</trackRevisions>
    </reviewItem>
    <reviewItem>
      <errorID>ab887505-c613-4490-9042-6405f39b1937</errorID>
      <errorWord>)</errorWord>
      <group>L1_Format</group>
      <groupName>格式问题</groupName>
      <ability>L2_HalfPunc</ability>
      <abilityName>全半角检查</abilityName>
      <candidateList>
        <item>）</item>
      </candidateList>
      <explain>文本全半角错误。</explain>
      <paraID>5C01F394</paraID>
      <start>46</start>
      <end>47</end>
      <status>unmodified</status>
      <modifiedWord/>
      <trackRevisions>false</trackRevisions>
    </reviewItem>
    <reviewItem>
      <errorID>9586848d-0c73-46e7-b482-ca4f5156ff60</errorID>
      <errorWord>(</errorWord>
      <group>L1_Format</group>
      <groupName>格式问题</groupName>
      <ability>L2_HalfPunc</ability>
      <abilityName>全半角检查</abilityName>
      <candidateList>
        <item>（</item>
      </candidateList>
      <explain>文本全半角错误。</explain>
      <paraID>5C01F394</paraID>
      <start>49</start>
      <end>50</end>
      <status>unmodified</status>
      <modifiedWord/>
      <trackRevisions>false</trackRevisions>
    </reviewItem>
    <reviewItem>
      <errorID>55dcd9e3-c599-426c-96b3-055d90ecc0f7</errorID>
      <errorWord>)</errorWord>
      <group>L1_Format</group>
      <groupName>格式问题</groupName>
      <ability>L2_HalfPunc</ability>
      <abilityName>全半角检查</abilityName>
      <candidateList>
        <item>）</item>
      </candidateList>
      <explain>文本全半角错误。</explain>
      <paraID>5C01F394</paraID>
      <start>52</start>
      <end>53</end>
      <status>unmodified</status>
      <modifiedWord/>
      <trackRevisions>false</trackRevisions>
    </reviewItem>
    <reviewItem>
      <errorID>a035f0d5-a934-4878-8466-1737f2ccede9</errorID>
      <errorWord>(</errorWord>
      <group>L1_Format</group>
      <groupName>格式问题</groupName>
      <ability>L2_HalfPunc</ability>
      <abilityName>全半角检查</abilityName>
      <candidateList>
        <item>（</item>
      </candidateList>
      <explain>文本全半角错误。</explain>
      <paraID>38D42205</paraID>
      <start>25</start>
      <end>26</end>
      <status>unmodified</status>
      <modifiedWord/>
      <trackRevisions>false</trackRevisions>
    </reviewItem>
    <reviewItem>
      <errorID>da6da058-d767-472e-8449-4c09840a7c1a</errorID>
      <errorWord>)</errorWord>
      <group>L1_Format</group>
      <groupName>格式问题</groupName>
      <ability>L2_HalfPunc</ability>
      <abilityName>全半角检查</abilityName>
      <candidateList>
        <item>）</item>
      </candidateList>
      <explain>文本全半角错误。</explain>
      <paraID>38D42205</paraID>
      <start>28</start>
      <end>29</end>
      <status>unmodified</status>
      <modifiedWord/>
      <trackRevisions>false</trackRevisions>
    </reviewItem>
    <reviewItem>
      <errorID>0f6a11b5-23d1-4ce6-812e-360ab6cfaece</errorID>
      <errorWord>(</errorWord>
      <group>L1_Format</group>
      <groupName>格式问题</groupName>
      <ability>L2_HalfPunc</ability>
      <abilityName>全半角检查</abilityName>
      <candidateList>
        <item>（</item>
      </candidateList>
      <explain>文本全半角错误。</explain>
      <paraID>1B6D5E90</paraID>
      <start>41</start>
      <end>42</end>
      <status>unmodified</status>
      <modifiedWord/>
      <trackRevisions>false</trackRevisions>
    </reviewItem>
    <reviewItem>
      <errorID>0805897a-2cca-42b9-9d5b-8fbc20e77780</errorID>
      <errorWord>)</errorWord>
      <group>L1_Format</group>
      <groupName>格式问题</groupName>
      <ability>L2_HalfPunc</ability>
      <abilityName>全半角检查</abilityName>
      <candidateList>
        <item>）</item>
      </candidateList>
      <explain>文本全半角错误。</explain>
      <paraID>1B6D5E90</paraID>
      <start>44</start>
      <end>45</end>
      <status>unmodified</status>
      <modifiedWord/>
      <trackRevisions>false</trackRevisions>
    </reviewItem>
    <reviewItem>
      <errorID>07663503-580a-4a9a-a4a5-e684b1328422</errorID>
      <errorWord>(</errorWord>
      <group>L1_Format</group>
      <groupName>格式问题</groupName>
      <ability>L2_HalfPunc</ability>
      <abilityName>全半角检查</abilityName>
      <candidateList>
        <item>（</item>
      </candidateList>
      <explain>文本全半角错误。</explain>
      <paraID>1B6D5E90</paraID>
      <start>47</start>
      <end>48</end>
      <status>unmodified</status>
      <modifiedWord/>
      <trackRevisions>false</trackRevisions>
    </reviewItem>
    <reviewItem>
      <errorID>692de3a3-452b-4438-972e-9969f40c49e3</errorID>
      <errorWord>)</errorWord>
      <group>L1_Format</group>
      <groupName>格式问题</groupName>
      <ability>L2_HalfPunc</ability>
      <abilityName>全半角检查</abilityName>
      <candidateList>
        <item>）</item>
      </candidateList>
      <explain>文本全半角错误。</explain>
      <paraID>1B6D5E90</paraID>
      <start>50</start>
      <end>51</end>
      <status>unmodified</status>
      <modifiedWord/>
      <trackRevisions>false</trackRevisions>
    </reviewItem>
    <reviewItem>
      <errorID>1d8aad31-12e1-43a6-b14f-7ce80f81e1f6</errorID>
      <errorWord>提出质疑</errorWord>
      <group>L1_Word</group>
      <groupName>字词问题</groupName>
      <ability>L2_Typo</ability>
      <abilityName>字词错误</abilityName>
      <candidateList>
        <item>质疑</item>
      </candidateList>
      <explain>〈动〉提出疑问：～问难。</explain>
      <paraID>19A999B0</paraID>
      <start>53</start>
      <end>57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4a24ad0-7b95-4e2a-a921-fee9cefdc286}">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148</Pages>
  <Words>845</Words>
  <Characters>1101</Characters>
  <Lines>3690</Lines>
  <Paragraphs>2881</Paragraphs>
  <TotalTime>0</TotalTime>
  <ScaleCrop>false</ScaleCrop>
  <LinksUpToDate>false</LinksUpToDate>
  <CharactersWithSpaces>1389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2025-04-07T09:24:00Z</dcterms:created>
  <dc:creator>NTKO</dc:creator>
  <cp:lastModifiedBy>鞠丰泽</cp:lastModifiedBy>
  <cp:lastPrinted>2022-11-16T04:13:00Z</cp:lastPrinted>
  <dcterms:modified xsi:type="dcterms:W3CDTF">2026-07-30T07:48:13Z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997E8DA894384EAD8F6902D6F2344553_13</vt:lpwstr>
  </property>
  <property fmtid="{D5CDD505-2E9C-101B-9397-08002B2CF9AE}" pid="4" name="KSOTemplateDocerSaveRecord">
    <vt:lpwstr>eyJoZGlkIjoiNzA2ODhiZDJmY2ZiZGE1MjYwMmI0MDc5ZmFmMjI3M2QiLCJ1c2VySWQiOiI4MTcwMzMwNTcifQ==</vt:lpwstr>
  </property>
</Properties>
</file>