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22B2F">
      <w:pPr>
        <w:shd w:val="clear"/>
        <w:spacing w:before="165" w:beforeLines="50" w:line="360" w:lineRule="auto"/>
        <w:jc w:val="center"/>
        <w:rPr>
          <w:rFonts w:hint="eastAsia" w:ascii="方正小标宋_GBK" w:hAnsi="方正小标宋_GBK" w:eastAsia="方正小标宋_GBK" w:cs="方正小标宋_GBK"/>
          <w:color w:val="auto"/>
          <w:sz w:val="36"/>
          <w:szCs w:val="36"/>
          <w:highlight w:val="none"/>
          <w:lang w:eastAsia="zh-CN"/>
        </w:rPr>
      </w:pPr>
    </w:p>
    <w:p w14:paraId="41A0CD33">
      <w:pPr>
        <w:shd w:val="clear"/>
        <w:spacing w:before="165" w:beforeLines="50" w:line="360" w:lineRule="auto"/>
        <w:jc w:val="center"/>
        <w:rPr>
          <w:rFonts w:hint="eastAsia" w:ascii="方正小标宋_GBK" w:hAnsi="方正小标宋_GBK" w:eastAsia="方正小标宋_GBK" w:cs="方正小标宋_GBK"/>
          <w:color w:val="auto"/>
          <w:sz w:val="36"/>
          <w:szCs w:val="36"/>
          <w:highlight w:val="none"/>
          <w:lang w:eastAsia="zh-CN"/>
        </w:rPr>
      </w:pPr>
      <w:r>
        <w:rPr>
          <w:rFonts w:hint="eastAsia" w:ascii="方正小标宋_GBK" w:hAnsi="方正小标宋_GBK" w:eastAsia="方正小标宋_GBK" w:cs="方正小标宋_GBK"/>
          <w:color w:val="auto"/>
          <w:sz w:val="36"/>
          <w:szCs w:val="36"/>
          <w:highlight w:val="none"/>
          <w:lang w:eastAsia="zh-CN"/>
        </w:rPr>
        <w:drawing>
          <wp:anchor distT="0" distB="0" distL="114300" distR="114300" simplePos="0" relativeHeight="251663360" behindDoc="0" locked="0" layoutInCell="1" allowOverlap="1">
            <wp:simplePos x="0" y="0"/>
            <wp:positionH relativeFrom="column">
              <wp:posOffset>-935990</wp:posOffset>
            </wp:positionH>
            <wp:positionV relativeFrom="paragraph">
              <wp:posOffset>-1409700</wp:posOffset>
            </wp:positionV>
            <wp:extent cx="7560310" cy="10692130"/>
            <wp:effectExtent l="0" t="0" r="2540" b="13970"/>
            <wp:wrapNone/>
            <wp:docPr id="2" name="图片 2" descr="封面 (盖章)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 (盖章)_01"/>
                    <pic:cNvPicPr>
                      <a:picLocks noChangeAspect="1"/>
                    </pic:cNvPicPr>
                  </pic:nvPicPr>
                  <pic:blipFill>
                    <a:blip r:embed="rId10"/>
                    <a:stretch>
                      <a:fillRect/>
                    </a:stretch>
                  </pic:blipFill>
                  <pic:spPr>
                    <a:xfrm>
                      <a:off x="0" y="0"/>
                      <a:ext cx="7560310" cy="10692130"/>
                    </a:xfrm>
                    <a:prstGeom prst="rect">
                      <a:avLst/>
                    </a:prstGeom>
                  </pic:spPr>
                </pic:pic>
              </a:graphicData>
            </a:graphic>
          </wp:anchor>
        </w:drawing>
      </w:r>
    </w:p>
    <w:p w14:paraId="5B81E55B">
      <w:pPr>
        <w:shd w:val="clear"/>
        <w:spacing w:before="165" w:beforeLines="50" w:line="360" w:lineRule="auto"/>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广西壮族自治区政府采购</w:t>
      </w:r>
    </w:p>
    <w:p w14:paraId="3E17B404">
      <w:pPr>
        <w:shd w:val="clear"/>
        <w:spacing w:before="165" w:beforeLines="50" w:line="360" w:lineRule="auto"/>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竞争性</w:t>
      </w:r>
      <w:r>
        <w:rPr>
          <w:rFonts w:hint="eastAsia" w:ascii="方正小标宋_GBK" w:hAnsi="方正小标宋_GBK" w:eastAsia="方正小标宋_GBK" w:cs="方正小标宋_GBK"/>
          <w:color w:val="auto"/>
          <w:sz w:val="36"/>
          <w:szCs w:val="36"/>
          <w:highlight w:val="none"/>
          <w:lang w:val="en-US" w:eastAsia="zh-CN"/>
        </w:rPr>
        <w:t>谈判</w:t>
      </w:r>
      <w:r>
        <w:rPr>
          <w:rFonts w:hint="eastAsia" w:ascii="方正小标宋_GBK" w:hAnsi="方正小标宋_GBK" w:eastAsia="方正小标宋_GBK" w:cs="方正小标宋_GBK"/>
          <w:color w:val="auto"/>
          <w:sz w:val="36"/>
          <w:szCs w:val="36"/>
          <w:highlight w:val="none"/>
        </w:rPr>
        <w:t>文件范本（</w:t>
      </w:r>
      <w:r>
        <w:rPr>
          <w:rFonts w:hint="eastAsia" w:ascii="方正小标宋_GBK" w:hAnsi="方正小标宋_GBK" w:eastAsia="方正小标宋_GBK" w:cs="方正小标宋_GBK"/>
          <w:color w:val="auto"/>
          <w:sz w:val="36"/>
          <w:szCs w:val="36"/>
          <w:highlight w:val="none"/>
          <w:lang w:val="en-US" w:eastAsia="zh-CN"/>
        </w:rPr>
        <w:t>货物</w:t>
      </w:r>
      <w:r>
        <w:rPr>
          <w:rFonts w:hint="eastAsia" w:ascii="方正小标宋_GBK" w:hAnsi="方正小标宋_GBK" w:eastAsia="方正小标宋_GBK" w:cs="方正小标宋_GBK"/>
          <w:color w:val="auto"/>
          <w:sz w:val="36"/>
          <w:szCs w:val="36"/>
          <w:highlight w:val="none"/>
        </w:rPr>
        <w:t>类）</w:t>
      </w:r>
    </w:p>
    <w:p w14:paraId="0DECC466">
      <w:pPr>
        <w:shd w:val="clear"/>
        <w:spacing w:before="165" w:beforeLines="50" w:line="360" w:lineRule="auto"/>
        <w:jc w:val="center"/>
        <w:rPr>
          <w:rFonts w:hint="eastAsia" w:ascii="宋体" w:hAnsi="宋体" w:eastAsia="宋体" w:cs="宋体"/>
          <w:color w:val="auto"/>
          <w:sz w:val="36"/>
          <w:szCs w:val="36"/>
          <w:highlight w:val="none"/>
        </w:rPr>
      </w:pPr>
    </w:p>
    <w:p w14:paraId="3CFA447B">
      <w:pPr>
        <w:shd w:val="clear"/>
        <w:snapToGrid w:val="0"/>
        <w:spacing w:before="165" w:beforeLines="50" w:line="360" w:lineRule="auto"/>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竞争性</w:t>
      </w:r>
      <w:r>
        <w:rPr>
          <w:rFonts w:hint="eastAsia" w:ascii="方正小标宋_GBK" w:hAnsi="方正小标宋_GBK" w:eastAsia="方正小标宋_GBK" w:cs="方正小标宋_GBK"/>
          <w:color w:val="auto"/>
          <w:sz w:val="44"/>
          <w:szCs w:val="44"/>
          <w:highlight w:val="none"/>
          <w:lang w:val="en-US" w:eastAsia="zh-CN"/>
        </w:rPr>
        <w:t>谈判</w:t>
      </w:r>
      <w:r>
        <w:rPr>
          <w:rFonts w:hint="eastAsia" w:ascii="方正小标宋_GBK" w:hAnsi="方正小标宋_GBK" w:eastAsia="方正小标宋_GBK" w:cs="方正小标宋_GBK"/>
          <w:color w:val="auto"/>
          <w:sz w:val="44"/>
          <w:szCs w:val="44"/>
          <w:highlight w:val="none"/>
        </w:rPr>
        <w:t>文件</w:t>
      </w:r>
    </w:p>
    <w:p w14:paraId="5CC58060">
      <w:pPr>
        <w:shd w:val="clea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4C9838AE">
      <w:pPr>
        <w:shd w:val="clear"/>
        <w:spacing w:line="360" w:lineRule="auto"/>
        <w:rPr>
          <w:rFonts w:hint="eastAsia" w:ascii="宋体" w:hAnsi="宋体" w:eastAsia="宋体" w:cs="宋体"/>
          <w:b/>
          <w:color w:val="auto"/>
          <w:sz w:val="32"/>
          <w:szCs w:val="32"/>
          <w:highlight w:val="none"/>
        </w:rPr>
      </w:pPr>
    </w:p>
    <w:p w14:paraId="1BCD9EB4">
      <w:pPr>
        <w:shd w:val="clear"/>
        <w:spacing w:line="480" w:lineRule="auto"/>
        <w:jc w:val="center"/>
        <w:rPr>
          <w:rFonts w:hint="eastAsia" w:ascii="宋体" w:hAnsi="宋体" w:eastAsia="宋体" w:cs="宋体"/>
          <w:b/>
          <w:color w:val="auto"/>
          <w:sz w:val="32"/>
          <w:szCs w:val="32"/>
          <w:highlight w:val="none"/>
        </w:rPr>
      </w:pPr>
    </w:p>
    <w:p w14:paraId="3AF48A60">
      <w:pPr>
        <w:shd w:val="clear"/>
        <w:spacing w:line="400" w:lineRule="exact"/>
        <w:rPr>
          <w:rFonts w:hint="eastAsia" w:ascii="宋体" w:hAnsi="宋体" w:eastAsia="宋体" w:cs="宋体"/>
          <w:b/>
          <w:color w:val="auto"/>
          <w:sz w:val="30"/>
          <w:szCs w:val="30"/>
          <w:highlight w:val="none"/>
        </w:rPr>
      </w:pPr>
    </w:p>
    <w:p w14:paraId="0B4E3490">
      <w:pPr>
        <w:shd w:val="clear"/>
        <w:spacing w:line="400" w:lineRule="exact"/>
        <w:ind w:firstLine="1274" w:firstLineChars="423"/>
        <w:rPr>
          <w:rFonts w:hint="eastAsia" w:ascii="宋体" w:hAnsi="宋体" w:eastAsia="宋体" w:cs="宋体"/>
          <w:b/>
          <w:bCs/>
          <w:color w:val="auto"/>
          <w:sz w:val="30"/>
          <w:szCs w:val="30"/>
          <w:highlight w:val="none"/>
          <w:u w:val="single"/>
          <w:lang w:eastAsia="zh-CN"/>
        </w:rPr>
      </w:pPr>
      <w:r>
        <w:rPr>
          <w:rFonts w:hint="eastAsia" w:ascii="宋体" w:hAnsi="宋体" w:eastAsia="宋体" w:cs="宋体"/>
          <w:b/>
          <w:color w:val="auto"/>
          <w:sz w:val="30"/>
          <w:szCs w:val="30"/>
          <w:highlight w:val="none"/>
        </w:rPr>
        <w:t>项目编号：GXZC2026-J1-002013-GXYZ</w:t>
      </w:r>
    </w:p>
    <w:p w14:paraId="4DC56A63">
      <w:pPr>
        <w:shd w:val="clear"/>
        <w:spacing w:line="4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14:paraId="2D1B012E">
      <w:pPr>
        <w:shd w:val="clear"/>
        <w:spacing w:line="400" w:lineRule="exact"/>
        <w:ind w:left="2770" w:leftChars="609" w:hanging="1491" w:hangingChars="495"/>
        <w:rPr>
          <w:rFonts w:hint="eastAsia" w:ascii="宋体" w:hAnsi="宋体" w:eastAsia="宋体" w:cs="宋体"/>
          <w:b/>
          <w:bCs/>
          <w:color w:val="auto"/>
          <w:sz w:val="30"/>
          <w:szCs w:val="30"/>
          <w:highlight w:val="none"/>
          <w:u w:val="single"/>
          <w:lang w:eastAsia="zh-CN"/>
        </w:rPr>
      </w:pPr>
      <w:r>
        <w:rPr>
          <w:rFonts w:hint="eastAsia" w:ascii="宋体" w:hAnsi="宋体" w:eastAsia="宋体" w:cs="宋体"/>
          <w:b/>
          <w:color w:val="auto"/>
          <w:sz w:val="30"/>
          <w:szCs w:val="30"/>
          <w:highlight w:val="none"/>
        </w:rPr>
        <w:t>项目名称：</w:t>
      </w:r>
      <w:r>
        <w:rPr>
          <w:rFonts w:hint="eastAsia" w:ascii="宋体" w:hAnsi="宋体" w:eastAsia="宋体" w:cs="宋体"/>
          <w:b/>
          <w:bCs/>
          <w:color w:val="auto"/>
          <w:sz w:val="30"/>
          <w:szCs w:val="30"/>
          <w:highlight w:val="none"/>
          <w:u w:val="single"/>
          <w:lang w:eastAsia="zh-CN"/>
        </w:rPr>
        <w:t>智慧课堂评课系统建设项目</w:t>
      </w:r>
    </w:p>
    <w:p w14:paraId="7DAD392E">
      <w:pPr>
        <w:shd w:val="clear"/>
        <w:spacing w:line="400" w:lineRule="exact"/>
        <w:ind w:left="2770" w:leftChars="609" w:hanging="1491" w:hangingChars="495"/>
        <w:rPr>
          <w:rFonts w:hint="eastAsia" w:ascii="宋体" w:hAnsi="宋体" w:eastAsia="宋体" w:cs="宋体"/>
          <w:b/>
          <w:bCs/>
          <w:color w:val="auto"/>
          <w:sz w:val="30"/>
          <w:szCs w:val="30"/>
          <w:highlight w:val="none"/>
          <w:u w:val="single"/>
        </w:rPr>
      </w:pPr>
    </w:p>
    <w:p w14:paraId="2F3EDAB9">
      <w:pPr>
        <w:shd w:val="clear"/>
        <w:spacing w:line="400" w:lineRule="exact"/>
        <w:ind w:left="2770" w:leftChars="609" w:hanging="1491" w:hangingChars="495"/>
        <w:rPr>
          <w:rFonts w:hint="eastAsia" w:ascii="宋体" w:hAnsi="宋体" w:eastAsia="宋体" w:cs="宋体"/>
          <w:b/>
          <w:bCs/>
          <w:color w:val="auto"/>
          <w:sz w:val="30"/>
          <w:szCs w:val="30"/>
          <w:highlight w:val="none"/>
          <w:u w:val="single"/>
        </w:rPr>
      </w:pPr>
      <w:r>
        <w:rPr>
          <w:rFonts w:hint="eastAsia" w:ascii="宋体" w:hAnsi="宋体" w:eastAsia="宋体" w:cs="宋体"/>
          <w:b/>
          <w:bCs/>
          <w:color w:val="auto"/>
          <w:sz w:val="30"/>
          <w:szCs w:val="30"/>
          <w:highlight w:val="none"/>
        </w:rPr>
        <w:t>项目所属区划：</w:t>
      </w:r>
      <w:r>
        <w:rPr>
          <w:rFonts w:hint="eastAsia" w:ascii="宋体" w:hAnsi="宋体" w:eastAsia="宋体" w:cs="宋体"/>
          <w:b/>
          <w:bCs/>
          <w:color w:val="auto"/>
          <w:sz w:val="30"/>
          <w:szCs w:val="30"/>
          <w:highlight w:val="none"/>
          <w:u w:val="single"/>
        </w:rPr>
        <w:t>广西壮族自治区</w:t>
      </w:r>
    </w:p>
    <w:p w14:paraId="6C7A12BD">
      <w:pPr>
        <w:shd w:val="clear"/>
        <w:spacing w:line="400" w:lineRule="exact"/>
        <w:ind w:left="2770" w:leftChars="609" w:hanging="1491" w:hangingChars="495"/>
        <w:rPr>
          <w:rFonts w:hint="eastAsia" w:ascii="宋体" w:hAnsi="宋体" w:eastAsia="宋体" w:cs="宋体"/>
          <w:b/>
          <w:color w:val="auto"/>
          <w:sz w:val="30"/>
          <w:szCs w:val="30"/>
          <w:highlight w:val="none"/>
        </w:rPr>
      </w:pPr>
    </w:p>
    <w:p w14:paraId="36FC12E7">
      <w:pPr>
        <w:shd w:val="clear"/>
        <w:spacing w:line="400" w:lineRule="exact"/>
        <w:ind w:left="2770" w:leftChars="609" w:hanging="1491" w:hangingChars="495"/>
        <w:rPr>
          <w:rFonts w:hint="eastAsia" w:ascii="宋体" w:hAnsi="宋体" w:eastAsia="宋体" w:cs="宋体"/>
          <w:b/>
          <w:color w:val="auto"/>
          <w:sz w:val="30"/>
          <w:szCs w:val="30"/>
          <w:highlight w:val="none"/>
        </w:rPr>
      </w:pPr>
    </w:p>
    <w:p w14:paraId="15F4A78D">
      <w:pPr>
        <w:shd w:val="clear"/>
        <w:spacing w:line="400" w:lineRule="exact"/>
        <w:ind w:left="2764" w:leftChars="609" w:hanging="1485" w:hangingChars="495"/>
        <w:rPr>
          <w:rFonts w:hint="eastAsia" w:ascii="宋体" w:hAnsi="宋体" w:eastAsia="宋体" w:cs="宋体"/>
          <w:b/>
          <w:color w:val="auto"/>
          <w:sz w:val="30"/>
          <w:szCs w:val="30"/>
          <w:highlight w:val="none"/>
        </w:rPr>
      </w:pPr>
      <w:r>
        <w:rPr>
          <w:rFonts w:hint="eastAsia" w:ascii="宋体" w:hAnsi="宋体" w:eastAsia="宋体" w:cs="Times New Roman"/>
          <w:color w:val="auto"/>
          <w:sz w:val="30"/>
          <w:szCs w:val="30"/>
          <w:highlight w:val="none"/>
        </w:rPr>
        <w:drawing>
          <wp:anchor distT="0" distB="0" distL="114300" distR="114300" simplePos="0" relativeHeight="251662336" behindDoc="1" locked="0" layoutInCell="1" allowOverlap="1">
            <wp:simplePos x="0" y="0"/>
            <wp:positionH relativeFrom="column">
              <wp:posOffset>3019425</wp:posOffset>
            </wp:positionH>
            <wp:positionV relativeFrom="paragraph">
              <wp:posOffset>6003925</wp:posOffset>
            </wp:positionV>
            <wp:extent cx="2511425" cy="2037715"/>
            <wp:effectExtent l="0" t="0" r="0" b="0"/>
            <wp:wrapNone/>
            <wp:docPr id="8" name="图片 2" descr="广西邕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广西邕政"/>
                    <pic:cNvPicPr>
                      <a:picLocks noChangeAspect="1"/>
                    </pic:cNvPicPr>
                  </pic:nvPicPr>
                  <pic:blipFill>
                    <a:blip r:embed="rId11"/>
                    <a:stretch>
                      <a:fillRect/>
                    </a:stretch>
                  </pic:blipFill>
                  <pic:spPr>
                    <a:xfrm>
                      <a:off x="0" y="0"/>
                      <a:ext cx="2511425" cy="2037715"/>
                    </a:xfrm>
                    <a:prstGeom prst="rect">
                      <a:avLst/>
                    </a:prstGeom>
                    <a:noFill/>
                    <a:ln>
                      <a:noFill/>
                    </a:ln>
                  </pic:spPr>
                </pic:pic>
              </a:graphicData>
            </a:graphic>
          </wp:anchor>
        </w:drawing>
      </w:r>
    </w:p>
    <w:p w14:paraId="67C0340D">
      <w:pPr>
        <w:shd w:val="clear"/>
        <w:spacing w:line="400" w:lineRule="exact"/>
        <w:ind w:firstLine="1205" w:firstLineChars="4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采购</w:t>
      </w:r>
      <w:r>
        <w:rPr>
          <w:rFonts w:hint="eastAsia" w:ascii="宋体" w:hAnsi="宋体" w:eastAsia="宋体" w:cs="宋体"/>
          <w:b/>
          <w:color w:val="auto"/>
          <w:sz w:val="30"/>
          <w:szCs w:val="30"/>
          <w:highlight w:val="none"/>
          <w:lang w:val="en-US" w:eastAsia="zh-CN"/>
        </w:rPr>
        <w:t>人</w:t>
      </w:r>
      <w:r>
        <w:rPr>
          <w:rFonts w:hint="eastAsia" w:ascii="宋体" w:hAnsi="宋体" w:eastAsia="宋体" w:cs="宋体"/>
          <w:b/>
          <w:color w:val="auto"/>
          <w:sz w:val="30"/>
          <w:szCs w:val="30"/>
          <w:highlight w:val="none"/>
        </w:rPr>
        <w:t>：</w:t>
      </w:r>
      <w:r>
        <w:rPr>
          <w:rFonts w:hint="eastAsia" w:ascii="Times New Roman" w:hAnsi="宋体" w:eastAsia="宋体" w:cs="宋体"/>
          <w:b/>
          <w:bCs/>
          <w:color w:val="auto"/>
          <w:w w:val="95"/>
          <w:sz w:val="30"/>
          <w:szCs w:val="30"/>
          <w:highlight w:val="none"/>
          <w:lang w:eastAsia="zh-CN"/>
        </w:rPr>
        <w:t>广西物流职业技术学院</w:t>
      </w:r>
    </w:p>
    <w:p w14:paraId="2A308436">
      <w:pPr>
        <w:shd w:val="clear"/>
        <w:spacing w:line="400" w:lineRule="exact"/>
        <w:ind w:firstLine="1205" w:firstLineChars="4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14:paraId="6BE3811C">
      <w:pPr>
        <w:shd w:val="clear"/>
        <w:spacing w:line="400" w:lineRule="exact"/>
        <w:ind w:firstLine="1190" w:firstLineChars="395"/>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采购代理机构：广西邕</w:t>
      </w:r>
      <w:r>
        <w:rPr>
          <w:rFonts w:hint="eastAsia" w:ascii="宋体" w:hAnsi="宋体" w:eastAsia="宋体" w:cs="Times New Roman"/>
          <w:color w:val="auto"/>
          <w:sz w:val="30"/>
          <w:szCs w:val="30"/>
          <w:highlight w:val="none"/>
        </w:rPr>
        <w:drawing>
          <wp:anchor distT="0" distB="0" distL="114300" distR="114300" simplePos="0" relativeHeight="251661312" behindDoc="1" locked="0" layoutInCell="1" allowOverlap="1">
            <wp:simplePos x="0" y="0"/>
            <wp:positionH relativeFrom="column">
              <wp:posOffset>3019425</wp:posOffset>
            </wp:positionH>
            <wp:positionV relativeFrom="paragraph">
              <wp:posOffset>6003925</wp:posOffset>
            </wp:positionV>
            <wp:extent cx="2511425" cy="2037715"/>
            <wp:effectExtent l="0" t="0" r="0" b="0"/>
            <wp:wrapNone/>
            <wp:docPr id="9" name="图片 2" descr="广西邕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广西邕政"/>
                    <pic:cNvPicPr>
                      <a:picLocks noChangeAspect="1"/>
                    </pic:cNvPicPr>
                  </pic:nvPicPr>
                  <pic:blipFill>
                    <a:blip r:embed="rId11"/>
                    <a:stretch>
                      <a:fillRect/>
                    </a:stretch>
                  </pic:blipFill>
                  <pic:spPr>
                    <a:xfrm>
                      <a:off x="0" y="0"/>
                      <a:ext cx="2511425" cy="2037715"/>
                    </a:xfrm>
                    <a:prstGeom prst="rect">
                      <a:avLst/>
                    </a:prstGeom>
                    <a:noFill/>
                    <a:ln>
                      <a:noFill/>
                    </a:ln>
                  </pic:spPr>
                </pic:pic>
              </a:graphicData>
            </a:graphic>
          </wp:anchor>
        </w:drawing>
      </w:r>
      <w:r>
        <w:rPr>
          <w:rFonts w:hint="eastAsia" w:ascii="宋体" w:hAnsi="宋体" w:eastAsia="宋体" w:cs="宋体"/>
          <w:b/>
          <w:color w:val="auto"/>
          <w:sz w:val="30"/>
          <w:szCs w:val="30"/>
          <w:highlight w:val="none"/>
        </w:rPr>
        <w:t>政采购代理有限公司</w:t>
      </w:r>
    </w:p>
    <w:p w14:paraId="7A7148FD">
      <w:pPr>
        <w:shd w:val="clear"/>
        <w:spacing w:line="4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14:paraId="0D3461F7">
      <w:pPr>
        <w:shd w:val="clear"/>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0"/>
          <w:szCs w:val="30"/>
          <w:highlight w:val="none"/>
        </w:rPr>
        <w:t>2026年</w:t>
      </w:r>
      <w:r>
        <w:rPr>
          <w:rFonts w:hint="eastAsia" w:ascii="宋体" w:hAnsi="宋体" w:eastAsia="宋体" w:cs="宋体"/>
          <w:b/>
          <w:color w:val="auto"/>
          <w:sz w:val="30"/>
          <w:szCs w:val="30"/>
          <w:highlight w:val="none"/>
          <w:lang w:val="en-US" w:eastAsia="zh-CN"/>
        </w:rPr>
        <w:t>6</w:t>
      </w:r>
      <w:r>
        <w:rPr>
          <w:rFonts w:hint="eastAsia" w:ascii="宋体" w:hAnsi="宋体" w:eastAsia="宋体" w:cs="宋体"/>
          <w:b/>
          <w:color w:val="auto"/>
          <w:sz w:val="30"/>
          <w:szCs w:val="30"/>
          <w:highlight w:val="none"/>
        </w:rPr>
        <w:t>月</w:t>
      </w:r>
    </w:p>
    <w:p w14:paraId="05AFD055">
      <w:pPr>
        <w:shd w:val="clear"/>
        <w:spacing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44"/>
          <w:szCs w:val="44"/>
          <w:highlight w:val="none"/>
        </w:rPr>
        <w:t>目  录</w:t>
      </w:r>
    </w:p>
    <w:p w14:paraId="411D98AD">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ascii="宋体" w:hAnsi="宋体" w:eastAsia="宋体" w:cs="宋体"/>
          <w:b/>
          <w:color w:val="auto"/>
          <w:sz w:val="24"/>
          <w:szCs w:val="24"/>
          <w:highlight w:val="none"/>
        </w:rPr>
      </w:pPr>
    </w:p>
    <w:p w14:paraId="27BAEF9A">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fldChar w:fldCharType="begin"/>
      </w:r>
      <w:r>
        <w:rPr>
          <w:rFonts w:hint="eastAsia" w:ascii="宋体" w:hAnsi="宋体" w:eastAsia="宋体" w:cs="宋体"/>
          <w:b/>
          <w:color w:val="auto"/>
          <w:kern w:val="2"/>
          <w:sz w:val="24"/>
          <w:szCs w:val="24"/>
          <w:highlight w:val="none"/>
          <w:lang w:val="en-US" w:eastAsia="zh-CN" w:bidi="ar-SA"/>
        </w:rPr>
        <w:instrText xml:space="preserve"> TOC \o "1-3" \h \z \u </w:instrText>
      </w:r>
      <w:r>
        <w:rPr>
          <w:rFonts w:hint="eastAsia" w:ascii="宋体" w:hAnsi="宋体" w:eastAsia="宋体" w:cs="宋体"/>
          <w:b/>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_Toc21012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第一章  竞争性谈判公告</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_Toc21012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1</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1F5AD915">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_Toc20359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第二章  供应商须知</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_Toc20359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5</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66A07844">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_Toc18286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第三章  采购需求</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_Toc18286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23</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44CB7325">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_Toc22567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第四章  评审程序、评审方法和评审标准</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_Toc22567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45</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7B67B1C5">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_Toc8481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第五章  响应文件格式</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_Toc8481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56</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68DA9DA2">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firstLine="480" w:firstLine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_Toc26483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一、资格证明文件格式</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_Toc26483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56</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50D1836E">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firstLine="480" w:firstLine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_Toc14506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二、商务技术文件格式</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_Toc14506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65</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014D72A4">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firstLine="480" w:firstLine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_Toc175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三、报价文件格式</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_Toc175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77</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0F9FDAE1">
      <w:pPr>
        <w:keepNext w:val="0"/>
        <w:keepLines w:val="0"/>
        <w:pageBreakBefore w:val="0"/>
        <w:widowControl w:val="0"/>
        <w:shd w:val="clear"/>
        <w:tabs>
          <w:tab w:val="right" w:leader="dot" w:pos="8992"/>
        </w:tabs>
        <w:kinsoku/>
        <w:wordWrap/>
        <w:overflowPunct/>
        <w:topLinePunct w:val="0"/>
        <w:autoSpaceDE/>
        <w:autoSpaceDN/>
        <w:bidi w:val="0"/>
        <w:adjustRightInd/>
        <w:snapToGrid/>
        <w:spacing w:line="500" w:lineRule="exact"/>
        <w:ind w:left="420" w:leftChars="200"/>
        <w:jc w:val="both"/>
        <w:textAlignment w:val="auto"/>
        <w:rPr>
          <w:rFonts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\l _Toc15631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第六章 合同文本</w:t>
      </w:r>
      <w:r>
        <w:rPr>
          <w:rFonts w:ascii="Times New Roman" w:hAnsi="Times New Roman" w:eastAsia="宋体" w:cs="Times New Roman"/>
          <w:color w:val="auto"/>
          <w:kern w:val="2"/>
          <w:sz w:val="24"/>
          <w:szCs w:val="24"/>
          <w:highlight w:val="none"/>
          <w:lang w:val="en-US" w:eastAsia="zh-CN" w:bidi="ar-SA"/>
        </w:rPr>
        <w:tab/>
      </w:r>
      <w:r>
        <w:rPr>
          <w:rFonts w:ascii="Times New Roman" w:hAnsi="Times New Roman" w:eastAsia="宋体" w:cs="Times New Roman"/>
          <w:color w:val="auto"/>
          <w:kern w:val="2"/>
          <w:sz w:val="24"/>
          <w:szCs w:val="24"/>
          <w:highlight w:val="none"/>
          <w:lang w:val="en-US" w:eastAsia="zh-CN" w:bidi="ar-SA"/>
        </w:rPr>
        <w:fldChar w:fldCharType="begin"/>
      </w:r>
      <w:r>
        <w:rPr>
          <w:rFonts w:ascii="Times New Roman" w:hAnsi="Times New Roman" w:eastAsia="宋体" w:cs="Times New Roman"/>
          <w:color w:val="auto"/>
          <w:kern w:val="2"/>
          <w:sz w:val="24"/>
          <w:szCs w:val="24"/>
          <w:highlight w:val="none"/>
          <w:lang w:val="en-US" w:eastAsia="zh-CN" w:bidi="ar-SA"/>
        </w:rPr>
        <w:instrText xml:space="preserve"> PAGEREF _Toc15631 \h </w:instrText>
      </w:r>
      <w:r>
        <w:rPr>
          <w:rFonts w:ascii="Times New Roman" w:hAnsi="Times New Roman" w:eastAsia="宋体" w:cs="Times New Roman"/>
          <w:color w:val="auto"/>
          <w:kern w:val="2"/>
          <w:sz w:val="24"/>
          <w:szCs w:val="24"/>
          <w:highlight w:val="none"/>
          <w:lang w:val="en-US" w:eastAsia="zh-CN" w:bidi="ar-SA"/>
        </w:rPr>
        <w:fldChar w:fldCharType="separate"/>
      </w:r>
      <w:r>
        <w:rPr>
          <w:rFonts w:ascii="Times New Roman" w:hAnsi="Times New Roman" w:eastAsia="宋体" w:cs="Times New Roman"/>
          <w:color w:val="auto"/>
          <w:kern w:val="2"/>
          <w:sz w:val="24"/>
          <w:szCs w:val="24"/>
          <w:highlight w:val="none"/>
          <w:lang w:val="en-US" w:eastAsia="zh-CN" w:bidi="ar-SA"/>
        </w:rPr>
        <w:t>90</w:t>
      </w:r>
      <w:r>
        <w:rPr>
          <w:rFonts w:ascii="Times New Roman" w:hAnsi="Times New Roman" w:eastAsia="宋体" w:cs="Times New Roman"/>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fldChar w:fldCharType="end"/>
      </w:r>
    </w:p>
    <w:p w14:paraId="7821378A">
      <w:pPr>
        <w:keepNext w:val="0"/>
        <w:keepLines w:val="0"/>
        <w:pageBreakBefore w:val="0"/>
        <w:widowControl w:val="0"/>
        <w:shd w:val="clear"/>
        <w:tabs>
          <w:tab w:val="right" w:leader="dot" w:pos="8296"/>
        </w:tabs>
        <w:kinsoku/>
        <w:wordWrap/>
        <w:overflowPunct/>
        <w:topLinePunct w:val="0"/>
        <w:autoSpaceDE/>
        <w:autoSpaceDN/>
        <w:bidi w:val="0"/>
        <w:adjustRightInd/>
        <w:snapToGrid/>
        <w:spacing w:line="500" w:lineRule="exact"/>
        <w:ind w:left="420" w:leftChars="200"/>
        <w:jc w:val="both"/>
        <w:textAlignment w:val="auto"/>
        <w:rPr>
          <w:rFonts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4"/>
          <w:szCs w:val="24"/>
          <w:highlight w:val="none"/>
          <w:lang w:val="en-US" w:eastAsia="zh-CN" w:bidi="ar-SA"/>
        </w:rPr>
        <w:fldChar w:fldCharType="end"/>
      </w:r>
    </w:p>
    <w:p w14:paraId="59555367">
      <w:pPr>
        <w:shd w:val="clear"/>
        <w:spacing w:line="400" w:lineRule="exact"/>
        <w:jc w:val="left"/>
        <w:rPr>
          <w:rFonts w:ascii="宋体" w:hAnsi="宋体" w:eastAsia="宋体" w:cs="宋体"/>
          <w:b/>
          <w:color w:val="auto"/>
          <w:sz w:val="32"/>
          <w:szCs w:val="32"/>
          <w:highlight w:val="none"/>
        </w:rPr>
      </w:pPr>
    </w:p>
    <w:p w14:paraId="30DF487D">
      <w:pPr>
        <w:shd w:val="clear"/>
        <w:spacing w:line="400" w:lineRule="exact"/>
        <w:jc w:val="center"/>
        <w:rPr>
          <w:rFonts w:ascii="宋体" w:hAnsi="宋体" w:eastAsia="宋体" w:cs="宋体"/>
          <w:b/>
          <w:color w:val="auto"/>
          <w:sz w:val="32"/>
          <w:szCs w:val="32"/>
          <w:highlight w:val="none"/>
        </w:rPr>
      </w:pPr>
    </w:p>
    <w:p w14:paraId="58DC907A">
      <w:pPr>
        <w:shd w:val="clear"/>
        <w:spacing w:line="400" w:lineRule="exact"/>
        <w:jc w:val="center"/>
        <w:rPr>
          <w:rFonts w:ascii="宋体" w:hAnsi="宋体" w:eastAsia="宋体" w:cs="宋体"/>
          <w:b/>
          <w:color w:val="auto"/>
          <w:sz w:val="32"/>
          <w:szCs w:val="32"/>
          <w:highlight w:val="none"/>
        </w:rPr>
      </w:pPr>
    </w:p>
    <w:p w14:paraId="5D59447D">
      <w:pPr>
        <w:shd w:val="clear"/>
        <w:spacing w:line="400" w:lineRule="exact"/>
        <w:jc w:val="center"/>
        <w:rPr>
          <w:rFonts w:ascii="宋体" w:hAnsi="宋体" w:eastAsia="宋体" w:cs="宋体"/>
          <w:b/>
          <w:color w:val="auto"/>
          <w:sz w:val="32"/>
          <w:szCs w:val="32"/>
          <w:highlight w:val="none"/>
        </w:rPr>
      </w:pPr>
    </w:p>
    <w:p w14:paraId="4C12CABB">
      <w:pPr>
        <w:shd w:val="clear"/>
        <w:spacing w:line="400" w:lineRule="exact"/>
        <w:jc w:val="center"/>
        <w:rPr>
          <w:rFonts w:ascii="宋体" w:hAnsi="宋体" w:eastAsia="宋体" w:cs="宋体"/>
          <w:b/>
          <w:color w:val="auto"/>
          <w:sz w:val="32"/>
          <w:szCs w:val="32"/>
          <w:highlight w:val="none"/>
        </w:rPr>
      </w:pPr>
    </w:p>
    <w:p w14:paraId="19B39D5F">
      <w:pPr>
        <w:shd w:val="clear"/>
        <w:spacing w:line="400" w:lineRule="exact"/>
        <w:rPr>
          <w:rFonts w:ascii="宋体" w:hAnsi="宋体" w:cs="宋体"/>
          <w:b/>
          <w:color w:val="auto"/>
          <w:sz w:val="32"/>
          <w:szCs w:val="32"/>
          <w:highlight w:val="none"/>
        </w:rPr>
        <w:sectPr>
          <w:headerReference r:id="rId4" w:type="first"/>
          <w:headerReference r:id="rId3" w:type="default"/>
          <w:pgSz w:w="11906" w:h="16838"/>
          <w:pgMar w:top="1440" w:right="1440" w:bottom="1440" w:left="1474" w:header="851" w:footer="992" w:gutter="0"/>
          <w:cols w:space="720" w:num="1"/>
          <w:titlePg/>
          <w:docGrid w:type="lines" w:linePitch="312" w:charSpace="0"/>
        </w:sectPr>
      </w:pPr>
    </w:p>
    <w:p w14:paraId="032A0427">
      <w:pPr>
        <w:keepNext/>
        <w:keepLines/>
        <w:widowControl w:val="0"/>
        <w:shd w:val="clear"/>
        <w:spacing w:before="340" w:beforeLines="0" w:beforeAutospacing="0" w:after="330" w:afterLines="0" w:afterAutospacing="0" w:line="576" w:lineRule="auto"/>
        <w:jc w:val="center"/>
        <w:outlineLvl w:val="0"/>
        <w:rPr>
          <w:rFonts w:ascii="宋体" w:hAnsi="宋体" w:eastAsia="宋体" w:cs="宋体"/>
          <w:b/>
          <w:color w:val="auto"/>
          <w:kern w:val="44"/>
          <w:sz w:val="44"/>
          <w:szCs w:val="24"/>
          <w:highlight w:val="none"/>
          <w:lang w:val="en-US" w:eastAsia="zh-CN" w:bidi="ar-SA"/>
        </w:rPr>
      </w:pPr>
      <w:bookmarkStart w:id="0" w:name="_Toc21012"/>
      <w:r>
        <w:rPr>
          <w:rFonts w:hint="eastAsia" w:ascii="宋体" w:hAnsi="宋体" w:eastAsia="宋体" w:cs="宋体"/>
          <w:b/>
          <w:color w:val="auto"/>
          <w:kern w:val="44"/>
          <w:sz w:val="44"/>
          <w:szCs w:val="24"/>
          <w:highlight w:val="none"/>
          <w:lang w:val="en-US" w:eastAsia="zh-CN" w:bidi="ar-SA"/>
        </w:rPr>
        <w:t>第一章  竞争性谈判公告</w:t>
      </w:r>
      <w:bookmarkEnd w:id="0"/>
    </w:p>
    <w:p w14:paraId="6586C007">
      <w:pPr>
        <w:shd w:val="clear"/>
        <w:spacing w:line="5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智慧课堂评课系统建设项目</w:t>
      </w:r>
      <w:r>
        <w:rPr>
          <w:rFonts w:hint="eastAsia" w:ascii="宋体" w:hAnsi="宋体" w:eastAsia="宋体" w:cs="宋体"/>
          <w:b/>
          <w:bCs/>
          <w:color w:val="auto"/>
          <w:sz w:val="24"/>
          <w:highlight w:val="none"/>
        </w:rPr>
        <w:t>（项目编号：</w:t>
      </w:r>
      <w:r>
        <w:rPr>
          <w:rFonts w:hint="eastAsia" w:ascii="宋体" w:hAnsi="宋体" w:eastAsia="宋体" w:cs="宋体"/>
          <w:b/>
          <w:bCs/>
          <w:color w:val="auto"/>
          <w:sz w:val="24"/>
          <w:szCs w:val="24"/>
          <w:highlight w:val="none"/>
          <w:lang w:eastAsia="zh-CN"/>
        </w:rPr>
        <w:t>GXZC2026-J1-002013-GXYZ</w:t>
      </w:r>
      <w:r>
        <w:rPr>
          <w:rFonts w:hint="eastAsia" w:ascii="宋体" w:hAnsi="宋体" w:eastAsia="宋体" w:cs="宋体"/>
          <w:b/>
          <w:bCs/>
          <w:color w:val="auto"/>
          <w:sz w:val="24"/>
          <w:highlight w:val="none"/>
        </w:rPr>
        <w:t>）竞争性谈判公告</w:t>
      </w:r>
    </w:p>
    <w:p w14:paraId="2577772D">
      <w:pPr>
        <w:shd w:val="clear"/>
        <w:rPr>
          <w:rFonts w:ascii="宋体" w:hAnsi="宋体" w:eastAsia="宋体" w:cs="宋体"/>
          <w:color w:val="auto"/>
          <w:highlight w:val="none"/>
        </w:rPr>
      </w:pPr>
    </w:p>
    <w:p w14:paraId="691249D5">
      <w:pPr>
        <w:pBdr>
          <w:top w:val="single" w:color="auto" w:sz="4" w:space="1"/>
          <w:left w:val="single" w:color="auto" w:sz="4" w:space="4"/>
          <w:bottom w:val="single" w:color="auto" w:sz="4" w:space="1"/>
          <w:right w:val="single" w:color="auto" w:sz="4" w:space="4"/>
        </w:pBdr>
        <w:shd w:val="clear"/>
        <w:spacing w:line="360" w:lineRule="auto"/>
        <w:rPr>
          <w:rFonts w:ascii="宋体" w:hAnsi="宋体" w:eastAsia="宋体" w:cs="宋体"/>
          <w:color w:val="auto"/>
          <w:szCs w:val="21"/>
          <w:highlight w:val="none"/>
        </w:rPr>
      </w:pPr>
      <w:bookmarkStart w:id="1" w:name="_Hlk37430271"/>
      <w:r>
        <w:rPr>
          <w:rFonts w:hint="eastAsia" w:ascii="宋体" w:hAnsi="宋体" w:eastAsia="宋体" w:cs="宋体"/>
          <w:color w:val="auto"/>
          <w:szCs w:val="21"/>
          <w:highlight w:val="none"/>
        </w:rPr>
        <w:t>项目概况</w:t>
      </w:r>
    </w:p>
    <w:p w14:paraId="7BC18AAF">
      <w:pPr>
        <w:keepNext w:val="0"/>
        <w:keepLines w:val="0"/>
        <w:pageBreakBefore w:val="0"/>
        <w:widowControl w:val="0"/>
        <w:pBdr>
          <w:top w:val="single" w:color="auto" w:sz="4" w:space="1"/>
          <w:left w:val="single" w:color="auto" w:sz="4" w:space="4"/>
          <w:bottom w:val="single" w:color="auto" w:sz="4" w:space="1"/>
          <w:right w:val="single" w:color="auto" w:sz="4" w:space="4"/>
        </w:pBdr>
        <w:shd w:val="clear"/>
        <w:kinsoku/>
        <w:wordWrap w:val="0"/>
        <w:overflowPunct/>
        <w:topLinePunct w:val="0"/>
        <w:autoSpaceDE/>
        <w:autoSpaceDN/>
        <w:bidi w:val="0"/>
        <w:adjustRightInd/>
        <w:snapToGrid/>
        <w:spacing w:line="36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智慧课堂评课系统建设项目</w:t>
      </w:r>
      <w:r>
        <w:rPr>
          <w:rFonts w:hint="eastAsia" w:ascii="宋体" w:hAnsi="宋体" w:eastAsia="宋体" w:cs="宋体"/>
          <w:color w:val="auto"/>
          <w:szCs w:val="21"/>
          <w:highlight w:val="none"/>
        </w:rPr>
        <w:t>的潜在供应商应在“广西政府采购云平台”（</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"https://www.zcygov.cn/）获取（下载）采购文件，并于2022年%20%20月" </w:instrText>
      </w:r>
      <w:r>
        <w:rPr>
          <w:rFonts w:ascii="Times New Roman" w:hAnsi="Times New Roman" w:eastAsia="宋体" w:cs="Times New Roman"/>
          <w:color w:val="auto"/>
          <w:highlight w:val="none"/>
        </w:rPr>
        <w:fldChar w:fldCharType="separate"/>
      </w:r>
      <w:r>
        <w:rPr>
          <w:rFonts w:hint="eastAsia" w:ascii="宋体" w:hAnsi="宋体" w:eastAsia="宋体" w:cs="宋体"/>
          <w:color w:val="auto"/>
          <w:szCs w:val="21"/>
          <w:highlight w:val="none"/>
        </w:rPr>
        <w:t>https://www.gcy.zfcg.gxzf.gov.cn）获取（下载）</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szCs w:val="21"/>
          <w:highlight w:val="none"/>
        </w:rPr>
        <w:t>谈判文件，并于</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u w:val="single"/>
          <w:lang w:val="en-US" w:eastAsia="zh-CN"/>
        </w:rPr>
        <w:t>30日</w:t>
      </w:r>
      <w:r>
        <w:rPr>
          <w:rFonts w:hint="eastAsia" w:ascii="宋体" w:hAnsi="宋体" w:eastAsia="宋体" w:cs="宋体"/>
          <w:color w:val="auto"/>
          <w:szCs w:val="21"/>
          <w:highlight w:val="none"/>
          <w:u w:val="single"/>
        </w:rPr>
        <w:t>09时30分</w:t>
      </w:r>
      <w:r>
        <w:rPr>
          <w:rFonts w:hint="eastAsia" w:ascii="宋体" w:hAnsi="宋体" w:eastAsia="宋体" w:cs="宋体"/>
          <w:color w:val="auto"/>
          <w:szCs w:val="21"/>
          <w:highlight w:val="none"/>
        </w:rPr>
        <w:t>（北京时间）前递交（上传）响应文件。</w:t>
      </w:r>
    </w:p>
    <w:p w14:paraId="31432C7C">
      <w:pPr>
        <w:shd w:val="clear"/>
        <w:spacing w:line="360" w:lineRule="auto"/>
        <w:rPr>
          <w:rFonts w:ascii="宋体" w:hAnsi="宋体" w:eastAsia="宋体" w:cs="宋体"/>
          <w:b/>
          <w:bCs/>
          <w:color w:val="auto"/>
          <w:szCs w:val="21"/>
          <w:highlight w:val="none"/>
        </w:rPr>
      </w:pPr>
      <w:bookmarkStart w:id="2" w:name="_Toc28359089"/>
      <w:bookmarkStart w:id="3" w:name="_Toc35393798"/>
      <w:bookmarkStart w:id="4" w:name="_Toc44229878"/>
      <w:bookmarkStart w:id="5" w:name="_Toc35393629"/>
      <w:bookmarkStart w:id="6" w:name="_Toc28359012"/>
      <w:r>
        <w:rPr>
          <w:rFonts w:hint="eastAsia" w:ascii="宋体" w:hAnsi="宋体" w:eastAsia="宋体" w:cs="宋体"/>
          <w:b/>
          <w:bCs/>
          <w:color w:val="auto"/>
          <w:szCs w:val="21"/>
          <w:highlight w:val="none"/>
        </w:rPr>
        <w:t>一、项目基本情况</w:t>
      </w:r>
      <w:bookmarkEnd w:id="2"/>
      <w:bookmarkEnd w:id="3"/>
      <w:bookmarkEnd w:id="4"/>
      <w:bookmarkEnd w:id="5"/>
      <w:bookmarkEnd w:id="6"/>
    </w:p>
    <w:p w14:paraId="262FE7DB">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rPr>
        <w:t>1.项目编号：</w:t>
      </w:r>
      <w:r>
        <w:rPr>
          <w:rFonts w:hint="eastAsia" w:ascii="宋体" w:hAnsi="宋体" w:eastAsia="宋体" w:cs="宋体"/>
          <w:color w:val="auto"/>
          <w:sz w:val="21"/>
          <w:szCs w:val="21"/>
          <w:highlight w:val="none"/>
          <w:lang w:eastAsia="zh-CN"/>
        </w:rPr>
        <w:t>GXZC2026-J1-002013-GXYZ</w:t>
      </w:r>
    </w:p>
    <w:p w14:paraId="3354319B">
      <w:pPr>
        <w:shd w:val="clea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2.采购计划文号：广西政采[2026]12795号-001、广西政采[2026]12795号-002、广西政采[2026]12795号-003</w:t>
      </w:r>
    </w:p>
    <w:p w14:paraId="36CB31DE">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智慧课堂评课系统建设项目</w:t>
      </w:r>
    </w:p>
    <w:p w14:paraId="3A0960B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.采购方式：竞争性谈判</w:t>
      </w:r>
    </w:p>
    <w:p w14:paraId="4235D54E">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.预算金额：人民币</w:t>
      </w:r>
      <w:r>
        <w:rPr>
          <w:rFonts w:hint="eastAsia" w:ascii="宋体" w:hAnsi="宋体" w:eastAsia="宋体" w:cs="宋体"/>
          <w:color w:val="auto"/>
          <w:szCs w:val="21"/>
          <w:highlight w:val="none"/>
          <w:lang w:eastAsia="zh-CN"/>
        </w:rPr>
        <w:t>壹佰贰拾伍万元整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1,250,000.00</w:t>
      </w:r>
      <w:r>
        <w:rPr>
          <w:rFonts w:hint="eastAsia" w:ascii="宋体" w:hAnsi="宋体" w:eastAsia="宋体" w:cs="宋体"/>
          <w:color w:val="auto"/>
          <w:szCs w:val="21"/>
          <w:highlight w:val="none"/>
        </w:rPr>
        <w:t>）</w:t>
      </w:r>
    </w:p>
    <w:p w14:paraId="18728DA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.最高限价：人民币</w:t>
      </w:r>
      <w:r>
        <w:rPr>
          <w:rFonts w:hint="eastAsia" w:ascii="宋体" w:hAnsi="宋体" w:eastAsia="宋体" w:cs="宋体"/>
          <w:color w:val="auto"/>
          <w:szCs w:val="21"/>
          <w:highlight w:val="none"/>
          <w:lang w:eastAsia="zh-CN"/>
        </w:rPr>
        <w:t>壹佰贰拾伍万元整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1,250,000.00</w:t>
      </w:r>
      <w:r>
        <w:rPr>
          <w:rFonts w:hint="eastAsia" w:ascii="宋体" w:hAnsi="宋体" w:eastAsia="宋体" w:cs="宋体"/>
          <w:color w:val="auto"/>
          <w:szCs w:val="21"/>
          <w:highlight w:val="none"/>
        </w:rPr>
        <w:t>）</w:t>
      </w:r>
    </w:p>
    <w:p w14:paraId="18B9ED0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.采购需求：</w:t>
      </w:r>
    </w:p>
    <w:tbl>
      <w:tblPr>
        <w:tblStyle w:val="7"/>
        <w:tblW w:w="9334" w:type="dxa"/>
        <w:tblInd w:w="3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2"/>
        <w:gridCol w:w="1412"/>
        <w:gridCol w:w="1335"/>
        <w:gridCol w:w="5175"/>
      </w:tblGrid>
      <w:tr w14:paraId="27D1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412" w:type="dxa"/>
            <w:noWrap w:val="0"/>
            <w:vAlign w:val="center"/>
          </w:tcPr>
          <w:p w14:paraId="01A93A86">
            <w:pPr>
              <w:widowControl w:val="0"/>
              <w:shd w:val="clear"/>
              <w:wordWrap w:val="0"/>
              <w:spacing w:before="164" w:line="360" w:lineRule="auto"/>
              <w:jc w:val="center"/>
              <w:rPr>
                <w:rFonts w:hint="eastAsia" w:ascii="宋体" w:hAnsi="宋体" w:eastAsia="宋体" w:cs="宋体"/>
                <w:bCs/>
                <w:color w:val="auto"/>
                <w:spacing w:val="0"/>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序号</w:t>
            </w:r>
          </w:p>
        </w:tc>
        <w:tc>
          <w:tcPr>
            <w:tcW w:w="1412" w:type="dxa"/>
            <w:noWrap w:val="0"/>
            <w:vAlign w:val="center"/>
          </w:tcPr>
          <w:p w14:paraId="789DE6E2">
            <w:pPr>
              <w:widowControl w:val="0"/>
              <w:shd w:val="clear"/>
              <w:wordWrap w:val="0"/>
              <w:spacing w:before="164"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标的名称</w:t>
            </w:r>
          </w:p>
        </w:tc>
        <w:tc>
          <w:tcPr>
            <w:tcW w:w="1335" w:type="dxa"/>
            <w:noWrap w:val="0"/>
            <w:vAlign w:val="center"/>
          </w:tcPr>
          <w:p w14:paraId="6D7243D5">
            <w:pPr>
              <w:widowControl w:val="0"/>
              <w:shd w:val="clear"/>
              <w:wordWrap w:val="0"/>
              <w:spacing w:before="164"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数量及单位</w:t>
            </w:r>
          </w:p>
        </w:tc>
        <w:tc>
          <w:tcPr>
            <w:tcW w:w="5175" w:type="dxa"/>
            <w:noWrap w:val="0"/>
            <w:vAlign w:val="center"/>
          </w:tcPr>
          <w:p w14:paraId="46EC82CE">
            <w:pPr>
              <w:widowControl w:val="0"/>
              <w:shd w:val="clear"/>
              <w:wordWrap w:val="0"/>
              <w:spacing w:before="164"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简要技术需求或者服务要求</w:t>
            </w:r>
          </w:p>
        </w:tc>
      </w:tr>
      <w:tr w14:paraId="745D0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12" w:type="dxa"/>
            <w:noWrap w:val="0"/>
            <w:vAlign w:val="center"/>
          </w:tcPr>
          <w:p w14:paraId="72077BE5">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1412" w:type="dxa"/>
            <w:noWrap w:val="0"/>
            <w:vAlign w:val="center"/>
          </w:tcPr>
          <w:p w14:paraId="2AF9294B">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eastAsia" w:ascii="宋体" w:hAnsi="宋体" w:eastAsia="宋体" w:cs="宋体"/>
                <w:bCs/>
                <w:color w:val="auto"/>
                <w:spacing w:val="0"/>
                <w:kern w:val="2"/>
                <w:sz w:val="21"/>
                <w:szCs w:val="21"/>
                <w:highlight w:val="none"/>
                <w:lang w:val="en-US" w:eastAsia="en-US" w:bidi="ar-SA"/>
              </w:rPr>
            </w:pPr>
            <w:r>
              <w:rPr>
                <w:rFonts w:hint="eastAsia" w:ascii="宋体" w:hAnsi="宋体" w:eastAsia="宋体" w:cs="宋体"/>
                <w:bCs/>
                <w:color w:val="auto"/>
                <w:spacing w:val="0"/>
                <w:kern w:val="2"/>
                <w:sz w:val="21"/>
                <w:szCs w:val="21"/>
                <w:highlight w:val="none"/>
                <w:lang w:val="en-US" w:eastAsia="en-US" w:bidi="ar-SA"/>
              </w:rPr>
              <w:t>集控平台终端</w:t>
            </w:r>
          </w:p>
        </w:tc>
        <w:tc>
          <w:tcPr>
            <w:tcW w:w="1335" w:type="dxa"/>
            <w:noWrap w:val="0"/>
            <w:vAlign w:val="center"/>
          </w:tcPr>
          <w:p w14:paraId="0085E3C1">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eastAsia" w:ascii="宋体" w:hAnsi="宋体" w:eastAsia="宋体" w:cs="宋体"/>
                <w:bCs/>
                <w:color w:val="auto"/>
                <w:spacing w:val="0"/>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1套</w:t>
            </w:r>
          </w:p>
        </w:tc>
        <w:tc>
          <w:tcPr>
            <w:tcW w:w="5175" w:type="dxa"/>
            <w:noWrap w:val="0"/>
            <w:vAlign w:val="center"/>
          </w:tcPr>
          <w:p w14:paraId="2DEF0128">
            <w:pPr>
              <w:widowControl w:val="0"/>
              <w:shd w:val="clear"/>
              <w:wordWrap w:val="0"/>
              <w:spacing w:before="164" w:line="360" w:lineRule="auto"/>
              <w:jc w:val="left"/>
              <w:rPr>
                <w:rFonts w:hint="eastAsia" w:ascii="宋体" w:hAnsi="宋体" w:eastAsia="宋体" w:cs="宋体"/>
                <w:bCs/>
                <w:color w:val="auto"/>
                <w:spacing w:val="0"/>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详见竞争性谈判文件。</w:t>
            </w:r>
          </w:p>
        </w:tc>
      </w:tr>
      <w:tr w14:paraId="6EE77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412" w:type="dxa"/>
            <w:noWrap w:val="0"/>
            <w:vAlign w:val="center"/>
          </w:tcPr>
          <w:p w14:paraId="2A95D394">
            <w:pPr>
              <w:widowControl w:val="0"/>
              <w:shd w:val="clear"/>
              <w:wordWrap w:val="0"/>
              <w:spacing w:before="164" w:line="360" w:lineRule="auto"/>
              <w:jc w:val="center"/>
              <w:rPr>
                <w:rFonts w:hint="default" w:ascii="宋体" w:hAnsi="宋体" w:eastAsia="宋体" w:cs="宋体"/>
                <w:bCs/>
                <w:color w:val="auto"/>
                <w:spacing w:val="0"/>
                <w:kern w:val="2"/>
                <w:sz w:val="21"/>
                <w:szCs w:val="21"/>
                <w:highlight w:val="none"/>
                <w:lang w:val="en-US" w:eastAsia="zh-CN" w:bidi="ar-SA"/>
              </w:rPr>
            </w:pPr>
            <w:r>
              <w:rPr>
                <w:rFonts w:hint="eastAsia" w:ascii="宋体" w:hAnsi="宋体" w:cs="宋体"/>
                <w:bCs/>
                <w:color w:val="auto"/>
                <w:kern w:val="0"/>
                <w:sz w:val="24"/>
                <w:highlight w:val="none"/>
                <w:lang w:eastAsia="zh-CN"/>
              </w:rPr>
              <w:t>……</w:t>
            </w:r>
          </w:p>
        </w:tc>
        <w:tc>
          <w:tcPr>
            <w:tcW w:w="1412" w:type="dxa"/>
            <w:noWrap w:val="0"/>
            <w:vAlign w:val="center"/>
          </w:tcPr>
          <w:p w14:paraId="09087207">
            <w:pPr>
              <w:widowControl w:val="0"/>
              <w:shd w:val="clear"/>
              <w:wordWrap w:val="0"/>
              <w:spacing w:before="164" w:line="360" w:lineRule="auto"/>
              <w:jc w:val="center"/>
              <w:rPr>
                <w:rFonts w:hint="default" w:ascii="宋体" w:hAnsi="宋体" w:eastAsia="宋体" w:cs="宋体"/>
                <w:bCs/>
                <w:color w:val="auto"/>
                <w:spacing w:val="0"/>
                <w:kern w:val="2"/>
                <w:sz w:val="21"/>
                <w:szCs w:val="21"/>
                <w:highlight w:val="none"/>
                <w:lang w:val="en-US" w:eastAsia="zh-CN" w:bidi="ar-SA"/>
              </w:rPr>
            </w:pPr>
            <w:r>
              <w:rPr>
                <w:rFonts w:hint="eastAsia" w:ascii="宋体" w:hAnsi="宋体" w:cs="宋体"/>
                <w:bCs/>
                <w:color w:val="auto"/>
                <w:kern w:val="0"/>
                <w:sz w:val="24"/>
                <w:highlight w:val="none"/>
                <w:lang w:eastAsia="zh-CN"/>
              </w:rPr>
              <w:t>……</w:t>
            </w:r>
          </w:p>
        </w:tc>
        <w:tc>
          <w:tcPr>
            <w:tcW w:w="1335" w:type="dxa"/>
            <w:noWrap w:val="0"/>
            <w:vAlign w:val="center"/>
          </w:tcPr>
          <w:p w14:paraId="049204B6">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default" w:ascii="宋体" w:hAnsi="宋体" w:eastAsia="宋体" w:cs="宋体"/>
                <w:bCs/>
                <w:color w:val="auto"/>
                <w:spacing w:val="0"/>
                <w:kern w:val="2"/>
                <w:sz w:val="21"/>
                <w:szCs w:val="21"/>
                <w:highlight w:val="none"/>
                <w:lang w:val="en-US" w:eastAsia="en-US" w:bidi="ar-SA"/>
              </w:rPr>
            </w:pPr>
            <w:r>
              <w:rPr>
                <w:rFonts w:hint="eastAsia" w:ascii="宋体" w:hAnsi="宋体" w:cs="宋体"/>
                <w:bCs/>
                <w:color w:val="auto"/>
                <w:kern w:val="0"/>
                <w:sz w:val="24"/>
                <w:highlight w:val="none"/>
                <w:lang w:eastAsia="zh-CN"/>
              </w:rPr>
              <w:t>……</w:t>
            </w:r>
          </w:p>
        </w:tc>
        <w:tc>
          <w:tcPr>
            <w:tcW w:w="5175" w:type="dxa"/>
            <w:noWrap w:val="0"/>
            <w:vAlign w:val="center"/>
          </w:tcPr>
          <w:p w14:paraId="46688C1D">
            <w:pPr>
              <w:keepNext w:val="0"/>
              <w:keepLines w:val="0"/>
              <w:pageBreakBefore w:val="0"/>
              <w:widowControl w:val="0"/>
              <w:shd w:val="clear"/>
              <w:kinsoku/>
              <w:wordWrap w:val="0"/>
              <w:overflowPunct/>
              <w:topLinePunct w:val="0"/>
              <w:autoSpaceDE/>
              <w:autoSpaceDN/>
              <w:bidi w:val="0"/>
              <w:adjustRightInd/>
              <w:snapToGrid/>
              <w:spacing w:before="164" w:line="360" w:lineRule="auto"/>
              <w:jc w:val="left"/>
              <w:textAlignment w:val="auto"/>
              <w:rPr>
                <w:rFonts w:hint="eastAsia" w:ascii="宋体" w:hAnsi="宋体" w:eastAsia="宋体" w:cs="宋体"/>
                <w:bCs/>
                <w:color w:val="auto"/>
                <w:spacing w:val="0"/>
                <w:kern w:val="2"/>
                <w:sz w:val="21"/>
                <w:szCs w:val="21"/>
                <w:highlight w:val="none"/>
                <w:lang w:val="en-US" w:eastAsia="en-US" w:bidi="ar-SA"/>
              </w:rPr>
            </w:pPr>
            <w:r>
              <w:rPr>
                <w:rFonts w:hint="eastAsia" w:ascii="宋体" w:hAnsi="宋体" w:eastAsia="宋体" w:cs="宋体"/>
                <w:bCs/>
                <w:color w:val="auto"/>
                <w:spacing w:val="0"/>
                <w:kern w:val="2"/>
                <w:sz w:val="21"/>
                <w:szCs w:val="21"/>
                <w:highlight w:val="none"/>
                <w:lang w:val="en-US" w:eastAsia="zh-CN" w:bidi="ar-SA"/>
              </w:rPr>
              <w:t>详见竞争性谈判文件。</w:t>
            </w:r>
          </w:p>
        </w:tc>
      </w:tr>
      <w:tr w14:paraId="1C227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12" w:type="dxa"/>
            <w:noWrap w:val="0"/>
            <w:vAlign w:val="center"/>
          </w:tcPr>
          <w:p w14:paraId="5BEA7C1D">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8</w:t>
            </w:r>
          </w:p>
        </w:tc>
        <w:tc>
          <w:tcPr>
            <w:tcW w:w="1412" w:type="dxa"/>
            <w:noWrap w:val="0"/>
            <w:vAlign w:val="center"/>
          </w:tcPr>
          <w:p w14:paraId="69AFB14A">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eastAsia" w:ascii="宋体" w:hAnsi="宋体" w:eastAsia="宋体" w:cs="宋体"/>
                <w:bCs/>
                <w:color w:val="auto"/>
                <w:spacing w:val="0"/>
                <w:kern w:val="2"/>
                <w:sz w:val="21"/>
                <w:szCs w:val="21"/>
                <w:highlight w:val="none"/>
                <w:lang w:val="en-US" w:eastAsia="en-US" w:bidi="ar-SA"/>
              </w:rPr>
            </w:pPr>
            <w:r>
              <w:rPr>
                <w:rFonts w:hint="eastAsia" w:ascii="宋体" w:hAnsi="宋体" w:eastAsia="宋体" w:cs="宋体"/>
                <w:bCs/>
                <w:color w:val="auto"/>
                <w:spacing w:val="0"/>
                <w:kern w:val="2"/>
                <w:sz w:val="21"/>
                <w:szCs w:val="21"/>
                <w:highlight w:val="none"/>
                <w:lang w:val="en-US" w:eastAsia="en-US" w:bidi="ar-SA"/>
              </w:rPr>
              <w:t>系统集成及安装辅材配件</w:t>
            </w:r>
          </w:p>
        </w:tc>
        <w:tc>
          <w:tcPr>
            <w:tcW w:w="1335" w:type="dxa"/>
            <w:noWrap w:val="0"/>
            <w:vAlign w:val="center"/>
          </w:tcPr>
          <w:p w14:paraId="6F7B4C16">
            <w:pPr>
              <w:keepNext w:val="0"/>
              <w:keepLines w:val="0"/>
              <w:pageBreakBefore w:val="0"/>
              <w:widowControl w:val="0"/>
              <w:shd w:val="clear"/>
              <w:kinsoku/>
              <w:wordWrap w:val="0"/>
              <w:overflowPunct/>
              <w:topLinePunct w:val="0"/>
              <w:autoSpaceDE/>
              <w:autoSpaceDN/>
              <w:bidi w:val="0"/>
              <w:adjustRightInd/>
              <w:snapToGrid/>
              <w:spacing w:before="164" w:line="360" w:lineRule="auto"/>
              <w:jc w:val="center"/>
              <w:textAlignment w:val="auto"/>
              <w:rPr>
                <w:rFonts w:hint="default" w:ascii="宋体" w:hAnsi="宋体" w:eastAsia="宋体" w:cs="宋体"/>
                <w:bCs/>
                <w:color w:val="auto"/>
                <w:spacing w:val="0"/>
                <w:kern w:val="2"/>
                <w:sz w:val="21"/>
                <w:szCs w:val="21"/>
                <w:highlight w:val="none"/>
                <w:lang w:val="en-US" w:eastAsia="zh-CN" w:bidi="ar-SA"/>
              </w:rPr>
            </w:pPr>
            <w:r>
              <w:rPr>
                <w:rFonts w:hint="eastAsia" w:ascii="宋体" w:hAnsi="宋体" w:eastAsia="宋体" w:cs="宋体"/>
                <w:bCs/>
                <w:color w:val="auto"/>
                <w:spacing w:val="0"/>
                <w:kern w:val="2"/>
                <w:sz w:val="21"/>
                <w:szCs w:val="21"/>
                <w:highlight w:val="none"/>
                <w:lang w:val="en-US" w:eastAsia="zh-CN" w:bidi="ar-SA"/>
              </w:rPr>
              <w:t>75项</w:t>
            </w:r>
          </w:p>
        </w:tc>
        <w:tc>
          <w:tcPr>
            <w:tcW w:w="5175" w:type="dxa"/>
            <w:noWrap w:val="0"/>
            <w:vAlign w:val="center"/>
          </w:tcPr>
          <w:p w14:paraId="2553B950">
            <w:pPr>
              <w:widowControl w:val="0"/>
              <w:shd w:val="clear"/>
              <w:wordWrap w:val="0"/>
              <w:spacing w:before="164" w:line="360" w:lineRule="auto"/>
              <w:jc w:val="left"/>
              <w:rPr>
                <w:rFonts w:hint="eastAsia" w:ascii="宋体" w:hAnsi="宋体" w:eastAsia="宋体" w:cs="宋体"/>
                <w:bCs/>
                <w:color w:val="auto"/>
                <w:spacing w:val="0"/>
                <w:kern w:val="2"/>
                <w:sz w:val="21"/>
                <w:szCs w:val="21"/>
                <w:highlight w:val="none"/>
                <w:lang w:val="en-US" w:eastAsia="en-US" w:bidi="ar-SA"/>
              </w:rPr>
            </w:pPr>
            <w:r>
              <w:rPr>
                <w:rFonts w:hint="eastAsia" w:ascii="宋体" w:hAnsi="宋体" w:eastAsia="宋体" w:cs="宋体"/>
                <w:bCs/>
                <w:color w:val="auto"/>
                <w:spacing w:val="0"/>
                <w:kern w:val="2"/>
                <w:sz w:val="21"/>
                <w:szCs w:val="21"/>
                <w:highlight w:val="none"/>
                <w:lang w:val="en-US" w:eastAsia="zh-CN" w:bidi="ar-SA"/>
              </w:rPr>
              <w:t>详见竞争性谈判文件。</w:t>
            </w:r>
          </w:p>
        </w:tc>
      </w:tr>
    </w:tbl>
    <w:p w14:paraId="7C4970E9">
      <w:pPr>
        <w:shd w:val="clear"/>
        <w:spacing w:line="360" w:lineRule="auto"/>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.合同履行期限：</w:t>
      </w:r>
      <w:r>
        <w:rPr>
          <w:rFonts w:hint="eastAsia" w:ascii="宋体" w:hAnsi="宋体" w:eastAsia="宋体" w:cs="宋体"/>
          <w:color w:val="auto"/>
          <w:sz w:val="21"/>
          <w:szCs w:val="21"/>
          <w:highlight w:val="none"/>
        </w:rPr>
        <w:t>详见</w:t>
      </w:r>
      <w:r>
        <w:rPr>
          <w:rFonts w:hint="eastAsia" w:ascii="宋体" w:hAnsi="宋体" w:eastAsia="宋体" w:cs="宋体"/>
          <w:color w:val="auto"/>
          <w:sz w:val="21"/>
          <w:szCs w:val="21"/>
          <w:highlight w:val="none"/>
          <w:lang w:val="en-US" w:eastAsia="zh-CN"/>
        </w:rPr>
        <w:t>竞争性谈判</w:t>
      </w:r>
      <w:r>
        <w:rPr>
          <w:rFonts w:hint="eastAsia" w:ascii="宋体" w:hAnsi="宋体" w:eastAsia="宋体" w:cs="宋体"/>
          <w:color w:val="auto"/>
          <w:sz w:val="21"/>
          <w:szCs w:val="21"/>
          <w:highlight w:val="none"/>
        </w:rPr>
        <w:t>文件。</w:t>
      </w:r>
    </w:p>
    <w:p w14:paraId="37F0E89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.本项目不接受联合体。</w:t>
      </w:r>
    </w:p>
    <w:p w14:paraId="0CFA07BA">
      <w:pPr>
        <w:shd w:val="clear"/>
        <w:spacing w:line="360" w:lineRule="auto"/>
        <w:rPr>
          <w:rFonts w:ascii="宋体" w:hAnsi="宋体" w:eastAsia="宋体" w:cs="宋体"/>
          <w:b/>
          <w:bCs/>
          <w:color w:val="auto"/>
          <w:szCs w:val="21"/>
          <w:highlight w:val="none"/>
        </w:rPr>
      </w:pPr>
      <w:bookmarkStart w:id="7" w:name="_Toc44229879"/>
      <w:bookmarkStart w:id="8" w:name="_Toc35393799"/>
      <w:bookmarkStart w:id="9" w:name="_Toc28359013"/>
      <w:bookmarkStart w:id="10" w:name="_Toc35393630"/>
      <w:bookmarkStart w:id="11" w:name="_Toc28359090"/>
      <w:r>
        <w:rPr>
          <w:rFonts w:hint="eastAsia" w:ascii="宋体" w:hAnsi="宋体" w:eastAsia="宋体" w:cs="宋体"/>
          <w:b/>
          <w:bCs/>
          <w:color w:val="auto"/>
          <w:szCs w:val="21"/>
          <w:highlight w:val="none"/>
        </w:rPr>
        <w:t>二、供应商的资格条件：</w:t>
      </w:r>
      <w:bookmarkEnd w:id="7"/>
      <w:bookmarkEnd w:id="8"/>
      <w:bookmarkEnd w:id="9"/>
      <w:bookmarkEnd w:id="10"/>
      <w:bookmarkEnd w:id="11"/>
    </w:p>
    <w:p w14:paraId="1F4F08A6">
      <w:pPr>
        <w:shd w:val="clear"/>
        <w:spacing w:line="360" w:lineRule="auto"/>
        <w:ind w:firstLine="420" w:firstLineChars="200"/>
        <w:rPr>
          <w:rFonts w:ascii="宋体" w:hAnsi="宋体" w:eastAsia="宋体" w:cs="宋体"/>
          <w:color w:val="auto"/>
          <w:szCs w:val="21"/>
          <w:highlight w:val="none"/>
        </w:rPr>
      </w:pPr>
      <w:bookmarkStart w:id="12" w:name="PO_3000001867_PM005"/>
      <w:bookmarkStart w:id="13" w:name="_Toc35393631"/>
      <w:bookmarkStart w:id="14" w:name="_Toc28359014"/>
      <w:bookmarkStart w:id="15" w:name="_Toc28359091"/>
      <w:bookmarkStart w:id="16" w:name="_Toc35393800"/>
      <w:bookmarkStart w:id="17" w:name="_Toc44229880"/>
      <w:r>
        <w:rPr>
          <w:rFonts w:hint="eastAsia" w:ascii="宋体" w:hAnsi="宋体" w:eastAsia="宋体" w:cs="宋体"/>
          <w:color w:val="auto"/>
          <w:szCs w:val="21"/>
          <w:highlight w:val="none"/>
        </w:rPr>
        <w:t>1.符合《中华人民共和国政府采购法》第二十二条的规定。</w:t>
      </w:r>
    </w:p>
    <w:p w14:paraId="2AAE2DE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bookmarkEnd w:id="12"/>
      <w:r>
        <w:rPr>
          <w:rFonts w:hint="eastAsia" w:ascii="宋体" w:hAnsi="宋体" w:eastAsia="宋体" w:cs="宋体"/>
          <w:color w:val="auto"/>
          <w:szCs w:val="21"/>
          <w:highlight w:val="none"/>
        </w:rPr>
        <w:t>.落实政府采购政策需满足的资格要求：</w:t>
      </w:r>
    </w:p>
    <w:p w14:paraId="38B5DD6D">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□专门面向中小企业采购的项目（供应商应为中小微企业、监狱企业、残疾人福利性单位）</w:t>
      </w:r>
      <w:r>
        <w:rPr>
          <w:rFonts w:hint="eastAsia" w:ascii="宋体" w:hAnsi="宋体" w:eastAsia="宋体" w:cs="宋体"/>
          <w:color w:val="auto"/>
          <w:szCs w:val="21"/>
          <w:highlight w:val="none"/>
          <w:lang w:eastAsia="zh-CN"/>
        </w:rPr>
        <w:t>。</w:t>
      </w:r>
    </w:p>
    <w:p w14:paraId="73EC9483">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☑非专门面向中小企业采购的项目</w:t>
      </w:r>
      <w:r>
        <w:rPr>
          <w:rFonts w:hint="eastAsia" w:ascii="宋体" w:hAnsi="宋体" w:eastAsia="宋体" w:cs="宋体"/>
          <w:color w:val="auto"/>
          <w:szCs w:val="21"/>
          <w:highlight w:val="none"/>
          <w:lang w:eastAsia="zh-CN"/>
        </w:rPr>
        <w:t>。</w:t>
      </w:r>
    </w:p>
    <w:p w14:paraId="2D52CCA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656096C6">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4.本项目的特定条件：</w:t>
      </w:r>
      <w:r>
        <w:rPr>
          <w:rFonts w:hint="eastAsia" w:ascii="宋体" w:hAnsi="宋体" w:eastAsia="宋体" w:cs="宋体"/>
          <w:color w:val="auto"/>
          <w:szCs w:val="21"/>
          <w:highlight w:val="none"/>
          <w:u w:val="single"/>
        </w:rPr>
        <w:t>无</w:t>
      </w:r>
      <w:r>
        <w:rPr>
          <w:rFonts w:hint="eastAsia" w:ascii="宋体" w:hAnsi="宋体" w:eastAsia="宋体" w:cs="宋体"/>
          <w:color w:val="auto"/>
          <w:szCs w:val="21"/>
          <w:highlight w:val="none"/>
        </w:rPr>
        <w:t>。</w:t>
      </w:r>
    </w:p>
    <w:p w14:paraId="7D99322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B4B675">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789D1E7">
      <w:pPr>
        <w:shd w:val="clea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三、获取竞争性谈判文件</w:t>
      </w:r>
      <w:bookmarkEnd w:id="13"/>
      <w:bookmarkEnd w:id="14"/>
      <w:bookmarkEnd w:id="15"/>
      <w:bookmarkEnd w:id="16"/>
      <w:bookmarkEnd w:id="17"/>
    </w:p>
    <w:p w14:paraId="75A7DB0B">
      <w:pPr>
        <w:shd w:val="clear"/>
        <w:spacing w:line="360" w:lineRule="auto"/>
        <w:ind w:firstLine="540"/>
        <w:rPr>
          <w:rFonts w:ascii="宋体" w:hAnsi="宋体" w:eastAsia="宋体" w:cs="宋体"/>
          <w:color w:val="auto"/>
          <w:kern w:val="0"/>
          <w:szCs w:val="21"/>
          <w:highlight w:val="none"/>
          <w:u w:val="single"/>
        </w:rPr>
      </w:pPr>
      <w:bookmarkStart w:id="18" w:name="_Toc35393632"/>
      <w:bookmarkStart w:id="19" w:name="_Toc35393801"/>
      <w:bookmarkStart w:id="20" w:name="_Toc28359015"/>
      <w:bookmarkStart w:id="21" w:name="_Toc28359092"/>
      <w:bookmarkStart w:id="22" w:name="_Toc44229881"/>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时间：</w:t>
      </w:r>
      <w:r>
        <w:rPr>
          <w:rFonts w:hint="eastAsia" w:ascii="宋体" w:hAnsi="宋体" w:eastAsia="宋体" w:cs="宋体"/>
          <w:color w:val="auto"/>
          <w:kern w:val="0"/>
          <w:szCs w:val="21"/>
          <w:highlight w:val="none"/>
          <w:u w:val="single"/>
        </w:rPr>
        <w:t>202</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年</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月</w:t>
      </w:r>
      <w:r>
        <w:rPr>
          <w:rFonts w:hint="eastAsia" w:ascii="宋体" w:hAnsi="宋体" w:eastAsia="宋体" w:cs="宋体"/>
          <w:color w:val="auto"/>
          <w:kern w:val="0"/>
          <w:szCs w:val="21"/>
          <w:highlight w:val="none"/>
          <w:u w:val="single"/>
          <w:lang w:val="en-US" w:eastAsia="zh-CN"/>
        </w:rPr>
        <w:t>25</w:t>
      </w:r>
      <w:r>
        <w:rPr>
          <w:rFonts w:hint="eastAsia" w:ascii="宋体" w:hAnsi="宋体" w:eastAsia="宋体" w:cs="宋体"/>
          <w:color w:val="auto"/>
          <w:kern w:val="0"/>
          <w:szCs w:val="21"/>
          <w:highlight w:val="none"/>
          <w:u w:val="single"/>
        </w:rPr>
        <w:t>日至202</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年</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月</w:t>
      </w:r>
      <w:r>
        <w:rPr>
          <w:rFonts w:hint="eastAsia" w:ascii="宋体" w:hAnsi="宋体" w:eastAsia="宋体" w:cs="宋体"/>
          <w:color w:val="auto"/>
          <w:kern w:val="0"/>
          <w:szCs w:val="21"/>
          <w:highlight w:val="none"/>
          <w:u w:val="single"/>
          <w:lang w:val="en-US" w:eastAsia="zh-CN"/>
        </w:rPr>
        <w:t>29</w:t>
      </w:r>
      <w:r>
        <w:rPr>
          <w:rFonts w:hint="eastAsia" w:ascii="宋体" w:hAnsi="宋体" w:eastAsia="宋体" w:cs="宋体"/>
          <w:color w:val="auto"/>
          <w:kern w:val="0"/>
          <w:szCs w:val="21"/>
          <w:highlight w:val="none"/>
          <w:u w:val="single"/>
        </w:rPr>
        <w:t>日，每天上午00:00至11:59，下午12:00至23:59（北京时间，法定节假日除外）。</w:t>
      </w:r>
    </w:p>
    <w:p w14:paraId="7450CAA5">
      <w:pPr>
        <w:shd w:val="clear"/>
        <w:spacing w:line="360" w:lineRule="auto"/>
        <w:ind w:firstLine="54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2.地点：“广西政府采购云平台”（https://www.gcy.zfcg.gxzf.gov.cn/）。</w:t>
      </w:r>
    </w:p>
    <w:p w14:paraId="39A43CA5">
      <w:pPr>
        <w:shd w:val="clear"/>
        <w:spacing w:line="360" w:lineRule="auto"/>
        <w:ind w:firstLine="540"/>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获取方式：</w:t>
      </w:r>
      <w:r>
        <w:rPr>
          <w:rFonts w:hint="eastAsia" w:ascii="宋体" w:hAnsi="宋体" w:eastAsia="宋体" w:cs="宋体"/>
          <w:color w:val="auto"/>
          <w:kern w:val="0"/>
          <w:szCs w:val="21"/>
          <w:highlight w:val="none"/>
          <w:u w:val="single"/>
        </w:rPr>
        <w:t>网上下载</w:t>
      </w:r>
      <w:r>
        <w:rPr>
          <w:rFonts w:hint="eastAsia" w:ascii="宋体" w:hAnsi="宋体" w:eastAsia="宋体" w:cs="宋体"/>
          <w:color w:val="auto"/>
          <w:kern w:val="0"/>
          <w:szCs w:val="21"/>
          <w:highlight w:val="none"/>
          <w:u w:val="none"/>
        </w:rPr>
        <w:t>。本项目不发放纸质</w:t>
      </w:r>
      <w:r>
        <w:rPr>
          <w:rFonts w:hint="eastAsia" w:ascii="宋体" w:hAnsi="宋体" w:eastAsia="宋体" w:cs="宋体"/>
          <w:color w:val="auto"/>
          <w:kern w:val="0"/>
          <w:szCs w:val="21"/>
          <w:highlight w:val="none"/>
          <w:u w:val="none"/>
          <w:lang w:val="en-US" w:eastAsia="zh-CN"/>
        </w:rPr>
        <w:t>竞争性</w:t>
      </w:r>
      <w:r>
        <w:rPr>
          <w:rFonts w:hint="eastAsia" w:ascii="宋体" w:hAnsi="宋体" w:eastAsia="宋体" w:cs="宋体"/>
          <w:color w:val="auto"/>
          <w:kern w:val="0"/>
          <w:szCs w:val="21"/>
          <w:highlight w:val="none"/>
          <w:u w:val="none"/>
        </w:rPr>
        <w:t>谈判文件，潜在供应商可自行在“广西政府采购云平台”（https://www.gcy.zfcg.gxzf.gov.cn）下载</w:t>
      </w:r>
      <w:r>
        <w:rPr>
          <w:rFonts w:hint="eastAsia" w:ascii="宋体" w:hAnsi="宋体" w:eastAsia="宋体" w:cs="宋体"/>
          <w:color w:val="auto"/>
          <w:kern w:val="0"/>
          <w:szCs w:val="21"/>
          <w:highlight w:val="none"/>
          <w:u w:val="none"/>
          <w:lang w:val="en-US" w:eastAsia="zh-CN"/>
        </w:rPr>
        <w:t>竞争性</w:t>
      </w:r>
      <w:r>
        <w:rPr>
          <w:rFonts w:hint="eastAsia" w:ascii="宋体" w:hAnsi="宋体" w:eastAsia="宋体" w:cs="宋体"/>
          <w:color w:val="auto"/>
          <w:kern w:val="0"/>
          <w:szCs w:val="21"/>
          <w:highlight w:val="none"/>
          <w:u w:val="none"/>
        </w:rPr>
        <w:t>谈判文件操作路径：登录广西政府采购云平台－项目采购－获取谈判文件－找到本项目－点击“申请获取谈判文件”，按系统操作获取</w:t>
      </w:r>
      <w:r>
        <w:rPr>
          <w:rFonts w:hint="eastAsia" w:ascii="宋体" w:hAnsi="宋体" w:eastAsia="宋体" w:cs="宋体"/>
          <w:color w:val="auto"/>
          <w:kern w:val="0"/>
          <w:szCs w:val="21"/>
          <w:highlight w:val="none"/>
          <w:u w:val="none"/>
          <w:lang w:val="en-US" w:eastAsia="zh-CN"/>
        </w:rPr>
        <w:t>竞争性</w:t>
      </w:r>
      <w:r>
        <w:rPr>
          <w:rFonts w:hint="eastAsia" w:ascii="宋体" w:hAnsi="宋体" w:eastAsia="宋体" w:cs="宋体"/>
          <w:color w:val="auto"/>
          <w:kern w:val="0"/>
          <w:szCs w:val="21"/>
          <w:highlight w:val="none"/>
          <w:u w:val="none"/>
        </w:rPr>
        <w:t>谈判文件。电子响应文件制作需要基于广西政府采购云平台获取的</w:t>
      </w:r>
      <w:r>
        <w:rPr>
          <w:rFonts w:hint="eastAsia" w:ascii="宋体" w:hAnsi="宋体" w:eastAsia="宋体" w:cs="宋体"/>
          <w:color w:val="auto"/>
          <w:kern w:val="0"/>
          <w:szCs w:val="21"/>
          <w:highlight w:val="none"/>
          <w:u w:val="none"/>
          <w:lang w:val="en-US" w:eastAsia="zh-CN"/>
        </w:rPr>
        <w:t>竞争性</w:t>
      </w:r>
      <w:r>
        <w:rPr>
          <w:rFonts w:hint="eastAsia" w:ascii="宋体" w:hAnsi="宋体" w:eastAsia="宋体" w:cs="宋体"/>
          <w:color w:val="auto"/>
          <w:kern w:val="0"/>
          <w:szCs w:val="21"/>
          <w:highlight w:val="none"/>
          <w:u w:val="none"/>
        </w:rPr>
        <w:t>谈判文件编制，通过其他方式获取</w:t>
      </w:r>
      <w:r>
        <w:rPr>
          <w:rFonts w:hint="eastAsia" w:ascii="宋体" w:hAnsi="宋体" w:eastAsia="宋体" w:cs="宋体"/>
          <w:color w:val="auto"/>
          <w:kern w:val="0"/>
          <w:szCs w:val="21"/>
          <w:highlight w:val="none"/>
          <w:u w:val="none"/>
          <w:lang w:val="en-US" w:eastAsia="zh-CN"/>
        </w:rPr>
        <w:t>竞争性</w:t>
      </w:r>
      <w:r>
        <w:rPr>
          <w:rFonts w:hint="eastAsia" w:ascii="宋体" w:hAnsi="宋体" w:eastAsia="宋体" w:cs="宋体"/>
          <w:color w:val="auto"/>
          <w:kern w:val="0"/>
          <w:szCs w:val="21"/>
          <w:highlight w:val="none"/>
          <w:u w:val="none"/>
        </w:rPr>
        <w:t>谈判文件的，将有可能导致供应商无法在广西政府采购云平台编制及上传响应文件。</w:t>
      </w:r>
    </w:p>
    <w:p w14:paraId="698BD638">
      <w:pPr>
        <w:shd w:val="clear"/>
        <w:spacing w:line="360" w:lineRule="auto"/>
        <w:ind w:firstLine="540"/>
        <w:rPr>
          <w:rFonts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售价：</w:t>
      </w:r>
      <w:r>
        <w:rPr>
          <w:rFonts w:hint="eastAsia" w:ascii="宋体" w:hAnsi="宋体" w:eastAsia="宋体" w:cs="宋体"/>
          <w:color w:val="auto"/>
          <w:kern w:val="0"/>
          <w:szCs w:val="21"/>
          <w:highlight w:val="none"/>
          <w:u w:val="single"/>
        </w:rPr>
        <w:t>0.00元</w:t>
      </w:r>
      <w:r>
        <w:rPr>
          <w:rFonts w:hint="eastAsia" w:ascii="宋体" w:hAnsi="宋体" w:eastAsia="宋体" w:cs="宋体"/>
          <w:color w:val="auto"/>
          <w:szCs w:val="21"/>
          <w:highlight w:val="none"/>
        </w:rPr>
        <w:t>。</w:t>
      </w:r>
    </w:p>
    <w:p w14:paraId="15049768">
      <w:pPr>
        <w:shd w:val="clea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四、响应文件提交</w:t>
      </w:r>
      <w:bookmarkEnd w:id="18"/>
      <w:bookmarkEnd w:id="19"/>
      <w:bookmarkEnd w:id="20"/>
      <w:bookmarkEnd w:id="21"/>
      <w:bookmarkEnd w:id="22"/>
    </w:p>
    <w:p w14:paraId="179ABFDE">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.响应文件提交截止时间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月</w:t>
      </w:r>
      <w:r>
        <w:rPr>
          <w:rFonts w:hint="eastAsia" w:ascii="宋体" w:hAnsi="宋体" w:eastAsia="宋体" w:cs="宋体"/>
          <w:color w:val="auto"/>
          <w:kern w:val="0"/>
          <w:szCs w:val="21"/>
          <w:highlight w:val="none"/>
          <w:u w:val="single"/>
          <w:lang w:val="en-US" w:eastAsia="zh-CN"/>
        </w:rPr>
        <w:t>30</w:t>
      </w:r>
      <w:r>
        <w:rPr>
          <w:rFonts w:hint="eastAsia" w:ascii="宋体" w:hAnsi="宋体" w:eastAsia="宋体" w:cs="宋体"/>
          <w:color w:val="auto"/>
          <w:kern w:val="0"/>
          <w:szCs w:val="21"/>
          <w:highlight w:val="none"/>
          <w:u w:val="single"/>
        </w:rPr>
        <w:t>日</w:t>
      </w:r>
      <w:r>
        <w:rPr>
          <w:rFonts w:hint="eastAsia" w:ascii="宋体" w:hAnsi="宋体" w:eastAsia="宋体" w:cs="宋体"/>
          <w:color w:val="auto"/>
          <w:szCs w:val="21"/>
          <w:highlight w:val="none"/>
          <w:u w:val="single"/>
        </w:rPr>
        <w:t>09时30分</w:t>
      </w:r>
      <w:r>
        <w:rPr>
          <w:rFonts w:hint="eastAsia" w:ascii="宋体" w:hAnsi="宋体" w:eastAsia="宋体" w:cs="宋体"/>
          <w:color w:val="auto"/>
          <w:szCs w:val="21"/>
          <w:highlight w:val="none"/>
          <w:u w:val="single"/>
          <w:lang w:eastAsia="zh-CN"/>
        </w:rPr>
        <w:t>。</w:t>
      </w:r>
    </w:p>
    <w:p w14:paraId="2C2BD5F1">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“广西政府采购云平台”（https://www.gcy.zfcg.gxzf.gov.cn）</w:t>
      </w:r>
      <w:r>
        <w:rPr>
          <w:rFonts w:hint="eastAsia" w:ascii="宋体" w:hAnsi="宋体" w:eastAsia="宋体" w:cs="宋体"/>
          <w:color w:val="auto"/>
          <w:szCs w:val="21"/>
          <w:highlight w:val="none"/>
          <w:u w:val="single"/>
          <w:lang w:eastAsia="zh-CN"/>
        </w:rPr>
        <w:t>。</w:t>
      </w:r>
    </w:p>
    <w:p w14:paraId="4C80EC08">
      <w:pPr>
        <w:shd w:val="clear"/>
        <w:spacing w:line="360" w:lineRule="auto"/>
        <w:rPr>
          <w:rFonts w:ascii="宋体" w:hAnsi="宋体" w:eastAsia="宋体" w:cs="宋体"/>
          <w:b/>
          <w:bCs/>
          <w:color w:val="auto"/>
          <w:szCs w:val="21"/>
          <w:highlight w:val="none"/>
        </w:rPr>
      </w:pPr>
      <w:bookmarkStart w:id="23" w:name="_Toc28359093"/>
      <w:bookmarkStart w:id="24" w:name="_Toc35393802"/>
      <w:bookmarkStart w:id="25" w:name="_Toc35393633"/>
      <w:bookmarkStart w:id="26" w:name="_Toc44229882"/>
      <w:bookmarkStart w:id="27" w:name="_Toc28359016"/>
      <w:r>
        <w:rPr>
          <w:rFonts w:hint="eastAsia" w:ascii="宋体" w:hAnsi="宋体" w:eastAsia="宋体" w:cs="宋体"/>
          <w:b/>
          <w:bCs/>
          <w:color w:val="auto"/>
          <w:szCs w:val="21"/>
          <w:highlight w:val="none"/>
        </w:rPr>
        <w:t>五、开启</w:t>
      </w:r>
      <w:bookmarkEnd w:id="23"/>
      <w:bookmarkEnd w:id="24"/>
      <w:bookmarkEnd w:id="25"/>
      <w:bookmarkEnd w:id="26"/>
      <w:bookmarkEnd w:id="27"/>
    </w:p>
    <w:p w14:paraId="7562545D">
      <w:pPr>
        <w:shd w:val="clear"/>
        <w:spacing w:line="360" w:lineRule="auto"/>
        <w:ind w:firstLine="420" w:firstLineChars="200"/>
        <w:rPr>
          <w:rFonts w:hint="eastAsia" w:ascii="宋体" w:hAnsi="宋体" w:eastAsia="宋体" w:cs="宋体"/>
          <w:bCs/>
          <w:color w:val="auto"/>
          <w:szCs w:val="21"/>
          <w:highlight w:val="none"/>
          <w:u w:val="single"/>
          <w:lang w:eastAsia="zh-CN"/>
        </w:rPr>
      </w:pPr>
      <w:r>
        <w:rPr>
          <w:rFonts w:hint="eastAsia" w:ascii="宋体" w:hAnsi="宋体" w:eastAsia="宋体" w:cs="宋体"/>
          <w:color w:val="auto"/>
          <w:szCs w:val="21"/>
          <w:highlight w:val="none"/>
        </w:rPr>
        <w:t>1.</w:t>
      </w:r>
      <w:bookmarkStart w:id="28" w:name="_Toc35393803"/>
      <w:bookmarkStart w:id="29" w:name="_Toc35393634"/>
      <w:bookmarkStart w:id="30" w:name="_Toc28359017"/>
      <w:bookmarkStart w:id="31" w:name="_Toc44229883"/>
      <w:bookmarkStart w:id="32" w:name="_Toc28359094"/>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kern w:val="0"/>
          <w:szCs w:val="21"/>
          <w:highlight w:val="none"/>
          <w:u w:val="single"/>
          <w:lang w:val="en-US" w:eastAsia="zh-CN"/>
        </w:rPr>
        <w:t>6</w:t>
      </w:r>
      <w:r>
        <w:rPr>
          <w:rFonts w:hint="eastAsia" w:ascii="宋体" w:hAnsi="宋体" w:eastAsia="宋体" w:cs="宋体"/>
          <w:color w:val="auto"/>
          <w:kern w:val="0"/>
          <w:szCs w:val="21"/>
          <w:highlight w:val="none"/>
          <w:u w:val="single"/>
        </w:rPr>
        <w:t>月</w:t>
      </w:r>
      <w:r>
        <w:rPr>
          <w:rFonts w:hint="eastAsia" w:ascii="宋体" w:hAnsi="宋体" w:eastAsia="宋体" w:cs="宋体"/>
          <w:color w:val="auto"/>
          <w:kern w:val="0"/>
          <w:szCs w:val="21"/>
          <w:highlight w:val="none"/>
          <w:u w:val="single"/>
          <w:lang w:val="en-US" w:eastAsia="zh-CN"/>
        </w:rPr>
        <w:t>30</w:t>
      </w:r>
      <w:r>
        <w:rPr>
          <w:rFonts w:hint="eastAsia" w:ascii="宋体" w:hAnsi="宋体" w:eastAsia="宋体" w:cs="宋体"/>
          <w:color w:val="auto"/>
          <w:kern w:val="0"/>
          <w:szCs w:val="21"/>
          <w:highlight w:val="none"/>
          <w:u w:val="single"/>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后</w:t>
      </w:r>
      <w:r>
        <w:rPr>
          <w:rFonts w:hint="eastAsia" w:ascii="宋体" w:hAnsi="宋体" w:eastAsia="宋体" w:cs="宋体"/>
          <w:color w:val="auto"/>
          <w:szCs w:val="21"/>
          <w:highlight w:val="none"/>
          <w:lang w:eastAsia="zh-CN"/>
        </w:rPr>
        <w:t>。</w:t>
      </w:r>
    </w:p>
    <w:p w14:paraId="6AE817BC">
      <w:pPr>
        <w:shd w:val="clear"/>
        <w:spacing w:line="360" w:lineRule="auto"/>
        <w:ind w:firstLine="420" w:firstLineChars="200"/>
        <w:rPr>
          <w:rFonts w:hint="eastAsia" w:ascii="宋体" w:hAnsi="宋体" w:eastAsia="宋体" w:cs="宋体"/>
          <w:bCs/>
          <w:color w:val="auto"/>
          <w:szCs w:val="21"/>
          <w:highlight w:val="none"/>
          <w:u w:val="single"/>
          <w:lang w:eastAsia="zh-CN"/>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“广西政府采购云平台”电子开标大厅</w:t>
      </w:r>
      <w:r>
        <w:rPr>
          <w:rFonts w:hint="eastAsia" w:ascii="宋体" w:hAnsi="宋体" w:eastAsia="宋体" w:cs="宋体"/>
          <w:color w:val="auto"/>
          <w:szCs w:val="21"/>
          <w:highlight w:val="none"/>
          <w:u w:val="single"/>
          <w:lang w:eastAsia="zh-CN"/>
        </w:rPr>
        <w:t>。</w:t>
      </w:r>
    </w:p>
    <w:p w14:paraId="69E8176D">
      <w:pPr>
        <w:shd w:val="clea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六、公告期限</w:t>
      </w:r>
      <w:bookmarkEnd w:id="28"/>
      <w:bookmarkEnd w:id="29"/>
      <w:bookmarkEnd w:id="30"/>
      <w:bookmarkEnd w:id="31"/>
      <w:bookmarkEnd w:id="32"/>
    </w:p>
    <w:p w14:paraId="5CABDBC8">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14:paraId="10E49421">
      <w:pPr>
        <w:shd w:val="clear"/>
        <w:spacing w:line="360" w:lineRule="auto"/>
        <w:rPr>
          <w:rFonts w:ascii="宋体" w:hAnsi="宋体" w:eastAsia="宋体" w:cs="宋体"/>
          <w:b/>
          <w:bCs/>
          <w:color w:val="auto"/>
          <w:szCs w:val="21"/>
          <w:highlight w:val="none"/>
        </w:rPr>
      </w:pPr>
      <w:bookmarkStart w:id="33" w:name="_Toc35393635"/>
      <w:bookmarkStart w:id="34" w:name="_Toc35393804"/>
      <w:bookmarkStart w:id="35" w:name="_Toc44229884"/>
      <w:r>
        <w:rPr>
          <w:rFonts w:hint="eastAsia" w:ascii="宋体" w:hAnsi="宋体" w:eastAsia="宋体" w:cs="宋体"/>
          <w:b/>
          <w:bCs/>
          <w:color w:val="auto"/>
          <w:szCs w:val="21"/>
          <w:highlight w:val="none"/>
        </w:rPr>
        <w:t>七、其他补充事宜</w:t>
      </w:r>
      <w:bookmarkEnd w:id="33"/>
      <w:bookmarkEnd w:id="34"/>
      <w:bookmarkEnd w:id="35"/>
    </w:p>
    <w:p w14:paraId="7811220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1.谈判保证金：</w:t>
      </w:r>
      <w:r>
        <w:rPr>
          <w:rFonts w:hint="eastAsia" w:ascii="宋体" w:hAnsi="宋体" w:eastAsia="宋体" w:cs="宋体"/>
          <w:color w:val="auto"/>
          <w:kern w:val="0"/>
          <w:szCs w:val="21"/>
          <w:highlight w:val="none"/>
          <w:lang w:eastAsia="zh-CN"/>
        </w:rPr>
        <w:t>本项目不需要缴纳谈判保证金。</w:t>
      </w:r>
    </w:p>
    <w:p w14:paraId="676F0424">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2.采购意向公开链接：</w:t>
      </w:r>
      <w:r>
        <w:rPr>
          <w:rFonts w:hint="eastAsia" w:ascii="宋体" w:hAnsi="宋体" w:eastAsia="宋体" w:cs="宋体"/>
          <w:color w:val="auto"/>
          <w:kern w:val="0"/>
          <w:szCs w:val="21"/>
          <w:highlight w:val="none"/>
          <w:lang w:val="en-US" w:eastAsia="zh-CN"/>
        </w:rPr>
        <w:t>http://www.ccgp-guangxi.gov.cn/site/detail?parentId=66485&amp;articleId=YuyiHixJAYXhvZoCqJca+A==&amp;utm=web-micro-app-back-front.56803ad0.cPlanInfo.3.33d59b506f8011f1bd57e3a24faf8c33</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 xml:space="preserve"> </w:t>
      </w:r>
    </w:p>
    <w:p w14:paraId="1F0CECA3">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3.网上查询地址：</w:t>
      </w:r>
      <w:bookmarkStart w:id="36" w:name="_Hlk37429674"/>
      <w:r>
        <w:rPr>
          <w:rFonts w:hint="eastAsia" w:ascii="宋体" w:hAnsi="宋体" w:eastAsia="宋体" w:cs="宋体"/>
          <w:color w:val="auto"/>
          <w:kern w:val="0"/>
          <w:szCs w:val="21"/>
          <w:highlight w:val="none"/>
          <w:lang w:eastAsia="zh-CN"/>
        </w:rPr>
        <w:t>中国政府采购网（www.ccgp.gov.cn）、广西壮族自治区政府采购网（http://www.ccgp-guangxi.gov.cn/）。</w:t>
      </w:r>
    </w:p>
    <w:p w14:paraId="3880E1A2">
      <w:pPr>
        <w:shd w:val="clea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r>
        <w:rPr>
          <w:rFonts w:hint="eastAsia" w:ascii="宋体" w:hAnsi="宋体" w:eastAsia="宋体" w:cs="宋体"/>
          <w:color w:val="auto"/>
          <w:kern w:val="0"/>
          <w:szCs w:val="21"/>
          <w:highlight w:val="none"/>
          <w:lang w:eastAsia="zh-CN"/>
        </w:rPr>
        <w:t>：</w:t>
      </w:r>
    </w:p>
    <w:bookmarkEnd w:id="36"/>
    <w:p w14:paraId="7FF96E61">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502B3952">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696528BA">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6274A4A6">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451BF20F">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29F3BF23">
      <w:pPr>
        <w:shd w:val="clea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（6）扶持不发达地区和少数民族地区政策。</w:t>
      </w:r>
    </w:p>
    <w:p w14:paraId="2BB46132">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供应商认为</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kern w:val="0"/>
          <w:szCs w:val="21"/>
          <w:highlight w:val="none"/>
        </w:rPr>
        <w:t>谈判文件使自己的权益受到损害的，可以自获取</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kern w:val="0"/>
          <w:szCs w:val="21"/>
          <w:highlight w:val="none"/>
        </w:rPr>
        <w:t>谈判文件之日或者</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kern w:val="0"/>
          <w:szCs w:val="21"/>
          <w:highlight w:val="none"/>
        </w:rPr>
        <w:t>谈判文件公告期限届满之日（公告期限届满后获取</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kern w:val="0"/>
          <w:szCs w:val="21"/>
          <w:highlight w:val="none"/>
        </w:rPr>
        <w:t>谈判文件的，以公告期限届满之日为准）起7个工作日内以书面形式一次性向采购人或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02E6D38E">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谈判注意事项：（1）响应文件提交方式：本项目为全流程电子化项目，通过广西政府采购云平台（https://www.gcy.zfcg.gxzf.gov.cn）实行在线电子响应，供应商应先安装广西政府采购云平台新版客户端</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新版客户端下载路径：广西政府采购网（访问地址http://zfcg.gxzf.gov.cn—办事服务—下载专区），并按照本项目</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kern w:val="0"/>
          <w:szCs w:val="21"/>
          <w:highlight w:val="none"/>
        </w:rPr>
        <w:t>谈判文件和广西政府采购云平台的要求编制、加密后在响应文件提交截止时间前通过网络上传至广西政府采购云平台，供应商在广西政府采购云平台提交电子版响应文件时，请填写参加远程开标活动经办人联系方式。</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（2）供应商应及时熟悉掌握电子标系统操作指南；及时完成CA申领和绑定（见广西壮族自治区政府采购网—办事服务—下载专区－广西政府采购云平台CA证书办理操作指南）。</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（3）未进行网上注册并办理数字证书（CA认证）的供应商将无法参与本项目政府采购活动，潜在供应商应当在首次响应文件提交截止时间前，完成电子交易平台上的CA数字证书办理及响应文件的提交。</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（4）为确保网上操作合法、有效和安全，请供应商确保在电子竞标过程中能够对相关数据电文进行加密和使用电子签章，妥善保管CA数字证书并使用有效的CA数字证书参与整个采购活动。</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7.CA证书在线解密：首次响应文件开启时，需要供应商携带制作响应文件时用来加密的有效数字证书（CA认证）登录“广西政府采购云平台”电子开标大厅现场按规定时间对加密的响应文件进行解密，否则后果自负。</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8.供应商需要在具备摄像头及语音功能且互联网网络状况良好的电脑登录“广西政府采购云平台”远程开标大厅参与本次谈判，否则后果自负。</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9.若对项目采购电子交易系统操作有疑问，可登录“广西政府采购云平台”（https://www.gcy.zfcg.gxzf.gov.cn），点击右侧咨询小采，获取采小蜜智能服务管家帮助，或拨打广西政府采购云平台服务热线95763获取热线服务帮助。</w:t>
      </w:r>
    </w:p>
    <w:p w14:paraId="0A219EE0">
      <w:pPr>
        <w:shd w:val="clear"/>
        <w:spacing w:line="360" w:lineRule="auto"/>
        <w:rPr>
          <w:rFonts w:ascii="宋体" w:hAnsi="宋体" w:eastAsia="宋体" w:cs="宋体"/>
          <w:b/>
          <w:bCs/>
          <w:color w:val="auto"/>
          <w:szCs w:val="21"/>
          <w:highlight w:val="none"/>
        </w:rPr>
      </w:pPr>
      <w:bookmarkStart w:id="37" w:name="_Toc35393636"/>
      <w:bookmarkStart w:id="38" w:name="_Toc44229885"/>
      <w:bookmarkStart w:id="39" w:name="_Toc28359095"/>
      <w:bookmarkStart w:id="40" w:name="_Toc28359018"/>
      <w:bookmarkStart w:id="41" w:name="_Toc35393805"/>
      <w:r>
        <w:rPr>
          <w:rFonts w:hint="eastAsia" w:ascii="宋体" w:hAnsi="宋体" w:eastAsia="宋体" w:cs="宋体"/>
          <w:b/>
          <w:bCs/>
          <w:color w:val="auto"/>
          <w:szCs w:val="21"/>
          <w:highlight w:val="none"/>
        </w:rPr>
        <w:t>八、凡对本次采购提出询问，请按以下方式联系。</w:t>
      </w:r>
      <w:bookmarkEnd w:id="37"/>
      <w:bookmarkEnd w:id="38"/>
      <w:bookmarkEnd w:id="39"/>
      <w:bookmarkEnd w:id="40"/>
      <w:bookmarkEnd w:id="41"/>
    </w:p>
    <w:p w14:paraId="030B34DB">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3C9A26EE">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lang w:eastAsia="zh-CN"/>
        </w:rPr>
        <w:t>广西物流职业技术学院</w:t>
      </w:r>
      <w:r>
        <w:rPr>
          <w:rFonts w:hint="eastAsia" w:ascii="宋体" w:hAnsi="宋体" w:eastAsia="宋体" w:cs="宋体"/>
          <w:color w:val="auto"/>
          <w:kern w:val="0"/>
          <w:szCs w:val="21"/>
          <w:highlight w:val="none"/>
        </w:rPr>
        <w:t xml:space="preserve"> </w:t>
      </w:r>
    </w:p>
    <w:p w14:paraId="0FA5DFA6">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lang w:eastAsia="zh-CN"/>
        </w:rPr>
        <w:t>广西贵港市港北区聚贤路8号</w:t>
      </w:r>
    </w:p>
    <w:p w14:paraId="4E7568AC">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eastAsia="zh-CN"/>
        </w:rPr>
        <w:t>覃老师</w:t>
      </w:r>
    </w:p>
    <w:p w14:paraId="3D3A307C">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联系方式：</w:t>
      </w:r>
      <w:r>
        <w:rPr>
          <w:rFonts w:hint="eastAsia" w:ascii="宋体" w:hAnsi="宋体" w:eastAsia="宋体" w:cs="宋体"/>
          <w:color w:val="auto"/>
          <w:kern w:val="0"/>
          <w:szCs w:val="21"/>
          <w:highlight w:val="none"/>
          <w:lang w:eastAsia="zh-CN"/>
        </w:rPr>
        <w:t>077</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2928866</w:t>
      </w:r>
    </w:p>
    <w:p w14:paraId="141CC22E">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2.采购代理机构信息：</w:t>
      </w:r>
    </w:p>
    <w:p w14:paraId="1CE5E500">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lang w:eastAsia="zh-CN"/>
        </w:rPr>
        <w:t>广西邕政采购代理有限公司</w:t>
      </w:r>
    </w:p>
    <w:p w14:paraId="402B1938">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w:t>
      </w:r>
      <w:r>
        <w:rPr>
          <w:rFonts w:hint="eastAsia" w:ascii="宋体" w:hAnsi="宋体" w:eastAsia="宋体" w:cs="宋体"/>
          <w:color w:val="auto"/>
          <w:kern w:val="0"/>
          <w:szCs w:val="21"/>
          <w:highlight w:val="none"/>
          <w:lang w:val="en-US" w:eastAsia="zh-CN"/>
        </w:rPr>
        <w:t>中国（广西）自由贸易试验区南宁片区云英路8号五象总部大厦2号楼十八层1815、1816号房</w:t>
      </w:r>
    </w:p>
    <w:p w14:paraId="6A301669">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kern w:val="0"/>
          <w:szCs w:val="21"/>
          <w:highlight w:val="none"/>
          <w:lang w:val="en-US" w:eastAsia="zh-CN"/>
        </w:rPr>
      </w:pPr>
      <w:bookmarkStart w:id="42" w:name="OLE_LINK56"/>
      <w:bookmarkStart w:id="43" w:name="OLE_LINK55"/>
      <w:r>
        <w:rPr>
          <w:rFonts w:hint="eastAsia" w:ascii="宋体" w:hAnsi="宋体" w:eastAsia="宋体" w:cs="宋体"/>
          <w:color w:val="auto"/>
          <w:kern w:val="0"/>
          <w:szCs w:val="21"/>
          <w:highlight w:val="none"/>
        </w:rPr>
        <w:t>联系方式：0771-</w:t>
      </w:r>
      <w:bookmarkEnd w:id="42"/>
      <w:bookmarkEnd w:id="43"/>
      <w:r>
        <w:rPr>
          <w:rFonts w:hint="eastAsia" w:ascii="宋体" w:hAnsi="宋体" w:eastAsia="宋体" w:cs="宋体"/>
          <w:color w:val="auto"/>
          <w:kern w:val="0"/>
          <w:szCs w:val="21"/>
          <w:highlight w:val="none"/>
          <w:lang w:val="en-US" w:eastAsia="zh-CN"/>
        </w:rPr>
        <w:t>2225338、18697977860</w:t>
      </w:r>
    </w:p>
    <w:p w14:paraId="786BD0AB">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3.项目联系方式：</w:t>
      </w:r>
    </w:p>
    <w:p w14:paraId="1C53192C">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w:t>
      </w:r>
      <w:r>
        <w:rPr>
          <w:rFonts w:hint="eastAsia" w:ascii="宋体" w:hAnsi="宋体" w:eastAsia="宋体" w:cs="宋体"/>
          <w:color w:val="auto"/>
          <w:kern w:val="0"/>
          <w:szCs w:val="21"/>
          <w:highlight w:val="none"/>
          <w:lang w:eastAsia="zh-CN"/>
        </w:rPr>
        <w:t>系人：</w:t>
      </w:r>
      <w:r>
        <w:rPr>
          <w:rFonts w:hint="eastAsia" w:ascii="宋体" w:hAnsi="宋体" w:eastAsia="宋体" w:cs="宋体"/>
          <w:color w:val="auto"/>
          <w:kern w:val="0"/>
          <w:szCs w:val="21"/>
          <w:highlight w:val="none"/>
          <w:lang w:val="en-US" w:eastAsia="zh-CN"/>
        </w:rPr>
        <w:t>黄秋梅、罗霞、廖雪艳</w:t>
      </w:r>
    </w:p>
    <w:p w14:paraId="162EFFC6">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联系方式：0771-2225338、18697977860</w:t>
      </w:r>
    </w:p>
    <w:bookmarkEnd w:id="1"/>
    <w:p w14:paraId="12DF7BCD">
      <w:pPr>
        <w:shd w:val="clear"/>
        <w:wordWrap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202</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lang w:val="en-US" w:eastAsia="zh-CN"/>
        </w:rPr>
        <w:t>24</w:t>
      </w:r>
      <w:r>
        <w:rPr>
          <w:rFonts w:hint="eastAsia" w:ascii="宋体" w:hAnsi="宋体" w:eastAsia="宋体" w:cs="宋体"/>
          <w:color w:val="auto"/>
          <w:szCs w:val="21"/>
          <w:highlight w:val="none"/>
        </w:rPr>
        <w:t>日</w:t>
      </w:r>
    </w:p>
    <w:p w14:paraId="6252F5AF">
      <w:pPr>
        <w:shd w:val="clear"/>
        <w:rPr>
          <w:rFonts w:ascii="宋体" w:hAnsi="宋体" w:eastAsia="宋体" w:cs="宋体"/>
          <w:color w:val="auto"/>
          <w:highlight w:val="none"/>
        </w:rPr>
      </w:pPr>
    </w:p>
    <w:p w14:paraId="6DF93C11">
      <w:pPr>
        <w:shd w:val="clear"/>
        <w:rPr>
          <w:rFonts w:ascii="宋体" w:hAnsi="宋体" w:eastAsia="宋体" w:cs="宋体"/>
          <w:color w:val="auto"/>
          <w:highlight w:val="none"/>
        </w:rPr>
      </w:pPr>
    </w:p>
    <w:p w14:paraId="6FCC801D">
      <w:pPr>
        <w:shd w:val="clear"/>
        <w:rPr>
          <w:rFonts w:ascii="宋体" w:hAnsi="宋体" w:eastAsia="宋体" w:cs="宋体"/>
          <w:color w:val="auto"/>
          <w:highlight w:val="none"/>
        </w:rPr>
      </w:pPr>
      <w:r>
        <w:rPr>
          <w:rFonts w:hint="eastAsia" w:ascii="宋体" w:hAnsi="宋体" w:eastAsia="宋体" w:cs="宋体"/>
          <w:color w:val="auto"/>
          <w:highlight w:val="none"/>
        </w:rPr>
        <w:br w:type="page"/>
      </w:r>
    </w:p>
    <w:p w14:paraId="593EEB40">
      <w:pPr>
        <w:keepNext/>
        <w:keepLines/>
        <w:widowControl w:val="0"/>
        <w:shd w:val="clear"/>
        <w:spacing w:before="340" w:beforeLines="0" w:beforeAutospacing="0" w:after="330" w:afterLines="0" w:afterAutospacing="0" w:line="576" w:lineRule="auto"/>
        <w:jc w:val="center"/>
        <w:outlineLvl w:val="0"/>
        <w:rPr>
          <w:rFonts w:ascii="宋体" w:hAnsi="宋体" w:eastAsia="宋体" w:cs="宋体"/>
          <w:b/>
          <w:color w:val="auto"/>
          <w:kern w:val="44"/>
          <w:sz w:val="44"/>
          <w:szCs w:val="24"/>
          <w:highlight w:val="none"/>
          <w:lang w:val="en-US" w:eastAsia="zh-CN" w:bidi="ar-SA"/>
        </w:rPr>
      </w:pPr>
      <w:bookmarkStart w:id="44" w:name="_Toc20359"/>
      <w:r>
        <w:rPr>
          <w:rFonts w:hint="eastAsia" w:ascii="宋体" w:hAnsi="宋体" w:eastAsia="宋体" w:cs="宋体"/>
          <w:b/>
          <w:color w:val="auto"/>
          <w:kern w:val="44"/>
          <w:sz w:val="44"/>
          <w:szCs w:val="24"/>
          <w:highlight w:val="none"/>
          <w:lang w:val="en-US" w:eastAsia="zh-CN" w:bidi="ar-SA"/>
        </w:rPr>
        <w:t>第二章  供应商须知</w:t>
      </w:r>
      <w:bookmarkEnd w:id="44"/>
    </w:p>
    <w:p w14:paraId="49552E7C">
      <w:pPr>
        <w:shd w:val="clear"/>
        <w:spacing w:line="4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p w14:paraId="04DA0B01">
      <w:pPr>
        <w:shd w:val="clear"/>
        <w:spacing w:line="400" w:lineRule="exact"/>
        <w:jc w:val="center"/>
        <w:rPr>
          <w:rFonts w:ascii="宋体" w:hAnsi="宋体" w:eastAsia="宋体" w:cs="宋体"/>
          <w:b/>
          <w:color w:val="auto"/>
          <w:sz w:val="32"/>
          <w:szCs w:val="32"/>
          <w:highlight w:val="none"/>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7988C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457B1A43">
            <w:pPr>
              <w:shd w:val="clear"/>
              <w:spacing w:line="5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7912" w:type="dxa"/>
          </w:tcPr>
          <w:p w14:paraId="5C1A9426">
            <w:pPr>
              <w:shd w:val="clear"/>
              <w:spacing w:line="50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14:paraId="1FA17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C3A43A">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7912" w:type="dxa"/>
            <w:vAlign w:val="center"/>
          </w:tcPr>
          <w:p w14:paraId="50631D77">
            <w:pPr>
              <w:shd w:val="clear"/>
              <w:spacing w:line="500" w:lineRule="exact"/>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供应商的资格条件</w:t>
            </w:r>
            <w:r>
              <w:rPr>
                <w:rFonts w:hint="eastAsia" w:ascii="宋体" w:hAnsi="宋体" w:eastAsia="宋体" w:cs="宋体"/>
                <w:color w:val="auto"/>
                <w:szCs w:val="21"/>
                <w:highlight w:val="none"/>
              </w:rPr>
              <w:t>：详见竞争性谈判公告</w:t>
            </w:r>
            <w:r>
              <w:rPr>
                <w:rFonts w:hint="eastAsia" w:ascii="宋体" w:hAnsi="宋体" w:eastAsia="宋体" w:cs="宋体"/>
                <w:color w:val="auto"/>
                <w:szCs w:val="21"/>
                <w:highlight w:val="none"/>
                <w:lang w:eastAsia="zh-CN"/>
              </w:rPr>
              <w:t>。</w:t>
            </w:r>
          </w:p>
        </w:tc>
      </w:tr>
      <w:tr w14:paraId="5FD9C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D678B6D">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7912" w:type="dxa"/>
            <w:vAlign w:val="center"/>
          </w:tcPr>
          <w:p w14:paraId="19B68122">
            <w:pPr>
              <w:shd w:val="clear"/>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是否接受联合体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：详见竞争性谈判公告</w:t>
            </w:r>
            <w:r>
              <w:rPr>
                <w:rFonts w:hint="eastAsia" w:ascii="宋体" w:hAnsi="宋体" w:eastAsia="宋体" w:cs="宋体"/>
                <w:color w:val="auto"/>
                <w:szCs w:val="21"/>
                <w:highlight w:val="none"/>
                <w:lang w:eastAsia="zh-CN"/>
              </w:rPr>
              <w:t>。</w:t>
            </w:r>
          </w:p>
        </w:tc>
      </w:tr>
      <w:tr w14:paraId="08AE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6B74C2">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7912" w:type="dxa"/>
            <w:vAlign w:val="center"/>
          </w:tcPr>
          <w:p w14:paraId="4315A219">
            <w:pPr>
              <w:shd w:val="clear"/>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如接受联合体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要求如下：无</w:t>
            </w:r>
            <w:r>
              <w:rPr>
                <w:rFonts w:hint="eastAsia" w:ascii="宋体" w:hAnsi="宋体" w:eastAsia="宋体" w:cs="宋体"/>
                <w:color w:val="auto"/>
                <w:szCs w:val="21"/>
                <w:highlight w:val="none"/>
                <w:lang w:eastAsia="zh-CN"/>
              </w:rPr>
              <w:t>。</w:t>
            </w:r>
          </w:p>
        </w:tc>
      </w:tr>
      <w:tr w14:paraId="05D5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F12C7A">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7912" w:type="dxa"/>
            <w:vAlign w:val="center"/>
          </w:tcPr>
          <w:p w14:paraId="662CA758">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Segoe UI Emoji" w:hAnsi="Segoe UI Emoji" w:eastAsia="宋体" w:cs="Segoe UI Emoji"/>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不允许分包</w:t>
            </w:r>
          </w:p>
          <w:p w14:paraId="0FA9A4FD">
            <w:pPr>
              <w:widowControl w:val="0"/>
              <w:shd w:val="clear"/>
              <w:spacing w:line="500" w:lineRule="exact"/>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分包内容：</w:t>
            </w:r>
            <w:r>
              <w:rPr>
                <w:rFonts w:hint="eastAsia" w:ascii="宋体" w:hAnsi="宋体" w:eastAsia="宋体" w:cs="宋体"/>
                <w:color w:val="auto"/>
                <w:kern w:val="2"/>
                <w:sz w:val="21"/>
                <w:szCs w:val="21"/>
                <w:highlight w:val="none"/>
                <w:u w:val="single"/>
                <w:lang w:val="en-US" w:eastAsia="zh-CN" w:bidi="ar-SA"/>
              </w:rPr>
              <w:t xml:space="preserve"> / </w:t>
            </w:r>
          </w:p>
          <w:p w14:paraId="4C1E7AE0">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分包金额或者比例：</w:t>
            </w:r>
            <w:r>
              <w:rPr>
                <w:rFonts w:hint="eastAsia" w:ascii="宋体" w:hAnsi="宋体" w:eastAsia="宋体" w:cs="宋体"/>
                <w:color w:val="auto"/>
                <w:kern w:val="2"/>
                <w:sz w:val="21"/>
                <w:szCs w:val="21"/>
                <w:highlight w:val="none"/>
                <w:u w:val="single"/>
                <w:lang w:val="en-US" w:eastAsia="zh-CN" w:bidi="ar-SA"/>
              </w:rPr>
              <w:t xml:space="preserve"> / </w:t>
            </w:r>
          </w:p>
        </w:tc>
      </w:tr>
      <w:tr w14:paraId="7C9F6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775FE97">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7912" w:type="dxa"/>
            <w:vAlign w:val="center"/>
          </w:tcPr>
          <w:p w14:paraId="30346B72">
            <w:pPr>
              <w:shd w:val="clear"/>
              <w:snapToGrid w:val="0"/>
              <w:spacing w:line="50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17ADD7A2">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3679BA9A">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2.供应商依法缴纳税收的相关材料[近半年</w:t>
            </w:r>
            <w:r>
              <w:rPr>
                <w:rFonts w:hint="eastAsia" w:ascii="宋体" w:hAnsi="宋体" w:eastAsia="宋体" w:cs="宋体"/>
                <w:color w:val="auto"/>
                <w:kern w:val="2"/>
                <w:sz w:val="21"/>
                <w:szCs w:val="21"/>
                <w:highlight w:val="none"/>
                <w:u w:val="single"/>
                <w:lang w:val="en-US" w:eastAsia="zh-CN" w:bidi="ar-SA"/>
              </w:rPr>
              <w:t>2025</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12</w:t>
            </w:r>
            <w:r>
              <w:rPr>
                <w:rFonts w:hint="eastAsia" w:ascii="宋体" w:hAnsi="宋体" w:eastAsia="宋体" w:cs="宋体"/>
                <w:color w:val="auto"/>
                <w:kern w:val="2"/>
                <w:sz w:val="21"/>
                <w:szCs w:val="21"/>
                <w:highlight w:val="none"/>
                <w:lang w:val="en-US" w:eastAsia="zh-CN" w:bidi="ar-SA"/>
              </w:rPr>
              <w:t>月至</w:t>
            </w:r>
            <w:r>
              <w:rPr>
                <w:rFonts w:hint="eastAsia" w:ascii="宋体" w:hAnsi="宋体" w:eastAsia="宋体" w:cs="宋体"/>
                <w:color w:val="auto"/>
                <w:kern w:val="2"/>
                <w:sz w:val="21"/>
                <w:szCs w:val="21"/>
                <w:highlight w:val="none"/>
                <w:u w:val="single"/>
                <w:lang w:val="en-US" w:eastAsia="zh-CN" w:bidi="ar-SA"/>
              </w:rPr>
              <w:t>2026</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 xml:space="preserve"> 5</w:t>
            </w:r>
            <w:r>
              <w:rPr>
                <w:rFonts w:hint="eastAsia" w:ascii="宋体" w:hAnsi="宋体" w:eastAsia="宋体" w:cs="宋体"/>
                <w:color w:val="auto"/>
                <w:kern w:val="2"/>
                <w:sz w:val="21"/>
                <w:szCs w:val="21"/>
                <w:highlight w:val="none"/>
                <w:lang w:val="en-US" w:eastAsia="zh-CN" w:bidi="ar-SA"/>
              </w:rPr>
              <w:t>月内任意连续3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30F8D391">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3.供应商依法缴纳社会保障资金的相关材料[近半年</w:t>
            </w:r>
            <w:r>
              <w:rPr>
                <w:rFonts w:hint="eastAsia" w:ascii="宋体" w:hAnsi="宋体" w:eastAsia="宋体" w:cs="宋体"/>
                <w:color w:val="auto"/>
                <w:kern w:val="2"/>
                <w:sz w:val="21"/>
                <w:szCs w:val="21"/>
                <w:highlight w:val="none"/>
                <w:u w:val="single"/>
                <w:lang w:val="en-US" w:eastAsia="zh-CN" w:bidi="ar-SA"/>
              </w:rPr>
              <w:t>2025</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12</w:t>
            </w:r>
            <w:r>
              <w:rPr>
                <w:rFonts w:hint="eastAsia" w:ascii="宋体" w:hAnsi="宋体" w:eastAsia="宋体" w:cs="宋体"/>
                <w:color w:val="auto"/>
                <w:kern w:val="2"/>
                <w:sz w:val="21"/>
                <w:szCs w:val="21"/>
                <w:highlight w:val="none"/>
                <w:lang w:val="en-US" w:eastAsia="zh-CN" w:bidi="ar-SA"/>
              </w:rPr>
              <w:t>月至</w:t>
            </w:r>
            <w:r>
              <w:rPr>
                <w:rFonts w:hint="eastAsia" w:ascii="宋体" w:hAnsi="宋体" w:eastAsia="宋体" w:cs="宋体"/>
                <w:color w:val="auto"/>
                <w:kern w:val="2"/>
                <w:sz w:val="21"/>
                <w:szCs w:val="21"/>
                <w:highlight w:val="none"/>
                <w:u w:val="single"/>
                <w:lang w:val="en-US" w:eastAsia="zh-CN" w:bidi="ar-SA"/>
              </w:rPr>
              <w:t>2026</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 xml:space="preserve"> 5</w:t>
            </w:r>
            <w:r>
              <w:rPr>
                <w:rFonts w:hint="eastAsia" w:ascii="宋体" w:hAnsi="宋体" w:eastAsia="宋体" w:cs="宋体"/>
                <w:color w:val="auto"/>
                <w:kern w:val="2"/>
                <w:sz w:val="21"/>
                <w:szCs w:val="21"/>
                <w:highlight w:val="none"/>
                <w:lang w:val="en-US" w:eastAsia="zh-CN" w:bidi="ar-SA"/>
              </w:rPr>
              <w:t>月内任意连续3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6AE65028">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供应商财务状况报告[供应商2024年或2025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34E465E7">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5.供应商直接控股股东信息表、供应商直接管理关系信息表（格式后附）；（</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276249B9">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6.响应声明（格式后附）；（</w:t>
            </w:r>
            <w:r>
              <w:rPr>
                <w:rFonts w:hint="eastAsia" w:ascii="宋体" w:hAnsi="宋体" w:eastAsia="宋体" w:cs="宋体"/>
                <w:b/>
                <w:color w:val="auto"/>
                <w:kern w:val="2"/>
                <w:sz w:val="21"/>
                <w:szCs w:val="21"/>
                <w:highlight w:val="none"/>
                <w:lang w:val="en-US" w:eastAsia="zh-CN" w:bidi="ar-SA"/>
              </w:rPr>
              <w:t>必须提供，否则响应文件按无效响应处理</w:t>
            </w:r>
            <w:r>
              <w:rPr>
                <w:rFonts w:hint="eastAsia" w:ascii="宋体" w:hAnsi="宋体" w:eastAsia="宋体" w:cs="宋体"/>
                <w:color w:val="auto"/>
                <w:kern w:val="2"/>
                <w:sz w:val="21"/>
                <w:szCs w:val="21"/>
                <w:highlight w:val="none"/>
                <w:lang w:val="en-US" w:eastAsia="zh-CN" w:bidi="ar-SA"/>
              </w:rPr>
              <w:t>）</w:t>
            </w:r>
          </w:p>
          <w:p w14:paraId="1B47F3AF">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7.联合体协议书（格式后附）；（</w:t>
            </w:r>
            <w:r>
              <w:rPr>
                <w:rFonts w:hint="eastAsia" w:ascii="宋体" w:hAnsi="宋体" w:eastAsia="宋体" w:cs="宋体"/>
                <w:b/>
                <w:color w:val="auto"/>
                <w:szCs w:val="21"/>
                <w:highlight w:val="none"/>
              </w:rPr>
              <w:t>联合体</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时必须提供，否则响应文件按无效响应处理</w:t>
            </w:r>
            <w:r>
              <w:rPr>
                <w:rFonts w:hint="eastAsia" w:ascii="宋体" w:hAnsi="宋体" w:eastAsia="宋体" w:cs="宋体"/>
                <w:color w:val="auto"/>
                <w:szCs w:val="21"/>
                <w:highlight w:val="none"/>
              </w:rPr>
              <w:t>）</w:t>
            </w:r>
          </w:p>
          <w:p w14:paraId="6DC70C81">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8.除</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谈判文件规定必须提供以外，供应商认为需要提供的其他证明材料。（如有请提供）</w:t>
            </w:r>
          </w:p>
          <w:p w14:paraId="5FA2FB5E">
            <w:pPr>
              <w:shd w:val="clear"/>
              <w:snapToGrid w:val="0"/>
              <w:spacing w:line="50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2CCC5A3">
            <w:pPr>
              <w:widowControl w:val="0"/>
              <w:shd w:val="clear"/>
              <w:spacing w:line="500" w:lineRule="exact"/>
              <w:ind w:firstLine="422" w:firstLineChars="200"/>
              <w:jc w:val="left"/>
              <w:rPr>
                <w:rFonts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1.以上标明“必须提供”的材料属于复印件的扫描件的，必须加盖供应商公章（或电子签章），否则响应文件按无效响应处理。</w:t>
            </w:r>
          </w:p>
        </w:tc>
      </w:tr>
      <w:tr w14:paraId="1613C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52B444B3">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7912" w:type="dxa"/>
            <w:vAlign w:val="center"/>
          </w:tcPr>
          <w:p w14:paraId="247E02D5">
            <w:pPr>
              <w:shd w:val="clear"/>
              <w:snapToGrid w:val="0"/>
              <w:spacing w:line="50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商务文件</w:t>
            </w:r>
          </w:p>
          <w:p w14:paraId="6BCBCC29">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1.无串通</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ACE779F">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eastAsia="宋体" w:cs="宋体"/>
                <w:b/>
                <w:bCs/>
                <w:color w:val="auto"/>
                <w:szCs w:val="21"/>
                <w:highlight w:val="none"/>
              </w:rPr>
              <w:t>除自然人</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外</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DA53620">
            <w:pPr>
              <w:shd w:val="clear"/>
              <w:spacing w:line="500" w:lineRule="exact"/>
              <w:rPr>
                <w:rFonts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250942CA">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4.商务条款偏离表（格式后附）；（</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F8BCB35">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.供应商认为需要提供的其他有关资料。（如有请提供）</w:t>
            </w:r>
          </w:p>
          <w:p w14:paraId="398E913E">
            <w:pPr>
              <w:shd w:val="clear"/>
              <w:snapToGrid w:val="0"/>
              <w:spacing w:line="50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28130F57">
            <w:pPr>
              <w:widowControl w:val="0"/>
              <w:numPr>
                <w:ilvl w:val="0"/>
                <w:numId w:val="0"/>
              </w:numPr>
              <w:shd w:val="clear"/>
              <w:tabs>
                <w:tab w:val="center" w:pos="4153"/>
                <w:tab w:val="right" w:pos="8306"/>
              </w:tabs>
              <w:snapToGrid w:val="0"/>
              <w:spacing w:line="500" w:lineRule="exact"/>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1.以上标明“必须提供”的材料属于复印件的扫描件的，必须加盖供应商公章（或电子签章），否则响应文件按无效响应处理。</w:t>
            </w:r>
          </w:p>
          <w:p w14:paraId="6E9D6695">
            <w:pPr>
              <w:widowControl w:val="0"/>
              <w:numPr>
                <w:ilvl w:val="0"/>
                <w:numId w:val="0"/>
              </w:numPr>
              <w:shd w:val="clear"/>
              <w:tabs>
                <w:tab w:val="center" w:pos="4153"/>
                <w:tab w:val="right" w:pos="8306"/>
              </w:tabs>
              <w:snapToGrid w:val="0"/>
              <w:spacing w:line="500" w:lineRule="exact"/>
              <w:jc w:val="left"/>
              <w:rPr>
                <w:rFonts w:hint="default"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2.法定代表人授权委托书必须由法定代表人及委托代理人签字或盖章，并加盖供应商公章（或电子签章），否则响应文件按无效响应处理。</w:t>
            </w:r>
          </w:p>
        </w:tc>
      </w:tr>
      <w:tr w14:paraId="6B78F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34D65F06">
            <w:pPr>
              <w:shd w:val="clear"/>
              <w:spacing w:line="500" w:lineRule="exact"/>
              <w:jc w:val="center"/>
              <w:rPr>
                <w:rFonts w:ascii="宋体" w:hAnsi="宋体" w:eastAsia="宋体" w:cs="宋体"/>
                <w:color w:val="auto"/>
                <w:szCs w:val="21"/>
                <w:highlight w:val="none"/>
              </w:rPr>
            </w:pPr>
          </w:p>
        </w:tc>
        <w:tc>
          <w:tcPr>
            <w:tcW w:w="7912" w:type="dxa"/>
            <w:vAlign w:val="center"/>
          </w:tcPr>
          <w:p w14:paraId="73A573A4">
            <w:pPr>
              <w:shd w:val="clear"/>
              <w:snapToGrid w:val="0"/>
              <w:spacing w:line="500" w:lineRule="exact"/>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技术文件</w:t>
            </w:r>
          </w:p>
          <w:p w14:paraId="319F1702">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1.技术需求偏离表（格式后附）；（</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682CF66">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2.配置清单（均不含报价）；（</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43CBB8E4">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3.售后服务方案；（</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AEABD6E">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4.项目实施人员一览表；（如有请提供）</w:t>
            </w:r>
          </w:p>
          <w:p w14:paraId="788DE685">
            <w:pPr>
              <w:shd w:val="clea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5.对应采购需求的技术需求、商务条款提供的其他文件资料。（如有请提供）</w:t>
            </w:r>
          </w:p>
          <w:p w14:paraId="4D3BEDCC">
            <w:pPr>
              <w:shd w:val="clear"/>
              <w:spacing w:line="500" w:lineRule="exact"/>
              <w:rPr>
                <w:rFonts w:ascii="宋体" w:hAnsi="宋体" w:eastAsia="宋体" w:cs="宋体"/>
                <w:b/>
                <w:bCs/>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w:t>
            </w:r>
            <w:r>
              <w:rPr>
                <w:rFonts w:hint="eastAsia" w:ascii="宋体" w:hAnsi="宋体" w:eastAsia="宋体" w:cs="宋体"/>
                <w:b/>
                <w:color w:val="auto"/>
                <w:kern w:val="2"/>
                <w:sz w:val="21"/>
                <w:szCs w:val="21"/>
                <w:highlight w:val="none"/>
                <w:lang w:val="en-US" w:eastAsia="zh-CN"/>
              </w:rPr>
              <w:t>供应商公章（或电子签章）</w:t>
            </w:r>
            <w:r>
              <w:rPr>
                <w:rFonts w:hint="eastAsia" w:ascii="宋体" w:hAnsi="宋体" w:eastAsia="宋体" w:cs="宋体"/>
                <w:b/>
                <w:color w:val="auto"/>
                <w:szCs w:val="21"/>
                <w:highlight w:val="none"/>
              </w:rPr>
              <w:t>，否则响应文件按无效响应处理。</w:t>
            </w:r>
          </w:p>
        </w:tc>
      </w:tr>
      <w:tr w14:paraId="038D9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A6579F1">
            <w:pPr>
              <w:shd w:val="clear"/>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7912" w:type="dxa"/>
            <w:vAlign w:val="center"/>
          </w:tcPr>
          <w:p w14:paraId="246E99CE">
            <w:pPr>
              <w:shd w:val="clear"/>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报价文件</w:t>
            </w:r>
          </w:p>
          <w:p w14:paraId="63A81775">
            <w:pPr>
              <w:shd w:val="clear"/>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bCs/>
                <w:color w:val="auto"/>
                <w:szCs w:val="21"/>
                <w:highlight w:val="none"/>
              </w:rPr>
              <w:t>（必须提供，否则作无效响应处理）</w:t>
            </w:r>
          </w:p>
          <w:p w14:paraId="4C35B1B1">
            <w:pPr>
              <w:shd w:val="clear"/>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（必须提供，否则响应文件按无效响应处理）</w:t>
            </w:r>
          </w:p>
          <w:p w14:paraId="48B5A5BA">
            <w:pPr>
              <w:shd w:val="clea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3.中小企业声明函或《残疾人福利性单位声明函》或属于监狱企业的证明文件。（如有请提供）</w:t>
            </w:r>
          </w:p>
          <w:p w14:paraId="4C48960B">
            <w:pPr>
              <w:shd w:val="clear"/>
              <w:spacing w:line="50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4.关于符合本国产品标准的声明函。(供应商根据自身响应情况出具；</w:t>
            </w:r>
            <w:r>
              <w:rPr>
                <w:rFonts w:hint="eastAsia" w:ascii="宋体" w:hAnsi="宋体" w:eastAsia="宋体" w:cs="宋体"/>
                <w:color w:val="auto"/>
                <w:szCs w:val="21"/>
                <w:highlight w:val="none"/>
              </w:rPr>
              <w:t>如有请提供</w:t>
            </w:r>
            <w:r>
              <w:rPr>
                <w:rFonts w:hint="eastAsia" w:ascii="宋体" w:hAnsi="宋体" w:eastAsia="宋体" w:cs="宋体"/>
                <w:color w:val="auto"/>
                <w:szCs w:val="21"/>
                <w:highlight w:val="none"/>
                <w:lang w:val="en-US" w:eastAsia="zh-CN"/>
              </w:rPr>
              <w:t>)</w:t>
            </w:r>
          </w:p>
          <w:p w14:paraId="175CDA41">
            <w:pPr>
              <w:shd w:val="clear"/>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p>
          <w:p w14:paraId="7E6A986E">
            <w:pPr>
              <w:shd w:val="clear"/>
              <w:spacing w:line="500" w:lineRule="exact"/>
              <w:jc w:val="left"/>
              <w:rPr>
                <w:rFonts w:ascii="宋体" w:hAnsi="宋体" w:eastAsia="宋体" w:cs="宋体"/>
                <w:color w:val="auto"/>
                <w:szCs w:val="21"/>
                <w:highlight w:val="none"/>
              </w:rPr>
            </w:pPr>
            <w:r>
              <w:rPr>
                <w:rFonts w:hint="eastAsia" w:ascii="宋体" w:hAnsi="宋体" w:eastAsia="宋体" w:cs="宋体"/>
                <w:b/>
                <w:bCs/>
                <w:color w:val="auto"/>
                <w:szCs w:val="21"/>
                <w:highlight w:val="none"/>
              </w:rPr>
              <w:t>注：1.以上标明“必须提供”的材料属于复印件的扫描件的，必须加盖</w:t>
            </w:r>
            <w:r>
              <w:rPr>
                <w:rFonts w:hint="eastAsia" w:ascii="宋体" w:hAnsi="宋体" w:eastAsia="宋体" w:cs="宋体"/>
                <w:b/>
                <w:bCs/>
                <w:color w:val="auto"/>
                <w:kern w:val="2"/>
                <w:sz w:val="21"/>
                <w:szCs w:val="21"/>
                <w:highlight w:val="none"/>
                <w:lang w:val="en-US" w:eastAsia="zh-CN"/>
              </w:rPr>
              <w:t>供应商公章（或电子签章）</w:t>
            </w:r>
            <w:r>
              <w:rPr>
                <w:rFonts w:hint="eastAsia" w:ascii="宋体" w:hAnsi="宋体" w:eastAsia="宋体" w:cs="宋体"/>
                <w:b/>
                <w:bCs/>
                <w:color w:val="auto"/>
                <w:szCs w:val="21"/>
                <w:highlight w:val="none"/>
              </w:rPr>
              <w:t>，否则响应文件按无效响应处理。</w:t>
            </w:r>
          </w:p>
        </w:tc>
      </w:tr>
      <w:tr w14:paraId="18182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4262B7">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7912" w:type="dxa"/>
            <w:vAlign w:val="center"/>
          </w:tcPr>
          <w:p w14:paraId="3591E9D1">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eastAsia="宋体" w:cs="宋体"/>
                <w:bCs/>
                <w:color w:val="auto"/>
                <w:szCs w:val="21"/>
                <w:highlight w:val="none"/>
                <w:lang w:val="en-US" w:eastAsia="zh-CN"/>
              </w:rPr>
              <w:t>竞争性</w:t>
            </w:r>
            <w:r>
              <w:rPr>
                <w:rFonts w:hint="eastAsia" w:ascii="宋体" w:hAnsi="宋体" w:eastAsia="宋体" w:cs="宋体"/>
                <w:color w:val="auto"/>
                <w:szCs w:val="21"/>
                <w:highlight w:val="none"/>
              </w:rPr>
              <w:t>谈判文件“第五章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44295030">
            <w:pPr>
              <w:shd w:val="clear"/>
              <w:snapToGrid w:val="0"/>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2.响应文件电子版密封方式：电子响应文件通过平台有效CA加密后在“广西政府采购云平台”投送。（操作方式见公告附件“电子响应文件制作与投送教程” ）</w:t>
            </w:r>
          </w:p>
          <w:p w14:paraId="116F212D">
            <w:pPr>
              <w:shd w:val="clear"/>
              <w:snapToGrid w:val="0"/>
              <w:spacing w:line="5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▲未传输递交电子响应文件的，响应无效。</w:t>
            </w:r>
          </w:p>
        </w:tc>
      </w:tr>
      <w:tr w14:paraId="0AEFC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082B2CF">
            <w:pPr>
              <w:shd w:val="clear"/>
              <w:snapToGrid w:val="0"/>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7912" w:type="dxa"/>
            <w:vAlign w:val="center"/>
          </w:tcPr>
          <w:p w14:paraId="41E68AF5">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报价的价格构成为：包含满足本次</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全部采购需求所应提供的货物，以及伴随的货物和工程（如有）的价格；包含</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货物、工程的成本、运输（含保险）、安装（如有）、调试、检验、技术货物、培训、税费等所有费用。（采购需求另有约定的，从其约定）</w:t>
            </w:r>
          </w:p>
          <w:p w14:paraId="2A7921B5">
            <w:pPr>
              <w:shd w:val="clear"/>
              <w:snapToGrid w:val="0"/>
              <w:spacing w:line="500" w:lineRule="exact"/>
              <w:jc w:val="left"/>
              <w:rPr>
                <w:rFonts w:ascii="宋体" w:hAnsi="宋体" w:eastAsia="宋体" w:cs="宋体"/>
                <w:b/>
                <w:bCs/>
                <w:color w:val="auto"/>
                <w:szCs w:val="21"/>
                <w:highlight w:val="none"/>
              </w:rPr>
            </w:pPr>
            <w:r>
              <w:rPr>
                <w:rFonts w:hint="eastAsia" w:ascii="Segoe UI Emoji" w:hAnsi="Segoe UI Emoji" w:eastAsia="宋体" w:cs="Segoe UI Emoji"/>
                <w:b/>
                <w:bCs/>
                <w:color w:val="auto"/>
                <w:szCs w:val="21"/>
                <w:highlight w:val="none"/>
              </w:rPr>
              <w:t>☑</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报价包含验收费用</w:t>
            </w:r>
          </w:p>
          <w:p w14:paraId="1FCFD029">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报价不包含验收费用</w:t>
            </w:r>
          </w:p>
        </w:tc>
      </w:tr>
      <w:tr w14:paraId="268F6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4EC01B">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7912" w:type="dxa"/>
            <w:vAlign w:val="center"/>
          </w:tcPr>
          <w:p w14:paraId="0A52BF57">
            <w:pPr>
              <w:widowControl w:val="0"/>
              <w:shd w:val="clear"/>
              <w:tabs>
                <w:tab w:val="left" w:pos="720"/>
                <w:tab w:val="left" w:pos="840"/>
              </w:tabs>
              <w:snapToGrid w:val="0"/>
              <w:spacing w:afterLines="0" w:line="500" w:lineRule="exact"/>
              <w:ind w:left="283" w:hanging="283" w:hangingChars="135"/>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响应有效期：自首次响应文件提交截止之日起</w:t>
            </w:r>
            <w:r>
              <w:rPr>
                <w:rFonts w:hint="eastAsia" w:ascii="宋体" w:hAnsi="宋体" w:eastAsia="宋体" w:cs="宋体"/>
                <w:color w:val="auto"/>
                <w:kern w:val="2"/>
                <w:sz w:val="21"/>
                <w:szCs w:val="21"/>
                <w:highlight w:val="none"/>
                <w:u w:val="single"/>
                <w:lang w:val="en-US" w:eastAsia="zh-CN" w:bidi="ar-SA"/>
              </w:rPr>
              <w:t xml:space="preserve"> 60 </w:t>
            </w:r>
            <w:r>
              <w:rPr>
                <w:rFonts w:hint="eastAsia" w:ascii="宋体" w:hAnsi="宋体" w:eastAsia="宋体" w:cs="宋体"/>
                <w:color w:val="auto"/>
                <w:kern w:val="2"/>
                <w:sz w:val="21"/>
                <w:szCs w:val="21"/>
                <w:highlight w:val="none"/>
                <w:lang w:val="en-US" w:eastAsia="zh-CN" w:bidi="ar-SA"/>
              </w:rPr>
              <w:t>日。</w:t>
            </w:r>
          </w:p>
        </w:tc>
      </w:tr>
      <w:tr w14:paraId="58B75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D9ED26">
            <w:pPr>
              <w:keepNext w:val="0"/>
              <w:keepLines w:val="0"/>
              <w:pageBreakBefore w:val="0"/>
              <w:widowControl w:val="0"/>
              <w:shd w:val="clear"/>
              <w:kinsoku/>
              <w:wordWrap/>
              <w:overflowPunct/>
              <w:topLinePunct w:val="0"/>
              <w:autoSpaceDE/>
              <w:autoSpaceDN/>
              <w:bidi w:val="0"/>
              <w:adjustRightInd/>
              <w:spacing w:line="500" w:lineRule="exact"/>
              <w:jc w:val="center"/>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7912" w:type="dxa"/>
            <w:vAlign w:val="center"/>
          </w:tcPr>
          <w:p w14:paraId="7FB1D682">
            <w:pPr>
              <w:keepNext w:val="0"/>
              <w:keepLines w:val="0"/>
              <w:pageBreakBefore w:val="0"/>
              <w:widowControl w:val="0"/>
              <w:shd w:val="clear"/>
              <w:kinsoku/>
              <w:wordWrap/>
              <w:overflowPunct/>
              <w:topLinePunct w:val="0"/>
              <w:autoSpaceDE/>
              <w:autoSpaceDN/>
              <w:bidi w:val="0"/>
              <w:adjustRightInd/>
              <w:snapToGrid w:val="0"/>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保证金金额：</w:t>
            </w:r>
            <w:r>
              <w:rPr>
                <w:rFonts w:hint="eastAsia" w:ascii="宋体" w:hAnsi="宋体" w:eastAsia="宋体" w:cs="宋体"/>
                <w:color w:val="auto"/>
                <w:szCs w:val="21"/>
                <w:highlight w:val="none"/>
                <w:lang w:eastAsia="zh-CN"/>
              </w:rPr>
              <w:t>本项目不需要缴纳谈判保证金</w:t>
            </w:r>
            <w:r>
              <w:rPr>
                <w:rFonts w:hint="eastAsia" w:ascii="宋体" w:hAnsi="宋体" w:eastAsia="宋体" w:cs="宋体"/>
                <w:color w:val="auto"/>
                <w:szCs w:val="21"/>
                <w:highlight w:val="none"/>
              </w:rPr>
              <w:t>；</w:t>
            </w:r>
          </w:p>
        </w:tc>
      </w:tr>
      <w:tr w14:paraId="759F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21A824BD">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7912" w:type="dxa"/>
            <w:vAlign w:val="center"/>
          </w:tcPr>
          <w:p w14:paraId="3965B185">
            <w:pPr>
              <w:shd w:val="clear"/>
              <w:snapToGrid w:val="0"/>
              <w:spacing w:line="500" w:lineRule="exact"/>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首次响应文件提交截止时间：详见竞争性谈判公告。</w:t>
            </w:r>
          </w:p>
          <w:p w14:paraId="5004E793">
            <w:pPr>
              <w:shd w:val="clear"/>
              <w:snapToGrid w:val="0"/>
              <w:spacing w:line="50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首次响应文件提交地点：详见竞争性谈判公告。</w:t>
            </w:r>
          </w:p>
        </w:tc>
      </w:tr>
      <w:tr w14:paraId="6E406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ACF59A3">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24.1</w:t>
            </w:r>
          </w:p>
        </w:tc>
        <w:tc>
          <w:tcPr>
            <w:tcW w:w="7912" w:type="dxa"/>
            <w:vAlign w:val="center"/>
          </w:tcPr>
          <w:p w14:paraId="54E2C855">
            <w:pPr>
              <w:shd w:val="clear"/>
              <w:snapToGrid w:val="0"/>
              <w:spacing w:line="500" w:lineRule="exact"/>
              <w:jc w:val="left"/>
              <w:rPr>
                <w:rFonts w:ascii="宋体" w:hAnsi="宋体" w:eastAsia="宋体" w:cs="宋体"/>
                <w:color w:val="auto"/>
                <w:szCs w:val="21"/>
                <w:highlight w:val="none"/>
                <w:u w:val="single"/>
              </w:rPr>
            </w:pPr>
            <w:r>
              <w:rPr>
                <w:rFonts w:hint="eastAsia" w:ascii="宋体" w:hAnsi="宋体" w:eastAsia="宋体" w:cs="宋体"/>
                <w:color w:val="auto"/>
                <w:szCs w:val="21"/>
                <w:highlight w:val="none"/>
              </w:rPr>
              <w:t>谈判小组的人数：</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人。</w:t>
            </w:r>
          </w:p>
        </w:tc>
      </w:tr>
      <w:tr w14:paraId="48C8D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4" w:hRule="atLeast"/>
          <w:jc w:val="center"/>
        </w:trPr>
        <w:tc>
          <w:tcPr>
            <w:tcW w:w="992" w:type="dxa"/>
            <w:vAlign w:val="center"/>
          </w:tcPr>
          <w:p w14:paraId="0CD273E0">
            <w:pPr>
              <w:shd w:val="clear"/>
              <w:spacing w:line="5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26.1</w:t>
            </w:r>
          </w:p>
        </w:tc>
        <w:tc>
          <w:tcPr>
            <w:tcW w:w="7912" w:type="dxa"/>
            <w:vAlign w:val="center"/>
          </w:tcPr>
          <w:p w14:paraId="4FB05D6F">
            <w:pPr>
              <w:spacing w:line="360" w:lineRule="auto"/>
              <w:contextualSpacing/>
              <w:rPr>
                <w:rFonts w:hint="eastAsia" w:ascii="宋体" w:hAnsi="宋体" w:eastAsia="宋体" w:cs="宋体"/>
                <w:color w:val="auto"/>
                <w:szCs w:val="21"/>
              </w:rPr>
            </w:pPr>
            <w:r>
              <w:rPr>
                <w:rFonts w:hint="eastAsia" w:ascii="宋体" w:hAnsi="宋体" w:eastAsia="宋体" w:cs="宋体"/>
                <w:color w:val="auto"/>
                <w:szCs w:val="21"/>
              </w:rPr>
              <w:t>评审价相同时，按照最后报价由低到高顺序依次推荐；最后报价相同时，按节能、环保产品累计金额由高到低顺序依次推荐；节能、环保产品累计金额也相同时，按以下原则确定成交候选人的顺序：</w:t>
            </w:r>
          </w:p>
          <w:p w14:paraId="58062752">
            <w:pPr>
              <w:shd w:val="clear"/>
              <w:snapToGrid w:val="0"/>
              <w:spacing w:line="500" w:lineRule="exact"/>
              <w:jc w:val="left"/>
              <w:rPr>
                <w:rFonts w:hint="eastAsia" w:ascii="宋体" w:hAnsi="宋体" w:eastAsia="宋体" w:cs="宋体"/>
                <w:color w:val="auto"/>
                <w:szCs w:val="21"/>
                <w:highlight w:val="none"/>
              </w:rPr>
            </w:pPr>
            <w:r>
              <w:rPr>
                <w:rFonts w:ascii="Segoe UI Symbol" w:hAnsi="Segoe UI Symbol" w:eastAsia="宋体" w:cs="Segoe UI Symbol"/>
                <w:color w:val="auto"/>
                <w:szCs w:val="21"/>
              </w:rPr>
              <w:t>☑</w:t>
            </w:r>
            <w:r>
              <w:rPr>
                <w:rFonts w:hint="eastAsia" w:ascii="宋体" w:hAnsi="宋体" w:eastAsia="宋体" w:cs="宋体"/>
                <w:color w:val="auto"/>
                <w:szCs w:val="21"/>
              </w:rPr>
              <w:t>带“▲”的实质性要求正偏离项数多的优先、均无正偏离或者正偏离项数一致时负偏离项数少的优先、保修期长优先、</w:t>
            </w:r>
            <w:r>
              <w:rPr>
                <w:rFonts w:hint="eastAsia" w:ascii="宋体" w:hAnsi="宋体" w:eastAsia="宋体" w:cs="宋体"/>
                <w:color w:val="auto"/>
                <w:szCs w:val="21"/>
                <w:lang w:eastAsia="zh-CN"/>
              </w:rPr>
              <w:t>交付时间</w:t>
            </w:r>
            <w:r>
              <w:rPr>
                <w:rFonts w:hint="eastAsia" w:ascii="宋体" w:hAnsi="宋体" w:eastAsia="宋体" w:cs="宋体"/>
                <w:color w:val="auto"/>
                <w:szCs w:val="21"/>
              </w:rPr>
              <w:t>短优先、故障响应时间短优先的顺序推荐。</w:t>
            </w:r>
          </w:p>
        </w:tc>
      </w:tr>
      <w:tr w14:paraId="3B4BB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5FC9DB3C">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7912" w:type="dxa"/>
            <w:vAlign w:val="center"/>
          </w:tcPr>
          <w:p w14:paraId="12B3DCD0">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w:t>
            </w:r>
            <w:r>
              <w:rPr>
                <w:rFonts w:hint="eastAsia" w:ascii="宋体" w:hAnsi="宋体" w:eastAsia="宋体" w:cs="宋体"/>
                <w:color w:val="auto"/>
                <w:szCs w:val="21"/>
                <w:highlight w:val="none"/>
                <w:u w:val="single"/>
                <w:lang w:val="en-US" w:eastAsia="zh-CN"/>
              </w:rPr>
              <w:t>为0项</w:t>
            </w:r>
            <w:r>
              <w:rPr>
                <w:rFonts w:hint="eastAsia" w:ascii="宋体" w:hAnsi="宋体" w:eastAsia="宋体" w:cs="宋体"/>
                <w:color w:val="auto"/>
                <w:szCs w:val="21"/>
                <w:highlight w:val="none"/>
              </w:rPr>
              <w:t>。</w:t>
            </w:r>
          </w:p>
          <w:p w14:paraId="1580810E">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w:t>
            </w:r>
            <w:r>
              <w:rPr>
                <w:rFonts w:hint="eastAsia" w:ascii="宋体" w:hAnsi="宋体" w:eastAsia="宋体" w:cs="宋体"/>
                <w:color w:val="auto"/>
                <w:szCs w:val="21"/>
                <w:highlight w:val="none"/>
                <w:u w:val="single"/>
              </w:rPr>
              <w:t>为</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项</w:t>
            </w:r>
            <w:r>
              <w:rPr>
                <w:rFonts w:hint="eastAsia" w:ascii="宋体" w:hAnsi="宋体" w:eastAsia="宋体" w:cs="宋体"/>
                <w:color w:val="auto"/>
                <w:szCs w:val="21"/>
                <w:highlight w:val="none"/>
              </w:rPr>
              <w:t>。</w:t>
            </w:r>
          </w:p>
        </w:tc>
      </w:tr>
      <w:tr w14:paraId="40669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1E5A696">
            <w:pPr>
              <w:shd w:val="clear"/>
              <w:spacing w:line="500" w:lineRule="exact"/>
              <w:jc w:val="center"/>
              <w:rPr>
                <w:rFonts w:ascii="宋体" w:hAnsi="宋体" w:eastAsia="宋体" w:cs="宋体"/>
                <w:color w:val="auto"/>
                <w:szCs w:val="21"/>
                <w:highlight w:val="none"/>
              </w:rPr>
            </w:pPr>
          </w:p>
        </w:tc>
        <w:tc>
          <w:tcPr>
            <w:tcW w:w="7912" w:type="dxa"/>
            <w:vAlign w:val="center"/>
          </w:tcPr>
          <w:p w14:paraId="3F58BEE8">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谈判的顺序：</w:t>
            </w:r>
          </w:p>
          <w:p w14:paraId="4E7832CD">
            <w:pPr>
              <w:widowControl w:val="0"/>
              <w:shd w:val="clear"/>
              <w:spacing w:line="500" w:lineRule="exact"/>
              <w:jc w:val="left"/>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□按照提交首次响应文件的顺序，通知谈判时，若某供应商不在通知现场时（该供应商排序到最后谈判），按照签到的顺序由其下一位供应商先参与谈判。</w:t>
            </w:r>
          </w:p>
          <w:p w14:paraId="73AD6CAF">
            <w:pPr>
              <w:shd w:val="clear"/>
              <w:snapToGrid w:val="0"/>
              <w:spacing w:line="500" w:lineRule="exact"/>
              <w:rPr>
                <w:rFonts w:ascii="宋体" w:hAnsi="宋体" w:eastAsia="宋体" w:cs="宋体"/>
                <w:color w:val="auto"/>
                <w:szCs w:val="21"/>
                <w:highlight w:val="none"/>
              </w:rPr>
            </w:pPr>
            <w:r>
              <w:rPr>
                <w:rFonts w:hint="eastAsia" w:ascii="Segoe UI Emoji" w:hAnsi="Segoe UI Emoji" w:eastAsia="宋体" w:cs="Segoe UI Emoji"/>
                <w:color w:val="auto"/>
                <w:szCs w:val="21"/>
                <w:highlight w:val="none"/>
              </w:rPr>
              <w:t>☑</w:t>
            </w:r>
            <w:r>
              <w:rPr>
                <w:rFonts w:hint="eastAsia" w:ascii="宋体" w:hAnsi="宋体" w:eastAsia="宋体" w:cs="宋体"/>
                <w:color w:val="auto"/>
                <w:szCs w:val="21"/>
                <w:highlight w:val="none"/>
              </w:rPr>
              <w:t>随机排序。</w:t>
            </w:r>
          </w:p>
          <w:p w14:paraId="198C9C55">
            <w:pPr>
              <w:widowControl w:val="0"/>
              <w:shd w:val="clear"/>
              <w:spacing w:line="500" w:lineRule="exact"/>
              <w:jc w:val="left"/>
              <w:rPr>
                <w:rFonts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参与谈判前，供应商法定代表人或者委托代理人必须通过电脑摄像头向谈判小组出示本人有效证件原件[有效证件可以是身份证（含临时身份证明）、机动车驾驶证、社会保障卡或者护照的其中一项]，若参与谈判的委托代理人不是响应文件中授权的委托代理人时，必须同时出示有效的法定代表人授权委托书原件。如无法核实谈判对象有效身份证明的，谈判小组将拒绝其谈判。</w:t>
            </w:r>
          </w:p>
        </w:tc>
      </w:tr>
      <w:tr w14:paraId="3CD0A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EE8F5F">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28.1</w:t>
            </w:r>
          </w:p>
        </w:tc>
        <w:tc>
          <w:tcPr>
            <w:tcW w:w="7912" w:type="dxa"/>
            <w:vAlign w:val="center"/>
          </w:tcPr>
          <w:p w14:paraId="6999BE70">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本项目不收取履约保证金。</w:t>
            </w:r>
          </w:p>
          <w:p w14:paraId="144364ED">
            <w:pPr>
              <w:shd w:val="clear"/>
              <w:autoSpaceDE w:val="0"/>
              <w:autoSpaceDN w:val="0"/>
              <w:snapToGrid w:val="0"/>
              <w:spacing w:line="500" w:lineRule="exact"/>
              <w:textAlignment w:val="bottom"/>
              <w:rPr>
                <w:rFonts w:ascii="宋体" w:hAnsi="宋体" w:eastAsia="宋体" w:cs="宋体"/>
                <w:color w:val="auto"/>
                <w:szCs w:val="21"/>
                <w:highlight w:val="none"/>
              </w:rPr>
            </w:pPr>
            <w:r>
              <w:rPr>
                <w:rFonts w:hint="eastAsia" w:ascii="Segoe UI Emoji" w:hAnsi="Segoe UI Emoji" w:eastAsia="宋体" w:cs="Segoe UI Emoji"/>
                <w:color w:val="auto"/>
                <w:szCs w:val="21"/>
                <w:highlight w:val="none"/>
                <w:lang w:eastAsia="zh-CN"/>
              </w:rPr>
              <w:t>☑</w:t>
            </w:r>
            <w:r>
              <w:rPr>
                <w:rFonts w:hint="eastAsia" w:ascii="宋体" w:hAnsi="宋体" w:eastAsia="宋体" w:cs="宋体"/>
                <w:color w:val="auto"/>
                <w:szCs w:val="21"/>
                <w:highlight w:val="none"/>
              </w:rPr>
              <w:t>本项目收取履约保证金，具体规定如下：</w:t>
            </w:r>
          </w:p>
          <w:p w14:paraId="16CDC89F">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履约保证金金额：按成交金额的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%（中小企业缴纳数额为成交金额的2%）。</w:t>
            </w:r>
          </w:p>
          <w:p w14:paraId="6645708C">
            <w:pPr>
              <w:shd w:val="clear"/>
              <w:snapToGrid w:val="0"/>
              <w:spacing w:line="5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履约保证金提交方式：银行转账、支票、汇票、本票或者银行、保险机构出具的保函等非现金方式</w:t>
            </w:r>
            <w:r>
              <w:rPr>
                <w:rFonts w:hint="eastAsia" w:ascii="宋体" w:hAnsi="宋体" w:eastAsia="宋体" w:cs="宋体"/>
                <w:color w:val="auto"/>
                <w:szCs w:val="21"/>
                <w:highlight w:val="none"/>
                <w:lang w:eastAsia="zh-CN"/>
              </w:rPr>
              <w:t>（参照谈判保证金）</w:t>
            </w:r>
            <w:r>
              <w:rPr>
                <w:rFonts w:hint="eastAsia" w:ascii="宋体" w:hAnsi="宋体" w:eastAsia="宋体" w:cs="宋体"/>
                <w:color w:val="auto"/>
                <w:szCs w:val="21"/>
                <w:highlight w:val="none"/>
              </w:rPr>
              <w:t>。</w:t>
            </w:r>
          </w:p>
          <w:p w14:paraId="4414808C">
            <w:pPr>
              <w:widowControl w:val="0"/>
              <w:shd w:val="clear"/>
              <w:spacing w:after="0" w:line="500" w:lineRule="exact"/>
              <w:jc w:val="both"/>
              <w:rPr>
                <w:rFonts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履约保证金提交时间：在签订合同前，自成交公告发出之日起5日内，成交供应商须足额缴纳履约保证金到采购人账户。</w:t>
            </w:r>
          </w:p>
          <w:p w14:paraId="2E5E086E">
            <w:pPr>
              <w:shd w:val="clear"/>
              <w:snapToGrid w:val="0"/>
              <w:spacing w:line="500" w:lineRule="exact"/>
              <w:rPr>
                <w:rFonts w:ascii="宋体" w:hAnsi="宋体" w:eastAsia="宋体" w:cs="宋体"/>
                <w:color w:val="auto"/>
                <w:szCs w:val="21"/>
                <w:highlight w:val="none"/>
                <w:u w:val="single"/>
              </w:rPr>
            </w:pP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rPr>
              <w:t>验收合格，成交供应商按合同约定，履行完毕合同所有义务之日起，且成交供应商无任何违约责任，由成交供应商向采购人提供《政府采购项目履约保证金退付意见书》，提出书面退款申请，采购人在收到合格材料后</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个工作日内办理退还手续（不计利息）。</w:t>
            </w:r>
          </w:p>
          <w:p w14:paraId="384D5E7C">
            <w:pPr>
              <w:shd w:val="clear"/>
              <w:snapToGrid w:val="0"/>
              <w:spacing w:line="500" w:lineRule="exact"/>
              <w:rPr>
                <w:rFonts w:ascii="宋体" w:hAnsi="宋体" w:eastAsia="宋体" w:cs="宋体"/>
                <w:color w:val="auto"/>
                <w:szCs w:val="21"/>
                <w:highlight w:val="none"/>
                <w:u w:val="single"/>
              </w:rPr>
            </w:pPr>
            <w:r>
              <w:rPr>
                <w:rFonts w:hint="eastAsia" w:ascii="宋体" w:hAnsi="宋体" w:eastAsia="宋体" w:cs="宋体"/>
                <w:color w:val="auto"/>
                <w:szCs w:val="21"/>
                <w:highlight w:val="none"/>
                <w:u w:val="single"/>
              </w:rPr>
              <w:t>如成交供应商没有履行本合同约定的责任和义务所需承担的违约金、赔偿金及其他费用，采购人有权直接从履约保证金中扣除，履约保证金中不足以扣除的，采购人有权从货款中抵扣。履约保证金不足的，成交供应商应及时补足。</w:t>
            </w:r>
          </w:p>
          <w:p w14:paraId="2E1DCCC6">
            <w:pPr>
              <w:shd w:val="clear"/>
              <w:snapToGrid w:val="0"/>
              <w:spacing w:line="500" w:lineRule="exact"/>
              <w:rPr>
                <w:rFonts w:ascii="宋体" w:hAnsi="宋体" w:eastAsia="宋体" w:cs="宋体"/>
                <w:b/>
                <w:color w:val="auto"/>
                <w:szCs w:val="21"/>
                <w:highlight w:val="none"/>
              </w:rPr>
            </w:pPr>
            <w:r>
              <w:rPr>
                <w:rFonts w:hint="eastAsia" w:ascii="宋体" w:hAnsi="宋体" w:eastAsia="宋体" w:cs="宋体"/>
                <w:color w:val="auto"/>
                <w:szCs w:val="21"/>
                <w:highlight w:val="none"/>
              </w:rPr>
              <w:t>备注：</w:t>
            </w:r>
            <w:r>
              <w:rPr>
                <w:rFonts w:hint="eastAsia" w:ascii="宋体" w:hAnsi="宋体" w:eastAsia="宋体" w:cs="宋体"/>
                <w:color w:val="auto"/>
                <w:szCs w:val="21"/>
                <w:highlight w:val="none"/>
              </w:rPr>
              <w:br w:type="textWrapping"/>
            </w:r>
            <w:r>
              <w:rPr>
                <w:rFonts w:hint="eastAsia" w:ascii="宋体" w:hAnsi="宋体" w:eastAsia="宋体" w:cs="宋体"/>
                <w:b/>
                <w:color w:val="auto"/>
                <w:szCs w:val="21"/>
                <w:highlight w:val="none"/>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eastAsia="宋体" w:cs="宋体"/>
                <w:b/>
                <w:color w:val="auto"/>
                <w:szCs w:val="21"/>
                <w:highlight w:val="none"/>
              </w:rPr>
              <w:br w:type="textWrapping"/>
            </w:r>
            <w:r>
              <w:rPr>
                <w:rFonts w:hint="eastAsia" w:ascii="宋体" w:hAnsi="宋体" w:eastAsia="宋体" w:cs="宋体"/>
                <w:b/>
                <w:color w:val="auto"/>
                <w:szCs w:val="21"/>
                <w:highlight w:val="none"/>
              </w:rPr>
              <w:t>2.采用金融、担保机构出具保函的，必须为无条件保函，否则视为未按规定提交履约保证金。</w:t>
            </w:r>
          </w:p>
          <w:p w14:paraId="62996ECC">
            <w:pPr>
              <w:shd w:val="clear"/>
              <w:snapToGrid w:val="0"/>
              <w:spacing w:line="500" w:lineRule="exact"/>
              <w:rPr>
                <w:rFonts w:ascii="宋体" w:hAnsi="宋体" w:eastAsia="宋体" w:cs="宋体"/>
                <w:color w:val="auto"/>
                <w:szCs w:val="21"/>
                <w:highlight w:val="none"/>
              </w:rPr>
            </w:pPr>
            <w:r>
              <w:rPr>
                <w:rFonts w:hint="eastAsia" w:ascii="宋体" w:hAnsi="宋体" w:eastAsia="宋体" w:cs="宋体"/>
                <w:b/>
                <w:color w:val="auto"/>
                <w:szCs w:val="21"/>
                <w:highlight w:val="none"/>
              </w:rPr>
              <w:t>3.供应商为联合体的，可由联合体任意一方或者联合体各方共同提交的履约保证金，视为有效履约保证金</w:t>
            </w:r>
            <w:r>
              <w:rPr>
                <w:rFonts w:hint="eastAsia" w:ascii="宋体" w:hAnsi="宋体" w:eastAsia="宋体" w:cs="宋体"/>
                <w:color w:val="auto"/>
                <w:szCs w:val="21"/>
                <w:highlight w:val="none"/>
              </w:rPr>
              <w:t>。</w:t>
            </w:r>
          </w:p>
        </w:tc>
      </w:tr>
      <w:tr w14:paraId="01B8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5536F83">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7912" w:type="dxa"/>
            <w:vAlign w:val="center"/>
          </w:tcPr>
          <w:p w14:paraId="41E7995D">
            <w:pPr>
              <w:shd w:val="clear"/>
              <w:autoSpaceDE w:val="0"/>
              <w:autoSpaceDN w:val="0"/>
              <w:snapToGrid w:val="0"/>
              <w:spacing w:line="500" w:lineRule="exact"/>
              <w:textAlignment w:val="bottom"/>
              <w:rPr>
                <w:rFonts w:ascii="宋体" w:hAnsi="宋体" w:eastAsia="宋体" w:cs="宋体"/>
                <w:color w:val="auto"/>
                <w:szCs w:val="21"/>
                <w:highlight w:val="none"/>
              </w:rPr>
            </w:pPr>
            <w:r>
              <w:rPr>
                <w:rFonts w:hint="eastAsia" w:ascii="宋体" w:hAnsi="宋体" w:eastAsia="宋体" w:cs="宋体"/>
                <w:color w:val="auto"/>
                <w:szCs w:val="21"/>
                <w:highlight w:val="none"/>
              </w:rPr>
              <w:t>签订合同携带的证明材料：</w:t>
            </w:r>
          </w:p>
          <w:p w14:paraId="0628D1AD">
            <w:pPr>
              <w:shd w:val="clear"/>
              <w:autoSpaceDE w:val="0"/>
              <w:autoSpaceDN w:val="0"/>
              <w:snapToGrid w:val="0"/>
              <w:spacing w:line="500" w:lineRule="exact"/>
              <w:textAlignment w:val="bottom"/>
              <w:rPr>
                <w:rFonts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105E4D69">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671F3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DDE5D4">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7912" w:type="dxa"/>
            <w:vAlign w:val="center"/>
          </w:tcPr>
          <w:p w14:paraId="2B87F7C9">
            <w:pPr>
              <w:shd w:val="clear"/>
              <w:snapToGrid w:val="0"/>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0E664F0C">
            <w:pPr>
              <w:widowControl w:val="0"/>
              <w:shd w:val="clear"/>
              <w:snapToGrid w:val="0"/>
              <w:spacing w:line="500" w:lineRule="exact"/>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质疑联系部门及联系方式：</w:t>
            </w:r>
            <w:r>
              <w:rPr>
                <w:rFonts w:hint="eastAsia" w:ascii="宋体" w:hAnsi="宋体" w:eastAsia="宋体" w:cs="宋体"/>
                <w:color w:val="auto"/>
                <w:kern w:val="2"/>
                <w:sz w:val="21"/>
                <w:szCs w:val="21"/>
                <w:highlight w:val="none"/>
                <w:u w:val="single"/>
                <w:lang w:val="en-US" w:eastAsia="zh-CN" w:bidi="ar-SA"/>
              </w:rPr>
              <w:t>广西邕政采购代理有限公司</w:t>
            </w:r>
            <w:r>
              <w:rPr>
                <w:rFonts w:hint="eastAsia" w:ascii="宋体" w:hAnsi="宋体" w:eastAsia="宋体" w:cs="宋体"/>
                <w:color w:val="auto"/>
                <w:kern w:val="2"/>
                <w:sz w:val="21"/>
                <w:szCs w:val="21"/>
                <w:highlight w:val="none"/>
                <w:lang w:val="en-US" w:eastAsia="zh-CN" w:bidi="ar-SA"/>
              </w:rPr>
              <w:t>，联系电话：</w:t>
            </w:r>
            <w:r>
              <w:rPr>
                <w:rFonts w:hint="eastAsia" w:ascii="宋体" w:hAnsi="宋体" w:eastAsia="宋体" w:cs="宋体"/>
                <w:color w:val="auto"/>
                <w:kern w:val="2"/>
                <w:sz w:val="21"/>
                <w:szCs w:val="21"/>
                <w:highlight w:val="none"/>
                <w:u w:val="single"/>
                <w:lang w:val="en-US" w:eastAsia="zh-CN" w:bidi="ar-SA"/>
              </w:rPr>
              <w:t>0771-2225338、18697977860</w:t>
            </w:r>
            <w:r>
              <w:rPr>
                <w:rFonts w:hint="eastAsia" w:ascii="宋体" w:hAnsi="宋体" w:eastAsia="宋体" w:cs="宋体"/>
                <w:color w:val="auto"/>
                <w:kern w:val="2"/>
                <w:sz w:val="21"/>
                <w:szCs w:val="21"/>
                <w:highlight w:val="none"/>
                <w:lang w:val="en-US" w:eastAsia="zh-CN" w:bidi="ar-SA"/>
              </w:rPr>
              <w:t>，通讯地址：</w:t>
            </w:r>
            <w:r>
              <w:rPr>
                <w:rFonts w:hint="eastAsia" w:ascii="宋体" w:hAnsi="宋体" w:eastAsia="宋体" w:cs="宋体"/>
                <w:color w:val="auto"/>
                <w:kern w:val="2"/>
                <w:sz w:val="21"/>
                <w:szCs w:val="21"/>
                <w:highlight w:val="none"/>
                <w:u w:val="single"/>
                <w:lang w:val="en-US" w:eastAsia="zh-CN" w:bidi="ar-SA"/>
              </w:rPr>
              <w:t>中国（广西）自由贸易试验区南宁片区云英路8号五象总部大厦2号楼十八层1815、1816号房。</w:t>
            </w:r>
          </w:p>
          <w:p w14:paraId="3B2DD484">
            <w:pPr>
              <w:shd w:val="clear"/>
              <w:autoSpaceDE w:val="0"/>
              <w:autoSpaceDN w:val="0"/>
              <w:snapToGrid w:val="0"/>
              <w:spacing w:line="500" w:lineRule="exact"/>
              <w:textAlignment w:val="bottom"/>
              <w:rPr>
                <w:rFonts w:ascii="宋体" w:hAnsi="宋体" w:eastAsia="宋体" w:cs="宋体"/>
                <w:color w:val="auto"/>
                <w:szCs w:val="21"/>
                <w:highlight w:val="none"/>
              </w:rPr>
            </w:pPr>
            <w:r>
              <w:rPr>
                <w:rFonts w:hint="eastAsia" w:ascii="宋体" w:hAnsi="宋体" w:eastAsia="宋体" w:cs="宋体"/>
                <w:color w:val="auto"/>
                <w:highlight w:val="none"/>
              </w:rPr>
              <w:t>业务时间：上午</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lang w:val="en-US" w:eastAsia="zh-CN"/>
              </w:rPr>
              <w:t>00</w:t>
            </w:r>
            <w:r>
              <w:rPr>
                <w:rFonts w:hint="eastAsia" w:ascii="宋体" w:hAnsi="宋体" w:eastAsia="宋体" w:cs="宋体"/>
                <w:color w:val="auto"/>
                <w:highlight w:val="none"/>
              </w:rPr>
              <w:t>分到12时00分，下午</w:t>
            </w:r>
            <w:r>
              <w:rPr>
                <w:rFonts w:hint="eastAsia" w:ascii="宋体" w:hAnsi="宋体" w:eastAsia="宋体" w:cs="宋体"/>
                <w:color w:val="auto"/>
                <w:highlight w:val="none"/>
                <w:lang w:val="en-US" w:eastAsia="zh-CN"/>
              </w:rPr>
              <w:t>14</w:t>
            </w:r>
            <w:r>
              <w:rPr>
                <w:rFonts w:hint="eastAsia" w:ascii="宋体" w:hAnsi="宋体" w:eastAsia="宋体" w:cs="宋体"/>
                <w:color w:val="auto"/>
                <w:highlight w:val="none"/>
              </w:rPr>
              <w:t>时</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分到</w:t>
            </w:r>
            <w:r>
              <w:rPr>
                <w:rFonts w:hint="eastAsia" w:ascii="宋体" w:hAnsi="宋体" w:eastAsia="宋体" w:cs="宋体"/>
                <w:color w:val="auto"/>
                <w:highlight w:val="non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业务时间以外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双休日和法定节假日不办理业务。</w:t>
            </w:r>
          </w:p>
        </w:tc>
      </w:tr>
      <w:tr w14:paraId="106AE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E581C9">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32.1</w:t>
            </w:r>
          </w:p>
        </w:tc>
        <w:tc>
          <w:tcPr>
            <w:tcW w:w="7912" w:type="dxa"/>
            <w:vAlign w:val="center"/>
          </w:tcPr>
          <w:p w14:paraId="0C6B6C62">
            <w:pPr>
              <w:widowControl w:val="0"/>
              <w:numPr>
                <w:ilvl w:val="0"/>
                <w:numId w:val="0"/>
              </w:numPr>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根据有关收费规定，采购代理服务费以成交金额为基准，参照《招标代理服务收费管理暂行办法》（计价格〔2002〕1980号）及国家发展改革委办公厅《关于招标代理服务收费有关问题的通知》（发改办价格〔2003〕857号）规定的〔货物类〕收费标准下浮20%进行计取。</w:t>
            </w:r>
          </w:p>
          <w:p w14:paraId="6E92013A">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2.由成交供应商在领取成交通知书前一次性向采购代理机构付清。</w:t>
            </w:r>
          </w:p>
          <w:p w14:paraId="600BDBFE">
            <w:pPr>
              <w:widowControl w:val="0"/>
              <w:shd w:val="clear"/>
              <w:snapToGrid w:val="0"/>
              <w:spacing w:line="500" w:lineRule="exact"/>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开户名称：广西邕政采购代理有限公司 </w:t>
            </w:r>
          </w:p>
          <w:p w14:paraId="13B800C5">
            <w:pPr>
              <w:widowControl w:val="0"/>
              <w:shd w:val="clear"/>
              <w:snapToGrid w:val="0"/>
              <w:spacing w:line="500" w:lineRule="exact"/>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开户银行：交通银行南宁东葛西支行</w:t>
            </w:r>
          </w:p>
          <w:p w14:paraId="1D1D2DE5">
            <w:pPr>
              <w:widowControl w:val="0"/>
              <w:shd w:val="clear"/>
              <w:snapToGrid w:val="0"/>
              <w:spacing w:line="500" w:lineRule="exact"/>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银行账号：4510 6070 1018 1602 32818</w:t>
            </w:r>
          </w:p>
          <w:p w14:paraId="729FB607">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开户行行号：301611000718</w:t>
            </w:r>
          </w:p>
        </w:tc>
      </w:tr>
      <w:tr w14:paraId="61897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56354F">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33.1</w:t>
            </w:r>
          </w:p>
        </w:tc>
        <w:tc>
          <w:tcPr>
            <w:tcW w:w="7912" w:type="dxa"/>
            <w:vAlign w:val="center"/>
          </w:tcPr>
          <w:p w14:paraId="43344188">
            <w:pPr>
              <w:widowControl w:val="0"/>
              <w:shd w:val="clear"/>
              <w:snapToGrid w:val="0"/>
              <w:spacing w:line="500" w:lineRule="exact"/>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解释：构成本竞争性谈判文件的各个组成文件应互为解释，互为说明；除竞争性谈判文件中有特别规定外，仅适用于响应阶段的规定，按更正公告（澄清公告）、竞争性谈判公告、供应商须知、采购需求、评审程序、评审方法和评审标准、响应文件格式、合同文本的先后顺序解释；同一组成文件中就同一事项的规定或约定不一致的，以编排顺序在后者为准；同一组成文件不同版本之间有不一致的，以形成时间在后者为准；更正公告（澄清公告）与同步更新的竞争性谈判文件不一致时以更正公告（澄清公告）为准。按本款前述规定仍不能形成结论的，由采购人或者采购代理机构负责解释。</w:t>
            </w:r>
          </w:p>
        </w:tc>
      </w:tr>
      <w:tr w14:paraId="4EDB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91E853">
            <w:pPr>
              <w:shd w:val="clear"/>
              <w:spacing w:line="50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33.2</w:t>
            </w:r>
          </w:p>
        </w:tc>
        <w:tc>
          <w:tcPr>
            <w:tcW w:w="7912" w:type="dxa"/>
            <w:vAlign w:val="center"/>
          </w:tcPr>
          <w:p w14:paraId="5A354F5E">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1.本竞争性谈判文件中描述供应商的“公章”是指供应商通过指定电子化政府采购平台办理数字证书（CA认证）获得的以法定主体行为名称制作的电子印章。</w:t>
            </w:r>
          </w:p>
          <w:p w14:paraId="7C08D055">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2.本竞争性谈判文件中描述供应商的“签字”是指供应商通过指定电子化政府采购平台办理数字证书（CA认证）获得的以供应商法定代表人或者委托代理人姓名制作的电子印章或手写签字。</w:t>
            </w:r>
          </w:p>
          <w:p w14:paraId="47C43E31">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供应商为其他组织或者自然人时，本竞争性谈判文件规定的法定代表人指负责人或者自然人。本竞争性谈判文件所称负责人是指参加响应的其他组织营业执照上的负责人，本竞争性谈判文件所称自然人指参与响应的自然人本人。</w:t>
            </w:r>
          </w:p>
          <w:p w14:paraId="562672D5">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4.自然人响应的，竞争性谈判文件规定盖公章处由自然人摁手指指印。</w:t>
            </w:r>
          </w:p>
          <w:p w14:paraId="241778EA">
            <w:pPr>
              <w:widowControl w:val="0"/>
              <w:shd w:val="clear"/>
              <w:snapToGrid w:val="0"/>
              <w:spacing w:line="500" w:lineRule="exact"/>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5.本竞争性谈判文件所称的“以上”“以下”“以内”“届满”，包括本数；所称的“不满”“超过”“以外”，不包括本数。</w:t>
            </w:r>
          </w:p>
        </w:tc>
      </w:tr>
    </w:tbl>
    <w:p w14:paraId="3DE9FCF7">
      <w:pPr>
        <w:shd w:val="clear"/>
        <w:spacing w:line="5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供应商须知正文</w:t>
      </w:r>
    </w:p>
    <w:p w14:paraId="22ABA047">
      <w:pPr>
        <w:shd w:val="clear"/>
        <w:spacing w:line="400" w:lineRule="exact"/>
        <w:jc w:val="center"/>
        <w:rPr>
          <w:rFonts w:ascii="宋体" w:hAnsi="宋体" w:eastAsia="宋体" w:cs="宋体"/>
          <w:b/>
          <w:color w:val="auto"/>
          <w:sz w:val="32"/>
          <w:szCs w:val="32"/>
          <w:highlight w:val="none"/>
        </w:rPr>
      </w:pPr>
    </w:p>
    <w:p w14:paraId="0902E865">
      <w:pPr>
        <w:shd w:val="clear"/>
        <w:spacing w:line="4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一、总则</w:t>
      </w:r>
    </w:p>
    <w:p w14:paraId="2D9AB5F1">
      <w:pPr>
        <w:shd w:val="clear"/>
        <w:spacing w:line="400" w:lineRule="exact"/>
        <w:rPr>
          <w:rFonts w:ascii="宋体" w:hAnsi="宋体" w:eastAsia="宋体" w:cs="宋体"/>
          <w:color w:val="auto"/>
          <w:szCs w:val="21"/>
          <w:highlight w:val="none"/>
        </w:rPr>
      </w:pPr>
    </w:p>
    <w:p w14:paraId="6B00228B">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1B317A65">
      <w:pPr>
        <w:shd w:val="clear"/>
        <w:spacing w:line="360" w:lineRule="auto"/>
        <w:ind w:firstLine="396" w:firstLineChars="200"/>
        <w:rPr>
          <w:rFonts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61E806CC">
      <w:pPr>
        <w:shd w:val="clear"/>
        <w:spacing w:line="360" w:lineRule="auto"/>
        <w:ind w:firstLine="396" w:firstLineChars="200"/>
        <w:rPr>
          <w:rFonts w:ascii="宋体" w:hAnsi="宋体" w:eastAsia="宋体" w:cs="宋体"/>
          <w:color w:val="auto"/>
          <w:szCs w:val="21"/>
          <w:highlight w:val="none"/>
        </w:rPr>
      </w:pPr>
      <w:r>
        <w:rPr>
          <w:rFonts w:hint="eastAsia" w:ascii="宋体" w:hAnsi="宋体" w:eastAsia="宋体" w:cs="宋体"/>
          <w:color w:val="auto"/>
          <w:spacing w:val="-6"/>
          <w:szCs w:val="21"/>
          <w:highlight w:val="none"/>
        </w:rPr>
        <w:t>1.2本竞争性谈判文件（以下简称谈判文件）适用于本项目的所有采购程序和环节（法律法规另有规定的，从其规定）。</w:t>
      </w:r>
    </w:p>
    <w:p w14:paraId="35712CF2">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298B332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7EAFE96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40EF491B">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366EE39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3FF850E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”是指供应商按照本项目竞争性谈判公告或者邀请函规定的方式获取谈判文件、提交响应文件并希望获得标的的行为。</w:t>
      </w:r>
    </w:p>
    <w:p w14:paraId="6B60F22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2.6“售后服务”是指包含但不限于供应商须承担的备品备件、包装、运输、装卸、保险、货到就位以及安装、调试、培训、保修和其他类似的义务。</w:t>
      </w:r>
    </w:p>
    <w:p w14:paraId="2A2E70BA">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04C57EF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2.8“响应文件”是指：供应商根据本谈判文件要求，编制包含资格证明、报价商务技术等所有内容的文件。</w:t>
      </w:r>
    </w:p>
    <w:p w14:paraId="1562C4D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2.9“实质性要求”是指谈判文件中已经指明不满足则响应文件按无效响应处理的条款，或者不能负偏离的条款，或者采购需求中带“▲”的条款。</w:t>
      </w:r>
    </w:p>
    <w:p w14:paraId="3E7DDDB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2.10“正偏离”，是指响应文件对谈判文件“采购需求”中有关条款作出的响应优于条款要求并有利于采购人的情形。</w:t>
      </w:r>
    </w:p>
    <w:p w14:paraId="44DEFE7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65E9844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2.12“允许负偏离的条款”是指采购需求中的不属于“实质性要求”的条款。</w:t>
      </w:r>
    </w:p>
    <w:p w14:paraId="37EAE9A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2.13“首次报价”是指供应商提交的首次响应文件中的报价。</w:t>
      </w:r>
    </w:p>
    <w:p w14:paraId="64849D8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2.14“评审报价”是指供应商提交的最后报价并经修正（如有）和政策功能价格扣除（如有）后的价格。</w:t>
      </w:r>
    </w:p>
    <w:p w14:paraId="3E6927BA">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631E50CA">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C5CB714">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费用</w:t>
      </w:r>
    </w:p>
    <w:p w14:paraId="4EC6C50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结果如何，均应自行承担。</w:t>
      </w:r>
    </w:p>
    <w:p w14:paraId="1162EFC8">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5.联合体</w:t>
      </w:r>
      <w:r>
        <w:rPr>
          <w:rFonts w:hint="eastAsia" w:ascii="宋体" w:hAnsi="宋体" w:eastAsia="宋体" w:cs="宋体"/>
          <w:b/>
          <w:bCs/>
          <w:color w:val="auto"/>
          <w:sz w:val="24"/>
          <w:highlight w:val="none"/>
          <w:lang w:val="en-US" w:eastAsia="zh-CN"/>
        </w:rPr>
        <w:t>响应</w:t>
      </w:r>
    </w:p>
    <w:p w14:paraId="0E452A5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，详见“供应商须知前附表”。</w:t>
      </w:r>
    </w:p>
    <w:p w14:paraId="3B2C5A4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highlight w:val="none"/>
        </w:rPr>
        <w:t>，</w:t>
      </w:r>
      <w:r>
        <w:rPr>
          <w:rFonts w:hint="eastAsia" w:ascii="宋体" w:hAnsi="宋体" w:eastAsia="宋体" w:cs="宋体"/>
          <w:color w:val="auto"/>
          <w:szCs w:val="21"/>
          <w:highlight w:val="none"/>
        </w:rPr>
        <w:t>联合体</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要求详见“供应商须知前附表”。</w:t>
      </w:r>
    </w:p>
    <w:p w14:paraId="6B6389B3">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486F701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230E400B">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14:paraId="34B9F9CD">
      <w:pPr>
        <w:shd w:val="clear"/>
        <w:spacing w:line="360" w:lineRule="auto"/>
        <w:ind w:firstLine="482" w:firstLineChars="200"/>
        <w:rPr>
          <w:rFonts w:ascii="宋体" w:hAnsi="宋体" w:eastAsia="宋体" w:cs="宋体"/>
          <w:b/>
          <w:bCs/>
          <w:color w:val="auto"/>
          <w:sz w:val="24"/>
          <w:highlight w:val="none"/>
        </w:rPr>
      </w:pPr>
      <w:bookmarkStart w:id="45" w:name="_Toc254970532"/>
      <w:bookmarkStart w:id="46" w:name="_Toc254970673"/>
      <w:r>
        <w:rPr>
          <w:rFonts w:hint="eastAsia" w:ascii="宋体" w:hAnsi="宋体" w:eastAsia="宋体" w:cs="宋体"/>
          <w:b/>
          <w:bCs/>
          <w:color w:val="auto"/>
          <w:sz w:val="24"/>
          <w:highlight w:val="none"/>
        </w:rPr>
        <w:t>7.特别说明</w:t>
      </w:r>
      <w:bookmarkEnd w:id="45"/>
      <w:bookmarkEnd w:id="46"/>
    </w:p>
    <w:p w14:paraId="482ED9DC">
      <w:pPr>
        <w:shd w:val="clear"/>
        <w:spacing w:line="360" w:lineRule="auto"/>
        <w:ind w:firstLine="420" w:firstLineChars="200"/>
        <w:rPr>
          <w:rFonts w:ascii="宋体" w:hAnsi="宋体" w:eastAsia="宋体" w:cs="宋体"/>
          <w:color w:val="auto"/>
          <w:szCs w:val="21"/>
          <w:highlight w:val="none"/>
        </w:rPr>
      </w:pPr>
      <w:bookmarkStart w:id="47" w:name="_8.1提供相同品牌产品且通过资格审查、符合性审查的不同投标人参加同一合"/>
      <w:bookmarkEnd w:id="47"/>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"_8.1"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7.1</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提供相同品牌产品的不同供应商参加同一合同项下</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的，以其中通过资格审查、符合性审查、谈判且最后报价最低的参加报价评审；最后报价相同的，由采购人或者采购人委托谈判小组按照“供应商须知前附表”规定的方式确定一个供应商获得成交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推荐资格，其他响应文件按无效处理。</w:t>
      </w:r>
    </w:p>
    <w:p w14:paraId="74DFF13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非单一产品采购项目，多家供应商提供的核心产品品牌相同的，按前款规定处理。</w:t>
      </w:r>
    </w:p>
    <w:p w14:paraId="4A25352E">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7.2如果本谈判文件要求供应商提供资格、信誉、荣誉、业绩与企业认证等材料的，则供应商所提供的以上材料必须为供应商所拥有。</w:t>
      </w:r>
    </w:p>
    <w:p w14:paraId="3EE730F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7.3供应商应仔细阅读谈判文件的所有内容，按照谈判文件的要求提交响应文件，并对所提供的全部资料的真实性承担法律责任。</w:t>
      </w:r>
    </w:p>
    <w:p w14:paraId="69F8C97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7.4供应商在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活动中提供任何疑似虚假材料，将报监管部门查处；签订合同后发现的，成交供应商须依照《中华人民共和国消费者权益保护法》规定赔偿采购人，且民事赔偿并不免除违法供应商的行政与刑事责任。</w:t>
      </w:r>
    </w:p>
    <w:p w14:paraId="53746B5A">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7.5在项目采购活动中，采购人员及相关人员与供应商有下列利害关系之一的，应当回避：</w:t>
      </w:r>
    </w:p>
    <w:p w14:paraId="6A59F3F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2D93A59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76DCF3C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0EC36F5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0BA0D1B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（5）与供应商有其他可能影响项目采购活动公平、公正进行的关系。</w:t>
      </w:r>
    </w:p>
    <w:p w14:paraId="7117E74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A5EDCC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7.6有下列情形之一的视为供应商相互串通</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，响应文件将被视为无效：</w:t>
      </w:r>
    </w:p>
    <w:p w14:paraId="281F957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（1）不同供应商的响应文件由同一单位或者个人编制；或者不同供应商报名的IP地址一致的；</w:t>
      </w:r>
    </w:p>
    <w:p w14:paraId="0FFBF03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事宜；</w:t>
      </w:r>
    </w:p>
    <w:p w14:paraId="7E3EB31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6367042E">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5EE8FA8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38978C94">
      <w:pPr>
        <w:shd w:val="clear"/>
        <w:tabs>
          <w:tab w:val="left" w:pos="6931"/>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（6）不同供应商的谈判保证金从同一单位或者个人账户转出。</w:t>
      </w:r>
      <w:r>
        <w:rPr>
          <w:rFonts w:hint="eastAsia" w:ascii="宋体" w:hAnsi="宋体" w:eastAsia="宋体" w:cs="宋体"/>
          <w:color w:val="auto"/>
          <w:szCs w:val="21"/>
          <w:highlight w:val="none"/>
        </w:rPr>
        <w:tab/>
      </w:r>
    </w:p>
    <w:p w14:paraId="367C61F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7.7供应商有下列情形之一的，属于恶意串通行为，将报同级监督管理部门：</w:t>
      </w:r>
    </w:p>
    <w:p w14:paraId="35CFE1D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1CCDD6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3DBE44A6">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884D245">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（4）属于同一集团、协会、商会等组织成员的供应商按照该组织要求协同参加项目采购活动；</w:t>
      </w:r>
    </w:p>
    <w:p w14:paraId="2BE15A0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（5）供应商之间事先约定一致抬高或者压低报价，或者在项目采购活动中事先约定轮流以高价位或者低价位成交，或者事先约定由某一特定供应商成交，然后再参加</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w:t>
      </w:r>
    </w:p>
    <w:p w14:paraId="2F8268F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（6）供应商之间商定部分供应商放弃参加项目采购活动或者放弃成交；</w:t>
      </w:r>
    </w:p>
    <w:p w14:paraId="0390392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27FA0A2C">
      <w:pPr>
        <w:shd w:val="clear"/>
        <w:spacing w:line="360" w:lineRule="auto"/>
        <w:ind w:firstLine="420" w:firstLineChars="200"/>
        <w:rPr>
          <w:rFonts w:ascii="宋体" w:hAnsi="宋体" w:eastAsia="宋体" w:cs="宋体"/>
          <w:color w:val="auto"/>
          <w:szCs w:val="21"/>
          <w:highlight w:val="none"/>
        </w:rPr>
      </w:pPr>
    </w:p>
    <w:p w14:paraId="2532FC24">
      <w:pPr>
        <w:shd w:val="clear"/>
        <w:spacing w:line="360" w:lineRule="auto"/>
        <w:jc w:val="center"/>
        <w:rPr>
          <w:rFonts w:ascii="宋体" w:hAnsi="宋体" w:eastAsia="宋体" w:cs="宋体"/>
          <w:b/>
          <w:bCs/>
          <w:color w:val="auto"/>
          <w:sz w:val="32"/>
          <w:szCs w:val="32"/>
          <w:highlight w:val="none"/>
        </w:rPr>
      </w:pPr>
      <w:bookmarkStart w:id="48" w:name="_Toc254970675"/>
      <w:bookmarkStart w:id="49" w:name="_Toc254970534"/>
      <w:r>
        <w:rPr>
          <w:rFonts w:hint="eastAsia" w:ascii="宋体" w:hAnsi="宋体" w:eastAsia="宋体" w:cs="宋体"/>
          <w:b/>
          <w:bCs/>
          <w:color w:val="auto"/>
          <w:sz w:val="32"/>
          <w:szCs w:val="32"/>
          <w:highlight w:val="none"/>
        </w:rPr>
        <w:t>二、谈判文件</w:t>
      </w:r>
      <w:bookmarkEnd w:id="48"/>
      <w:bookmarkEnd w:id="49"/>
    </w:p>
    <w:p w14:paraId="4736FD15">
      <w:pPr>
        <w:shd w:val="clear"/>
        <w:spacing w:line="360" w:lineRule="auto"/>
        <w:jc w:val="center"/>
        <w:rPr>
          <w:rFonts w:ascii="宋体" w:hAnsi="宋体" w:eastAsia="宋体" w:cs="宋体"/>
          <w:color w:val="auto"/>
          <w:szCs w:val="21"/>
          <w:highlight w:val="none"/>
        </w:rPr>
      </w:pPr>
    </w:p>
    <w:p w14:paraId="2845C2E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8.谈判文件的构成</w:t>
      </w:r>
    </w:p>
    <w:p w14:paraId="5BEAE053">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（1）竞争性谈判公告；</w:t>
      </w:r>
    </w:p>
    <w:p w14:paraId="6A1A71CC">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（2）供应商须知； </w:t>
      </w:r>
    </w:p>
    <w:p w14:paraId="795FCF99">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3D20CBC6">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（4）评审程序、评审方法和评审标准；</w:t>
      </w:r>
    </w:p>
    <w:p w14:paraId="229D78CB">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（5）响应文件格式；</w:t>
      </w:r>
    </w:p>
    <w:p w14:paraId="79CD2D90">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（6）合同文本。</w:t>
      </w:r>
    </w:p>
    <w:p w14:paraId="6C05E91E">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7B5DB04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供应商应认真阅读谈判文件的采购需求，如供应商对谈判文件有疑问的，如要求采购人作出澄清或者修改的，供应商尽可能在提交首次响应文件截止之日前，以书面形式向采购人、采购代理机构提出。</w:t>
      </w:r>
    </w:p>
    <w:p w14:paraId="543E97C4">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10.谈判文件的澄清和修改</w:t>
      </w:r>
    </w:p>
    <w:p w14:paraId="77F94BC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通知所有获取谈判文件的供应商，不足3个工作日的，应当顺延提交首次响应文件截止之日。</w:t>
      </w:r>
    </w:p>
    <w:p w14:paraId="76FDE464">
      <w:pPr>
        <w:shd w:val="clear"/>
        <w:spacing w:line="360" w:lineRule="auto"/>
        <w:rPr>
          <w:rFonts w:ascii="宋体" w:hAnsi="宋体" w:eastAsia="宋体" w:cs="宋体"/>
          <w:color w:val="auto"/>
          <w:szCs w:val="21"/>
          <w:highlight w:val="none"/>
        </w:rPr>
      </w:pPr>
    </w:p>
    <w:p w14:paraId="21FFB1D0">
      <w:pPr>
        <w:shd w:val="clea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 w:val="32"/>
          <w:szCs w:val="32"/>
          <w:highlight w:val="none"/>
        </w:rPr>
        <w:t>三、响应文件的编制</w:t>
      </w:r>
    </w:p>
    <w:p w14:paraId="30E6841C">
      <w:pPr>
        <w:shd w:val="clear"/>
        <w:spacing w:line="360" w:lineRule="auto"/>
        <w:rPr>
          <w:rFonts w:ascii="宋体" w:hAnsi="宋体" w:eastAsia="宋体" w:cs="宋体"/>
          <w:color w:val="auto"/>
          <w:szCs w:val="21"/>
          <w:highlight w:val="none"/>
        </w:rPr>
      </w:pPr>
    </w:p>
    <w:p w14:paraId="695EDCD3">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5788FF8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6D0B5B2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64D8EF5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12.1响应文件由资格证明文件、商务技术文件、报价文件三部分组成。</w:t>
      </w:r>
    </w:p>
    <w:p w14:paraId="7E86D922">
      <w:pPr>
        <w:shd w:val="clear"/>
        <w:spacing w:line="360" w:lineRule="auto"/>
        <w:ind w:left="840" w:leftChars="200" w:hanging="420" w:hangingChars="200"/>
        <w:rPr>
          <w:rFonts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7BC9D13C">
      <w:pPr>
        <w:shd w:val="clear"/>
        <w:spacing w:line="360" w:lineRule="auto"/>
        <w:ind w:left="840" w:leftChars="200" w:hanging="420" w:hangingChars="200"/>
        <w:rPr>
          <w:rFonts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46513299">
      <w:pPr>
        <w:shd w:val="clear"/>
        <w:spacing w:line="360" w:lineRule="auto"/>
        <w:ind w:left="840" w:leftChars="200" w:hanging="420" w:hangingChars="200"/>
        <w:rPr>
          <w:rFonts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23F273CA">
      <w:pPr>
        <w:shd w:val="clear"/>
        <w:spacing w:line="360" w:lineRule="auto"/>
        <w:ind w:left="840" w:leftChars="200" w:hanging="420" w:hangingChars="200"/>
        <w:rPr>
          <w:rFonts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3A16F8C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200A7A8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0225C30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的风险</w:t>
      </w:r>
    </w:p>
    <w:p w14:paraId="06D9A9F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5972D6C2">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15.</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报价要求和构成</w:t>
      </w:r>
    </w:p>
    <w:p w14:paraId="63D6A16A">
      <w:pPr>
        <w:shd w:val="clea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15.1</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报价应按谈判文件中“响应报价表”格式填写。</w:t>
      </w:r>
    </w:p>
    <w:p w14:paraId="6CED14E0">
      <w:pPr>
        <w:shd w:val="clear"/>
        <w:tabs>
          <w:tab w:val="left" w:pos="2492"/>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15.2</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报价的价格构成见“供应商须知前附表”。</w:t>
      </w:r>
    </w:p>
    <w:p w14:paraId="08919B2B">
      <w:pPr>
        <w:shd w:val="clear"/>
        <w:spacing w:line="360" w:lineRule="auto"/>
        <w:ind w:left="426" w:leftChars="203"/>
        <w:rPr>
          <w:rFonts w:ascii="宋体" w:hAnsi="宋体" w:eastAsia="宋体" w:cs="宋体"/>
          <w:color w:val="auto"/>
          <w:szCs w:val="21"/>
          <w:highlight w:val="none"/>
        </w:rPr>
      </w:pPr>
      <w:r>
        <w:rPr>
          <w:rFonts w:hint="eastAsia" w:ascii="宋体" w:hAnsi="宋体" w:eastAsia="宋体" w:cs="宋体"/>
          <w:color w:val="auto"/>
          <w:szCs w:val="21"/>
          <w:highlight w:val="none"/>
        </w:rPr>
        <w:t>15.3</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报价要求</w:t>
      </w:r>
    </w:p>
    <w:p w14:paraId="1E270BC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15.3.1供应商的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报价应符合以下要求，否则响应文件按无效响应处理：</w:t>
      </w:r>
    </w:p>
    <w:p w14:paraId="72575479">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的每个分标的全部内容分别作完整唯一总价报价，</w:t>
      </w:r>
    </w:p>
    <w:p w14:paraId="54411187">
      <w:pPr>
        <w:shd w:val="clea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不得存在漏项报价；</w:t>
      </w:r>
    </w:p>
    <w:p w14:paraId="7E426AF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（2）供应商必须就所</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的分标的单项内容作唯一报价。</w:t>
      </w:r>
    </w:p>
    <w:p w14:paraId="44289B1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15.3.2</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报价（包含首次报价、最后报价）超过所</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分标规定的采购预算金额或者最高限价的，其响应文件将按无效处理。</w:t>
      </w:r>
    </w:p>
    <w:p w14:paraId="049AC4FC">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15.3.3</w:t>
      </w:r>
      <w:bookmarkStart w:id="50" w:name="_Hlk42592874"/>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报价（包含首次报价、最后报价）超过分项采购预算金额或者最高限价的，其响应文件将按无效处理。</w:t>
      </w:r>
    </w:p>
    <w:bookmarkEnd w:id="50"/>
    <w:p w14:paraId="126E843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16.</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有效期</w:t>
      </w:r>
    </w:p>
    <w:p w14:paraId="6679BAE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有效期是指为保证采购人有足够的时间在提交响应文件后完成评审、确定成交供应商、合同签订等工作而要求供应商提交的响应文件在一定时间内保持有效的期限。</w:t>
      </w:r>
    </w:p>
    <w:p w14:paraId="7E0D89B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有效期应由供应商按“供应商须知前附表”规定的期限作出响应。</w:t>
      </w:r>
    </w:p>
    <w:p w14:paraId="026D46AE">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有效期内均保持有效。</w:t>
      </w:r>
    </w:p>
    <w:p w14:paraId="24C1DCE4">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17.谈判保证金</w:t>
      </w:r>
    </w:p>
    <w:p w14:paraId="0FC0BF94">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17.1供应商须按“供应商须知前附表”的规定提交谈判保证金。</w:t>
      </w:r>
    </w:p>
    <w:p w14:paraId="19C5EFDA">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17.2谈判保证金的退还</w:t>
      </w:r>
    </w:p>
    <w:p w14:paraId="2B45E675">
      <w:pPr>
        <w:widowControl w:val="0"/>
        <w:shd w:val="clear"/>
        <w:spacing w:line="360" w:lineRule="auto"/>
        <w:ind w:firstLine="315" w:firstLineChars="15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17.2.1未</w:t>
      </w:r>
      <w:r>
        <w:rPr>
          <w:rFonts w:hint="eastAsia" w:ascii="宋体" w:hAnsi="宋体" w:eastAsia="宋体" w:cs="宋体"/>
          <w:color w:val="auto"/>
          <w:spacing w:val="-6"/>
          <w:kern w:val="2"/>
          <w:sz w:val="21"/>
          <w:szCs w:val="21"/>
          <w:highlight w:val="none"/>
          <w:lang w:val="en-US" w:eastAsia="zh-CN" w:bidi="ar-SA"/>
        </w:rPr>
        <w:t>成交供应商的谈判保证金自成交通知书发出之日起5个工作日内退还，退还方式如下：</w:t>
      </w:r>
      <w:r>
        <w:rPr>
          <w:rFonts w:hint="eastAsia" w:ascii="宋体" w:hAnsi="宋体" w:eastAsia="宋体" w:cs="宋体"/>
          <w:color w:val="auto"/>
          <w:kern w:val="2"/>
          <w:sz w:val="21"/>
          <w:szCs w:val="21"/>
          <w:highlight w:val="none"/>
          <w:lang w:val="en-US" w:eastAsia="zh-CN" w:bidi="ar-SA"/>
        </w:rPr>
        <w:t>以转账方式退回到供应商银行账户。</w:t>
      </w:r>
    </w:p>
    <w:p w14:paraId="75ADB35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17.2.2成交供应商的谈判保证金自签订合同之日起5个工作日内退还，退还方式同未成交供应商的谈判保证金的退还方式。 </w:t>
      </w:r>
    </w:p>
    <w:p w14:paraId="1373C5D0">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17.3谈判保证金按法规执行。</w:t>
      </w:r>
    </w:p>
    <w:p w14:paraId="390EB6F6">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17.4供应商有下列情形之一的，谈判保证金将不予退还： </w:t>
      </w:r>
    </w:p>
    <w:p w14:paraId="4F7B3BC1">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1B14B42C">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2135784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（3）除因不可抗力或者谈判文件认可的情形以外，成交供应商不与采购人签订合同的；</w:t>
      </w:r>
    </w:p>
    <w:p w14:paraId="6DE45539">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14:paraId="0A2F47F7">
      <w:pPr>
        <w:shd w:val="clear"/>
        <w:spacing w:line="360" w:lineRule="auto"/>
        <w:ind w:left="420" w:leftChars="200"/>
        <w:rPr>
          <w:rFonts w:ascii="宋体" w:hAnsi="宋体" w:eastAsia="宋体" w:cs="宋体"/>
          <w:color w:val="auto"/>
          <w:szCs w:val="21"/>
          <w:highlight w:val="none"/>
        </w:rPr>
      </w:pPr>
      <w:r>
        <w:rPr>
          <w:rFonts w:hint="eastAsia" w:ascii="宋体" w:hAnsi="宋体" w:eastAsia="宋体" w:cs="宋体"/>
          <w:color w:val="auto"/>
          <w:szCs w:val="21"/>
          <w:highlight w:val="none"/>
        </w:rPr>
        <w:t>（5）谈判文件规定的其他情形。</w:t>
      </w:r>
    </w:p>
    <w:p w14:paraId="10DFDFB9">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4B05E1DC">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18.1供应商应按本谈判文件规定的格式和顺序编制、装订响应文件并标注页码，响应文件内容</w:t>
      </w:r>
      <w:r>
        <w:rPr>
          <w:rFonts w:hint="eastAsia" w:ascii="宋体" w:hAnsi="宋体" w:eastAsia="宋体" w:cs="宋体"/>
          <w:color w:val="auto"/>
          <w:spacing w:val="-6"/>
          <w:szCs w:val="21"/>
          <w:highlight w:val="none"/>
        </w:rPr>
        <w:t>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pacing w:val="-6"/>
          <w:szCs w:val="21"/>
          <w:highlight w:val="none"/>
        </w:rPr>
        <w:t>后果由供应商承担。</w:t>
      </w:r>
    </w:p>
    <w:p w14:paraId="246AD46C">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szCs w:val="21"/>
          <w:highlight w:val="none"/>
        </w:rPr>
        <w:t>18.2</w:t>
      </w:r>
      <w:r>
        <w:rPr>
          <w:rFonts w:hint="eastAsia" w:ascii="宋体" w:hAnsi="宋体" w:eastAsia="宋体" w:cs="宋体"/>
          <w:color w:val="auto"/>
          <w:highlight w:val="none"/>
        </w:rPr>
        <w:t>响应文件应按资格证明文件、报价文件分别编制，商务技术文件合并编制，本项目只接收电子版响应文件，要求见本章“12.2响应文件电子版要求”。</w:t>
      </w:r>
    </w:p>
    <w:p w14:paraId="5FD5CD09">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18.</w:t>
      </w:r>
      <w:bookmarkStart w:id="51" w:name="_Hlk65832699"/>
      <w:r>
        <w:rPr>
          <w:rFonts w:hint="eastAsia" w:ascii="宋体" w:hAnsi="宋体" w:eastAsia="宋体" w:cs="宋体"/>
          <w:color w:val="auto"/>
          <w:highlight w:val="none"/>
        </w:rPr>
        <w:t>3响应文件须由供应商在</w:t>
      </w:r>
      <w:bookmarkEnd w:id="51"/>
      <w:r>
        <w:rPr>
          <w:rFonts w:hint="eastAsia" w:ascii="宋体" w:hAnsi="宋体" w:eastAsia="宋体" w:cs="宋体"/>
          <w:color w:val="auto"/>
          <w:kern w:val="0"/>
          <w:highlight w:val="none"/>
        </w:rPr>
        <w:t>“</w:t>
      </w:r>
      <w:r>
        <w:rPr>
          <w:rFonts w:hint="eastAsia" w:ascii="宋体" w:hAnsi="宋体" w:eastAsia="宋体" w:cs="宋体"/>
          <w:color w:val="auto"/>
          <w:highlight w:val="none"/>
        </w:rPr>
        <w:t>第五章 响应文件格式</w:t>
      </w:r>
      <w:r>
        <w:rPr>
          <w:rFonts w:hint="eastAsia" w:ascii="宋体" w:hAnsi="宋体" w:eastAsia="宋体" w:cs="宋体"/>
          <w:color w:val="auto"/>
          <w:kern w:val="0"/>
          <w:highlight w:val="none"/>
        </w:rPr>
        <w:t>”</w:t>
      </w:r>
      <w:r>
        <w:rPr>
          <w:rFonts w:hint="eastAsia" w:ascii="宋体" w:hAnsi="宋体" w:eastAsia="宋体" w:cs="宋体"/>
          <w:color w:val="auto"/>
          <w:highlight w:val="none"/>
        </w:rPr>
        <w:t>规定位置进行签署、盖章，否则其响应文件按无效响应处理。骑缝盖公章不视为在规定位置盖章。</w:t>
      </w:r>
    </w:p>
    <w:p w14:paraId="3124EBF3">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18.4响应文件中标注的供应商名称应与营业执照（事业单位法人证书、执业许可证、自然人身份证）及电子公章一致，否则其响应文件按无效响应处理。</w:t>
      </w:r>
    </w:p>
    <w:p w14:paraId="0DE06351">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highlight w:val="none"/>
        </w:rPr>
        <w:t>18.5响应文件应避免涂改、行间插字或者删除，否则其响应文件按无效响应处理</w:t>
      </w:r>
      <w:r>
        <w:rPr>
          <w:rFonts w:hint="eastAsia" w:ascii="宋体" w:hAnsi="宋体" w:eastAsia="宋体" w:cs="宋体"/>
          <w:color w:val="auto"/>
          <w:szCs w:val="21"/>
          <w:highlight w:val="none"/>
        </w:rPr>
        <w:t>。</w:t>
      </w:r>
    </w:p>
    <w:p w14:paraId="257217C8">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48EB71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719417A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19.2使用“广西政府采购云平台电子交易客户端”需要提前申领CA数字证书，申领流程见该项目采购公告附件。</w:t>
      </w:r>
    </w:p>
    <w:p w14:paraId="4F4DAAE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66A2EFAF">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FC28E66">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7A1CD38B">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20.2在响应文件提交截止时间以后，不能补充、修改响应文件。</w:t>
      </w:r>
    </w:p>
    <w:p w14:paraId="2D47307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20.3在提交“最后报价”后，供应商不能退出谈判。</w:t>
      </w:r>
    </w:p>
    <w:p w14:paraId="42CB502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67A720EA">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20.5采购</w:t>
      </w:r>
      <w:r>
        <w:rPr>
          <w:rFonts w:hint="eastAsia" w:ascii="宋体" w:hAnsi="宋体" w:eastAsia="宋体" w:cs="宋体"/>
          <w:color w:val="auto"/>
          <w:szCs w:val="21"/>
          <w:highlight w:val="none"/>
          <w:lang w:val="en-US" w:eastAsia="zh-CN"/>
        </w:rPr>
        <w:t>代理</w:t>
      </w:r>
      <w:r>
        <w:rPr>
          <w:rFonts w:hint="eastAsia" w:ascii="宋体" w:hAnsi="宋体" w:eastAsia="宋体" w:cs="宋体"/>
          <w:color w:val="auto"/>
          <w:szCs w:val="21"/>
          <w:highlight w:val="none"/>
        </w:rPr>
        <w:t>机构不可视情况延长提交响应文件的截止时间。</w:t>
      </w:r>
    </w:p>
    <w:p w14:paraId="04157AB3">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20.6备份响应文件。详见“供应商须知前附表”。</w:t>
      </w:r>
    </w:p>
    <w:p w14:paraId="50DC0A8F">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230EB81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3FB4E72C">
      <w:pPr>
        <w:shd w:val="clear"/>
        <w:spacing w:line="360" w:lineRule="auto"/>
        <w:ind w:firstLine="482" w:firstLineChars="200"/>
        <w:rPr>
          <w:rFonts w:ascii="宋体" w:hAnsi="宋体" w:eastAsia="宋体" w:cs="宋体"/>
          <w:b/>
          <w:bCs/>
          <w:color w:val="auto"/>
          <w:sz w:val="24"/>
          <w:highlight w:val="none"/>
        </w:rPr>
      </w:pPr>
      <w:bookmarkStart w:id="52" w:name="_Hlk45702405"/>
      <w:r>
        <w:rPr>
          <w:rFonts w:hint="eastAsia" w:ascii="宋体" w:hAnsi="宋体" w:eastAsia="宋体" w:cs="宋体"/>
          <w:b/>
          <w:bCs/>
          <w:color w:val="auto"/>
          <w:sz w:val="24"/>
          <w:highlight w:val="none"/>
        </w:rPr>
        <w:t>22.首次响应文件的退回</w:t>
      </w:r>
    </w:p>
    <w:p w14:paraId="5064B2D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highlight w:val="none"/>
        </w:rPr>
        <w:t>详见“竞争性谈判公告”</w:t>
      </w:r>
      <w:r>
        <w:rPr>
          <w:rFonts w:hint="eastAsia" w:ascii="宋体" w:hAnsi="宋体" w:eastAsia="宋体" w:cs="宋体"/>
          <w:color w:val="auto"/>
          <w:szCs w:val="21"/>
          <w:highlight w:val="none"/>
        </w:rPr>
        <w:t>。</w:t>
      </w:r>
    </w:p>
    <w:p w14:paraId="247E591B">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23.截止时间后的撤回</w:t>
      </w:r>
    </w:p>
    <w:p w14:paraId="12BE051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供应商在首次响应文件提交截止时间后向采购人、采购代理机构书面申请撤回响应文件的，将根据本须知正文17.4的规定不予退还其谈判保证金。</w:t>
      </w:r>
    </w:p>
    <w:bookmarkEnd w:id="52"/>
    <w:p w14:paraId="433E8956">
      <w:pPr>
        <w:shd w:val="clear"/>
        <w:spacing w:line="360" w:lineRule="auto"/>
        <w:rPr>
          <w:rFonts w:ascii="宋体" w:hAnsi="宋体" w:eastAsia="宋体" w:cs="宋体"/>
          <w:color w:val="auto"/>
          <w:szCs w:val="21"/>
          <w:highlight w:val="none"/>
        </w:rPr>
      </w:pPr>
    </w:p>
    <w:p w14:paraId="3E8E2817">
      <w:pPr>
        <w:shd w:val="clear"/>
        <w:spacing w:line="360" w:lineRule="auto"/>
        <w:ind w:left="420" w:firstLine="42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四、评审及谈判</w:t>
      </w:r>
    </w:p>
    <w:p w14:paraId="6376323F">
      <w:pPr>
        <w:shd w:val="clear"/>
        <w:spacing w:line="360" w:lineRule="auto"/>
        <w:ind w:left="420" w:firstLine="420"/>
        <w:rPr>
          <w:rFonts w:ascii="宋体" w:hAnsi="宋体" w:eastAsia="宋体" w:cs="宋体"/>
          <w:color w:val="auto"/>
          <w:szCs w:val="21"/>
          <w:highlight w:val="none"/>
        </w:rPr>
      </w:pPr>
    </w:p>
    <w:p w14:paraId="19ACCA50">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24.谈判小组成立</w:t>
      </w:r>
    </w:p>
    <w:p w14:paraId="562C27D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24.1谈判小组由评审专家共3人以上单数组成，具体人数见“供应商须知前附表”，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2FFFF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24.2评审专家从政采云平台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3680DE9">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5ECE229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25.1首次响应文件由谈判小组或者采购代理机构在“供应商须知前附表”规定的时间开启。</w:t>
      </w:r>
    </w:p>
    <w:p w14:paraId="0F3B07B6">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25.2响应文件解密</w:t>
      </w:r>
    </w:p>
    <w:p w14:paraId="76F60415">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采购代理机构将在“供应商须知前附表”规定的时间通过电子交易平台组织响应文件开启，采购机构依托电子交易平台发起开始解密指令，供应商的法定代表人或其委托代理人须携带加密时所用的CA锁按平台提示和谈判文件的规定登录到“广西政府采购云平台”平台电子开标大厅签到并在发起解密指令之时起30分钟内完成对电子响应文件在线解密。发起解密指令之时起5分钟内供应商还未进行解密的，代理机构要通知供应商，供应商没预留联系方式或预留联系方式无效，导致代理机构无法联系到供应商进行解密的，视为响应文件无效。（解密异常情况处理：详见本章26.3电子交易活动的中止）</w:t>
      </w:r>
    </w:p>
    <w:p w14:paraId="4D638A27">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如供应商成功解密响应文件，但未在“广西政府采购云平台”电子开标大厅参加谈判的，视同认可谈判过程和结果，由此产生的后果由供应商自行负责。参与谈判的供应商不足3家的，不得谈判。</w:t>
      </w:r>
    </w:p>
    <w:p w14:paraId="33EBAFF7">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2FF4D0B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26.1谈判小组按照“第四章 评审程序、评审方法和评审标准”规定的方法、评审因素、标准和程序对响应文件进行评审。</w:t>
      </w:r>
      <w:r>
        <w:rPr>
          <w:rFonts w:hint="eastAsia"/>
          <w:color w:val="auto"/>
        </w:rPr>
        <w:t>并按照评定成交的标准推荐成交候选供应商。评审价相同时，成交候选供应商推荐顺序见</w:t>
      </w:r>
      <w:r>
        <w:rPr>
          <w:rFonts w:hint="eastAsia" w:ascii="宋体" w:hAnsi="宋体"/>
          <w:color w:val="auto"/>
          <w:szCs w:val="21"/>
        </w:rPr>
        <w:t>“供应商须知前附表”。</w:t>
      </w:r>
    </w:p>
    <w:p w14:paraId="315DA4B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26.2采购需求负偏离要求及谈判顺序详见“供应商须知前附表”。</w:t>
      </w:r>
    </w:p>
    <w:p w14:paraId="556B40D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33EFA78">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电子交易活动的中止。采购过程中出现以下情形，导致电子交易平台无法正常运行，或者无法保证电子交易的公平、公正和安全时，采购机构可中止电子交易活动：</w:t>
      </w:r>
    </w:p>
    <w:p w14:paraId="34445F05">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273603D">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7FD7BE6C">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4E046AE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0E45107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0A6A089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26.</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做出妥善保密处理，并报财政部门备案。</w:t>
      </w:r>
    </w:p>
    <w:p w14:paraId="3A99149A">
      <w:pPr>
        <w:shd w:val="clear"/>
        <w:spacing w:line="360" w:lineRule="auto"/>
        <w:ind w:left="420" w:firstLine="42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五、成交及合同</w:t>
      </w:r>
    </w:p>
    <w:p w14:paraId="228A21B4">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5D47D5F0">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27.1采购代理机构应当在评审结束后2个工作日内将评审报告送采购人确认。采购人应当在收到评审报告后5个工作日内，从评审报告提出的成交候选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中，按照排序由高到低的原则确定成交供应商，也可以书面授权谈判小组直接确定成交供应商。采购人逾期未确定成交供应商且不提出异议的，视为确定评审报告提出的排序第一的供应商为成交供应商。</w:t>
      </w:r>
    </w:p>
    <w:p w14:paraId="7EDFC554">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27.2采购代理机构应当在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规定条件的供应商，取消其成交资格，并确定排名第二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为成交供应商。排名第二的成交候选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因上述规定的同样原因被取消成交资格的，采购人可以确定排名第三的成交候选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为成交供应商，以此类推。以上信息查询记录及相关证据与谈判文件一并保存。</w:t>
      </w:r>
      <w:bookmarkStart w:id="53" w:name="_Hlk66782294"/>
      <w:r>
        <w:rPr>
          <w:rFonts w:hint="eastAsia" w:ascii="宋体" w:hAnsi="宋体" w:eastAsia="宋体" w:cs="Courier New"/>
          <w:color w:val="auto"/>
          <w:szCs w:val="21"/>
          <w:highlight w:val="none"/>
        </w:rPr>
        <w:t>成交供应商享受</w:t>
      </w:r>
      <w:r>
        <w:rPr>
          <w:rFonts w:hint="eastAsia" w:ascii="宋体" w:hAnsi="宋体" w:eastAsia="宋体" w:cs="Times New Roman"/>
          <w:color w:val="auto"/>
          <w:szCs w:val="21"/>
          <w:highlight w:val="none"/>
        </w:rPr>
        <w:t>《政府采购促进中小企业发展管理办法》（财库〔2020〕46号）规定的中小企业扶持</w:t>
      </w:r>
      <w:r>
        <w:rPr>
          <w:rFonts w:hint="eastAsia" w:ascii="宋体" w:hAnsi="宋体" w:eastAsia="宋体" w:cs="Courier New"/>
          <w:color w:val="auto"/>
          <w:szCs w:val="21"/>
          <w:highlight w:val="none"/>
        </w:rPr>
        <w:t>政策的，采购人、采购代理机构应当随成交结果公开成交供应商的《中小企业声明函》。</w:t>
      </w:r>
      <w:bookmarkEnd w:id="53"/>
    </w:p>
    <w:p w14:paraId="4B6AAC12">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27.3采购人、采购代理机构认为供应商对采购过程、成交结果提出的质疑成立且影响或者可能影响成交结果的，合格供应商符合法定数量时，可以从合格的成交候选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中另行确定成交供应商的，应当依法另行确定成交供应商；否则应当重新开展采购活动。</w:t>
      </w:r>
    </w:p>
    <w:p w14:paraId="6536DC69">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bCs/>
          <w:color w:val="auto"/>
          <w:szCs w:val="21"/>
          <w:highlight w:val="none"/>
        </w:rPr>
        <w:t>27.4排名第一的成交候选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bCs/>
          <w:color w:val="auto"/>
          <w:szCs w:val="21"/>
          <w:highlight w:val="none"/>
        </w:rPr>
        <w:t>放弃成交、因不可抗力提出不能履行合同，采购人可以确定排名第二的成交候选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bCs/>
          <w:color w:val="auto"/>
          <w:szCs w:val="21"/>
          <w:highlight w:val="none"/>
        </w:rPr>
        <w:t>为成交供应商。排名第二的成交候选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bCs/>
          <w:color w:val="auto"/>
          <w:szCs w:val="21"/>
          <w:highlight w:val="none"/>
        </w:rPr>
        <w:t>因前款规定的同样原因不能签订合同的，采购人可以确定排名第三的成交候选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bCs/>
          <w:color w:val="auto"/>
          <w:szCs w:val="21"/>
          <w:highlight w:val="none"/>
        </w:rPr>
        <w:t>为成交供应商，以此类推。</w:t>
      </w:r>
    </w:p>
    <w:p w14:paraId="7586D34D">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7B6A44E8">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28.1履约保证金的金额、提交方式、退付的时间和条件详见“供应商须知前附表”。成交供应商未按规定提交履约保证金的，视为拒绝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名单排序，确定下一候选人为成交供应商，也可以重新开展采购活动。</w:t>
      </w:r>
    </w:p>
    <w:p w14:paraId="14CCB395">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28.2签订合同后，如成交供应商不按双方签订的合同规定履约，则没收其全部履约保证金，履约保证金不足以赔偿损失的，按实际损失赔偿。</w:t>
      </w:r>
    </w:p>
    <w:p w14:paraId="598B2F0C">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28.3在履约保证金退还日期前，若成交供应商的开户名称、开户银行、账号有变动的，请以书面形式通知履约保证金收取单位，否则由此产生的后果由成交供应商自行承担。</w:t>
      </w:r>
    </w:p>
    <w:p w14:paraId="6C26E739">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24589A53">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29.1成交供应商在收到成交通知书后，应当在签订合同时向采购人出示相关证明材料，具体内容详见“供应商须知前附表”，经采购人核验合格后方可签订合同。</w:t>
      </w:r>
    </w:p>
    <w:p w14:paraId="217128B1">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29.2签订合同时间：按成交通知书规定的时间与采购人签订采购合同。</w:t>
      </w:r>
    </w:p>
    <w:p w14:paraId="40614438">
      <w:pPr>
        <w:shd w:val="clea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29.3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BCEA269">
      <w:pPr>
        <w:shd w:val="clear"/>
        <w:spacing w:line="360" w:lineRule="auto"/>
        <w:ind w:firstLine="424" w:firstLineChars="202"/>
        <w:rPr>
          <w:rFonts w:ascii="宋体" w:hAnsi="宋体" w:eastAsia="宋体" w:cs="宋体"/>
          <w:color w:val="auto"/>
          <w:szCs w:val="21"/>
          <w:highlight w:val="none"/>
        </w:rPr>
      </w:pPr>
      <w:r>
        <w:rPr>
          <w:rFonts w:hint="eastAsia" w:ascii="宋体" w:hAnsi="宋体" w:eastAsia="宋体" w:cs="宋体"/>
          <w:color w:val="auto"/>
          <w:szCs w:val="21"/>
          <w:highlight w:val="none"/>
        </w:rPr>
        <w:t>29.4成交供应商拒绝与采购人签订合同的，采购人可以按照评审报告推荐的成交候选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名单排序，确定下一候选人为成交供应商，也可以重新开展项目采购活动。拒绝签订采购合同的成交供应商不得参加对该合同项重新开展的采购活动。</w:t>
      </w:r>
    </w:p>
    <w:p w14:paraId="2E11D72E">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30.采购合同公告</w:t>
      </w:r>
    </w:p>
    <w:p w14:paraId="3A68751D">
      <w:pPr>
        <w:shd w:val="clear"/>
        <w:spacing w:line="360" w:lineRule="auto"/>
        <w:ind w:firstLine="420" w:firstLineChars="200"/>
        <w:rPr>
          <w:rFonts w:ascii="宋体" w:hAnsi="宋体" w:eastAsia="宋体" w:cs="宋体"/>
          <w:b/>
          <w:bCs/>
          <w:color w:val="auto"/>
          <w:sz w:val="24"/>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71AB186">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31.询问、质疑和投诉</w:t>
      </w:r>
    </w:p>
    <w:p w14:paraId="630CCB45">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31.1供应商对项目采购活动事项有疑问的，可以向采购人、采购代理机构提出询问，采购人或者采购代理机构应当在3个工作日内对供应商依法提出的询问作出答复。</w:t>
      </w:r>
    </w:p>
    <w:p w14:paraId="44F07E26">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w:t>
      </w:r>
      <w:r>
        <w:rPr>
          <w:rFonts w:hint="eastAsia" w:ascii="宋体" w:hAnsi="宋体" w:eastAsia="宋体" w:cs="宋体"/>
          <w:color w:val="auto"/>
          <w:szCs w:val="21"/>
          <w:highlight w:val="none"/>
        </w:rPr>
        <w:t>知前附表”</w:t>
      </w:r>
      <w:r>
        <w:rPr>
          <w:rFonts w:hint="eastAsia" w:ascii="宋体" w:hAnsi="宋体" w:eastAsia="宋体" w:cs="宋体"/>
          <w:color w:val="auto"/>
          <w:highlight w:val="none"/>
        </w:rPr>
        <w:t>。具体质疑起算时间如下：</w:t>
      </w:r>
    </w:p>
    <w:p w14:paraId="3F519B95">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（1）对可以质疑的谈判文件提出质疑的，为收到谈判文件之日或者竞争性谈判公告期限届满之日；</w:t>
      </w:r>
    </w:p>
    <w:p w14:paraId="76C53CD3">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65071727">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02C36D09">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31.3供应商提出的询问或者质疑超出采购人对采购代理机构委托授权范围的，采购代理机构应当告知供应商向采购人提出。项目采购评审专家应当配合采购人或者采购代理机构答复供应商的询问和质疑。</w:t>
      </w:r>
    </w:p>
    <w:p w14:paraId="533C3270">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C979C9A">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57CE1D7A">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（2）质疑项目的名称、编号；</w:t>
      </w:r>
    </w:p>
    <w:p w14:paraId="6E793E52">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2BD65F23">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（4）事实依据；</w:t>
      </w:r>
    </w:p>
    <w:p w14:paraId="7C0B3EF6">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（5）必要的法律依据；</w:t>
      </w:r>
    </w:p>
    <w:p w14:paraId="29C144FD">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（6）提出质疑的日期。</w:t>
      </w:r>
    </w:p>
    <w:p w14:paraId="4B4EA5F6">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582576F8">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5756B44D">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（一）对谈判文件提出的质疑，依法通过澄清或者修改可以继续开展采购活动的，澄清或者修改谈判文件后继续开展采购活动；否则应当修改谈判文件后重新开展采购活动。</w:t>
      </w:r>
    </w:p>
    <w:p w14:paraId="06EB1815">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highlight w:val="none"/>
        </w:rPr>
        <w:t>中另行确定成交供应商的，应当依法另行确定成交供应商；否则应当重新开展采购活动。</w:t>
      </w:r>
    </w:p>
    <w:p w14:paraId="663487E2">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质疑答复导致成交结果改变的，采购人或者采购代理机构应当将有关情况书面报告采购人监督管理部门。</w:t>
      </w:r>
    </w:p>
    <w:p w14:paraId="69AF34D6">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31.6投诉的权利。质疑供应商对采购人、采购代理机构的答复不满意，或者采购人、采购代理机构未在规定时间内作出答复的，可以在答复期满后15个工作日内向采购人监督管理部门提起投诉。</w:t>
      </w:r>
    </w:p>
    <w:p w14:paraId="33E69D85">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32.其他内容</w:t>
      </w:r>
    </w:p>
    <w:p w14:paraId="3CA6BD9D">
      <w:pPr>
        <w:shd w:val="clear"/>
        <w:tabs>
          <w:tab w:val="left" w:pos="2835"/>
        </w:tabs>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32.1代理服务收费标准及缴费账户详见“供应商须知前附表”，供应商为联合体的，可以由联合体中的一方或者多方共同交纳代理服务费。</w:t>
      </w:r>
    </w:p>
    <w:p w14:paraId="4F98CA02">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33.需要补充的其他内容</w:t>
      </w:r>
    </w:p>
    <w:p w14:paraId="21F98F3D">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33.1本谈判文件解释规则详见“供应商须知前附表”。</w:t>
      </w:r>
    </w:p>
    <w:p w14:paraId="2A30A7C0">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33.2其他事项详见“供应商须知前附表”。</w:t>
      </w:r>
    </w:p>
    <w:p w14:paraId="60372433">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67FBF08C">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在货物采购项目中，货物由中小企业制造，即货物由中小企业生产且使用该中小企业商号或者注册商标，不对其中涉及的工程承建商和货物的承接商作出要求；</w:t>
      </w:r>
    </w:p>
    <w:p w14:paraId="26E89A2B">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18D3D7F">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14:paraId="371755C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78F3DF8">
      <w:pPr>
        <w:shd w:val="clear"/>
        <w:spacing w:line="360" w:lineRule="auto"/>
        <w:rPr>
          <w:rFonts w:ascii="宋体" w:hAnsi="宋体" w:eastAsia="宋体" w:cs="宋体"/>
          <w:color w:val="auto"/>
          <w:highlight w:val="none"/>
        </w:rPr>
      </w:pPr>
    </w:p>
    <w:p w14:paraId="36096BEC">
      <w:pPr>
        <w:shd w:val="clear"/>
        <w:rPr>
          <w:rFonts w:ascii="宋体" w:hAnsi="宋体" w:eastAsia="宋体" w:cs="宋体"/>
          <w:color w:val="auto"/>
          <w:highlight w:val="none"/>
        </w:rPr>
      </w:pPr>
      <w:r>
        <w:rPr>
          <w:rFonts w:hint="eastAsia" w:ascii="宋体" w:hAnsi="宋体" w:eastAsia="宋体" w:cs="宋体"/>
          <w:color w:val="auto"/>
          <w:highlight w:val="none"/>
        </w:rPr>
        <w:br w:type="page"/>
      </w:r>
    </w:p>
    <w:p w14:paraId="722FA60F">
      <w:pPr>
        <w:keepNext/>
        <w:keepLines/>
        <w:widowControl w:val="0"/>
        <w:shd w:val="clear"/>
        <w:spacing w:before="340" w:beforeLines="0" w:beforeAutospacing="0" w:after="330" w:afterLines="0" w:afterAutospacing="0" w:line="576" w:lineRule="auto"/>
        <w:jc w:val="center"/>
        <w:outlineLvl w:val="0"/>
        <w:rPr>
          <w:rFonts w:ascii="宋体" w:hAnsi="宋体" w:eastAsia="宋体" w:cs="宋体"/>
          <w:b/>
          <w:color w:val="auto"/>
          <w:kern w:val="44"/>
          <w:sz w:val="44"/>
          <w:szCs w:val="24"/>
          <w:highlight w:val="none"/>
          <w:lang w:val="en-US" w:eastAsia="zh-CN" w:bidi="ar-SA"/>
        </w:rPr>
      </w:pPr>
      <w:bookmarkStart w:id="54" w:name="_Toc18286"/>
      <w:r>
        <w:rPr>
          <w:rFonts w:hint="eastAsia" w:ascii="宋体" w:hAnsi="宋体" w:eastAsia="宋体" w:cs="宋体"/>
          <w:b/>
          <w:color w:val="auto"/>
          <w:kern w:val="44"/>
          <w:sz w:val="44"/>
          <w:szCs w:val="24"/>
          <w:highlight w:val="none"/>
          <w:lang w:val="en-US" w:eastAsia="zh-CN" w:bidi="ar-SA"/>
        </w:rPr>
        <w:t>第三章  采购需求</w:t>
      </w:r>
      <w:bookmarkEnd w:id="54"/>
    </w:p>
    <w:p w14:paraId="316DF016">
      <w:pPr>
        <w:shd w:val="clear"/>
        <w:tabs>
          <w:tab w:val="left" w:pos="180"/>
          <w:tab w:val="left" w:pos="1620"/>
        </w:tabs>
        <w:spacing w:line="4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说明：</w:t>
      </w:r>
    </w:p>
    <w:p w14:paraId="37EDB45B">
      <w:pPr>
        <w:numPr>
          <w:ilvl w:val="0"/>
          <w:numId w:val="0"/>
        </w:numPr>
        <w:shd w:val="clea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本竞争性谈判文件所称中小企业必须符合《政府采购促进中小企业发展管理办法》（财库〔2020〕46号）的规定。</w:t>
      </w:r>
    </w:p>
    <w:p w14:paraId="20922708">
      <w:pPr>
        <w:shd w:val="clear"/>
        <w:spacing w:line="440" w:lineRule="exact"/>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本项目需求表中带有“▲”的</w:t>
      </w:r>
      <w:r>
        <w:rPr>
          <w:rFonts w:hint="eastAsia" w:ascii="宋体" w:hAnsi="宋体" w:eastAsia="宋体" w:cs="宋体"/>
          <w:color w:val="auto"/>
          <w:szCs w:val="21"/>
          <w:highlight w:val="none"/>
          <w:lang w:eastAsia="zh-CN"/>
        </w:rPr>
        <w:t>条款均</w:t>
      </w:r>
      <w:r>
        <w:rPr>
          <w:rFonts w:hint="eastAsia" w:ascii="宋体" w:hAnsi="宋体" w:eastAsia="宋体" w:cs="宋体"/>
          <w:color w:val="auto"/>
          <w:szCs w:val="21"/>
          <w:highlight w:val="none"/>
        </w:rPr>
        <w:t>为实质性要求，必须满足，</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响应不得低于该技术指标或要求</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lang w:eastAsia="zh-CN"/>
        </w:rPr>
        <w:t>否则响应文件按无效响应处理</w:t>
      </w:r>
      <w:r>
        <w:rPr>
          <w:rFonts w:hint="eastAsia" w:ascii="宋体" w:hAnsi="宋体" w:eastAsia="宋体" w:cs="宋体"/>
          <w:color w:val="auto"/>
          <w:szCs w:val="21"/>
          <w:highlight w:val="none"/>
        </w:rPr>
        <w:t>。</w:t>
      </w:r>
    </w:p>
    <w:p w14:paraId="252F7BEB">
      <w:pPr>
        <w:shd w:val="clear"/>
        <w:spacing w:line="440" w:lineRule="exact"/>
        <w:ind w:firstLine="424" w:firstLineChars="202"/>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3.本招标文件所称本国产品必须符合《国务院办公厅关于在政府采购中实施本国产品标准及相关政策的通知》（国办发〔2025〕34号）的规定。</w:t>
      </w:r>
    </w:p>
    <w:p w14:paraId="76DD1AAC">
      <w:pPr>
        <w:shd w:val="clear"/>
        <w:spacing w:line="440" w:lineRule="exact"/>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4.本次采购将依据强制采购节能产品品目清单和节能产品认证证书实施政府强制采购。 根据《国务院办公厅关于建立政府强制采购节能产品制度的通知》（国办发[2007]51号）和《关于印发节能产品政府采购品目清单的通知》（财库〔2019〕19 号）的规定</w:t>
      </w:r>
      <w:r>
        <w:rPr>
          <w:rFonts w:hint="eastAsia" w:ascii="宋体" w:hAnsi="宋体" w:eastAsia="宋体" w:cs="宋体"/>
          <w:color w:val="auto"/>
          <w:szCs w:val="21"/>
          <w:highlight w:val="none"/>
        </w:rPr>
        <w:t>，台式计算机，便携式计算机、平板式微型计算机，激光打印机，针式打印机，液晶显示器，制冷压缩机（冷水机组、水源热泵机组、溴化锂吸收式冷水机组），空调机组[多联式空调（热泵）机组（制冷量＞14000W），单元式空气调节机（制冷量＞14000W）]，专用制冷、空调设备（机房空调），镇流器（管</w:t>
      </w:r>
      <w:r>
        <w:rPr>
          <w:rFonts w:hint="eastAsia" w:ascii="宋体" w:hAnsi="宋体" w:eastAsia="宋体" w:cs="宋体"/>
          <w:color w:val="auto"/>
          <w:szCs w:val="21"/>
          <w:highlight w:val="none"/>
          <w:lang w:val="en-US" w:eastAsia="zh-CN"/>
        </w:rPr>
        <w:t>形</w:t>
      </w:r>
      <w:r>
        <w:rPr>
          <w:rFonts w:hint="eastAsia" w:ascii="宋体" w:hAnsi="宋体" w:eastAsia="宋体" w:cs="宋体"/>
          <w:color w:val="auto"/>
          <w:szCs w:val="21"/>
          <w:highlight w:val="none"/>
        </w:rPr>
        <w:t>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若采购货物属于以上品目清单的产品时，</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货物必须使用政府强制采购的节能产品，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必须在响应文件中提供</w:t>
      </w:r>
      <w:r>
        <w:rPr>
          <w:rFonts w:hint="eastAsia" w:ascii="宋体" w:hAnsi="宋体" w:eastAsia="宋体" w:cs="宋体"/>
          <w:color w:val="auto"/>
          <w:szCs w:val="21"/>
          <w:highlight w:val="none"/>
          <w:lang w:eastAsia="zh-CN"/>
        </w:rPr>
        <w:t>所投产品获得</w:t>
      </w:r>
      <w:r>
        <w:rPr>
          <w:rFonts w:hint="eastAsia" w:ascii="宋体" w:hAnsi="宋体" w:eastAsia="宋体" w:cs="宋体"/>
          <w:color w:val="auto"/>
          <w:szCs w:val="21"/>
          <w:highlight w:val="none"/>
        </w:rPr>
        <w:t>国家确定的认证机构出具的处于有效期之内的节能产品认证证书复印件</w:t>
      </w:r>
      <w:r>
        <w:rPr>
          <w:rFonts w:hint="eastAsia" w:ascii="宋体" w:hAnsi="宋体" w:eastAsia="宋体" w:cs="宋体"/>
          <w:color w:val="auto"/>
          <w:szCs w:val="21"/>
          <w:highlight w:val="none"/>
          <w:lang w:eastAsia="zh-CN"/>
        </w:rPr>
        <w:t>或扫描件</w:t>
      </w:r>
      <w:r>
        <w:rPr>
          <w:rFonts w:hint="eastAsia" w:ascii="宋体" w:hAnsi="宋体" w:eastAsia="宋体" w:cs="宋体"/>
          <w:color w:val="auto"/>
          <w:szCs w:val="21"/>
          <w:highlight w:val="none"/>
        </w:rPr>
        <w:t>（加盖供应商公章（或电子签章）），</w:t>
      </w:r>
      <w:r>
        <w:rPr>
          <w:rFonts w:hint="eastAsia" w:ascii="宋体" w:hAnsi="宋体" w:eastAsia="宋体" w:cs="宋体"/>
          <w:b/>
          <w:bCs/>
          <w:color w:val="auto"/>
          <w:szCs w:val="21"/>
          <w:highlight w:val="none"/>
        </w:rPr>
        <w:t>否则响应文件按无效响应处理。</w:t>
      </w:r>
    </w:p>
    <w:p w14:paraId="65A19789">
      <w:pPr>
        <w:shd w:val="clear"/>
        <w:wordWrap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w:t>
      </w:r>
      <w:r>
        <w:rPr>
          <w:rFonts w:hint="eastAsia" w:ascii="宋体" w:hAnsi="宋体" w:eastAsia="宋体" w:cs="宋体"/>
          <w:color w:val="auto"/>
          <w:szCs w:val="21"/>
          <w:highlight w:val="none"/>
        </w:rPr>
        <w:t>（加盖供应商公章（或电子签章）），</w:t>
      </w:r>
      <w:r>
        <w:rPr>
          <w:rFonts w:hint="eastAsia" w:ascii="宋体" w:hAnsi="宋体" w:eastAsia="宋体" w:cs="宋体"/>
          <w:b/>
          <w:bCs/>
          <w:color w:val="auto"/>
          <w:szCs w:val="21"/>
          <w:highlight w:val="none"/>
        </w:rPr>
        <w:t>否则响应文件按无效响应处理。</w:t>
      </w:r>
    </w:p>
    <w:p w14:paraId="236670B9">
      <w:pPr>
        <w:shd w:val="clear"/>
        <w:wordWrap w:val="0"/>
        <w:spacing w:line="360" w:lineRule="auto"/>
        <w:ind w:firstLine="424" w:firstLineChars="202"/>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Times New Roman" w:hAnsi="Times New Roman" w:eastAsia="宋体" w:cs="Times New Roman"/>
          <w:color w:val="auto"/>
          <w:highlight w:val="none"/>
        </w:rPr>
        <w:t>本项目中所投产品涉及纳入国家认证认可监督管理委员会现行《强制性产品认证目录描述与界定表》管理的强制性认证产品（简称3C认证产品）的，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必须在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文件（商务</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技术文件）中提供所投产品的</w:t>
      </w:r>
      <w:r>
        <w:rPr>
          <w:rFonts w:hint="eastAsia" w:ascii="Times New Roman" w:hAnsi="Times New Roman" w:eastAsia="宋体" w:cs="Times New Roman"/>
          <w:color w:val="auto"/>
          <w:highlight w:val="none"/>
        </w:rPr>
        <w:t>强制性认证证书复印件</w:t>
      </w:r>
      <w:r>
        <w:rPr>
          <w:rFonts w:hint="eastAsia" w:ascii="宋体" w:hAnsi="宋体" w:eastAsia="宋体" w:cs="宋体"/>
          <w:color w:val="auto"/>
          <w:szCs w:val="21"/>
          <w:highlight w:val="none"/>
        </w:rPr>
        <w:t>（加盖供应商公章（或电子签章）），</w:t>
      </w:r>
      <w:r>
        <w:rPr>
          <w:rFonts w:hint="eastAsia" w:ascii="宋体" w:hAnsi="宋体" w:eastAsia="宋体" w:cs="宋体"/>
          <w:b/>
          <w:bCs/>
          <w:color w:val="auto"/>
          <w:szCs w:val="21"/>
          <w:highlight w:val="none"/>
        </w:rPr>
        <w:t>否则响应文件按无效响应处理。</w:t>
      </w:r>
    </w:p>
    <w:p w14:paraId="06E4469D">
      <w:pPr>
        <w:shd w:val="clear"/>
        <w:spacing w:line="440" w:lineRule="exact"/>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本项目需求表中</w:t>
      </w:r>
      <w:r>
        <w:rPr>
          <w:rFonts w:hint="eastAsia" w:ascii="宋体" w:hAnsi="宋体" w:eastAsia="宋体" w:cs="宋体"/>
          <w:color w:val="auto"/>
          <w:szCs w:val="21"/>
          <w:highlight w:val="none"/>
          <w:lang w:eastAsia="zh-CN"/>
        </w:rPr>
        <w:t>出现</w:t>
      </w:r>
      <w:r>
        <w:rPr>
          <w:rFonts w:hint="eastAsia" w:ascii="宋体" w:hAnsi="宋体" w:eastAsia="宋体" w:cs="宋体"/>
          <w:color w:val="auto"/>
          <w:szCs w:val="21"/>
          <w:highlight w:val="none"/>
        </w:rPr>
        <w:t>的品牌</w:t>
      </w:r>
      <w:r>
        <w:rPr>
          <w:rFonts w:hint="eastAsia" w:ascii="宋体" w:hAnsi="宋体" w:eastAsia="宋体" w:cs="宋体"/>
          <w:color w:val="auto"/>
          <w:szCs w:val="21"/>
          <w:highlight w:val="none"/>
          <w:lang w:eastAsia="zh-CN"/>
        </w:rPr>
        <w:t>、幸好或者生产厂家（如有）</w:t>
      </w:r>
      <w:r>
        <w:rPr>
          <w:rFonts w:hint="eastAsia" w:ascii="宋体" w:hAnsi="宋体" w:eastAsia="宋体" w:cs="宋体"/>
          <w:color w:val="auto"/>
          <w:szCs w:val="21"/>
          <w:highlight w:val="none"/>
        </w:rPr>
        <w:t>仅起参考作用，</w:t>
      </w:r>
      <w:r>
        <w:rPr>
          <w:rFonts w:hint="eastAsia" w:ascii="宋体" w:hAnsi="宋体" w:eastAsia="宋体" w:cs="宋体"/>
          <w:color w:val="auto"/>
          <w:szCs w:val="21"/>
          <w:highlight w:val="none"/>
          <w:lang w:eastAsia="zh-CN"/>
        </w:rPr>
        <w:t>不属于指定品牌、型号或者生产厂家的情形。</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可</w:t>
      </w:r>
      <w:r>
        <w:rPr>
          <w:rFonts w:hint="eastAsia" w:ascii="宋体" w:hAnsi="宋体" w:eastAsia="宋体" w:cs="宋体"/>
          <w:color w:val="auto"/>
          <w:szCs w:val="21"/>
          <w:highlight w:val="none"/>
          <w:lang w:eastAsia="zh-CN"/>
        </w:rPr>
        <w:t>参照或者</w:t>
      </w:r>
      <w:r>
        <w:rPr>
          <w:rFonts w:hint="eastAsia" w:ascii="宋体" w:hAnsi="宋体" w:eastAsia="宋体" w:cs="宋体"/>
          <w:color w:val="auto"/>
          <w:szCs w:val="21"/>
          <w:highlight w:val="none"/>
        </w:rPr>
        <w:t>选用其他品牌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型号</w:t>
      </w:r>
      <w:r>
        <w:rPr>
          <w:rFonts w:hint="eastAsia" w:ascii="宋体" w:hAnsi="宋体" w:eastAsia="宋体" w:cs="宋体"/>
          <w:color w:val="auto"/>
          <w:szCs w:val="21"/>
          <w:highlight w:val="none"/>
          <w:lang w:eastAsia="zh-CN"/>
        </w:rPr>
        <w:t>或者生产厂家</w:t>
      </w:r>
      <w:r>
        <w:rPr>
          <w:rFonts w:hint="eastAsia" w:ascii="宋体" w:hAnsi="宋体" w:eastAsia="宋体" w:cs="宋体"/>
          <w:color w:val="auto"/>
          <w:szCs w:val="21"/>
          <w:highlight w:val="none"/>
        </w:rPr>
        <w:t>替代，但</w:t>
      </w:r>
      <w:r>
        <w:rPr>
          <w:rFonts w:hint="eastAsia" w:ascii="宋体" w:hAnsi="宋体" w:eastAsia="宋体" w:cs="宋体"/>
          <w:color w:val="auto"/>
          <w:szCs w:val="21"/>
          <w:highlight w:val="none"/>
          <w:lang w:eastAsia="zh-CN"/>
        </w:rPr>
        <w:t>选用的竞标产品</w:t>
      </w:r>
      <w:r>
        <w:rPr>
          <w:rFonts w:hint="eastAsia" w:ascii="宋体" w:hAnsi="宋体" w:eastAsia="宋体" w:cs="宋体"/>
          <w:color w:val="auto"/>
          <w:szCs w:val="21"/>
          <w:highlight w:val="none"/>
        </w:rPr>
        <w:t>要实质上相当于或优于参考品牌型号及其技术参数性能（配置）要求。</w:t>
      </w:r>
    </w:p>
    <w:p w14:paraId="14FACCB8">
      <w:pPr>
        <w:shd w:val="clear"/>
        <w:spacing w:line="440" w:lineRule="exact"/>
        <w:ind w:firstLine="424" w:firstLineChars="202"/>
        <w:jc w:val="left"/>
        <w:rPr>
          <w:rFonts w:hint="eastAsia" w:ascii="宋体" w:hAnsi="宋体" w:eastAsia="宋体" w:cs="宋体"/>
          <w:color w:val="auto"/>
          <w:szCs w:val="21"/>
          <w:highlight w:val="none"/>
          <w:lang w:val="en-US" w:eastAsia="zh-CN"/>
        </w:rPr>
      </w:pPr>
      <w:bookmarkStart w:id="55" w:name="_Hlk132788003"/>
      <w:r>
        <w:rPr>
          <w:rFonts w:hint="eastAsia" w:ascii="宋体" w:hAnsi="宋体" w:eastAsia="宋体" w:cs="宋体"/>
          <w:color w:val="auto"/>
          <w:szCs w:val="21"/>
          <w:highlight w:val="none"/>
          <w:lang w:val="en-US" w:eastAsia="zh-CN"/>
        </w:rPr>
        <w:t>8.如要求提供检测报告或其他证明材料的，检测报告或其他证明材料内容中若涉及外文说明，必须同时提供对应中文翻译说明，评审依据以中文翻译内容为准，外文说明仅供参考；产品证明材料应为报告正面、背面和附件标注的全部具体内容；产品证明材料的内容应该能够被阅读、识别和判断</w:t>
      </w:r>
      <w:bookmarkEnd w:id="55"/>
      <w:r>
        <w:rPr>
          <w:rFonts w:hint="eastAsia" w:ascii="宋体" w:hAnsi="宋体" w:eastAsia="宋体" w:cs="宋体"/>
          <w:color w:val="auto"/>
          <w:szCs w:val="21"/>
          <w:highlight w:val="none"/>
          <w:lang w:val="en-US" w:eastAsia="zh-CN"/>
        </w:rPr>
        <w:t>。</w:t>
      </w:r>
    </w:p>
    <w:p w14:paraId="5C85966F">
      <w:pPr>
        <w:shd w:val="clear"/>
        <w:spacing w:line="440" w:lineRule="exact"/>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供应商必须自行为其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产品侵犯他人的知识产权或者专利成果的行为承担相应法律责任。</w:t>
      </w:r>
    </w:p>
    <w:p w14:paraId="55016F3F">
      <w:pPr>
        <w:shd w:val="clear"/>
        <w:spacing w:line="440" w:lineRule="exact"/>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供应商所</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货物或服务如有国家相关标准、行业标准、地方标准或者其他标准、规范要求的按相关规定执行，若执行标准有修改或更新按最新版本执行。</w:t>
      </w:r>
    </w:p>
    <w:p w14:paraId="223DFED4">
      <w:pPr>
        <w:keepNext w:val="0"/>
        <w:keepLines w:val="0"/>
        <w:pageBreakBefore w:val="0"/>
        <w:widowControl w:val="0"/>
        <w:shd w:val="clear"/>
        <w:kinsoku/>
        <w:wordWrap/>
        <w:overflowPunct/>
        <w:topLinePunct w:val="0"/>
        <w:autoSpaceDE/>
        <w:autoSpaceDN/>
        <w:bidi w:val="0"/>
        <w:adjustRightInd/>
        <w:snapToGrid/>
        <w:spacing w:line="240" w:lineRule="auto"/>
        <w:ind w:firstLine="406" w:firstLineChars="202"/>
        <w:jc w:val="left"/>
        <w:textAlignment w:val="auto"/>
        <w:rPr>
          <w:rFonts w:hint="eastAsia" w:ascii="宋体" w:hAnsi="宋体" w:eastAsia="宋体" w:cs="宋体"/>
          <w:b/>
          <w:bCs/>
          <w:color w:val="auto"/>
          <w:sz w:val="20"/>
          <w:szCs w:val="20"/>
          <w:highlight w:val="none"/>
        </w:rPr>
      </w:pPr>
    </w:p>
    <w:tbl>
      <w:tblPr>
        <w:tblStyle w:val="4"/>
        <w:tblW w:w="10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052"/>
        <w:gridCol w:w="44"/>
        <w:gridCol w:w="511"/>
        <w:gridCol w:w="630"/>
        <w:gridCol w:w="5580"/>
        <w:gridCol w:w="720"/>
        <w:gridCol w:w="814"/>
      </w:tblGrid>
      <w:tr w14:paraId="16FF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7" w:type="dxa"/>
            <w:gridSpan w:val="8"/>
            <w:tcBorders>
              <w:top w:val="single" w:color="auto" w:sz="4" w:space="0"/>
              <w:left w:val="single" w:color="auto" w:sz="4" w:space="0"/>
              <w:bottom w:val="single" w:color="auto" w:sz="4" w:space="0"/>
              <w:right w:val="single" w:color="auto" w:sz="4" w:space="0"/>
            </w:tcBorders>
            <w:noWrap w:val="0"/>
            <w:vAlign w:val="center"/>
          </w:tcPr>
          <w:p w14:paraId="3CFAF517">
            <w:pPr>
              <w:keepNext w:val="0"/>
              <w:keepLines w:val="0"/>
              <w:pageBreakBefore w:val="0"/>
              <w:shd w:val="clear"/>
              <w:kinsoku/>
              <w:wordWrap w:val="0"/>
              <w:overflowPunct/>
              <w:topLinePunct w:val="0"/>
              <w:autoSpaceDE/>
              <w:autoSpaceDN/>
              <w:bidi w:val="0"/>
              <w:adjustRightInd/>
              <w:spacing w:line="360" w:lineRule="auto"/>
              <w:jc w:val="left"/>
              <w:textAlignment w:val="auto"/>
              <w:rPr>
                <w:rFonts w:hint="eastAsia" w:ascii="宋体" w:hAnsi="宋体" w:eastAsia="宋体" w:cs="宋体"/>
                <w:b/>
                <w:bCs/>
                <w:strike w:val="0"/>
                <w:dstrike w:val="0"/>
                <w:color w:val="auto"/>
                <w:sz w:val="21"/>
                <w:szCs w:val="21"/>
                <w:highlight w:val="none"/>
                <w:lang w:val="en-US" w:eastAsia="zh-CN"/>
              </w:rPr>
            </w:pPr>
            <w:r>
              <w:rPr>
                <w:rFonts w:hint="eastAsia" w:ascii="宋体" w:hAnsi="宋体" w:eastAsia="宋体" w:cs="宋体"/>
                <w:b/>
                <w:bCs/>
                <w:strike w:val="0"/>
                <w:dstrike w:val="0"/>
                <w:color w:val="auto"/>
                <w:sz w:val="21"/>
                <w:szCs w:val="21"/>
                <w:highlight w:val="none"/>
                <w:lang w:val="en-US" w:eastAsia="zh-CN"/>
              </w:rPr>
              <w:t>一、</w:t>
            </w:r>
            <w:r>
              <w:rPr>
                <w:rFonts w:hint="eastAsia" w:ascii="宋体" w:hAnsi="宋体" w:eastAsia="宋体" w:cs="宋体"/>
                <w:b/>
                <w:bCs/>
                <w:strike w:val="0"/>
                <w:dstrike w:val="0"/>
                <w:color w:val="auto"/>
                <w:sz w:val="21"/>
                <w:szCs w:val="21"/>
                <w:highlight w:val="none"/>
              </w:rPr>
              <w:t>技术要求</w:t>
            </w:r>
          </w:p>
        </w:tc>
      </w:tr>
      <w:tr w14:paraId="3FFA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46B20AC6">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A5E20D1">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标的名称</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0AC8DE60">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55D7F25">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52A189A">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w:t>
            </w:r>
            <w:r>
              <w:rPr>
                <w:rFonts w:hint="eastAsia" w:ascii="宋体" w:hAnsi="宋体" w:eastAsia="宋体" w:cs="宋体"/>
                <w:b/>
                <w:color w:val="auto"/>
                <w:sz w:val="21"/>
                <w:szCs w:val="21"/>
                <w:highlight w:val="none"/>
                <w:lang w:val="en-US" w:eastAsia="zh-CN"/>
              </w:rPr>
              <w:t>要求</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2193447">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bCs/>
                <w:strike w:val="0"/>
                <w:dstrike w:val="0"/>
                <w:color w:val="auto"/>
                <w:kern w:val="0"/>
                <w:sz w:val="21"/>
                <w:szCs w:val="21"/>
                <w:highlight w:val="none"/>
                <w:lang w:val="en-US" w:eastAsia="zh-CN"/>
              </w:rPr>
              <w:t>分项最高限价（元）</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3E809C27">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bCs/>
                <w:strike w:val="0"/>
                <w:dstrike w:val="0"/>
                <w:color w:val="auto"/>
                <w:kern w:val="0"/>
                <w:sz w:val="21"/>
                <w:szCs w:val="21"/>
                <w:highlight w:val="none"/>
                <w:lang w:val="en-US" w:eastAsia="zh-CN"/>
              </w:rPr>
            </w:pPr>
            <w:r>
              <w:rPr>
                <w:rFonts w:hint="eastAsia" w:hAnsi="宋体" w:cs="宋体"/>
                <w:b/>
                <w:color w:val="auto"/>
                <w:sz w:val="24"/>
                <w:szCs w:val="24"/>
                <w:highlight w:val="none"/>
              </w:rPr>
              <w:t>中小企业划分标准所属行业</w:t>
            </w:r>
          </w:p>
        </w:tc>
      </w:tr>
      <w:tr w14:paraId="749F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4DD1497">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6D4AC9F1">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集控平台终端</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3275D1D3">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41B628C">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套</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321842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软件：</w:t>
            </w:r>
          </w:p>
          <w:p w14:paraId="6C68F1A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1.采用B/S架构，确保用户无需安装任何客户端软件即可通过主流浏览器（如IE、360等）直接访问使用。简化了部署过程，便于维护与升级。</w:t>
            </w:r>
          </w:p>
          <w:p w14:paraId="7F5944C8">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2.支持多种登录方式，包括账号密码验证、微信扫码登录以及手机验证码登录，以满足不同用户的偏好及安全需求。登录后可查看登入者的个人信息，并支持修改个人的登录密码。</w:t>
            </w:r>
          </w:p>
          <w:p w14:paraId="2003056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支持设备管理概览，便于用户查看绑定在平台上的设备总数、在线设备数量、活跃设备数以及异常设备数。通过折线图、圆环图、条形图等形式，用户可以直观地查看今天、过去7天和过去30天内录播设备的使用情况；了解开机后长时间未被使用的设备状态；掌握不同时间段内设备的活跃度分布；分析每日平均开机时长的分布情况；并查看每台设备中软件的累计使用时间及活跃程度。支持详细列出每台设备的基本信息，如名称、设备ID及日均开机时长等关键数据。</w:t>
            </w:r>
          </w:p>
          <w:p w14:paraId="55DAECC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支持按建筑（教学楼）进行分类查看已绑定平台的设备，并提供多种筛选功能，包括显示设备和录播设备的筛选，以及全部、在线、离线、已停用和已锁屏设备的筛选。支持至少1分屏、4分屏、9分屏和16分屏三种类型的分屏布局模式。支持查看巡视记录和巡视日志。</w:t>
            </w:r>
          </w:p>
          <w:p w14:paraId="2D09A90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5.支持对录播一体机执行多种远程操作命令，包括但不限于安全地关机、重启设备以及调整基础设置等。</w:t>
            </w:r>
          </w:p>
          <w:p w14:paraId="48D5AC4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6.支持为每台录播一体机设定自动开关机的时间计划。可在非工作时间自动关闭以节省能源；可根据课程表安排提前启动准备上课内容，方便日常管理工作。</w:t>
            </w:r>
          </w:p>
          <w:p w14:paraId="0F6660C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p>
          <w:p w14:paraId="4F39CD6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硬件：</w:t>
            </w:r>
          </w:p>
          <w:p w14:paraId="4CEF31F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1.处理器性能：核心数≥14；线程数≥28；主频≥2.4GHz。</w:t>
            </w:r>
          </w:p>
          <w:p w14:paraId="7C86BEF1">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2.内存大小：≥64G DDR4。</w:t>
            </w:r>
          </w:p>
          <w:p w14:paraId="00640CE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3.硬盘空间：≥4T 3.5寸SATA硬盘。</w:t>
            </w:r>
          </w:p>
          <w:p w14:paraId="5F4423F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4.网络控制器：RJ45 千兆自适应以太网口。</w:t>
            </w:r>
          </w:p>
          <w:p w14:paraId="1A99068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5.需采用1U机架式安装。</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A027356">
            <w:pPr>
              <w:keepNext w:val="0"/>
              <w:keepLines w:val="0"/>
              <w:widowControl/>
              <w:suppressLineNumbers w:val="0"/>
              <w:shd w:val="clear"/>
              <w:wordWrap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75F4BAD5">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软件和信息技术服务业</w:t>
            </w:r>
          </w:p>
        </w:tc>
      </w:tr>
      <w:tr w14:paraId="037F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BCABA62">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C0CA966">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控制终端</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093106E2">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A08EA1D">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C61736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软件：</w:t>
            </w:r>
          </w:p>
          <w:p w14:paraId="32CA927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1.教情分析：</w:t>
            </w:r>
          </w:p>
          <w:p w14:paraId="6A982FC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▲（1）教师行为分析包括教师讲授、教师巡视、师生互动、指导学生、教师提问、板书等维度，统计出时间及占比，以时间轴打点的形式展示教师各项行为。</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p>
          <w:p w14:paraId="631E30A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（2）课堂问题情况支持通过饼状图展示课堂上不同类型问题的数量及占比。</w:t>
            </w:r>
          </w:p>
          <w:p w14:paraId="4721AED1">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（3）支持统计学生不同类型回答（肯定性回答、非思维性回答、解释性回答、无回答等）的数量及占比。</w:t>
            </w:r>
          </w:p>
          <w:p w14:paraId="2F063FE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（4）支持通过教室位置分布以可视化的方式展示教师和学生在教室内的位置分布，包含学生左侧、教室后方、学生右侧等维度。</w:t>
            </w:r>
          </w:p>
          <w:p w14:paraId="1F45D45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（5）支持S-T教学行为分析，根据课堂情况自动绘制S-T行为曲线，并分析课堂教学类型。</w:t>
            </w:r>
          </w:p>
          <w:p w14:paraId="43F193E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▲（6）Rt-Ch课堂模式图支持通过Rt（练习比例）和Ch（对话比例）来划分课堂行为类型，包括练习型、讲授型、对话型以及混合型，分析出课堂行为（含学生练习、教师讲授、师生互动为主等多种行为）。</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p>
          <w:p w14:paraId="66BE73D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2.学情分析</w:t>
            </w:r>
          </w:p>
          <w:p w14:paraId="073CEDB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▲（1）学生行为分析包括听讲、举手、读写、学生汇报、生生汇报等维度，统计出时间及占比，以时间轴打点的形式展示学生各项行为。</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p>
          <w:p w14:paraId="5C86E11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（2）学生表情峰值分析支持通过分析学生的表情数据，包括消极、平静、开心、难过、生气、反感、害怕等维度，统计并展示不同情绪的分布及出现的峰值时间。</w:t>
            </w:r>
          </w:p>
          <w:p w14:paraId="0A73717A">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▲（3）学生动作峰值分析支持通过分析学生的动作数据，包括趴桌、举手、站立、回头等维度，统计不同动作的分布及出现的峰值时间。</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p>
          <w:p w14:paraId="65F49B2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（4）支持以图表方式直观呈现学生在课堂中的参与度和抬头率变化趋势。支持以图表方式直观呈现课堂纪律在整个课程期间的变化趋势。</w:t>
            </w:r>
          </w:p>
          <w:p w14:paraId="19DEF27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3.语音分析</w:t>
            </w:r>
          </w:p>
          <w:p w14:paraId="50C965B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▲（1）语音转写：将课堂中的语音内容转写成文字，便于查看和分析，并支持在线编辑及下载。</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p>
          <w:p w14:paraId="3C9ABAE5">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（2）高频词分布：支持统计并展示课堂中出现频率较高的词汇，统计课堂重点和教师常用词汇。</w:t>
            </w:r>
          </w:p>
          <w:p w14:paraId="71C3B76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（3）语气词：支持分析并列出课堂中使用的语气词及其出现次数，有助于评估教师的语言习惯。</w:t>
            </w:r>
          </w:p>
          <w:p w14:paraId="7CDCF5B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（4）语速分析：通过图表展示课堂中语速的变化情况，帮助分析教师的授课节奏。</w:t>
            </w:r>
          </w:p>
          <w:p w14:paraId="682511B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4.课程数据分析报告</w:t>
            </w:r>
          </w:p>
          <w:p w14:paraId="4E7D7985">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（1）通过对教情的分析，能够精准地反映课程教学过程中的教学方法、教学进度、教学重点把握等方面的表现，为教师教学质量的评估提供量化依据。</w:t>
            </w:r>
          </w:p>
          <w:p w14:paraId="131A6DF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（2）借助学情分析，可全面了解学生对知识的掌握程度、学习中的难点和痛点、以及不同学生的学习差异等。</w:t>
            </w:r>
          </w:p>
          <w:p w14:paraId="645DB17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（3）支持结合教情分析、学情分析以及语音分析，为课程的进一步优化提供方向，例如教学内容的增删改、教学方式的调整、互动环节的设计等，从而提升整体教学效果。</w:t>
            </w:r>
          </w:p>
          <w:p w14:paraId="17F9C605">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5.知识图谱</w:t>
            </w:r>
          </w:p>
          <w:p w14:paraId="4091D14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▲（1）支持单个账号提供多门课程知识图谱建设。每个课程资源关联的课程提供了多种知识图谱，包括知识图谱、能力图谱、问题图谱和资源图谱。这些图谱以树图和网图的形式呈现。</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6D92ED7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知识图谱支持对课程内容的整体概览查看，包括课程的章节、节次、知识点总数以及知识点节点等信息，能清晰呈现课程结构和知识点分布情况。知识图谱以星空图、树图和网图三种形式呈现，星空图借助三维空间建模与动态交互技术，将抽象的知识体系转化为可视化、可交互立体结构的呈现方式，支持鼠标拖动旋转模型，点击节点即可关联相关知识点、相关问题和获取资源推荐。树图支持结构化呈现，树状结构支持动态展开和折叠子节点:网图具有知识点线性关联、网状洞察和知识资源推荐等功能。</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7A467F0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（3）能力图谱：支持能力图谱规划与量化学生在各知识点；具有课程教学能力导向，形成课程目标对应的核心能力指标。</w:t>
            </w:r>
          </w:p>
          <w:p w14:paraId="44CD4D8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（4）问题图谱：支持按教材通过AI自动生成问题网络，包含核心问题与子问题，为对知识点的理解提供问题解决路径，提供相应的解决策略和知识点指引。</w:t>
            </w:r>
          </w:p>
          <w:p w14:paraId="6528006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（5）资源图谱：支持展示不同类型的资源数量（包含课程资源数量、问题数量、音视频数量等）；课程资源支持按知识点分类，点击任一个知识点即可获取对应资源。</w:t>
            </w:r>
          </w:p>
          <w:p w14:paraId="274404D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支持新建知识图谱，支持设置课程封面，导入教材，输入课程名称、主讲人、开课院系、年级、开课时间及报名设置，可设置课程介绍，课程目标，教师团队以及课程章节设置等，支持添加自定义不同级别目录。</w:t>
            </w:r>
          </w:p>
          <w:p w14:paraId="666D49F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（7）支持手动构建图谱课程，支持批量新增、删除节点；支持修改节点，并对节点进行层级展开设置；</w:t>
            </w:r>
          </w:p>
          <w:p w14:paraId="76E74E4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（8）支持课程大纲模板构建，通过导入知识结构的课程大纲模板，系统自动识别文件内容，生成知识图谱及知识点列表；</w:t>
            </w:r>
          </w:p>
          <w:p w14:paraId="43A577CA">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（9）支持图谱excel表格构建，通过导入图谱excel表格，系统自动识别文件内容，生成知识图谱及知识点列表；</w:t>
            </w:r>
          </w:p>
          <w:p w14:paraId="1332B20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（10）支持电子教材构建，智能分析电子教材的一级、二级、三级标题，按照标题的层级关系，自动生成知识图谱及知识点列表；</w:t>
            </w:r>
          </w:p>
          <w:p w14:paraId="7307D9BA">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▲（11）支持手动关联知识点资源，支持关联课程视频、音频、文档、图片、测验题等资源；</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31F8990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（12）支持为知识点增加试题，支持单选题、多选题、判断题、填空、简答题等题型；支持设置题干、选项及参考答案；支持输入答案解析；</w:t>
            </w:r>
          </w:p>
          <w:p w14:paraId="31FAB4D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（13）支持知识点手动关联课程章节，实现知识点与课程内容精准匹配；</w:t>
            </w:r>
          </w:p>
          <w:p w14:paraId="1E9B67B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5.AI助手</w:t>
            </w:r>
          </w:p>
          <w:p w14:paraId="7BBC5C9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▲（1）利用AI大模型，根据对应课程教材、资料及音视频资源，正确无误的解答问题，并形成相应学习关联。</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0FC63CD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（2）支持单个账号在对应课程中提出的问题保留历史记录，便于后期查看，并避免重复提问。</w:t>
            </w:r>
          </w:p>
          <w:p w14:paraId="5CBF47F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7.视频智能切片</w:t>
            </w:r>
          </w:p>
          <w:p w14:paraId="44547E1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（1）系统具备智能课堂实录AI分析功能，可自动分析视频内容，精准提取课程知识点，形成知识点的视频打点切片。</w:t>
            </w:r>
          </w:p>
          <w:p w14:paraId="70D8CA1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▲（2）可结合语音转写功能，将课程知识点与教师语音转文字内容实现智能关联。知识切片支持与相应教材所构建的知识图谱实现精准关联，为学生提供更为系统、连贯的知识学习路径。</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5E923B9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p>
          <w:p w14:paraId="52C5D1C8">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硬件：</w:t>
            </w:r>
          </w:p>
          <w:p w14:paraId="663B13B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1.处理器性能：核心数≥14；线程数≥28；主频≥2.4GHz。</w:t>
            </w:r>
          </w:p>
          <w:p w14:paraId="1CA537D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2.内存大小：≥64G DDR4。</w:t>
            </w:r>
          </w:p>
          <w:p w14:paraId="0B78019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3.硬盘空间：≥4T 3.5寸SATA硬盘。</w:t>
            </w:r>
          </w:p>
          <w:p w14:paraId="32DF9BF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4.网络控制器：RJ45 千兆自适应以太网口。</w:t>
            </w:r>
          </w:p>
          <w:p w14:paraId="6BF388F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5.需采用1U机架式安装。</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B8EF8AB">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4A876809">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软件和信息技术服务业</w:t>
            </w:r>
          </w:p>
        </w:tc>
      </w:tr>
      <w:tr w14:paraId="0A4E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02E54C58">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5F2D804">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单点登陆对接</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0162FA03">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63A1351">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项</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55DFEBB6">
            <w:pPr>
              <w:keepNext w:val="0"/>
              <w:keepLines w:val="0"/>
              <w:pageBreakBefore w:val="0"/>
              <w:numPr>
                <w:ilvl w:val="0"/>
                <w:numId w:val="0"/>
              </w:numPr>
              <w:shd w:val="clear"/>
              <w:tabs>
                <w:tab w:val="left" w:pos="836"/>
              </w:tabs>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1.课表对接服务，实现按课表安排控制教室录播主机的开启、关闭。</w:t>
            </w:r>
          </w:p>
          <w:p w14:paraId="42DE6307">
            <w:pPr>
              <w:keepNext w:val="0"/>
              <w:keepLines w:val="0"/>
              <w:pageBreakBefore w:val="0"/>
              <w:numPr>
                <w:ilvl w:val="0"/>
                <w:numId w:val="0"/>
              </w:numPr>
              <w:shd w:val="clear"/>
              <w:tabs>
                <w:tab w:val="left" w:pos="836"/>
              </w:tabs>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2.和学校教务系统对接。</w:t>
            </w:r>
          </w:p>
          <w:p w14:paraId="35C7F0B9">
            <w:pPr>
              <w:keepNext w:val="0"/>
              <w:keepLines w:val="0"/>
              <w:pageBreakBefore w:val="0"/>
              <w:numPr>
                <w:ilvl w:val="0"/>
                <w:numId w:val="0"/>
              </w:numPr>
              <w:shd w:val="clear"/>
              <w:tabs>
                <w:tab w:val="left" w:pos="836"/>
              </w:tabs>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3.和学校单点登录系统对接。</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EF897C9">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702D0D7A">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软件和信息技术服务业</w:t>
            </w:r>
          </w:p>
        </w:tc>
      </w:tr>
      <w:tr w14:paraId="2997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2BDABE0">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40C6825D">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AI智能一体化教学终端</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7FEF0BA8">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4B0D5BE">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CA66FF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▲1.整机采用ARM 嵌入式硬件架构设计，内置高清双目摄像机，支持国产化八核处理器、Linux系统、≥8GB内存，≥512GB固态硬盘。</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243A8EC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▲2.集成录制、直播、点播、互动、导播管理、存储、图像自动跟踪、视频切换、视音频编码、语音转写、行为分析、虚拟抠像等功能，支持远程互动教学。</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1450639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3.视频接口：支持至少1路HDMI输入接口，至少1路HDMI输出接口。</w:t>
            </w:r>
          </w:p>
          <w:p w14:paraId="3D3A2C9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4.音频接口：支持至少1路Line Out，至少1路Line In音频接口。</w:t>
            </w:r>
          </w:p>
          <w:p w14:paraId="65F1477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5.网络接口：≥2路RJ45网口，支持双网卡设计，可同时连接网络和摄像机智能组网，支持摄像机即插即用，可通过单根线缆实现对外接摄像机的供电信号、控制信号与数字视频信号的同步传输。</w:t>
            </w:r>
          </w:p>
          <w:p w14:paraId="5177C471">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6.具备至少1路串口控制接口（支持 RS232 与 RS485 两种通信协议）；≥2路USB接口，支持连接鼠标、键盘进行本地导播控制及连接U盘拷贝视频。</w:t>
            </w:r>
          </w:p>
          <w:p w14:paraId="22DEC6F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▲7.依托 USB 接口，仅需单根线缆即可在采集音频信号的同时，为麦克风提供供电支持。</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06C87A6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▲8.具备至少1路Type-C接口，支持UVC协议，支持对接第三方视频会议系统。</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686CE75A">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9.视频编码：支持H.265和H.264两种视频编码协议，支持4K分辨率（3840×2160）视频的编码和录制。</w:t>
            </w:r>
          </w:p>
          <w:p w14:paraId="03F3AB3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10.支持1000/100Mbps自适应，IPv4、IPv6链路地址、IPv6外网地址三个网络地址配置，支持启用DHCP自动获取IP地址。</w:t>
            </w:r>
          </w:p>
          <w:p w14:paraId="6127BDA5">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11.具备声画同步机制，实现≤80ms的声画同步，保障录制视频质量。</w:t>
            </w:r>
          </w:p>
          <w:p w14:paraId="15755C31">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12.环保设计：设备工作时产生的噪声最大值≤20dB(A)。</w:t>
            </w:r>
          </w:p>
          <w:p w14:paraId="559B248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13.支持≥2个无线麦克风同时接入，且支持≥2种对频模式。</w:t>
            </w:r>
          </w:p>
          <w:p w14:paraId="30B4F58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14.支持通过录播主机对外接摄像机进行远程配置，统一维护和管理界面。</w:t>
            </w:r>
          </w:p>
          <w:p w14:paraId="7D82282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15.内置摄像机采用全景+特写双镜头设计，实现一体化功能。</w:t>
            </w:r>
          </w:p>
          <w:p w14:paraId="57403C8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16.内置摄像机支持4K（3840×2160）超高清分辨率图像编码输出。支持多种白平衡方式供选择，包括自动、室内、室外、 一键式、 手动、指定色温。支持背光补偿、图像冻结、垂直翻转、水平翻转。</w:t>
            </w:r>
          </w:p>
          <w:p w14:paraId="7E94518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17.内置摄像机支持逐行扫描方式；最低照度：0.5 Lux；电子快门：1/30s～1/10000s；同时具有2D和3D降噪算法，降低图像噪声，图像信噪比≥55dB。</w:t>
            </w:r>
          </w:p>
          <w:p w14:paraId="1FF0D46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18.特写摄像机支持≥1/2.7英寸CMOS传感器，有效像素≥800万，水平视场角为≥43°；具备≥2倍数字变焦功能；垂直转动范围为+5°～-30°；最大转动速度：水平方向 60°/s，垂直方向 30°/s；预置位数量≥255个，预置位精度≤0.5°。</w:t>
            </w:r>
          </w:p>
          <w:p w14:paraId="3CB48CC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▲19.特写摄像机采用微型机械云台设计，水平转动范围可达±40°，同时也支持电子云台。支持机械云台与电子云台无缝结合，减少了机械云台的微小转动。</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4DEB6834">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20.全景摄像机支持≥1/2.7英寸CMOS传感器，有效像素≥490万，水平视场角≥110°，垂直转动范围为0°～-24°。</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9FA17AB">
            <w:pPr>
              <w:keepNext w:val="0"/>
              <w:keepLines w:val="0"/>
              <w:widowControl/>
              <w:suppressLineNumbers w:val="0"/>
              <w:shd w:val="clear"/>
              <w:wordWrap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483750.00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0FA1FBD8">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工业</w:t>
            </w:r>
          </w:p>
        </w:tc>
      </w:tr>
      <w:tr w14:paraId="16C1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13EA81BD">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3FE88C2">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AI智能教学评价系统</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38152F64">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7CDE8F0">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套</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580C74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1.系统支持账号密码登录，录制模式支持电影模式、资源模式两种，能同时支持1路电影模式+5路资源录制，同时录制合成画面、教师全景、教师特写、学生全景、学生特写、电脑画面等。</w:t>
            </w:r>
          </w:p>
          <w:p w14:paraId="04836D0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▲2.录制格式支持MP4、FLV及TS，录制分辨率支持3840×2160、1920×1080等，支持录制帧率设定，可选择25fps/30fps，码流支持≥1000-20000kbps之间手动设置。</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40AE99F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 支持实时显示主机的CPU使用率、硬盘使用情况、多路预监画面。</w:t>
            </w:r>
          </w:p>
          <w:p w14:paraId="75B4A4C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4.导播模式支持本地与远程网络两种导播模式，视频预览、直播输出监视、视频切换等功能，其中拖动视频切换时支持导播小画面定位跟随。</w:t>
            </w:r>
          </w:p>
          <w:p w14:paraId="712CD80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支持添加字幕，支持包括系统时间在内的≥9种预设字幕的设置，其中系统时间支持自动校准。可直接通过拖拽实现自定义字幕显示位置。支持设置≥9种字体大小、≥8种字体颜色。系统界面自带虚拟软键盘，无需外接USB键盘，支持多种格式的字幕，可输入中文、英文、数字、特殊符号。</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1AF14748">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6.支持手动、半自动、全自动导播设置，具有自动轮巡导播模式的设置，可自定义设置轮巡画面和间隔时长。</w:t>
            </w:r>
          </w:p>
          <w:p w14:paraId="0FAE1D5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7.支持会议导播模式，开启会议模式后，系统根据会议麦克风发言自动切换视频画面预置位。</w:t>
            </w:r>
          </w:p>
          <w:p w14:paraId="770709A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8.提供多种画面布局模式，支持视频画面叠加与组合，包括单画面、双分屏画面、三分屏画面、四分屏画面显示，支持拖动通道画面实现多分屏布局显示画面的替换，替换时支持导播小画面定位跟随。</w:t>
            </w:r>
          </w:p>
          <w:p w14:paraId="05E2FBA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9.支持自定义布局方式，支持多个视频图层自由叠加组合，自定义布局时可随意拖拉画面窗口，更改布局背景和边框颜色。</w:t>
            </w:r>
          </w:p>
          <w:p w14:paraId="7C2C79C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10.支持≥4种片头和≥4种片尾的添加，可以设置插入片头片尾的时间，支持JPG、PNG格式。</w:t>
            </w:r>
          </w:p>
          <w:p w14:paraId="770DC35F">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11.台标支持≥4个固定位置，分别为左上、右上、左下、右下，支持手动拖拽移动台标，实现界面任意位置的台标设置。支持设定图片台标，支持JPG、PNG格式。</w:t>
            </w:r>
          </w:p>
          <w:p w14:paraId="219E08C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12.支持上滑、下滑、左滑、右滑等多种切换特效，支持自定义选择≥8种特效切换速度。</w:t>
            </w:r>
          </w:p>
          <w:p w14:paraId="482A318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13.系统支持摄像机云台控制，可以对摄像机进行变焦、上下左右位置调整以及≥8个预置位的设置。</w:t>
            </w:r>
          </w:p>
          <w:p w14:paraId="02CE7E4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14.系统可以进行音量设置，具备一键静音功能，可以采用鼠标拖动方式控制设备输入输出的音量大小。</w:t>
            </w:r>
          </w:p>
          <w:p w14:paraId="13B1CD3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15.系统支持录制倒计时和循环记录功能，在硬盘存储空间为0时，仍可进行录制，将最早录制的视频文件删除，支持录制到U盘。</w:t>
            </w:r>
          </w:p>
          <w:p w14:paraId="27FE226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16.所录制的视频文件既可存储在本地硬盘，也支持FTP文件传输协议，录制结束后自动将视频文件上传至对应的视频资源管理平台。</w:t>
            </w:r>
          </w:p>
          <w:p w14:paraId="3486CE8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17.支持用户通过AI智能教学系统点播回放视频，并可使用移动磁盘或硬盘拷贝下载，支持本地文件重命名，具有视频文件回收站功能，保存≥7天后自动删除。</w:t>
            </w:r>
          </w:p>
          <w:p w14:paraId="1F10B559">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系统支持长视频分段录制的功能，可自定义视频文件分段时长，当录制课程时间较长时，可在不结束录制的条件下自动按分段时长将课程视频文件分割录制成多个视频文件，提供不限时长、45分钟、60分钟、90分钟、120分钟、150分钟、180分钟、240分钟等多种方式可选。</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4C31D66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系统具有推送公网直播功能，可通过扫描直播二维码观看直播，系统可选择创建直播类型，包括活动直播和教研直播，支持自定义直播标题和起始时间，可设置直播分辨率和码率，调节直播画面音量大小，支持直播列表的查看、直播列表展示等。</w:t>
            </w:r>
          </w:p>
          <w:p w14:paraId="08FB6F5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20.系统同时支持≥5路RTMP推流直播，推送的直播流可选择不同视频源，可同时开启同品牌平台直播和第三方平台推流直播。</w:t>
            </w:r>
          </w:p>
          <w:p w14:paraId="61E21838">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▲21.系统支持对接无人机、手机等移动设备视频流，无视频传输距离限制；移动设备的视频画面支持与本地摄像机、电脑画面进行导播切换、录制等功能。</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4883484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▲22.内置微课制作功能，支持前景、人像、背景≥3层场景叠加，叠加的场景支持PPT、视频、图片、虚拟抠像后的人像等类型。支持虚拟抠像后合成的画面实现和远端进行音视频互动。</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1680C2D3">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不依赖网络、外置设备即可实现行为分析、实时字幕的语音转写和热词提取。系统内置行为分析系统，至少支持对教室人数、举手、站立、背身、趴下、低头、扭头人数的实时统计，并实时汇总学生的参与度、活跃度和抬头率。</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71016025">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24.行为分析可选择是否进行举手、趴桌、站立等行为数据展示，可选择学生全景相机位置，语音识别需支持区分角色，自动生成行为分析报告，报告可自动下载至本地文件夹中。</w:t>
            </w:r>
          </w:p>
          <w:p w14:paraId="23F3470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内置互动系统，支持标准SIP和H.323互动协议，支持互动列表，列表中可以显示所有与会者的信息；支持互动画面布局的显示，布局支持单分屏、双分屏、三分屏、四分屏显示。互动界面支持双流、一键静音、全屏、导播设置等功能。</w:t>
            </w:r>
          </w:p>
          <w:p w14:paraId="4DE4030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26.进入互动系统时可支持查看永久课历史记录，可输入房间号快速加入远程互动，并显示对应的课程信息，包括时长、主讲人、房间名称、房间号、丢包率、网络延时等。</w:t>
            </w:r>
          </w:p>
          <w:p w14:paraId="2D0D2EB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27.创建房间时支持对主题、主讲人、开始日期、开始时间和结束时间、验证方式的设置，其中验证方式支持公开和加密的选择。</w:t>
            </w:r>
          </w:p>
          <w:p w14:paraId="57CF2DB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28.要求支持对每个互动房间自动分配短号，可以通过短号直接实现多个设备间的互动，支持房间加密。</w:t>
            </w:r>
          </w:p>
          <w:p w14:paraId="0AD15F57">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 授课预监：授课过程中，系统将实时显示授课教室和参与互动的听课教室画面，用户可实时查看授课教室的拍摄效果，以及互动教室的听课状态。</w:t>
            </w:r>
          </w:p>
          <w:p w14:paraId="0BB1CF21">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▲30.支持对设备进行网络检测，可实时检测服务器连通性、网络稳定性、上行下行速度、网络追踪性、网卡信息。</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p w14:paraId="72D617A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31.系统支持查看软件版本、设备型号、硬件版本、设备编号，支持中英文版本切换，支持本地硬盘格式化，系统可选择在线更新或本地更新，导出调试日志，具有一键恢复出厂设置。</w:t>
            </w:r>
          </w:p>
          <w:p w14:paraId="736AF0B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32.人脸检测识别功能：可对监视画面中出现的人脸进行检测。在监视或录像状态下，监视画面无明显缺损，物体移动时画面边缘无明显锯齿、拉毛现象。</w:t>
            </w:r>
          </w:p>
          <w:p w14:paraId="6BF9A31B">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33.内置领先的图像识别和跟踪算法，无需任何辅助定位摄像机或跟踪主机即可实现平滑自然的跟踪效果。通过导播跟踪系统，支持所有画面的自动导播切换。</w:t>
            </w:r>
          </w:p>
          <w:p w14:paraId="10E6E86E">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▲34.系统具备图像识别功能，高清摄像机支持同时输出≥2路场景画面并分析计算；全景特写双镜头采用同系列图像传感器和图像处理器，确保两者图像输出的亮度、颜色、风格等保持一致。</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b w:val="0"/>
                <w:bCs w:val="0"/>
                <w:color w:val="auto"/>
                <w:kern w:val="0"/>
                <w:sz w:val="21"/>
                <w:szCs w:val="21"/>
                <w:highlight w:val="none"/>
                <w:lang w:val="en-US" w:eastAsia="zh-CN" w:bidi="ar-SA"/>
              </w:rPr>
              <w:t>。</w:t>
            </w:r>
          </w:p>
          <w:p w14:paraId="2C761387">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35.具有AI设置，支持跟踪画框启用/禁用；学生起立发言时，首先切换为学生全景，再过渡为发言学生的特写画面，当多名学生站立时，自动切换到学生全景。</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3BD82B3">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600000.00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3C851340">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软件和信息技术服务业</w:t>
            </w:r>
          </w:p>
        </w:tc>
      </w:tr>
      <w:tr w14:paraId="5D3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4A85D9AB">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3DE0019">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一秒寻线六类非屏蔽跳线</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753D4B1D">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A1B7702">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条</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AEE964D">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1.线规26AWG/7*0.2实心无氧铜多股线</w:t>
            </w:r>
          </w:p>
          <w:p w14:paraId="252D186F">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2.护套：RJ45水晶头与线缆之间采用软尾机压注塑成型结构，保证线缆和水晶头之间的稳定连接，防滑抗拉，牢固性强，且保证了一定的弯曲半径。</w:t>
            </w:r>
          </w:p>
          <w:p w14:paraId="1EA07415">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3.水晶头：压接簧片采用三叉50μ镀金，有效提高抗氧化能力，确保插拔1200次以上仍有优异的接触性能。</w:t>
            </w:r>
          </w:p>
          <w:p w14:paraId="42F6C1F5">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4.标准：传输性能参数满足ISO/IEC 11801 E类和TIA/EIA 568.2-D六类 的单体跳线标准；支持1G Base-T, 622M ATM 等高带宽应用</w:t>
            </w:r>
          </w:p>
          <w:p w14:paraId="39781E6E">
            <w:pPr>
              <w:keepNext w:val="0"/>
              <w:keepLines w:val="0"/>
              <w:pageBreakBefore w:val="0"/>
              <w:numPr>
                <w:ilvl w:val="0"/>
                <w:numId w:val="0"/>
              </w:numPr>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▲5.线缆结构在原来的基础上增加了导光光纤，在两端接头处留有光源输入口，无需拔插可通过任意的可见光照明装置快速定位线缆两端的关系</w:t>
            </w:r>
            <w:r>
              <w:rPr>
                <w:rFonts w:hint="eastAsia" w:ascii="宋体" w:hAnsi="宋体" w:eastAsia="宋体" w:cs="宋体"/>
                <w:b/>
                <w:bCs/>
                <w:color w:val="auto"/>
                <w:kern w:val="0"/>
                <w:sz w:val="21"/>
                <w:szCs w:val="21"/>
                <w:highlight w:val="none"/>
                <w:lang w:val="en-US" w:eastAsia="zh-CN" w:bidi="ar-SA"/>
              </w:rPr>
              <w:t>(成交供应商在签订合同时，须提供完整有效的第三方检测报告原件供采购人核验备查)</w:t>
            </w:r>
            <w:r>
              <w:rPr>
                <w:rFonts w:hint="eastAsia" w:ascii="宋体" w:hAnsi="宋体" w:eastAsia="宋体" w:cs="宋体"/>
                <w:color w:val="auto"/>
                <w:kern w:val="0"/>
                <w:sz w:val="21"/>
                <w:szCs w:val="21"/>
                <w:highlight w:val="none"/>
                <w:lang w:val="en-US" w:eastAsia="zh-CN" w:bidi="ar-SA"/>
              </w:rPr>
              <w:t>。</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5C5D416">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1250.00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08A26386">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工业</w:t>
            </w:r>
          </w:p>
        </w:tc>
      </w:tr>
      <w:tr w14:paraId="00CB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99B3BFA">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9C38701">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千兆交换机</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176E87CA">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B415741">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2EC8DED">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4个10/100/1000Mbps自适应电口+2个10/100/1000Mbps自适应上联电口，其中4个口支持PoE/PoE+供电，最大PoE功率60W，交换机容量12Gbps，包转发率9Mpps，非网管型交换机，桌面式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F7B02C0">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18750.00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3C8700DF">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工业</w:t>
            </w:r>
          </w:p>
        </w:tc>
      </w:tr>
      <w:tr w14:paraId="4120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AFF4EC7">
            <w:pPr>
              <w:keepNext w:val="0"/>
              <w:keepLines w:val="0"/>
              <w:pageBreakBefore w:val="0"/>
              <w:widowControl/>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51658E7B">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系统集成及安装辅材配件</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14:paraId="5809BAC4">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75</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7C5D858">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项</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EFA8518">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75间教室安装</w:t>
            </w:r>
          </w:p>
          <w:p w14:paraId="17E9D016">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1.设备安装、调试和培训；</w:t>
            </w:r>
          </w:p>
          <w:p w14:paraId="3D988010">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2.综合布线，</w:t>
            </w:r>
          </w:p>
          <w:p w14:paraId="0116DDB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3.施工资料整理交付;</w:t>
            </w:r>
          </w:p>
          <w:p w14:paraId="118E9702">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4.安装所需的辅材配件，如：网线、水晶头、波纹管、扎带‌、‌胶布、PVC线槽、线缆标识、音频线、视频信号线、视频分配器、电源线、电源插头及排插等。</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8B9958A">
            <w:pPr>
              <w:keepNext w:val="0"/>
              <w:keepLines w:val="0"/>
              <w:widowControl/>
              <w:suppressLineNumbers w:val="0"/>
              <w:shd w:val="clear"/>
              <w:wordWrap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56250.00</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0112EB69">
            <w:pPr>
              <w:keepNext w:val="0"/>
              <w:keepLines w:val="0"/>
              <w:widowControl/>
              <w:suppressLineNumbers w:val="0"/>
              <w:shd w:val="clear"/>
              <w:wordWrap w:val="0"/>
              <w:spacing w:line="36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w:t>
            </w:r>
          </w:p>
        </w:tc>
      </w:tr>
      <w:tr w14:paraId="754C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7" w:type="dxa"/>
            <w:gridSpan w:val="8"/>
            <w:tcBorders>
              <w:top w:val="single" w:color="auto" w:sz="4" w:space="0"/>
              <w:left w:val="single" w:color="auto" w:sz="4" w:space="0"/>
              <w:bottom w:val="single" w:color="auto" w:sz="4" w:space="0"/>
              <w:right w:val="single" w:color="auto" w:sz="4" w:space="0"/>
            </w:tcBorders>
            <w:noWrap w:val="0"/>
            <w:vAlign w:val="center"/>
          </w:tcPr>
          <w:p w14:paraId="25BDDB9C">
            <w:pPr>
              <w:keepNext w:val="0"/>
              <w:keepLines w:val="0"/>
              <w:pageBreakBefore w:val="0"/>
              <w:shd w:val="clear"/>
              <w:kinsoku/>
              <w:wordWrap w:val="0"/>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、商务要求</w:t>
            </w:r>
          </w:p>
        </w:tc>
      </w:tr>
      <w:tr w14:paraId="113E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4E164A06">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6C66B16B">
            <w:pPr>
              <w:keepNext w:val="0"/>
              <w:keepLines w:val="0"/>
              <w:pageBreakBefore w:val="0"/>
              <w:shd w:val="clear"/>
              <w:kinsoku/>
              <w:wordWrap w:val="0"/>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 xml:space="preserve">通知书发出之日起 </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个日历日内。</w:t>
            </w:r>
          </w:p>
        </w:tc>
      </w:tr>
      <w:tr w14:paraId="722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2062D303">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交付时间、交付地点</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0F95BB70">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pacing w:val="-2"/>
                <w:szCs w:val="21"/>
                <w:highlight w:val="none"/>
              </w:rPr>
            </w:pPr>
            <w:r>
              <w:rPr>
                <w:rFonts w:ascii="宋体" w:hAnsi="宋体" w:eastAsia="宋体" w:cs="宋体"/>
                <w:color w:val="auto"/>
                <w:spacing w:val="-2"/>
                <w:szCs w:val="21"/>
                <w:highlight w:val="none"/>
              </w:rPr>
              <w:t>1.交</w:t>
            </w:r>
            <w:r>
              <w:rPr>
                <w:rFonts w:hint="eastAsia" w:ascii="宋体" w:hAnsi="宋体" w:eastAsia="宋体" w:cs="宋体"/>
                <w:color w:val="auto"/>
                <w:spacing w:val="-2"/>
                <w:szCs w:val="21"/>
                <w:highlight w:val="none"/>
              </w:rPr>
              <w:t>付</w:t>
            </w:r>
            <w:r>
              <w:rPr>
                <w:rFonts w:ascii="宋体" w:hAnsi="宋体" w:eastAsia="宋体" w:cs="宋体"/>
                <w:color w:val="auto"/>
                <w:spacing w:val="-2"/>
                <w:szCs w:val="21"/>
                <w:highlight w:val="none"/>
              </w:rPr>
              <w:t>时间：自签订合同之日起</w:t>
            </w:r>
            <w:r>
              <w:rPr>
                <w:rFonts w:ascii="宋体" w:hAnsi="宋体" w:eastAsia="宋体" w:cs="宋体"/>
                <w:b/>
                <w:color w:val="auto"/>
                <w:spacing w:val="-2"/>
                <w:szCs w:val="21"/>
                <w:highlight w:val="none"/>
                <w:u w:val="single"/>
              </w:rPr>
              <w:t xml:space="preserve">  </w:t>
            </w:r>
            <w:r>
              <w:rPr>
                <w:rFonts w:hint="eastAsia" w:ascii="宋体" w:hAnsi="宋体" w:eastAsia="宋体" w:cs="宋体"/>
                <w:b/>
                <w:color w:val="auto"/>
                <w:spacing w:val="-2"/>
                <w:szCs w:val="21"/>
                <w:highlight w:val="none"/>
                <w:u w:val="single"/>
              </w:rPr>
              <w:t>30</w:t>
            </w:r>
            <w:r>
              <w:rPr>
                <w:rFonts w:ascii="宋体" w:hAnsi="宋体" w:eastAsia="宋体" w:cs="宋体"/>
                <w:b/>
                <w:color w:val="auto"/>
                <w:spacing w:val="-2"/>
                <w:szCs w:val="21"/>
                <w:highlight w:val="none"/>
                <w:u w:val="single"/>
              </w:rPr>
              <w:t xml:space="preserve">  </w:t>
            </w:r>
            <w:r>
              <w:rPr>
                <w:rFonts w:hint="eastAsia" w:ascii="宋体" w:hAnsi="宋体" w:eastAsia="宋体" w:cs="宋体"/>
                <w:b/>
                <w:color w:val="auto"/>
                <w:spacing w:val="-2"/>
                <w:szCs w:val="21"/>
                <w:highlight w:val="none"/>
              </w:rPr>
              <w:t>工作日</w:t>
            </w:r>
            <w:r>
              <w:rPr>
                <w:rFonts w:hint="eastAsia" w:ascii="宋体" w:hAnsi="宋体" w:eastAsia="宋体" w:cs="宋体"/>
                <w:color w:val="auto"/>
                <w:spacing w:val="-2"/>
                <w:szCs w:val="21"/>
                <w:highlight w:val="none"/>
              </w:rPr>
              <w:t>内全部交付完成，交付完成15日历日内验收合格。</w:t>
            </w:r>
          </w:p>
          <w:p w14:paraId="256B1C56">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Cs w:val="21"/>
                <w:highlight w:val="none"/>
              </w:rPr>
              <w:t>2.交付地点：采购人指定地点。</w:t>
            </w:r>
          </w:p>
        </w:tc>
      </w:tr>
      <w:tr w14:paraId="6744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44F02284">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报价要求</w:t>
            </w:r>
          </w:p>
        </w:tc>
        <w:tc>
          <w:tcPr>
            <w:tcW w:w="8255" w:type="dxa"/>
            <w:gridSpan w:val="5"/>
            <w:tcBorders>
              <w:top w:val="single" w:color="auto" w:sz="4" w:space="0"/>
              <w:left w:val="single" w:color="auto" w:sz="4" w:space="0"/>
              <w:bottom w:val="single" w:color="auto" w:sz="4" w:space="0"/>
              <w:right w:val="single" w:color="auto" w:sz="4" w:space="0"/>
            </w:tcBorders>
            <w:noWrap w:val="0"/>
            <w:vAlign w:val="top"/>
          </w:tcPr>
          <w:p w14:paraId="1C7605B5">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1.报价须为人民币报价，</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报价为总包干价，至项目验收合格交付使用前所发生的所有费用均由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 xml:space="preserve">负责。 </w:t>
            </w:r>
          </w:p>
          <w:p w14:paraId="727A065C">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2.报价为采购人指定地点的现场交付价格，包括但不限于：</w:t>
            </w:r>
          </w:p>
          <w:p w14:paraId="2566A893">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1）采购内容中所有货物和服务的价格；</w:t>
            </w:r>
          </w:p>
          <w:p w14:paraId="030E461F">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48FE58EA">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3）运输、装卸、安装（含安装材料）、调试、培训、技术支持、售后服务的费用，质保期内免费维修、养护、软件升级等费用；</w:t>
            </w:r>
          </w:p>
          <w:p w14:paraId="56694D51">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4）必要的保险、检测费用和各项税费等。</w:t>
            </w:r>
          </w:p>
        </w:tc>
      </w:tr>
      <w:tr w14:paraId="67B3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29519D46">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366DC239">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无预付款。</w:t>
            </w:r>
            <w:r>
              <w:rPr>
                <w:rFonts w:hint="eastAsia" w:ascii="宋体" w:hAnsi="宋体" w:eastAsia="宋体" w:cs="宋体"/>
                <w:color w:val="auto"/>
                <w:szCs w:val="21"/>
                <w:highlight w:val="none"/>
              </w:rPr>
              <w:t>货物交付完毕</w:t>
            </w:r>
            <w:r>
              <w:rPr>
                <w:rFonts w:hint="eastAsia" w:ascii="宋体" w:hAnsi="宋体" w:eastAsia="宋体" w:cs="宋体"/>
                <w:color w:val="auto"/>
                <w:szCs w:val="21"/>
                <w:highlight w:val="none"/>
                <w:lang w:val="en-US" w:eastAsia="zh-CN"/>
              </w:rPr>
              <w:t>且</w:t>
            </w:r>
            <w:r>
              <w:rPr>
                <w:rFonts w:hint="eastAsia" w:ascii="宋体" w:hAnsi="宋体" w:eastAsia="宋体" w:cs="宋体"/>
                <w:color w:val="auto"/>
                <w:szCs w:val="21"/>
                <w:highlight w:val="none"/>
              </w:rPr>
              <w:t>安装完毕并验收合格后，</w:t>
            </w:r>
            <w:r>
              <w:rPr>
                <w:rFonts w:hint="eastAsia" w:ascii="宋体" w:hAnsi="宋体" w:eastAsia="宋体" w:cs="宋体"/>
                <w:color w:val="auto"/>
                <w:szCs w:val="21"/>
                <w:highlight w:val="none"/>
                <w:lang w:eastAsia="zh-CN"/>
              </w:rPr>
              <w:t>采购人向供应商一次性</w:t>
            </w:r>
            <w:r>
              <w:rPr>
                <w:rFonts w:hint="eastAsia" w:ascii="宋体" w:hAnsi="宋体" w:eastAsia="宋体" w:cs="宋体"/>
                <w:color w:val="auto"/>
                <w:szCs w:val="21"/>
                <w:highlight w:val="none"/>
                <w:lang w:val="en-US" w:eastAsia="zh-CN"/>
              </w:rPr>
              <w:t>全额支付</w:t>
            </w:r>
            <w:r>
              <w:rPr>
                <w:rFonts w:hint="eastAsia" w:ascii="宋体" w:hAnsi="宋体" w:eastAsia="宋体" w:cs="宋体"/>
                <w:color w:val="auto"/>
                <w:szCs w:val="21"/>
                <w:highlight w:val="none"/>
              </w:rPr>
              <w:t>合同款。</w:t>
            </w:r>
            <w:r>
              <w:rPr>
                <w:rFonts w:hint="eastAsia"/>
                <w:color w:val="auto"/>
              </w:rPr>
              <w:t>成交供应商</w:t>
            </w:r>
            <w:r>
              <w:rPr>
                <w:rFonts w:hint="eastAsia" w:ascii="Times New Roman" w:eastAsia="宋体"/>
                <w:color w:val="auto"/>
                <w:lang w:val="en-US" w:eastAsia="zh-CN"/>
              </w:rPr>
              <w:t>须</w:t>
            </w:r>
            <w:r>
              <w:rPr>
                <w:rFonts w:hint="eastAsia"/>
                <w:color w:val="auto"/>
              </w:rPr>
              <w:t>开具</w:t>
            </w:r>
            <w:r>
              <w:rPr>
                <w:rFonts w:hint="eastAsia"/>
                <w:color w:val="auto"/>
                <w:lang w:eastAsia="zh-CN"/>
              </w:rPr>
              <w:t>等额有效的</w:t>
            </w:r>
            <w:r>
              <w:rPr>
                <w:rFonts w:hint="eastAsia"/>
                <w:color w:val="auto"/>
              </w:rPr>
              <w:t>的正式发票给采购人。</w:t>
            </w:r>
          </w:p>
        </w:tc>
      </w:tr>
      <w:tr w14:paraId="4DC8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59CC6CEF">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质保期</w:t>
            </w:r>
          </w:p>
        </w:tc>
        <w:tc>
          <w:tcPr>
            <w:tcW w:w="8255" w:type="dxa"/>
            <w:gridSpan w:val="5"/>
            <w:tcBorders>
              <w:top w:val="single" w:color="auto" w:sz="4" w:space="0"/>
              <w:left w:val="single" w:color="auto" w:sz="4" w:space="0"/>
              <w:bottom w:val="single" w:color="auto" w:sz="4" w:space="0"/>
              <w:right w:val="single" w:color="auto" w:sz="4" w:space="0"/>
            </w:tcBorders>
            <w:noWrap w:val="0"/>
            <w:vAlign w:val="top"/>
          </w:tcPr>
          <w:p w14:paraId="6FF91D48">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ascii="宋体" w:hAnsi="宋体" w:eastAsia="宋体" w:cs="宋体"/>
                <w:color w:val="auto"/>
                <w:szCs w:val="21"/>
                <w:highlight w:val="none"/>
              </w:rPr>
              <w:t>1.</w:t>
            </w:r>
            <w:r>
              <w:rPr>
                <w:rFonts w:hint="eastAsia" w:ascii="宋体" w:hAnsi="宋体" w:eastAsia="宋体" w:cs="宋体"/>
                <w:color w:val="auto"/>
                <w:szCs w:val="21"/>
                <w:highlight w:val="none"/>
              </w:rPr>
              <w:t>所有货物服务</w:t>
            </w:r>
            <w:r>
              <w:rPr>
                <w:rFonts w:ascii="宋体" w:hAnsi="宋体" w:eastAsia="宋体" w:cs="宋体"/>
                <w:color w:val="auto"/>
                <w:szCs w:val="21"/>
                <w:highlight w:val="none"/>
              </w:rPr>
              <w:t>按国家 “三包”有关规定执行“三包”，自交货验收合格之日起所有硬件设备、配件提供</w:t>
            </w:r>
            <w:r>
              <w:rPr>
                <w:rFonts w:hint="eastAsia" w:ascii="宋体" w:hAnsi="宋体" w:eastAsia="宋体" w:cs="宋体"/>
                <w:b/>
                <w:color w:val="auto"/>
                <w:szCs w:val="21"/>
                <w:highlight w:val="none"/>
                <w:lang w:val="en-US" w:eastAsia="zh-CN"/>
              </w:rPr>
              <w:t>1</w:t>
            </w:r>
            <w:r>
              <w:rPr>
                <w:rFonts w:ascii="宋体" w:hAnsi="宋体" w:eastAsia="宋体" w:cs="宋体"/>
                <w:b/>
                <w:color w:val="auto"/>
                <w:szCs w:val="21"/>
                <w:highlight w:val="none"/>
              </w:rPr>
              <w:t>年</w:t>
            </w:r>
            <w:r>
              <w:rPr>
                <w:rFonts w:ascii="宋体" w:hAnsi="宋体" w:eastAsia="宋体" w:cs="宋体"/>
                <w:color w:val="auto"/>
                <w:szCs w:val="21"/>
                <w:highlight w:val="none"/>
              </w:rPr>
              <w:t>的免费质保服务（货物要求中有特别注明的，按特别注明的执行）。若产品生产厂家质保期超过此年限的，合同履行过程中按厂家规定执行；若</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质保期承诺优于产品生产厂家质保</w:t>
            </w:r>
            <w:r>
              <w:rPr>
                <w:rFonts w:hint="eastAsia" w:ascii="宋体" w:hAnsi="宋体" w:eastAsia="宋体" w:cs="宋体"/>
                <w:color w:val="auto"/>
                <w:szCs w:val="21"/>
                <w:highlight w:val="none"/>
              </w:rPr>
              <w:t>期限</w:t>
            </w:r>
            <w:r>
              <w:rPr>
                <w:rFonts w:ascii="宋体" w:hAnsi="宋体" w:eastAsia="宋体" w:cs="宋体"/>
                <w:color w:val="auto"/>
                <w:szCs w:val="21"/>
                <w:highlight w:val="none"/>
              </w:rPr>
              <w:t>的，以</w:t>
            </w:r>
            <w:r>
              <w:rPr>
                <w:rFonts w:hint="eastAsia" w:ascii="宋体" w:hAnsi="宋体" w:eastAsia="宋体" w:cs="宋体"/>
                <w:color w:val="auto"/>
                <w:szCs w:val="21"/>
                <w:highlight w:val="none"/>
                <w:lang w:eastAsia="zh-CN"/>
              </w:rPr>
              <w:t>供应商</w:t>
            </w:r>
            <w:r>
              <w:rPr>
                <w:rFonts w:ascii="宋体" w:hAnsi="宋体" w:eastAsia="宋体" w:cs="宋体"/>
                <w:color w:val="auto"/>
                <w:szCs w:val="21"/>
                <w:highlight w:val="none"/>
              </w:rPr>
              <w:t>承诺执行。</w:t>
            </w:r>
          </w:p>
          <w:p w14:paraId="5E9755B3">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ascii="宋体" w:hAnsi="宋体" w:eastAsia="宋体" w:cs="宋体"/>
                <w:color w:val="auto"/>
                <w:szCs w:val="21"/>
                <w:highlight w:val="none"/>
              </w:rPr>
              <w:t>2.自通过验收即日起质保期内所有由于质量问题导致的软、硬件产品故障以免费保修</w:t>
            </w:r>
            <w:r>
              <w:rPr>
                <w:rFonts w:hint="eastAsia" w:ascii="宋体" w:hAnsi="宋体" w:eastAsia="宋体" w:cs="宋体"/>
                <w:color w:val="auto"/>
                <w:szCs w:val="21"/>
                <w:highlight w:val="none"/>
                <w:lang w:eastAsia="zh-CN"/>
              </w:rPr>
              <w:t>、</w:t>
            </w:r>
            <w:r>
              <w:rPr>
                <w:rFonts w:ascii="宋体" w:hAnsi="宋体" w:eastAsia="宋体" w:cs="宋体"/>
                <w:color w:val="auto"/>
                <w:szCs w:val="21"/>
                <w:highlight w:val="none"/>
              </w:rPr>
              <w:t>免费人工及免费更换备件标准上门服务，并提供终身维护。</w:t>
            </w:r>
          </w:p>
          <w:p w14:paraId="32A48B16">
            <w:pPr>
              <w:keepNext w:val="0"/>
              <w:keepLines w:val="0"/>
              <w:pageBreakBefore w:val="0"/>
              <w:shd w:val="clear"/>
              <w:kinsoku/>
              <w:wordWrap w:val="0"/>
              <w:overflowPunct/>
              <w:topLinePunct w:val="0"/>
              <w:autoSpaceDE/>
              <w:autoSpaceDN/>
              <w:bidi w:val="0"/>
              <w:adjustRightInd/>
              <w:spacing w:line="312" w:lineRule="auto"/>
              <w:textAlignment w:val="auto"/>
              <w:rPr>
                <w:rFonts w:hint="eastAsia" w:ascii="宋体" w:hAnsi="宋体" w:eastAsia="宋体" w:cs="宋体"/>
                <w:color w:val="auto"/>
                <w:sz w:val="21"/>
                <w:szCs w:val="21"/>
                <w:highlight w:val="none"/>
                <w:lang w:val="en-US" w:eastAsia="zh-CN"/>
              </w:rPr>
            </w:pPr>
            <w:r>
              <w:rPr>
                <w:rFonts w:ascii="宋体" w:hAnsi="宋体" w:eastAsia="宋体" w:cs="宋体"/>
                <w:color w:val="auto"/>
                <w:szCs w:val="21"/>
                <w:highlight w:val="none"/>
              </w:rPr>
              <w:t>3.质保期内免费维修、更换配件。质保期第一年内出现非人为操作失误引发的重大故障，应予免费换货。</w:t>
            </w:r>
            <w:r>
              <w:rPr>
                <w:rFonts w:hint="eastAsia" w:ascii="宋体" w:hAnsi="宋体" w:eastAsia="宋体" w:cs="宋体"/>
                <w:b/>
                <w:color w:val="auto"/>
                <w:szCs w:val="21"/>
                <w:highlight w:val="none"/>
              </w:rPr>
              <w:t>质保</w:t>
            </w:r>
            <w:r>
              <w:rPr>
                <w:rFonts w:ascii="宋体" w:hAnsi="宋体" w:eastAsia="宋体" w:cs="宋体"/>
                <w:b/>
                <w:color w:val="auto"/>
                <w:szCs w:val="21"/>
                <w:highlight w:val="none"/>
              </w:rPr>
              <w:t>期满前1个月内</w:t>
            </w:r>
            <w:r>
              <w:rPr>
                <w:rFonts w:hint="eastAsia" w:ascii="宋体" w:hAnsi="宋体" w:eastAsia="宋体" w:cs="宋体"/>
                <w:b/>
                <w:color w:val="auto"/>
                <w:szCs w:val="21"/>
                <w:highlight w:val="none"/>
                <w:lang w:eastAsia="zh-CN"/>
              </w:rPr>
              <w:t>成交供应商</w:t>
            </w:r>
            <w:r>
              <w:rPr>
                <w:rFonts w:ascii="宋体" w:hAnsi="宋体" w:eastAsia="宋体" w:cs="宋体"/>
                <w:b/>
                <w:color w:val="auto"/>
                <w:szCs w:val="21"/>
                <w:highlight w:val="none"/>
              </w:rPr>
              <w:t>应负责不少于</w:t>
            </w:r>
            <w:r>
              <w:rPr>
                <w:rFonts w:hint="eastAsia" w:ascii="宋体" w:hAnsi="宋体" w:eastAsia="宋体" w:cs="宋体"/>
                <w:b/>
                <w:color w:val="auto"/>
                <w:szCs w:val="21"/>
                <w:highlight w:val="none"/>
              </w:rPr>
              <w:t>1</w:t>
            </w:r>
            <w:r>
              <w:rPr>
                <w:rFonts w:ascii="宋体" w:hAnsi="宋体" w:eastAsia="宋体" w:cs="宋体"/>
                <w:b/>
                <w:color w:val="auto"/>
                <w:szCs w:val="21"/>
                <w:highlight w:val="none"/>
              </w:rPr>
              <w:t>次免费全面检查，并对发现的问题免费整改好；</w:t>
            </w:r>
            <w:r>
              <w:rPr>
                <w:rFonts w:ascii="宋体" w:hAnsi="宋体" w:eastAsia="宋体" w:cs="宋体"/>
                <w:color w:val="auto"/>
                <w:szCs w:val="21"/>
                <w:highlight w:val="none"/>
              </w:rPr>
              <w:t>质保期满后，以不高于市场同类同期的价格优惠提供维修服务和备件更换，所更换备件须提供原厂</w:t>
            </w:r>
            <w:r>
              <w:rPr>
                <w:rFonts w:hint="eastAsia" w:ascii="宋体" w:hAnsi="宋体" w:eastAsia="宋体" w:cs="宋体"/>
                <w:color w:val="auto"/>
                <w:szCs w:val="21"/>
                <w:highlight w:val="none"/>
              </w:rPr>
              <w:t>备件</w:t>
            </w:r>
            <w:r>
              <w:rPr>
                <w:rFonts w:ascii="宋体" w:hAnsi="宋体" w:eastAsia="宋体" w:cs="宋体"/>
                <w:color w:val="auto"/>
                <w:szCs w:val="21"/>
                <w:highlight w:val="none"/>
              </w:rPr>
              <w:t>。</w:t>
            </w:r>
          </w:p>
        </w:tc>
      </w:tr>
      <w:tr w14:paraId="22D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74F6782C">
            <w:pPr>
              <w:keepNext w:val="0"/>
              <w:keepLines w:val="0"/>
              <w:pageBreakBefore w:val="0"/>
              <w:shd w:val="clear"/>
              <w:tabs>
                <w:tab w:val="left" w:pos="4214"/>
              </w:tabs>
              <w:kinsoku/>
              <w:wordWrap w:val="0"/>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产品及</w:t>
            </w:r>
            <w:r>
              <w:rPr>
                <w:rFonts w:hint="eastAsia" w:ascii="宋体" w:hAnsi="宋体" w:eastAsia="宋体" w:cs="宋体"/>
                <w:color w:val="auto"/>
                <w:sz w:val="21"/>
                <w:szCs w:val="21"/>
                <w:highlight w:val="none"/>
              </w:rPr>
              <w:t>售后服务要求</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2CDDCB79">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交付的所有设备必须是签订合同之日</w:t>
            </w:r>
            <w:r>
              <w:rPr>
                <w:rFonts w:hint="eastAsia" w:ascii="宋体" w:hAnsi="宋体" w:eastAsia="宋体" w:cs="宋体"/>
                <w:b/>
                <w:color w:val="auto"/>
                <w:szCs w:val="21"/>
                <w:highlight w:val="none"/>
              </w:rPr>
              <w:t>前</w:t>
            </w:r>
            <w:r>
              <w:rPr>
                <w:rFonts w:hint="eastAsia" w:ascii="宋体" w:hAnsi="宋体" w:eastAsia="宋体" w:cs="宋体"/>
                <w:b/>
                <w:color w:val="auto"/>
                <w:szCs w:val="21"/>
                <w:highlight w:val="none"/>
                <w:u w:val="single"/>
              </w:rPr>
              <w:t xml:space="preserve">  1  </w:t>
            </w:r>
            <w:r>
              <w:rPr>
                <w:rFonts w:hint="eastAsia" w:ascii="宋体" w:hAnsi="宋体" w:eastAsia="宋体" w:cs="宋体"/>
                <w:b/>
                <w:color w:val="auto"/>
                <w:szCs w:val="21"/>
                <w:highlight w:val="none"/>
              </w:rPr>
              <w:t>年</w:t>
            </w:r>
            <w:r>
              <w:rPr>
                <w:rFonts w:hint="eastAsia" w:ascii="宋体" w:hAnsi="宋体" w:eastAsia="宋体" w:cs="宋体"/>
                <w:color w:val="auto"/>
                <w:szCs w:val="21"/>
                <w:highlight w:val="none"/>
              </w:rPr>
              <w:t>内生产的产品。</w:t>
            </w:r>
          </w:p>
          <w:p w14:paraId="24B83364">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2.送货至采购人指定地点，协助进行安装场地设计，完成安装和调试。所有安装应符合国家、行业相关标准及规范。</w:t>
            </w:r>
            <w:r>
              <w:rPr>
                <w:rFonts w:hint="eastAsia" w:ascii="宋体" w:hAnsi="宋体" w:eastAsia="宋体" w:cs="宋体"/>
                <w:b/>
                <w:color w:val="auto"/>
                <w:szCs w:val="21"/>
                <w:highlight w:val="none"/>
              </w:rPr>
              <w:t>（所有货物仅接受现场交付，不接受邮递）</w:t>
            </w:r>
          </w:p>
          <w:p w14:paraId="05BA3B51">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为采购人提供产品操作、维修、日常养护等方面的培训，确保采购方使用人员能独立操作使用，培训人数、时间、地点等由采购人指定。</w:t>
            </w:r>
          </w:p>
          <w:p w14:paraId="1F26C54E">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4.在</w:t>
            </w:r>
            <w:r>
              <w:rPr>
                <w:rFonts w:hint="eastAsia" w:ascii="宋体" w:hAnsi="宋体" w:cs="宋体"/>
                <w:color w:val="auto"/>
                <w:szCs w:val="21"/>
                <w:highlight w:val="none"/>
              </w:rPr>
              <w:t>签订采购合同前，</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供应商须携带国家认可第三方检测机构出具的产品检测报告原件至采购人处核验备查，检测报告参数须完全匹配本项目采购技术要求。若无法提供原件、报告参数与采购需求不符或报告造假，采购人有权取消其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资格，没收投标保证金，并追究相关违约责任。</w:t>
            </w:r>
          </w:p>
          <w:p w14:paraId="6F318513">
            <w:pPr>
              <w:keepNext w:val="0"/>
              <w:keepLines w:val="0"/>
              <w:pageBreakBefore w:val="0"/>
              <w:widowControl/>
              <w:kinsoku/>
              <w:overflowPunct/>
              <w:topLinePunct w:val="0"/>
              <w:autoSpaceDE/>
              <w:autoSpaceDN/>
              <w:bidi w:val="0"/>
              <w:adjustRightInd/>
              <w:spacing w:line="312" w:lineRule="auto"/>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rPr>
              <w:t>本次新建所有设备须全面适配学校现有已部署的资源管理平台（文香V1.0）、督导巡课平台（文香V1.0）的接口规范与数据标准，实现与现有在用平台无缝对接、全链路兼容适配、数据同源、集中统一管控；项目实施过程中，无需增设额外第三方中转对接设备，不得擅自改动原有平台的整体架构、底层逻辑及系统配置，可直接联动同步组织架构、课表、录播资源、课堂直播流及设备状态数据，共用原有平台身份认证与权限体系，视频资源无需转码直接入库原有资源库，巡课画面实时纳入原有督导巡课平台统一调度管理，提供全套对接调试服务，确保系统整体兼容稳定、业务流程闭环运行。</w:t>
            </w:r>
            <w:r>
              <w:rPr>
                <w:rFonts w:hint="eastAsia" w:ascii="宋体" w:hAnsi="宋体" w:eastAsia="宋体" w:cs="宋体"/>
                <w:b w:val="0"/>
                <w:bCs/>
                <w:color w:val="auto"/>
                <w:kern w:val="0"/>
                <w:sz w:val="21"/>
                <w:szCs w:val="21"/>
                <w:highlight w:val="none"/>
                <w:lang w:val="en-US" w:eastAsia="zh-CN"/>
              </w:rPr>
              <w:t>若非适配现有平台同源体系产品，供应商须自行完成设备适配、SDK对接开发、协议调试、功能定制等全部接入工作，确保最终与采购人现有平台完全兼容、无缝对接、正常稳定使用。本项目所有涉及平台对接、协议适配、SDK开发、定制调试、功能适配、联调测试等全部相关费用，均包含在本次谈判总报价中，采购人不另行增加、支付任何费用。</w:t>
            </w:r>
          </w:p>
          <w:p w14:paraId="7F360F24">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.故障响应时间：在使用过程中出现质量问题，</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在接到采购人通知后</w:t>
            </w:r>
            <w:r>
              <w:rPr>
                <w:rFonts w:hint="eastAsia" w:ascii="宋体" w:hAnsi="宋体" w:eastAsia="宋体" w:cs="宋体"/>
                <w:color w:val="auto"/>
                <w:szCs w:val="21"/>
                <w:highlight w:val="none"/>
              </w:rPr>
              <w:t>1小时</w:t>
            </w:r>
            <w:r>
              <w:rPr>
                <w:rFonts w:ascii="宋体" w:hAnsi="宋体" w:eastAsia="宋体" w:cs="宋体"/>
                <w:color w:val="auto"/>
                <w:szCs w:val="21"/>
                <w:highlight w:val="none"/>
              </w:rPr>
              <w:t>作出响应，</w:t>
            </w:r>
            <w:r>
              <w:rPr>
                <w:rFonts w:hint="eastAsia" w:ascii="宋体" w:hAnsi="宋体" w:eastAsia="宋体" w:cs="宋体"/>
                <w:color w:val="auto"/>
                <w:szCs w:val="21"/>
                <w:highlight w:val="none"/>
              </w:rPr>
              <w:t>如需</w:t>
            </w:r>
            <w:r>
              <w:rPr>
                <w:rFonts w:ascii="宋体" w:hAnsi="宋体" w:eastAsia="宋体" w:cs="宋体"/>
                <w:color w:val="auto"/>
                <w:szCs w:val="21"/>
                <w:highlight w:val="none"/>
              </w:rPr>
              <w:t>到达现场解决的，</w:t>
            </w:r>
            <w:r>
              <w:rPr>
                <w:rFonts w:hint="eastAsia" w:ascii="宋体" w:hAnsi="宋体" w:eastAsia="宋体" w:cs="宋体"/>
                <w:color w:val="auto"/>
                <w:szCs w:val="21"/>
                <w:highlight w:val="none"/>
                <w:lang w:val="en-US" w:eastAsia="zh-CN"/>
              </w:rPr>
              <w:t>8</w:t>
            </w:r>
            <w:r>
              <w:rPr>
                <w:rFonts w:ascii="宋体" w:hAnsi="宋体" w:eastAsia="宋体" w:cs="宋体"/>
                <w:color w:val="auto"/>
                <w:szCs w:val="21"/>
                <w:highlight w:val="none"/>
              </w:rPr>
              <w:t>小时内到达现场进行解决。其中</w:t>
            </w:r>
            <w:r>
              <w:rPr>
                <w:rFonts w:hint="eastAsia" w:ascii="宋体" w:hAnsi="宋体" w:eastAsia="宋体" w:cs="宋体"/>
                <w:color w:val="auto"/>
                <w:szCs w:val="21"/>
                <w:highlight w:val="none"/>
              </w:rPr>
              <w:t>：</w:t>
            </w:r>
          </w:p>
          <w:p w14:paraId="4A099BE9">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1）紧急性问题，</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应设立专门的应急响应渠道，确保在</w:t>
            </w:r>
            <w:r>
              <w:rPr>
                <w:rFonts w:hint="eastAsia" w:ascii="宋体" w:hAnsi="宋体" w:eastAsia="宋体" w:cs="宋体"/>
                <w:color w:val="auto"/>
                <w:szCs w:val="21"/>
                <w:highlight w:val="none"/>
                <w:lang w:eastAsia="zh-CN"/>
              </w:rPr>
              <w:t>接到采购人</w:t>
            </w:r>
            <w:r>
              <w:rPr>
                <w:rFonts w:ascii="宋体" w:hAnsi="宋体" w:eastAsia="宋体" w:cs="宋体"/>
                <w:color w:val="auto"/>
                <w:szCs w:val="21"/>
                <w:highlight w:val="none"/>
              </w:rPr>
              <w:t>通知15分钟内需要作出响应，能远程指导解决的即刻指导处理，否则须在收到采购人通知的1小时内到达现场。</w:t>
            </w:r>
          </w:p>
          <w:p w14:paraId="178C2DC1">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2）一般性问题，如产品功能使用疑问、轻微质量问题等，</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应确保在收到通知1小时内做出响应。可以通过电话、在线客服等方式沟通，了解具体情况。</w:t>
            </w:r>
          </w:p>
          <w:p w14:paraId="73A73E40">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3）非紧急性问题，</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须在接到问题通知2小时内作出响应，</w:t>
            </w:r>
            <w:r>
              <w:rPr>
                <w:rFonts w:hint="eastAsia" w:ascii="宋体" w:hAnsi="宋体" w:eastAsia="宋体" w:cs="宋体"/>
                <w:color w:val="auto"/>
                <w:szCs w:val="21"/>
                <w:highlight w:val="none"/>
                <w:lang w:val="en-US" w:eastAsia="zh-CN"/>
              </w:rPr>
              <w:t>8</w:t>
            </w:r>
            <w:r>
              <w:rPr>
                <w:rFonts w:ascii="宋体" w:hAnsi="宋体" w:eastAsia="宋体" w:cs="宋体"/>
                <w:color w:val="auto"/>
                <w:szCs w:val="21"/>
                <w:highlight w:val="none"/>
              </w:rPr>
              <w:t>小时内到达现场进行解决。</w:t>
            </w:r>
          </w:p>
          <w:p w14:paraId="1C3ED8CB">
            <w:pPr>
              <w:keepNext w:val="0"/>
              <w:keepLines w:val="0"/>
              <w:pageBreakBefore w:val="0"/>
              <w:shd w:val="clear" w:color="auto" w:fill="auto"/>
              <w:kinsoku/>
              <w:overflowPunct/>
              <w:topLinePunct w:val="0"/>
              <w:autoSpaceDE/>
              <w:autoSpaceDN/>
              <w:bidi w:val="0"/>
              <w:adjustRightInd/>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ascii="宋体" w:hAnsi="宋体" w:eastAsia="宋体" w:cs="宋体"/>
                <w:color w:val="auto"/>
                <w:szCs w:val="21"/>
                <w:highlight w:val="none"/>
              </w:rPr>
              <w:t>.</w:t>
            </w:r>
            <w:r>
              <w:rPr>
                <w:rFonts w:hint="eastAsia" w:ascii="Calibri" w:hAnsi="Calibri" w:eastAsia="宋体" w:cs="Times New Roman"/>
                <w:color w:val="auto"/>
                <w:szCs w:val="21"/>
                <w:highlight w:val="none"/>
                <w:lang w:eastAsia="zh-CN"/>
              </w:rPr>
              <w:t>成交供应商</w:t>
            </w:r>
            <w:r>
              <w:rPr>
                <w:rFonts w:hint="eastAsia" w:ascii="宋体" w:hAnsi="宋体" w:eastAsia="宋体" w:cs="宋体"/>
                <w:color w:val="auto"/>
                <w:szCs w:val="21"/>
                <w:highlight w:val="none"/>
              </w:rPr>
              <w:t>须遵守校园出入规定，</w:t>
            </w:r>
            <w:r>
              <w:rPr>
                <w:rFonts w:ascii="宋体" w:hAnsi="宋体" w:eastAsia="宋体" w:cs="宋体"/>
                <w:color w:val="auto"/>
                <w:szCs w:val="21"/>
                <w:highlight w:val="none"/>
              </w:rPr>
              <w:t>项目供货及安装过程中产生的残留物或垃圾，需由</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自行清理至校外，否则可以扣减相关清理所发生的费用。</w:t>
            </w:r>
          </w:p>
          <w:p w14:paraId="1A951203">
            <w:pPr>
              <w:keepNext w:val="0"/>
              <w:keepLines w:val="0"/>
              <w:pageBreakBefore w:val="0"/>
              <w:shd w:val="clear" w:color="auto" w:fill="auto"/>
              <w:kinsoku/>
              <w:overflowPunct/>
              <w:topLinePunct w:val="0"/>
              <w:autoSpaceDE/>
              <w:autoSpaceDN/>
              <w:bidi w:val="0"/>
              <w:adjustRightInd/>
              <w:spacing w:line="312"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ascii="宋体" w:hAnsi="宋体" w:eastAsia="宋体" w:cs="宋体"/>
                <w:color w:val="auto"/>
                <w:szCs w:val="21"/>
                <w:highlight w:val="none"/>
              </w:rPr>
              <w:t>.因产品质量问题给采购人造成损失的，</w:t>
            </w:r>
            <w:r>
              <w:rPr>
                <w:rFonts w:hint="eastAsia" w:ascii="宋体" w:hAnsi="宋体" w:eastAsia="宋体" w:cs="宋体"/>
                <w:color w:val="auto"/>
                <w:szCs w:val="21"/>
                <w:highlight w:val="none"/>
                <w:lang w:eastAsia="zh-CN"/>
              </w:rPr>
              <w:t>成交供应商</w:t>
            </w:r>
            <w:r>
              <w:rPr>
                <w:rFonts w:ascii="宋体" w:hAnsi="宋体" w:eastAsia="宋体" w:cs="宋体"/>
                <w:color w:val="auto"/>
                <w:szCs w:val="21"/>
                <w:highlight w:val="none"/>
              </w:rPr>
              <w:t>须承担全部责任。</w:t>
            </w:r>
          </w:p>
          <w:p w14:paraId="7DC498FD">
            <w:pPr>
              <w:keepNext w:val="0"/>
              <w:keepLines w:val="0"/>
              <w:pageBreakBefore w:val="0"/>
              <w:shd w:val="clear"/>
              <w:tabs>
                <w:tab w:val="left" w:pos="4214"/>
              </w:tabs>
              <w:kinsoku/>
              <w:wordWrap w:val="0"/>
              <w:overflowPunct/>
              <w:topLinePunct w:val="0"/>
              <w:autoSpaceDE/>
              <w:autoSpaceDN/>
              <w:bidi w:val="0"/>
              <w:adjustRightInd/>
              <w:spacing w:line="312"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新宋体" w:hAnsi="Calibri" w:eastAsia="新宋体" w:cs="Times New Roman"/>
                <w:color w:val="auto"/>
                <w:szCs w:val="21"/>
                <w:lang w:val="en-US" w:eastAsia="zh-CN"/>
              </w:rPr>
              <w:t>其他要求：</w:t>
            </w:r>
            <w:r>
              <w:rPr>
                <w:rFonts w:hint="eastAsia" w:ascii="新宋体" w:hAnsi="Calibri" w:eastAsia="新宋体" w:cs="Times New Roman"/>
                <w:color w:val="auto"/>
                <w:szCs w:val="21"/>
                <w:lang w:eastAsia="zh-CN"/>
              </w:rPr>
              <w:t>竞标人竞标时</w:t>
            </w:r>
            <w:r>
              <w:rPr>
                <w:rFonts w:hint="eastAsia" w:ascii="新宋体" w:hAnsi="Calibri" w:eastAsia="新宋体" w:cs="Times New Roman"/>
                <w:color w:val="auto"/>
                <w:szCs w:val="21"/>
              </w:rPr>
              <w:t>请在</w:t>
            </w:r>
            <w:r>
              <w:rPr>
                <w:rFonts w:hint="eastAsia" w:ascii="新宋体" w:hAnsi="Calibri" w:eastAsia="新宋体" w:cs="Times New Roman"/>
                <w:color w:val="auto"/>
                <w:szCs w:val="21"/>
                <w:lang w:eastAsia="zh-CN"/>
              </w:rPr>
              <w:t>竞标</w:t>
            </w:r>
            <w:r>
              <w:rPr>
                <w:rFonts w:hint="eastAsia" w:ascii="新宋体" w:hAnsi="Calibri" w:eastAsia="新宋体" w:cs="Times New Roman"/>
                <w:color w:val="auto"/>
                <w:szCs w:val="21"/>
              </w:rPr>
              <w:t>文件中提供具体的</w:t>
            </w:r>
            <w:r>
              <w:rPr>
                <w:rFonts w:hint="eastAsia" w:ascii="宋体" w:hAnsi="宋体" w:eastAsia="宋体" w:cs="Times New Roman"/>
                <w:color w:val="auto"/>
                <w:szCs w:val="22"/>
                <w:highlight w:val="none"/>
              </w:rPr>
              <w:t>项目实施方案</w:t>
            </w:r>
            <w:r>
              <w:rPr>
                <w:rFonts w:hint="eastAsia" w:ascii="宋体" w:hAnsi="宋体" w:eastAsia="宋体" w:cs="Times New Roman"/>
                <w:color w:val="auto"/>
                <w:szCs w:val="22"/>
                <w:highlight w:val="none"/>
                <w:lang w:eastAsia="zh-CN"/>
              </w:rPr>
              <w:t>、</w:t>
            </w:r>
            <w:r>
              <w:rPr>
                <w:rFonts w:hint="eastAsia" w:ascii="新宋体" w:hAnsi="Calibri" w:eastAsia="新宋体" w:cs="Times New Roman"/>
                <w:color w:val="auto"/>
                <w:szCs w:val="21"/>
              </w:rPr>
              <w:t>售后服务方案</w:t>
            </w:r>
            <w:r>
              <w:rPr>
                <w:rFonts w:hint="eastAsia" w:ascii="新宋体" w:hAnsi="Calibri" w:eastAsia="新宋体" w:cs="Times New Roman"/>
                <w:color w:val="auto"/>
                <w:szCs w:val="21"/>
                <w:lang w:eastAsia="zh-CN"/>
              </w:rPr>
              <w:t>、</w:t>
            </w:r>
            <w:r>
              <w:rPr>
                <w:rFonts w:hint="eastAsia" w:ascii="新宋体" w:hAnsi="Calibri" w:eastAsia="新宋体" w:cs="Times New Roman"/>
                <w:color w:val="auto"/>
                <w:szCs w:val="21"/>
              </w:rPr>
              <w:t>业绩证明材料等。</w:t>
            </w:r>
          </w:p>
        </w:tc>
      </w:tr>
      <w:tr w14:paraId="6262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574BBFD5">
            <w:pPr>
              <w:keepNext w:val="0"/>
              <w:keepLines w:val="0"/>
              <w:pageBreakBefore w:val="0"/>
              <w:shd w:val="clear" w:color="auto"/>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包装和运输</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25061000">
            <w:pPr>
              <w:keepNext w:val="0"/>
              <w:keepLines w:val="0"/>
              <w:pageBreakBefore w:val="0"/>
              <w:widowControl w:val="0"/>
              <w:shd w:val="clear" w:color="auto" w:fill="auto"/>
              <w:kinsoku/>
              <w:overflowPunct/>
              <w:topLinePunct w:val="0"/>
              <w:autoSpaceDE/>
              <w:autoSpaceDN/>
              <w:bidi w:val="0"/>
              <w:adjustRightInd/>
              <w:spacing w:line="312" w:lineRule="auto"/>
              <w:textAlignment w:val="auto"/>
              <w:rPr>
                <w:rFonts w:hint="eastAsia" w:ascii="宋体" w:hAnsi="宋体" w:eastAsia="宋体" w:cs="Times New Roman"/>
                <w:bCs/>
                <w:color w:val="auto"/>
                <w:kern w:val="0"/>
                <w:szCs w:val="21"/>
                <w:highlight w:val="none"/>
              </w:rPr>
            </w:pPr>
            <w:r>
              <w:rPr>
                <w:rFonts w:ascii="宋体" w:hAnsi="宋体" w:eastAsia="宋体" w:cs="Times New Roman"/>
                <w:bCs/>
                <w:color w:val="auto"/>
                <w:kern w:val="0"/>
                <w:szCs w:val="21"/>
                <w:highlight w:val="none"/>
              </w:rPr>
              <w:t>1</w:t>
            </w:r>
            <w:r>
              <w:rPr>
                <w:rFonts w:hint="eastAsia" w:ascii="宋体" w:hAnsi="宋体" w:eastAsia="宋体" w:cs="Times New Roman"/>
                <w:bCs/>
                <w:color w:val="auto"/>
                <w:kern w:val="0"/>
                <w:szCs w:val="21"/>
                <w:highlight w:val="none"/>
              </w:rPr>
              <w:t>.</w:t>
            </w:r>
            <w:r>
              <w:rPr>
                <w:rFonts w:ascii="宋体" w:hAnsi="宋体" w:eastAsia="宋体" w:cs="Times New Roman"/>
                <w:bCs/>
                <w:color w:val="auto"/>
                <w:kern w:val="0"/>
                <w:szCs w:val="21"/>
                <w:highlight w:val="none"/>
              </w:rPr>
              <w:t>原厂原包装，包装完好、完整无破损、未开封。</w:t>
            </w:r>
          </w:p>
          <w:p w14:paraId="6E0B683A">
            <w:pPr>
              <w:keepNext w:val="0"/>
              <w:keepLines w:val="0"/>
              <w:pageBreakBefore w:val="0"/>
              <w:widowControl w:val="0"/>
              <w:shd w:val="clear" w:color="auto" w:fill="auto"/>
              <w:kinsoku/>
              <w:overflowPunct/>
              <w:topLinePunct w:val="0"/>
              <w:autoSpaceDE/>
              <w:autoSpaceDN/>
              <w:bidi w:val="0"/>
              <w:adjustRightInd/>
              <w:spacing w:line="312" w:lineRule="auto"/>
              <w:textAlignment w:val="auto"/>
              <w:rPr>
                <w:rFonts w:hint="eastAsia" w:ascii="宋体" w:hAnsi="宋体" w:eastAsia="宋体" w:cs="Times New Roman"/>
                <w:bCs/>
                <w:color w:val="auto"/>
                <w:kern w:val="0"/>
                <w:szCs w:val="21"/>
                <w:highlight w:val="none"/>
              </w:rPr>
            </w:pPr>
            <w:r>
              <w:rPr>
                <w:rFonts w:ascii="宋体" w:hAnsi="宋体" w:eastAsia="宋体" w:cs="Times New Roman"/>
                <w:bCs/>
                <w:color w:val="auto"/>
                <w:kern w:val="0"/>
                <w:szCs w:val="21"/>
                <w:highlight w:val="none"/>
              </w:rPr>
              <w:t>2</w:t>
            </w:r>
            <w:r>
              <w:rPr>
                <w:rFonts w:hint="eastAsia" w:ascii="宋体" w:hAnsi="宋体" w:eastAsia="宋体" w:cs="Times New Roman"/>
                <w:bCs/>
                <w:color w:val="auto"/>
                <w:kern w:val="0"/>
                <w:szCs w:val="21"/>
                <w:highlight w:val="none"/>
              </w:rPr>
              <w:t>.</w:t>
            </w:r>
            <w:r>
              <w:rPr>
                <w:rFonts w:ascii="宋体" w:hAnsi="宋体" w:eastAsia="宋体" w:cs="Times New Roman"/>
                <w:bCs/>
                <w:color w:val="auto"/>
                <w:kern w:val="0"/>
                <w:szCs w:val="21"/>
                <w:highlight w:val="none"/>
              </w:rPr>
              <w:t>包装及运输方式应综合考虑运输距离、防潮、防震、防锈和防破损装卸等要求。</w:t>
            </w:r>
          </w:p>
          <w:p w14:paraId="6C28FEB8">
            <w:pPr>
              <w:keepNext w:val="0"/>
              <w:keepLines w:val="0"/>
              <w:pageBreakBefore w:val="0"/>
              <w:widowControl w:val="0"/>
              <w:shd w:val="clear" w:color="auto" w:fill="auto"/>
              <w:kinsoku/>
              <w:overflowPunct/>
              <w:topLinePunct w:val="0"/>
              <w:autoSpaceDE/>
              <w:autoSpaceDN/>
              <w:bidi w:val="0"/>
              <w:adjustRightInd/>
              <w:spacing w:line="312" w:lineRule="auto"/>
              <w:textAlignment w:val="auto"/>
              <w:rPr>
                <w:rFonts w:hint="eastAsia" w:ascii="宋体" w:hAnsi="宋体" w:eastAsia="宋体" w:cs="Times New Roman"/>
                <w:bCs/>
                <w:color w:val="auto"/>
                <w:kern w:val="0"/>
                <w:szCs w:val="21"/>
                <w:highlight w:val="none"/>
              </w:rPr>
            </w:pPr>
            <w:r>
              <w:rPr>
                <w:rFonts w:ascii="宋体" w:hAnsi="宋体" w:eastAsia="宋体" w:cs="Times New Roman"/>
                <w:bCs/>
                <w:color w:val="auto"/>
                <w:kern w:val="0"/>
                <w:szCs w:val="21"/>
                <w:highlight w:val="none"/>
              </w:rPr>
              <w:t>3</w:t>
            </w:r>
            <w:r>
              <w:rPr>
                <w:rFonts w:hint="eastAsia" w:ascii="宋体" w:hAnsi="宋体" w:eastAsia="宋体" w:cs="Times New Roman"/>
                <w:bCs/>
                <w:color w:val="auto"/>
                <w:kern w:val="0"/>
                <w:szCs w:val="21"/>
                <w:highlight w:val="none"/>
              </w:rPr>
              <w:t>.</w:t>
            </w:r>
            <w:r>
              <w:rPr>
                <w:rFonts w:ascii="宋体" w:hAnsi="宋体" w:eastAsia="宋体" w:cs="Times New Roman"/>
                <w:bCs/>
                <w:color w:val="auto"/>
                <w:kern w:val="0"/>
                <w:szCs w:val="21"/>
                <w:highlight w:val="none"/>
              </w:rPr>
              <w:t>国家对包装及运输有相关强制性标准或要求的，</w:t>
            </w:r>
            <w:r>
              <w:rPr>
                <w:rFonts w:hint="eastAsia" w:ascii="宋体" w:hAnsi="宋体" w:eastAsia="宋体" w:cs="宋体"/>
                <w:color w:val="auto"/>
                <w:szCs w:val="21"/>
                <w:highlight w:val="none"/>
                <w:lang w:eastAsia="zh-CN"/>
              </w:rPr>
              <w:t>成交供应商</w:t>
            </w:r>
            <w:r>
              <w:rPr>
                <w:rFonts w:ascii="宋体" w:hAnsi="宋体" w:eastAsia="宋体" w:cs="Times New Roman"/>
                <w:bCs/>
                <w:color w:val="auto"/>
                <w:kern w:val="0"/>
                <w:szCs w:val="21"/>
                <w:highlight w:val="none"/>
              </w:rPr>
              <w:t>应当执行。</w:t>
            </w:r>
          </w:p>
          <w:p w14:paraId="230D5A79">
            <w:pPr>
              <w:keepNext w:val="0"/>
              <w:keepLines w:val="0"/>
              <w:pageBreakBefore w:val="0"/>
              <w:widowControl w:val="0"/>
              <w:shd w:val="clear" w:color="auto"/>
              <w:kinsoku/>
              <w:wordWrap w:val="0"/>
              <w:overflowPunct/>
              <w:topLinePunct w:val="0"/>
              <w:autoSpaceDE/>
              <w:autoSpaceDN/>
              <w:bidi w:val="0"/>
              <w:adjustRightInd/>
              <w:snapToGrid w:val="0"/>
              <w:spacing w:line="312" w:lineRule="auto"/>
              <w:textAlignment w:val="auto"/>
              <w:rPr>
                <w:rFonts w:hint="eastAsia" w:ascii="宋体" w:hAnsi="宋体" w:eastAsia="宋体" w:cs="宋体"/>
                <w:color w:val="auto"/>
                <w:szCs w:val="21"/>
                <w:highlight w:val="none"/>
                <w:lang w:val="en-US" w:eastAsia="zh-CN"/>
              </w:rPr>
            </w:pPr>
            <w:r>
              <w:rPr>
                <w:rFonts w:ascii="宋体" w:hAnsi="宋体" w:eastAsia="宋体" w:cs="Times New Roman"/>
                <w:bCs/>
                <w:color w:val="auto"/>
                <w:kern w:val="0"/>
                <w:szCs w:val="21"/>
                <w:highlight w:val="none"/>
              </w:rPr>
              <w:t>4</w:t>
            </w:r>
            <w:r>
              <w:rPr>
                <w:rFonts w:hint="eastAsia" w:ascii="宋体" w:hAnsi="宋体" w:eastAsia="宋体" w:cs="Times New Roman"/>
                <w:bCs/>
                <w:color w:val="auto"/>
                <w:kern w:val="0"/>
                <w:szCs w:val="21"/>
                <w:highlight w:val="none"/>
              </w:rPr>
              <w:t>.</w:t>
            </w:r>
            <w:r>
              <w:rPr>
                <w:rFonts w:ascii="宋体" w:hAnsi="宋体" w:eastAsia="宋体" w:cs="Times New Roman"/>
                <w:bCs/>
                <w:color w:val="auto"/>
                <w:kern w:val="0"/>
                <w:szCs w:val="21"/>
                <w:highlight w:val="none"/>
              </w:rPr>
              <w:t>产品（含包装）运抵采购人指定交付地点前发生损坏的，相关损失由</w:t>
            </w:r>
            <w:r>
              <w:rPr>
                <w:rFonts w:hint="eastAsia" w:ascii="宋体" w:hAnsi="宋体" w:eastAsia="宋体" w:cs="宋体"/>
                <w:color w:val="auto"/>
                <w:szCs w:val="21"/>
                <w:highlight w:val="none"/>
                <w:lang w:eastAsia="zh-CN"/>
              </w:rPr>
              <w:t>成交供应商</w:t>
            </w:r>
            <w:r>
              <w:rPr>
                <w:rFonts w:ascii="宋体" w:hAnsi="宋体" w:eastAsia="宋体" w:cs="Times New Roman"/>
                <w:bCs/>
                <w:color w:val="auto"/>
                <w:kern w:val="0"/>
                <w:szCs w:val="21"/>
                <w:highlight w:val="none"/>
              </w:rPr>
              <w:t>自行承担。</w:t>
            </w:r>
          </w:p>
        </w:tc>
      </w:tr>
      <w:tr w14:paraId="0B8E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38F34EC1">
            <w:pPr>
              <w:keepNext w:val="0"/>
              <w:keepLines w:val="0"/>
              <w:pageBreakBefore w:val="0"/>
              <w:shd w:val="clear" w:color="auto"/>
              <w:kinsoku/>
              <w:wordWrap w:val="0"/>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w:t>
            </w:r>
          </w:p>
        </w:tc>
        <w:tc>
          <w:tcPr>
            <w:tcW w:w="8255" w:type="dxa"/>
            <w:gridSpan w:val="5"/>
            <w:tcBorders>
              <w:top w:val="single" w:color="auto" w:sz="4" w:space="0"/>
              <w:left w:val="single" w:color="auto" w:sz="4" w:space="0"/>
              <w:bottom w:val="single" w:color="auto" w:sz="4" w:space="0"/>
              <w:right w:val="single" w:color="auto" w:sz="4" w:space="0"/>
            </w:tcBorders>
            <w:noWrap w:val="0"/>
            <w:vAlign w:val="center"/>
          </w:tcPr>
          <w:p w14:paraId="65076870">
            <w:pPr>
              <w:keepNext w:val="0"/>
              <w:keepLines w:val="0"/>
              <w:pageBreakBefore w:val="0"/>
              <w:shd w:val="clear" w:color="auto"/>
              <w:kinsoku/>
              <w:wordWrap w:val="0"/>
              <w:overflowPunct/>
              <w:topLinePunct w:val="0"/>
              <w:autoSpaceDE/>
              <w:autoSpaceDN/>
              <w:bidi w:val="0"/>
              <w:adjustRightInd/>
              <w:snapToGrid w:val="0"/>
              <w:spacing w:line="312" w:lineRule="auto"/>
              <w:textAlignment w:val="auto"/>
              <w:rPr>
                <w:rFonts w:ascii="宋体" w:hAnsi="宋体" w:eastAsia="宋体" w:cs="Times New Roman"/>
                <w:bCs/>
                <w:color w:val="auto"/>
                <w:kern w:val="0"/>
                <w:szCs w:val="21"/>
                <w:highlight w:val="none"/>
              </w:rPr>
            </w:pPr>
            <w:r>
              <w:rPr>
                <w:rFonts w:ascii="宋体" w:hAnsi="宋体"/>
                <w:bCs/>
                <w:color w:val="auto"/>
                <w:kern w:val="0"/>
                <w:szCs w:val="21"/>
                <w:highlight w:val="none"/>
              </w:rPr>
              <w:t>若</w:t>
            </w:r>
            <w:r>
              <w:rPr>
                <w:rFonts w:hint="eastAsia" w:ascii="宋体" w:hAnsi="宋体" w:eastAsia="宋体" w:cs="宋体"/>
                <w:color w:val="auto"/>
                <w:szCs w:val="21"/>
                <w:highlight w:val="none"/>
                <w:lang w:eastAsia="zh-CN"/>
              </w:rPr>
              <w:t>成交供应商</w:t>
            </w:r>
            <w:r>
              <w:rPr>
                <w:rFonts w:ascii="宋体" w:hAnsi="宋体"/>
                <w:bCs/>
                <w:color w:val="auto"/>
                <w:kern w:val="0"/>
                <w:szCs w:val="21"/>
                <w:highlight w:val="none"/>
              </w:rPr>
              <w:t>为本项目标的及标的涉及的相关材料、设备、人员、运输等购买保险的，相关费用由</w:t>
            </w:r>
            <w:r>
              <w:rPr>
                <w:rFonts w:hint="eastAsia" w:ascii="宋体" w:hAnsi="宋体" w:eastAsia="宋体" w:cs="宋体"/>
                <w:color w:val="auto"/>
                <w:szCs w:val="21"/>
                <w:highlight w:val="none"/>
                <w:lang w:eastAsia="zh-CN"/>
              </w:rPr>
              <w:t>成交供应商</w:t>
            </w:r>
            <w:r>
              <w:rPr>
                <w:rFonts w:ascii="宋体" w:hAnsi="宋体"/>
                <w:bCs/>
                <w:color w:val="auto"/>
                <w:kern w:val="0"/>
                <w:szCs w:val="21"/>
                <w:highlight w:val="none"/>
              </w:rPr>
              <w:t>自行承担。</w:t>
            </w:r>
          </w:p>
        </w:tc>
      </w:tr>
      <w:tr w14:paraId="310A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2D2467A5">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eastAsia="zh-CN"/>
              </w:rPr>
              <w:t>要求</w:t>
            </w:r>
          </w:p>
        </w:tc>
        <w:tc>
          <w:tcPr>
            <w:tcW w:w="8255" w:type="dxa"/>
            <w:gridSpan w:val="5"/>
            <w:tcBorders>
              <w:top w:val="single" w:color="auto" w:sz="4" w:space="0"/>
              <w:left w:val="single" w:color="auto" w:sz="4" w:space="0"/>
              <w:bottom w:val="single" w:color="auto" w:sz="4" w:space="0"/>
              <w:right w:val="single" w:color="auto" w:sz="4" w:space="0"/>
            </w:tcBorders>
            <w:noWrap w:val="0"/>
            <w:vAlign w:val="top"/>
          </w:tcPr>
          <w:p w14:paraId="311F4429">
            <w:pPr>
              <w:keepNext w:val="0"/>
              <w:keepLines w:val="0"/>
              <w:pageBreakBefore w:val="0"/>
              <w:widowControl w:val="0"/>
              <w:shd w:val="clear" w:color="auto" w:fill="auto"/>
              <w:kinsoku/>
              <w:overflowPunct/>
              <w:topLinePunct w:val="0"/>
              <w:autoSpaceDE/>
              <w:autoSpaceDN/>
              <w:bidi w:val="0"/>
              <w:adjustRightInd/>
              <w:snapToGrid/>
              <w:spacing w:line="300" w:lineRule="auto"/>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1.采购人可以根据采购项目具体情况自行组织验收，或者委托第三方机构或部门开展采购项目履约验收工作，验收过程中所产生的一切费用均由</w:t>
            </w:r>
            <w:r>
              <w:rPr>
                <w:rFonts w:hint="eastAsia" w:ascii="宋体" w:hAnsi="宋体" w:eastAsia="宋体" w:cs="宋体"/>
                <w:color w:val="auto"/>
                <w:szCs w:val="21"/>
                <w:highlight w:val="none"/>
                <w:lang w:eastAsia="zh-CN"/>
              </w:rPr>
              <w:t>成交供应商</w:t>
            </w:r>
            <w:r>
              <w:rPr>
                <w:rFonts w:hint="eastAsia" w:ascii="宋体" w:hAnsi="宋体" w:eastAsia="宋体" w:cs="Times New Roman"/>
                <w:bCs/>
                <w:color w:val="auto"/>
                <w:szCs w:val="21"/>
                <w:highlight w:val="none"/>
              </w:rPr>
              <w:t>承担（采购需求中另有约定的从其约定），</w:t>
            </w:r>
            <w:r>
              <w:rPr>
                <w:rFonts w:hint="eastAsia" w:ascii="宋体" w:hAnsi="宋体" w:eastAsia="宋体" w:cs="Times New Roman"/>
                <w:bCs/>
                <w:color w:val="auto"/>
                <w:szCs w:val="21"/>
                <w:highlight w:val="none"/>
                <w:lang w:eastAsia="zh-CN"/>
              </w:rPr>
              <w:t>竞标人</w:t>
            </w:r>
            <w:r>
              <w:rPr>
                <w:rFonts w:hint="eastAsia" w:ascii="宋体" w:hAnsi="宋体" w:eastAsia="宋体" w:cs="Times New Roman"/>
                <w:bCs/>
                <w:color w:val="auto"/>
                <w:szCs w:val="21"/>
                <w:highlight w:val="none"/>
              </w:rPr>
              <w:t>在</w:t>
            </w:r>
            <w:r>
              <w:rPr>
                <w:rFonts w:hint="eastAsia" w:ascii="宋体" w:hAnsi="宋体" w:eastAsia="宋体" w:cs="Times New Roman"/>
                <w:bCs/>
                <w:color w:val="auto"/>
                <w:szCs w:val="21"/>
                <w:highlight w:val="none"/>
                <w:lang w:eastAsia="zh-CN"/>
              </w:rPr>
              <w:t>竞标</w:t>
            </w:r>
            <w:r>
              <w:rPr>
                <w:rFonts w:hint="eastAsia" w:ascii="宋体" w:hAnsi="宋体" w:eastAsia="宋体" w:cs="Times New Roman"/>
                <w:bCs/>
                <w:color w:val="auto"/>
                <w:szCs w:val="21"/>
                <w:highlight w:val="none"/>
              </w:rPr>
              <w:t>报价时应考虑相关费用。</w:t>
            </w:r>
          </w:p>
          <w:p w14:paraId="7FF93DCD">
            <w:pPr>
              <w:keepNext w:val="0"/>
              <w:keepLines w:val="0"/>
              <w:pageBreakBefore w:val="0"/>
              <w:widowControl w:val="0"/>
              <w:shd w:val="clear" w:color="auto" w:fill="auto"/>
              <w:kinsoku/>
              <w:overflowPunct/>
              <w:topLinePunct w:val="0"/>
              <w:autoSpaceDE/>
              <w:autoSpaceDN/>
              <w:bidi w:val="0"/>
              <w:adjustRightInd/>
              <w:snapToGrid/>
              <w:spacing w:line="300" w:lineRule="auto"/>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2.在验收过程中发现</w:t>
            </w:r>
            <w:r>
              <w:rPr>
                <w:rFonts w:hint="eastAsia" w:ascii="宋体" w:hAnsi="宋体" w:eastAsia="宋体" w:cs="Times New Roman"/>
                <w:bCs/>
                <w:color w:val="auto"/>
                <w:szCs w:val="21"/>
                <w:highlight w:val="none"/>
                <w:lang w:eastAsia="zh-CN"/>
              </w:rPr>
              <w:t>成交供应商</w:t>
            </w:r>
            <w:r>
              <w:rPr>
                <w:rFonts w:hint="eastAsia" w:ascii="宋体" w:hAnsi="宋体" w:eastAsia="宋体" w:cs="Times New Roman"/>
                <w:bCs/>
                <w:color w:val="auto"/>
                <w:szCs w:val="21"/>
                <w:highlight w:val="none"/>
              </w:rPr>
              <w:t>有违约问题的，采购人可暂缓资金结算，待违约问题解决后，方可办理资金结算事宜。</w:t>
            </w:r>
          </w:p>
          <w:p w14:paraId="3909F3D0">
            <w:pPr>
              <w:keepNext w:val="0"/>
              <w:keepLines w:val="0"/>
              <w:pageBreakBefore w:val="0"/>
              <w:widowControl w:val="0"/>
              <w:shd w:val="clear" w:color="auto" w:fill="auto"/>
              <w:kinsoku/>
              <w:overflowPunct/>
              <w:topLinePunct w:val="0"/>
              <w:autoSpaceDE/>
              <w:autoSpaceDN/>
              <w:bidi w:val="0"/>
              <w:adjustRightInd/>
              <w:snapToGrid/>
              <w:spacing w:line="300" w:lineRule="auto"/>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3.验收依据：按</w:t>
            </w:r>
            <w:r>
              <w:rPr>
                <w:rFonts w:hint="eastAsia" w:ascii="宋体" w:hAnsi="宋体" w:eastAsia="宋体" w:cs="Times New Roman"/>
                <w:bCs/>
                <w:color w:val="auto"/>
                <w:szCs w:val="21"/>
                <w:highlight w:val="none"/>
                <w:lang w:eastAsia="zh-CN"/>
              </w:rPr>
              <w:t>竞争性谈判</w:t>
            </w:r>
            <w:r>
              <w:rPr>
                <w:rFonts w:hint="eastAsia" w:ascii="宋体" w:hAnsi="宋体" w:eastAsia="宋体" w:cs="Times New Roman"/>
                <w:bCs/>
                <w:color w:val="auto"/>
                <w:szCs w:val="21"/>
                <w:highlight w:val="none"/>
              </w:rPr>
              <w:t>文件、合同要求、</w:t>
            </w:r>
            <w:r>
              <w:rPr>
                <w:rFonts w:hint="eastAsia" w:ascii="宋体" w:hAnsi="宋体" w:eastAsia="宋体" w:cs="Times New Roman"/>
                <w:bCs/>
                <w:color w:val="auto"/>
                <w:szCs w:val="21"/>
                <w:highlight w:val="none"/>
                <w:lang w:eastAsia="zh-CN"/>
              </w:rPr>
              <w:t>竞标</w:t>
            </w:r>
            <w:r>
              <w:rPr>
                <w:rFonts w:hint="eastAsia" w:ascii="宋体" w:hAnsi="宋体" w:eastAsia="宋体" w:cs="Times New Roman"/>
                <w:bCs/>
                <w:color w:val="auto"/>
                <w:szCs w:val="21"/>
                <w:highlight w:val="none"/>
              </w:rPr>
              <w:t>文件、</w:t>
            </w:r>
            <w:r>
              <w:rPr>
                <w:rFonts w:hint="eastAsia" w:ascii="宋体" w:hAnsi="宋体" w:eastAsia="宋体" w:cs="宋体"/>
                <w:color w:val="auto"/>
                <w:szCs w:val="21"/>
                <w:highlight w:val="none"/>
                <w:lang w:eastAsia="zh-CN"/>
              </w:rPr>
              <w:t>成交供应商</w:t>
            </w:r>
            <w:r>
              <w:rPr>
                <w:rFonts w:hint="eastAsia" w:ascii="宋体" w:hAnsi="宋体" w:eastAsia="宋体" w:cs="Times New Roman"/>
                <w:bCs/>
                <w:color w:val="auto"/>
                <w:szCs w:val="21"/>
                <w:highlight w:val="none"/>
              </w:rPr>
              <w:t>承诺及国家相关标准进行验收。</w:t>
            </w:r>
          </w:p>
          <w:p w14:paraId="1AF018E5">
            <w:pPr>
              <w:keepNext w:val="0"/>
              <w:keepLines w:val="0"/>
              <w:pageBreakBefore w:val="0"/>
              <w:widowControl w:val="0"/>
              <w:shd w:val="clear" w:color="auto" w:fill="auto"/>
              <w:kinsoku/>
              <w:overflowPunct/>
              <w:topLinePunct w:val="0"/>
              <w:autoSpaceDE/>
              <w:autoSpaceDN/>
              <w:bidi w:val="0"/>
              <w:adjustRightInd/>
              <w:snapToGrid/>
              <w:spacing w:line="300" w:lineRule="auto"/>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4.验收标准：</w:t>
            </w:r>
            <w:r>
              <w:rPr>
                <w:rFonts w:hint="eastAsia" w:ascii="宋体" w:hAnsi="宋体" w:eastAsia="宋体" w:cs="宋体"/>
                <w:color w:val="auto"/>
                <w:szCs w:val="21"/>
                <w:highlight w:val="none"/>
                <w:lang w:eastAsia="zh-CN"/>
              </w:rPr>
              <w:t>成交供应商</w:t>
            </w:r>
            <w:r>
              <w:rPr>
                <w:rFonts w:hint="eastAsia" w:ascii="宋体" w:hAnsi="宋体" w:eastAsia="宋体" w:cs="Times New Roman"/>
                <w:bCs/>
                <w:color w:val="auto"/>
                <w:szCs w:val="21"/>
                <w:highlight w:val="none"/>
              </w:rPr>
              <w:t>所供产品的规格、数量、功能、材质、颜色等指标符合</w:t>
            </w:r>
            <w:r>
              <w:rPr>
                <w:rFonts w:hint="eastAsia" w:ascii="宋体" w:hAnsi="宋体" w:eastAsia="宋体" w:cs="Times New Roman"/>
                <w:bCs/>
                <w:color w:val="auto"/>
                <w:szCs w:val="21"/>
                <w:highlight w:val="none"/>
                <w:lang w:eastAsia="zh-CN"/>
              </w:rPr>
              <w:t>竞争性谈判</w:t>
            </w:r>
            <w:r>
              <w:rPr>
                <w:rFonts w:hint="eastAsia" w:ascii="宋体" w:hAnsi="宋体" w:eastAsia="宋体" w:cs="Times New Roman"/>
                <w:bCs/>
                <w:color w:val="auto"/>
                <w:szCs w:val="21"/>
                <w:highlight w:val="none"/>
              </w:rPr>
              <w:t>文件采购需求、采购合同约定的要求、</w:t>
            </w:r>
            <w:r>
              <w:rPr>
                <w:rFonts w:hint="eastAsia" w:ascii="宋体" w:hAnsi="宋体" w:eastAsia="宋体" w:cs="Times New Roman"/>
                <w:bCs/>
                <w:color w:val="auto"/>
                <w:szCs w:val="21"/>
                <w:highlight w:val="none"/>
                <w:lang w:eastAsia="zh-CN"/>
              </w:rPr>
              <w:t>竞标</w:t>
            </w:r>
            <w:r>
              <w:rPr>
                <w:rFonts w:hint="eastAsia" w:ascii="宋体" w:hAnsi="宋体" w:eastAsia="宋体" w:cs="Times New Roman"/>
                <w:bCs/>
                <w:color w:val="auto"/>
                <w:szCs w:val="21"/>
                <w:highlight w:val="none"/>
              </w:rPr>
              <w:t>文件响应和</w:t>
            </w:r>
            <w:r>
              <w:rPr>
                <w:rFonts w:hint="eastAsia" w:ascii="宋体" w:hAnsi="宋体" w:eastAsia="宋体" w:cs="Times New Roman"/>
                <w:bCs/>
                <w:color w:val="auto"/>
                <w:szCs w:val="21"/>
                <w:highlight w:val="none"/>
                <w:lang w:eastAsia="zh-CN"/>
              </w:rPr>
              <w:t>竞标</w:t>
            </w:r>
            <w:r>
              <w:rPr>
                <w:rFonts w:hint="eastAsia" w:ascii="宋体" w:hAnsi="宋体" w:eastAsia="宋体" w:cs="Times New Roman"/>
                <w:bCs/>
                <w:color w:val="auto"/>
                <w:szCs w:val="21"/>
                <w:highlight w:val="none"/>
              </w:rPr>
              <w:t>承诺及国家相关标准。</w:t>
            </w:r>
          </w:p>
          <w:p w14:paraId="44E98127">
            <w:pPr>
              <w:keepNext w:val="0"/>
              <w:keepLines w:val="0"/>
              <w:pageBreakBefore w:val="0"/>
              <w:widowControl w:val="0"/>
              <w:shd w:val="clear"/>
              <w:kinsoku/>
              <w:wordWrap w:val="0"/>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rPr>
            </w:pPr>
            <w:r>
              <w:rPr>
                <w:rFonts w:ascii="宋体" w:hAnsi="宋体" w:eastAsia="宋体" w:cs="Times New Roman"/>
                <w:bCs/>
                <w:color w:val="auto"/>
                <w:szCs w:val="21"/>
                <w:highlight w:val="none"/>
              </w:rPr>
              <w:t>5.设备到货安装前，</w:t>
            </w:r>
            <w:r>
              <w:rPr>
                <w:rFonts w:hint="default" w:ascii="宋体" w:hAnsi="宋体" w:eastAsia="宋体" w:cs="宋体"/>
                <w:i w:val="0"/>
                <w:iCs w:val="0"/>
                <w:color w:val="auto"/>
                <w:kern w:val="0"/>
                <w:sz w:val="21"/>
                <w:szCs w:val="21"/>
                <w:highlight w:val="none"/>
                <w:u w:val="none"/>
                <w:lang w:val="en-US" w:eastAsia="zh-CN" w:bidi="ar"/>
              </w:rPr>
              <w:t>采购</w:t>
            </w:r>
            <w:r>
              <w:rPr>
                <w:rFonts w:hint="eastAsia" w:ascii="宋体" w:hAnsi="宋体" w:eastAsia="宋体" w:cs="宋体"/>
                <w:i w:val="0"/>
                <w:iCs w:val="0"/>
                <w:color w:val="auto"/>
                <w:kern w:val="0"/>
                <w:sz w:val="21"/>
                <w:szCs w:val="21"/>
                <w:highlight w:val="none"/>
                <w:u w:val="none"/>
                <w:lang w:val="en-US" w:eastAsia="zh-CN" w:bidi="ar"/>
              </w:rPr>
              <w:t>人</w:t>
            </w:r>
            <w:r>
              <w:rPr>
                <w:rFonts w:hint="default" w:ascii="宋体" w:hAnsi="宋体" w:eastAsia="宋体" w:cs="宋体"/>
                <w:i w:val="0"/>
                <w:iCs w:val="0"/>
                <w:color w:val="auto"/>
                <w:kern w:val="0"/>
                <w:sz w:val="21"/>
                <w:szCs w:val="21"/>
                <w:highlight w:val="none"/>
                <w:u w:val="none"/>
                <w:lang w:val="en-US" w:eastAsia="zh-CN" w:bidi="ar"/>
              </w:rPr>
              <w:t>可对货物进行复检与性能测试</w:t>
            </w:r>
            <w:r>
              <w:rPr>
                <w:rFonts w:hint="eastAsia" w:ascii="宋体" w:hAnsi="宋体" w:eastAsia="宋体" w:cs="宋体"/>
                <w:i w:val="0"/>
                <w:iCs w:val="0"/>
                <w:color w:val="auto"/>
                <w:kern w:val="0"/>
                <w:sz w:val="21"/>
                <w:szCs w:val="21"/>
                <w:highlight w:val="none"/>
                <w:u w:val="none"/>
                <w:lang w:val="en-US" w:eastAsia="zh-CN" w:bidi="ar"/>
              </w:rPr>
              <w:t>，</w:t>
            </w:r>
            <w:r>
              <w:rPr>
                <w:rFonts w:ascii="宋体" w:hAnsi="宋体" w:eastAsia="宋体" w:cs="Times New Roman"/>
                <w:bCs/>
                <w:color w:val="auto"/>
                <w:szCs w:val="21"/>
                <w:highlight w:val="none"/>
              </w:rPr>
              <w:t>采购人现场根据</w:t>
            </w:r>
            <w:r>
              <w:rPr>
                <w:rFonts w:hint="eastAsia" w:ascii="宋体" w:hAnsi="宋体" w:eastAsia="宋体" w:cs="Times New Roman"/>
                <w:bCs/>
                <w:color w:val="auto"/>
                <w:szCs w:val="21"/>
                <w:highlight w:val="none"/>
                <w:lang w:eastAsia="zh-CN"/>
              </w:rPr>
              <w:t>竞争性谈判</w:t>
            </w:r>
            <w:r>
              <w:rPr>
                <w:rFonts w:ascii="宋体" w:hAnsi="宋体" w:eastAsia="宋体" w:cs="Times New Roman"/>
                <w:bCs/>
                <w:color w:val="auto"/>
                <w:szCs w:val="21"/>
                <w:highlight w:val="none"/>
              </w:rPr>
              <w:t>文件要求及</w:t>
            </w:r>
            <w:r>
              <w:rPr>
                <w:rFonts w:hint="eastAsia" w:ascii="宋体" w:hAnsi="宋体" w:eastAsia="宋体" w:cs="Times New Roman"/>
                <w:bCs/>
                <w:color w:val="auto"/>
                <w:szCs w:val="21"/>
                <w:highlight w:val="none"/>
                <w:lang w:eastAsia="zh-CN"/>
              </w:rPr>
              <w:t>竞标</w:t>
            </w:r>
            <w:r>
              <w:rPr>
                <w:rFonts w:ascii="宋体" w:hAnsi="宋体" w:eastAsia="宋体" w:cs="Times New Roman"/>
                <w:bCs/>
                <w:color w:val="auto"/>
                <w:szCs w:val="21"/>
                <w:highlight w:val="none"/>
              </w:rPr>
              <w:t>文件承诺逐条对应进行核验（必要时，采购人有权要求供应商对各项指标进行现场演示），</w:t>
            </w:r>
            <w:r>
              <w:rPr>
                <w:rFonts w:hint="default" w:ascii="宋体" w:hAnsi="宋体" w:eastAsia="宋体" w:cs="宋体"/>
                <w:i w:val="0"/>
                <w:iCs w:val="0"/>
                <w:color w:val="auto"/>
                <w:kern w:val="0"/>
                <w:sz w:val="21"/>
                <w:szCs w:val="21"/>
                <w:highlight w:val="none"/>
                <w:u w:val="none"/>
                <w:lang w:val="en-US" w:eastAsia="zh-CN" w:bidi="ar"/>
              </w:rPr>
              <w:t>如检验出的产品其中一项或一项以上技术参数无法达到采购文件规定的技术参数，采购</w:t>
            </w:r>
            <w:r>
              <w:rPr>
                <w:rFonts w:hint="eastAsia" w:ascii="宋体" w:hAnsi="宋体" w:eastAsia="宋体" w:cs="宋体"/>
                <w:i w:val="0"/>
                <w:iCs w:val="0"/>
                <w:color w:val="auto"/>
                <w:kern w:val="0"/>
                <w:sz w:val="21"/>
                <w:szCs w:val="21"/>
                <w:highlight w:val="none"/>
                <w:u w:val="none"/>
                <w:lang w:val="en-US" w:eastAsia="zh-CN" w:bidi="ar"/>
              </w:rPr>
              <w:t>人</w:t>
            </w:r>
            <w:r>
              <w:rPr>
                <w:rFonts w:hint="default" w:ascii="宋体" w:hAnsi="宋体" w:eastAsia="宋体" w:cs="宋体"/>
                <w:i w:val="0"/>
                <w:iCs w:val="0"/>
                <w:color w:val="auto"/>
                <w:kern w:val="0"/>
                <w:sz w:val="21"/>
                <w:szCs w:val="21"/>
                <w:highlight w:val="none"/>
                <w:u w:val="none"/>
                <w:lang w:val="en-US" w:eastAsia="zh-CN" w:bidi="ar"/>
              </w:rPr>
              <w:t>有权作全部退货处理，由此造成的损失由中标单位自行承担。并按照国家相关法律法规的规定提请有关政府监管部门对其进行处理</w:t>
            </w:r>
            <w:r>
              <w:rPr>
                <w:rFonts w:ascii="宋体" w:hAnsi="宋体" w:eastAsia="宋体" w:cs="Times New Roman"/>
                <w:bCs/>
                <w:color w:val="auto"/>
                <w:szCs w:val="21"/>
                <w:highlight w:val="none"/>
              </w:rPr>
              <w:t>。</w:t>
            </w:r>
          </w:p>
        </w:tc>
      </w:tr>
      <w:tr w14:paraId="0877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0CD20E49">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8255" w:type="dxa"/>
            <w:gridSpan w:val="5"/>
            <w:tcBorders>
              <w:top w:val="single" w:color="auto" w:sz="4" w:space="0"/>
              <w:left w:val="single" w:color="auto" w:sz="4" w:space="0"/>
              <w:bottom w:val="single" w:color="auto" w:sz="4" w:space="0"/>
              <w:right w:val="single" w:color="auto" w:sz="4" w:space="0"/>
            </w:tcBorders>
            <w:noWrap w:val="0"/>
            <w:vAlign w:val="top"/>
          </w:tcPr>
          <w:p w14:paraId="094102B4">
            <w:pPr>
              <w:keepNext w:val="0"/>
              <w:keepLines w:val="0"/>
              <w:pageBreakBefore w:val="0"/>
              <w:widowControl w:val="0"/>
              <w:shd w:val="clear"/>
              <w:kinsoku/>
              <w:wordWrap w:val="0"/>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rPr>
            </w:pPr>
            <w:r>
              <w:rPr>
                <w:rFonts w:hint="eastAsia" w:ascii="宋体" w:hAnsi="宋体" w:cs="宋体"/>
                <w:bCs/>
                <w:color w:val="auto"/>
                <w:szCs w:val="21"/>
                <w:highlight w:val="none"/>
              </w:rPr>
              <w:t>本项目所涉及的货物不接受进口产品（即通过中国海关报关验放进入中国境内且产自关境外的产品）参与</w:t>
            </w:r>
            <w:r>
              <w:rPr>
                <w:rFonts w:hint="eastAsia" w:ascii="宋体" w:hAnsi="宋体" w:cs="宋体"/>
                <w:b/>
                <w:color w:val="auto"/>
                <w:szCs w:val="21"/>
                <w:highlight w:val="none"/>
                <w:lang w:eastAsia="zh-CN"/>
              </w:rPr>
              <w:t>竞标</w:t>
            </w:r>
            <w:r>
              <w:rPr>
                <w:rFonts w:hint="eastAsia" w:ascii="宋体" w:hAnsi="宋体" w:cs="宋体"/>
                <w:bCs/>
                <w:color w:val="auto"/>
                <w:szCs w:val="21"/>
                <w:highlight w:val="none"/>
              </w:rPr>
              <w:t>，</w:t>
            </w:r>
            <w:r>
              <w:rPr>
                <w:rFonts w:hint="eastAsia" w:ascii="宋体" w:hAnsi="宋体" w:cs="宋体"/>
                <w:b/>
                <w:color w:val="auto"/>
                <w:szCs w:val="21"/>
                <w:highlight w:val="none"/>
              </w:rPr>
              <w:t>如有进口产品参与</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的作无效</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处理</w:t>
            </w:r>
            <w:r>
              <w:rPr>
                <w:rFonts w:hint="eastAsia" w:ascii="宋体" w:hAnsi="宋体" w:cs="宋体"/>
                <w:bCs/>
                <w:color w:val="auto"/>
                <w:szCs w:val="21"/>
                <w:highlight w:val="none"/>
              </w:rPr>
              <w:t>。</w:t>
            </w:r>
          </w:p>
        </w:tc>
      </w:tr>
      <w:tr w14:paraId="6A6F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2" w:type="dxa"/>
            <w:gridSpan w:val="3"/>
            <w:tcBorders>
              <w:top w:val="single" w:color="auto" w:sz="4" w:space="0"/>
              <w:left w:val="single" w:color="auto" w:sz="4" w:space="0"/>
              <w:bottom w:val="single" w:color="auto" w:sz="4" w:space="0"/>
              <w:right w:val="single" w:color="auto" w:sz="4" w:space="0"/>
            </w:tcBorders>
            <w:noWrap w:val="0"/>
            <w:vAlign w:val="center"/>
          </w:tcPr>
          <w:p w14:paraId="37F59DC8">
            <w:pPr>
              <w:keepNext w:val="0"/>
              <w:keepLines w:val="0"/>
              <w:pageBreakBefore w:val="0"/>
              <w:shd w:val="clear"/>
              <w:kinsoku/>
              <w:wordWrap w:val="0"/>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w:t>
            </w:r>
          </w:p>
        </w:tc>
        <w:tc>
          <w:tcPr>
            <w:tcW w:w="8255" w:type="dxa"/>
            <w:gridSpan w:val="5"/>
            <w:tcBorders>
              <w:top w:val="single" w:color="auto" w:sz="4" w:space="0"/>
              <w:left w:val="single" w:color="auto" w:sz="4" w:space="0"/>
              <w:bottom w:val="single" w:color="auto" w:sz="4" w:space="0"/>
              <w:right w:val="single" w:color="auto" w:sz="4" w:space="0"/>
            </w:tcBorders>
            <w:noWrap w:val="0"/>
            <w:vAlign w:val="top"/>
          </w:tcPr>
          <w:p w14:paraId="5125D928">
            <w:pPr>
              <w:keepNext w:val="0"/>
              <w:keepLines w:val="0"/>
              <w:pageBreakBefore w:val="0"/>
              <w:widowControl w:val="0"/>
              <w:shd w:val="clear" w:color="auto" w:fill="auto"/>
              <w:kinsoku/>
              <w:overflowPunct/>
              <w:topLinePunct w:val="0"/>
              <w:autoSpaceDE/>
              <w:autoSpaceDN/>
              <w:bidi w:val="0"/>
              <w:adjustRightInd/>
              <w:snapToGrid/>
              <w:spacing w:line="300" w:lineRule="auto"/>
              <w:textAlignment w:val="auto"/>
              <w:rPr>
                <w:rFonts w:ascii="新宋体" w:hAnsi="Calibri" w:eastAsia="新宋体" w:cs="Times New Roman"/>
                <w:color w:val="auto"/>
                <w:szCs w:val="21"/>
                <w:highlight w:val="none"/>
              </w:rPr>
            </w:pPr>
            <w:r>
              <w:rPr>
                <w:rFonts w:hint="eastAsia" w:ascii="宋体" w:hAnsi="宋体" w:eastAsia="宋体" w:cs="宋体"/>
                <w:bCs/>
                <w:color w:val="auto"/>
                <w:szCs w:val="21"/>
                <w:highlight w:val="none"/>
              </w:rPr>
              <w:t>1.</w:t>
            </w:r>
            <w:r>
              <w:rPr>
                <w:rFonts w:ascii="宋体" w:hAnsi="宋体" w:eastAsia="宋体" w:cs="宋体"/>
                <w:bCs/>
                <w:color w:val="auto"/>
                <w:szCs w:val="21"/>
                <w:highlight w:val="none"/>
              </w:rPr>
              <w:t>本项目</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采购需求表</w:t>
            </w:r>
            <w:r>
              <w:rPr>
                <w:rFonts w:hint="eastAsia" w:ascii="宋体" w:hAnsi="宋体" w:eastAsia="宋体" w:cs="宋体"/>
                <w:bCs/>
                <w:color w:val="auto"/>
                <w:szCs w:val="21"/>
                <w:highlight w:val="none"/>
              </w:rPr>
              <w:t>”</w:t>
            </w:r>
            <w:r>
              <w:rPr>
                <w:rFonts w:ascii="宋体" w:hAnsi="宋体" w:eastAsia="宋体" w:cs="宋体"/>
                <w:b/>
                <w:bCs w:val="0"/>
                <w:color w:val="auto"/>
                <w:szCs w:val="21"/>
                <w:highlight w:val="none"/>
              </w:rPr>
              <w:t>第</w:t>
            </w:r>
            <w:r>
              <w:rPr>
                <w:rFonts w:ascii="宋体" w:hAnsi="宋体" w:eastAsia="宋体" w:cs="宋体"/>
                <w:b/>
                <w:bCs w:val="0"/>
                <w:color w:val="auto"/>
                <w:szCs w:val="21"/>
                <w:highlight w:val="none"/>
                <w:u w:val="single"/>
              </w:rPr>
              <w:t xml:space="preserve"> </w:t>
            </w:r>
            <w:r>
              <w:rPr>
                <w:rFonts w:hint="eastAsia" w:ascii="宋体" w:hAnsi="宋体" w:eastAsia="宋体" w:cs="宋体"/>
                <w:b/>
                <w:bCs w:val="0"/>
                <w:color w:val="auto"/>
                <w:szCs w:val="21"/>
                <w:highlight w:val="none"/>
                <w:u w:val="single"/>
              </w:rPr>
              <w:t xml:space="preserve"> </w:t>
            </w:r>
            <w:r>
              <w:rPr>
                <w:rFonts w:hint="eastAsia" w:ascii="宋体" w:hAnsi="宋体" w:eastAsia="宋体" w:cs="宋体"/>
                <w:b/>
                <w:bCs w:val="0"/>
                <w:color w:val="auto"/>
                <w:szCs w:val="21"/>
                <w:highlight w:val="none"/>
                <w:u w:val="single"/>
                <w:lang w:val="en-US" w:eastAsia="zh-CN"/>
              </w:rPr>
              <w:t xml:space="preserve">4 </w:t>
            </w:r>
            <w:r>
              <w:rPr>
                <w:rFonts w:ascii="宋体" w:hAnsi="宋体" w:eastAsia="宋体" w:cs="宋体"/>
                <w:b/>
                <w:bCs w:val="0"/>
                <w:color w:val="auto"/>
                <w:szCs w:val="21"/>
                <w:highlight w:val="none"/>
                <w:u w:val="single"/>
              </w:rPr>
              <w:t xml:space="preserve"> </w:t>
            </w:r>
            <w:r>
              <w:rPr>
                <w:rFonts w:ascii="宋体" w:hAnsi="宋体" w:eastAsia="宋体" w:cs="宋体"/>
                <w:b/>
                <w:bCs w:val="0"/>
                <w:color w:val="auto"/>
                <w:szCs w:val="21"/>
                <w:highlight w:val="none"/>
              </w:rPr>
              <w:t>项“</w:t>
            </w:r>
            <w:r>
              <w:rPr>
                <w:rFonts w:hint="eastAsia" w:ascii="宋体" w:hAnsi="宋体" w:eastAsia="宋体" w:cs="宋体"/>
                <w:b/>
                <w:bCs w:val="0"/>
                <w:color w:val="auto"/>
                <w:szCs w:val="21"/>
                <w:highlight w:val="none"/>
                <w:u w:val="single"/>
                <w:lang w:val="en-US" w:eastAsia="zh-CN"/>
              </w:rPr>
              <w:t xml:space="preserve"> AI智能一体化教学终端</w:t>
            </w:r>
            <w:r>
              <w:rPr>
                <w:rFonts w:hint="eastAsia" w:ascii="宋体" w:hAnsi="宋体" w:eastAsia="宋体" w:cs="宋体"/>
                <w:b/>
                <w:bCs w:val="0"/>
                <w:color w:val="auto"/>
                <w:szCs w:val="21"/>
                <w:highlight w:val="none"/>
                <w:u w:val="single"/>
              </w:rPr>
              <w:t xml:space="preserve"> </w:t>
            </w:r>
            <w:r>
              <w:rPr>
                <w:rFonts w:ascii="宋体" w:hAnsi="宋体" w:eastAsia="宋体" w:cs="宋体"/>
                <w:bCs/>
                <w:color w:val="auto"/>
                <w:szCs w:val="21"/>
                <w:highlight w:val="none"/>
              </w:rPr>
              <w:t>”作为核心产品。</w:t>
            </w:r>
            <w:r>
              <w:rPr>
                <w:rFonts w:hint="eastAsia" w:ascii="新宋体" w:hAnsi="Calibri" w:eastAsia="新宋体" w:cs="Times New Roman"/>
                <w:color w:val="auto"/>
                <w:szCs w:val="21"/>
                <w:highlight w:val="none"/>
              </w:rPr>
              <w:t>（核心产品品牌相同的，视为提供同品牌产品）</w:t>
            </w:r>
          </w:p>
          <w:p w14:paraId="0C76D25C">
            <w:pPr>
              <w:keepNext w:val="0"/>
              <w:keepLines w:val="0"/>
              <w:pageBreakBefore w:val="0"/>
              <w:widowControl w:val="0"/>
              <w:shd w:val="clear"/>
              <w:kinsoku/>
              <w:wordWrap w:val="0"/>
              <w:overflowPunct/>
              <w:topLinePunct w:val="0"/>
              <w:autoSpaceDE/>
              <w:autoSpaceDN/>
              <w:bidi w:val="0"/>
              <w:adjustRightInd/>
              <w:snapToGrid/>
              <w:spacing w:line="300" w:lineRule="auto"/>
              <w:textAlignment w:val="auto"/>
              <w:rPr>
                <w:rFonts w:hint="eastAsia" w:ascii="宋体" w:hAnsi="宋体" w:cs="宋体"/>
                <w:bCs/>
                <w:color w:val="auto"/>
                <w:szCs w:val="21"/>
                <w:highlight w:val="none"/>
              </w:rPr>
            </w:pPr>
            <w:r>
              <w:rPr>
                <w:rFonts w:hint="eastAsia" w:ascii="新宋体" w:hAnsi="Calibri" w:eastAsia="新宋体" w:cs="Times New Roman"/>
                <w:color w:val="auto"/>
                <w:szCs w:val="21"/>
                <w:highlight w:val="none"/>
              </w:rPr>
              <w:t>注：</w:t>
            </w:r>
            <w:r>
              <w:rPr>
                <w:rFonts w:hint="eastAsia" w:ascii="新宋体" w:eastAsia="新宋体"/>
                <w:color w:val="auto"/>
                <w:szCs w:val="21"/>
                <w:highlight w:val="none"/>
              </w:rPr>
              <w:t>提供相同品牌产品且通过资格审查、符合性审查的不同</w:t>
            </w:r>
            <w:r>
              <w:rPr>
                <w:rFonts w:hint="eastAsia" w:ascii="新宋体" w:eastAsia="新宋体"/>
                <w:color w:val="auto"/>
                <w:szCs w:val="21"/>
                <w:highlight w:val="none"/>
                <w:lang w:eastAsia="zh-CN"/>
              </w:rPr>
              <w:t>竞标人</w:t>
            </w:r>
            <w:r>
              <w:rPr>
                <w:rFonts w:hint="eastAsia" w:ascii="新宋体" w:eastAsia="新宋体"/>
                <w:color w:val="auto"/>
                <w:szCs w:val="21"/>
                <w:highlight w:val="none"/>
              </w:rPr>
              <w:t>参加同一合同项下</w:t>
            </w:r>
            <w:r>
              <w:rPr>
                <w:rFonts w:hint="eastAsia" w:ascii="新宋体" w:eastAsia="新宋体"/>
                <w:color w:val="auto"/>
                <w:szCs w:val="21"/>
                <w:highlight w:val="none"/>
                <w:lang w:eastAsia="zh-CN"/>
              </w:rPr>
              <w:t>竞标</w:t>
            </w:r>
            <w:r>
              <w:rPr>
                <w:rFonts w:hint="eastAsia" w:ascii="新宋体" w:eastAsia="新宋体"/>
                <w:color w:val="auto"/>
                <w:szCs w:val="21"/>
                <w:highlight w:val="none"/>
              </w:rPr>
              <w:t>的，按一家</w:t>
            </w:r>
            <w:r>
              <w:rPr>
                <w:rFonts w:hint="eastAsia" w:ascii="新宋体" w:eastAsia="新宋体"/>
                <w:color w:val="auto"/>
                <w:szCs w:val="21"/>
                <w:highlight w:val="none"/>
                <w:lang w:eastAsia="zh-CN"/>
              </w:rPr>
              <w:t>竞标人</w:t>
            </w:r>
            <w:r>
              <w:rPr>
                <w:rFonts w:hint="eastAsia" w:ascii="新宋体" w:eastAsia="新宋体"/>
                <w:color w:val="auto"/>
                <w:szCs w:val="21"/>
                <w:highlight w:val="none"/>
              </w:rPr>
              <w:t>计算，评审后得分最高的同品牌</w:t>
            </w:r>
            <w:r>
              <w:rPr>
                <w:rFonts w:hint="eastAsia" w:ascii="新宋体" w:eastAsia="新宋体"/>
                <w:color w:val="auto"/>
                <w:szCs w:val="21"/>
                <w:highlight w:val="none"/>
                <w:lang w:eastAsia="zh-CN"/>
              </w:rPr>
              <w:t>竞标人</w:t>
            </w:r>
            <w:r>
              <w:rPr>
                <w:rFonts w:hint="eastAsia" w:ascii="新宋体" w:eastAsia="新宋体"/>
                <w:color w:val="auto"/>
                <w:szCs w:val="21"/>
                <w:highlight w:val="none"/>
              </w:rPr>
              <w:t>获得</w:t>
            </w:r>
            <w:r>
              <w:rPr>
                <w:rFonts w:hint="eastAsia" w:ascii="新宋体" w:hAnsi="Calibri" w:eastAsia="新宋体" w:cs="Times New Roman"/>
                <w:color w:val="auto"/>
                <w:szCs w:val="21"/>
                <w:highlight w:val="none"/>
                <w:lang w:eastAsia="zh-CN"/>
              </w:rPr>
              <w:t>成交供应商</w:t>
            </w:r>
            <w:r>
              <w:rPr>
                <w:rFonts w:hint="eastAsia" w:ascii="新宋体" w:hAnsi="Calibri" w:eastAsia="新宋体" w:cs="Times New Roman"/>
                <w:color w:val="auto"/>
                <w:szCs w:val="21"/>
                <w:highlight w:val="none"/>
              </w:rPr>
              <w:t>推荐资格；</w:t>
            </w:r>
            <w:r>
              <w:rPr>
                <w:rFonts w:hint="eastAsia" w:ascii="新宋体" w:eastAsia="新宋体"/>
                <w:color w:val="auto"/>
                <w:szCs w:val="21"/>
                <w:highlight w:val="none"/>
              </w:rPr>
              <w:t>评审得分相同的，由采购人或者采购人委托评标委员会按照招标文件规定的方式</w:t>
            </w:r>
            <w:r>
              <w:rPr>
                <w:rFonts w:hint="eastAsia" w:ascii="宋体" w:hAnsi="宋体"/>
                <w:color w:val="auto"/>
                <w:szCs w:val="21"/>
                <w:highlight w:val="none"/>
              </w:rPr>
              <w:t>（报价低优先、按技术指标优劣）</w:t>
            </w:r>
            <w:r>
              <w:rPr>
                <w:rFonts w:hint="eastAsia" w:ascii="新宋体" w:eastAsia="新宋体"/>
                <w:color w:val="auto"/>
                <w:szCs w:val="21"/>
                <w:highlight w:val="none"/>
              </w:rPr>
              <w:t>确定一个</w:t>
            </w:r>
            <w:r>
              <w:rPr>
                <w:rFonts w:hint="eastAsia" w:ascii="新宋体" w:eastAsia="新宋体"/>
                <w:color w:val="auto"/>
                <w:szCs w:val="21"/>
                <w:highlight w:val="none"/>
                <w:lang w:eastAsia="zh-CN"/>
              </w:rPr>
              <w:t>竞标人</w:t>
            </w:r>
            <w:r>
              <w:rPr>
                <w:rFonts w:hint="eastAsia" w:ascii="新宋体" w:eastAsia="新宋体"/>
                <w:color w:val="auto"/>
                <w:szCs w:val="21"/>
                <w:highlight w:val="none"/>
              </w:rPr>
              <w:t>获得</w:t>
            </w:r>
            <w:r>
              <w:rPr>
                <w:rFonts w:hint="eastAsia" w:ascii="新宋体" w:hAnsi="Calibri" w:eastAsia="新宋体" w:cs="Times New Roman"/>
                <w:color w:val="auto"/>
                <w:szCs w:val="21"/>
                <w:highlight w:val="none"/>
                <w:lang w:eastAsia="zh-CN"/>
              </w:rPr>
              <w:t>成交供应商</w:t>
            </w:r>
            <w:r>
              <w:rPr>
                <w:rFonts w:hint="eastAsia" w:ascii="新宋体" w:hAnsi="Calibri" w:eastAsia="新宋体" w:cs="Times New Roman"/>
                <w:color w:val="auto"/>
                <w:szCs w:val="21"/>
                <w:highlight w:val="none"/>
              </w:rPr>
              <w:t>推荐资格，</w:t>
            </w:r>
            <w:r>
              <w:rPr>
                <w:rFonts w:hint="eastAsia" w:ascii="新宋体" w:hAnsi="Calibri" w:eastAsia="新宋体" w:cs="Times New Roman"/>
                <w:color w:val="auto"/>
                <w:szCs w:val="21"/>
                <w:highlight w:val="none"/>
                <w:lang w:eastAsia="zh-CN"/>
              </w:rPr>
              <w:t>采购</w:t>
            </w:r>
            <w:r>
              <w:rPr>
                <w:rFonts w:hint="eastAsia" w:ascii="新宋体" w:hAnsi="Calibri" w:eastAsia="新宋体" w:cs="Times New Roman"/>
                <w:color w:val="auto"/>
                <w:szCs w:val="21"/>
                <w:highlight w:val="none"/>
              </w:rPr>
              <w:t>文件</w:t>
            </w:r>
            <w:r>
              <w:rPr>
                <w:rFonts w:hint="eastAsia" w:ascii="新宋体" w:eastAsia="新宋体"/>
                <w:color w:val="auto"/>
                <w:szCs w:val="21"/>
                <w:highlight w:val="none"/>
              </w:rPr>
              <w:t>未规定的采取随机抽取方式确定，其他同品牌</w:t>
            </w:r>
            <w:r>
              <w:rPr>
                <w:rFonts w:hint="eastAsia" w:ascii="新宋体" w:eastAsia="新宋体"/>
                <w:color w:val="auto"/>
                <w:szCs w:val="21"/>
                <w:highlight w:val="none"/>
                <w:lang w:eastAsia="zh-CN"/>
              </w:rPr>
              <w:t>竞标人</w:t>
            </w:r>
            <w:r>
              <w:rPr>
                <w:rFonts w:hint="eastAsia" w:ascii="新宋体" w:eastAsia="新宋体"/>
                <w:color w:val="auto"/>
                <w:szCs w:val="21"/>
                <w:highlight w:val="none"/>
              </w:rPr>
              <w:t>不作为</w:t>
            </w:r>
            <w:r>
              <w:rPr>
                <w:rFonts w:hint="eastAsia" w:ascii="新宋体" w:hAnsi="Calibri" w:eastAsia="新宋体" w:cs="Times New Roman"/>
                <w:color w:val="auto"/>
                <w:szCs w:val="21"/>
                <w:highlight w:val="none"/>
                <w:lang w:eastAsia="zh-CN"/>
              </w:rPr>
              <w:t>成交</w:t>
            </w:r>
            <w:r>
              <w:rPr>
                <w:rFonts w:hint="eastAsia" w:ascii="新宋体" w:hAnsi="Calibri" w:eastAsia="新宋体" w:cs="Times New Roman"/>
                <w:color w:val="auto"/>
                <w:szCs w:val="21"/>
                <w:highlight w:val="none"/>
              </w:rPr>
              <w:t>候选人。</w:t>
            </w:r>
          </w:p>
        </w:tc>
      </w:tr>
    </w:tbl>
    <w:p w14:paraId="2F2CAA6F">
      <w:pPr>
        <w:shd w:val="clear"/>
        <w:rPr>
          <w:rFonts w:ascii="宋体" w:hAnsi="宋体" w:eastAsia="宋体" w:cs="宋体"/>
          <w:color w:val="auto"/>
          <w:sz w:val="30"/>
          <w:szCs w:val="30"/>
          <w:highlight w:val="none"/>
        </w:rPr>
      </w:pPr>
    </w:p>
    <w:p w14:paraId="50AC0831">
      <w:pPr>
        <w:shd w:val="clear"/>
        <w:spacing w:line="240" w:lineRule="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p>
    <w:p w14:paraId="1C5CB00E">
      <w:pPr>
        <w:shd w:val="clear"/>
        <w:spacing w:line="428" w:lineRule="exact"/>
        <w:rPr>
          <w:rFonts w:ascii="宋体" w:hAnsi="宋体" w:eastAsia="宋体" w:cs="宋体"/>
          <w:color w:val="auto"/>
          <w:sz w:val="17"/>
          <w:szCs w:val="17"/>
          <w:highlight w:val="none"/>
        </w:rPr>
      </w:pPr>
      <w:r>
        <w:rPr>
          <w:rFonts w:hint="eastAsia" w:ascii="宋体" w:hAnsi="宋体" w:eastAsia="宋体" w:cs="宋体"/>
          <w:color w:val="auto"/>
          <w:sz w:val="30"/>
          <w:szCs w:val="30"/>
          <w:highlight w:val="none"/>
        </w:rPr>
        <w:t>附件1：</w:t>
      </w:r>
    </w:p>
    <w:p w14:paraId="52CC350F">
      <w:pPr>
        <w:shd w:val="clear"/>
        <w:jc w:val="center"/>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节能产品政府采购品目清单</w:t>
      </w:r>
    </w:p>
    <w:tbl>
      <w:tblPr>
        <w:tblStyle w:val="4"/>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024"/>
        <w:gridCol w:w="1516"/>
        <w:gridCol w:w="1612"/>
        <w:gridCol w:w="4335"/>
      </w:tblGrid>
      <w:tr w14:paraId="3FB9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3" w:type="dxa"/>
          </w:tcPr>
          <w:p w14:paraId="7D4D2B1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品目序号</w:t>
            </w:r>
          </w:p>
        </w:tc>
        <w:tc>
          <w:tcPr>
            <w:tcW w:w="4152" w:type="dxa"/>
            <w:gridSpan w:val="3"/>
            <w:vAlign w:val="center"/>
          </w:tcPr>
          <w:p w14:paraId="1DBC0AB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4335" w:type="dxa"/>
            <w:vAlign w:val="center"/>
          </w:tcPr>
          <w:p w14:paraId="2B2C5764">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依据的标准</w:t>
            </w:r>
          </w:p>
        </w:tc>
      </w:tr>
      <w:tr w14:paraId="33D8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restart"/>
            <w:vAlign w:val="center"/>
          </w:tcPr>
          <w:p w14:paraId="29F1010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024" w:type="dxa"/>
            <w:vMerge w:val="restart"/>
            <w:vAlign w:val="center"/>
          </w:tcPr>
          <w:p w14:paraId="6E297ED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A020101计算机设备</w:t>
            </w:r>
          </w:p>
        </w:tc>
        <w:tc>
          <w:tcPr>
            <w:tcW w:w="1516" w:type="dxa"/>
            <w:vAlign w:val="center"/>
          </w:tcPr>
          <w:p w14:paraId="7A8DB8C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★A02010104台式计算机</w:t>
            </w:r>
          </w:p>
        </w:tc>
        <w:tc>
          <w:tcPr>
            <w:tcW w:w="1612" w:type="dxa"/>
            <w:vAlign w:val="center"/>
          </w:tcPr>
          <w:p w14:paraId="4DFAD9C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2B4071C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71E8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602E31F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2617C67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52AE0825">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★A02010105便携式计算机</w:t>
            </w:r>
          </w:p>
        </w:tc>
        <w:tc>
          <w:tcPr>
            <w:tcW w:w="1612" w:type="dxa"/>
            <w:vAlign w:val="center"/>
          </w:tcPr>
          <w:p w14:paraId="7482295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5C43FEE1">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6C70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0F711C8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46932F4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1A9525B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★A02010107平板式微型计算机</w:t>
            </w:r>
          </w:p>
        </w:tc>
        <w:tc>
          <w:tcPr>
            <w:tcW w:w="1612" w:type="dxa"/>
            <w:vAlign w:val="center"/>
          </w:tcPr>
          <w:p w14:paraId="29658BF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686A980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589E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restart"/>
            <w:vAlign w:val="center"/>
          </w:tcPr>
          <w:p w14:paraId="44FEE59A">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024" w:type="dxa"/>
            <w:vMerge w:val="restart"/>
            <w:vAlign w:val="center"/>
          </w:tcPr>
          <w:p w14:paraId="7CE3452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A020106输入输出设备</w:t>
            </w:r>
          </w:p>
        </w:tc>
        <w:tc>
          <w:tcPr>
            <w:tcW w:w="1516" w:type="dxa"/>
            <w:vMerge w:val="restart"/>
            <w:vAlign w:val="center"/>
          </w:tcPr>
          <w:p w14:paraId="6D63B22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A02010601打印设备</w:t>
            </w:r>
          </w:p>
        </w:tc>
        <w:tc>
          <w:tcPr>
            <w:tcW w:w="1612" w:type="dxa"/>
            <w:vAlign w:val="center"/>
          </w:tcPr>
          <w:p w14:paraId="642EEDD5">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A0201060101喷墨打印机</w:t>
            </w:r>
          </w:p>
        </w:tc>
        <w:tc>
          <w:tcPr>
            <w:tcW w:w="4335" w:type="dxa"/>
            <w:vAlign w:val="center"/>
          </w:tcPr>
          <w:p w14:paraId="790D749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775B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583CD13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4D74915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5265C128">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501DF4E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★A0201060102激光打印机</w:t>
            </w:r>
          </w:p>
        </w:tc>
        <w:tc>
          <w:tcPr>
            <w:tcW w:w="4335" w:type="dxa"/>
            <w:vAlign w:val="center"/>
          </w:tcPr>
          <w:p w14:paraId="161C1D3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2265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5ABA04F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30C0B09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0BD86C9F">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6CD5845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★A0201060104针式打印机</w:t>
            </w:r>
          </w:p>
        </w:tc>
        <w:tc>
          <w:tcPr>
            <w:tcW w:w="4335" w:type="dxa"/>
            <w:vAlign w:val="center"/>
          </w:tcPr>
          <w:p w14:paraId="6F0FF69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0415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6F6BB44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62B65EA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4E972DED">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A02010604显示设备</w:t>
            </w:r>
          </w:p>
        </w:tc>
        <w:tc>
          <w:tcPr>
            <w:tcW w:w="1612" w:type="dxa"/>
            <w:vAlign w:val="center"/>
          </w:tcPr>
          <w:p w14:paraId="770A582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★A0201060401液晶显示器</w:t>
            </w:r>
          </w:p>
        </w:tc>
        <w:tc>
          <w:tcPr>
            <w:tcW w:w="4335" w:type="dxa"/>
            <w:vAlign w:val="center"/>
          </w:tcPr>
          <w:p w14:paraId="1FF86820">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《计算机显示器能效限定值及能效等级》（GB21520）</w:t>
            </w:r>
          </w:p>
        </w:tc>
      </w:tr>
      <w:tr w14:paraId="65CC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33" w:type="dxa"/>
            <w:vMerge w:val="continue"/>
            <w:vAlign w:val="center"/>
          </w:tcPr>
          <w:p w14:paraId="09D4FF8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33D837E6">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7353A51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A02010609图形图像输入设备</w:t>
            </w:r>
          </w:p>
        </w:tc>
        <w:tc>
          <w:tcPr>
            <w:tcW w:w="1612" w:type="dxa"/>
            <w:vAlign w:val="center"/>
          </w:tcPr>
          <w:p w14:paraId="0CFCB50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A0201060901扫描仪</w:t>
            </w:r>
          </w:p>
        </w:tc>
        <w:tc>
          <w:tcPr>
            <w:tcW w:w="4335" w:type="dxa"/>
            <w:vAlign w:val="center"/>
          </w:tcPr>
          <w:p w14:paraId="302769C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参照《复印机、打印机和传真机能效限定值及能效等级》GB21521中打印速度为15页/分的针式打印机相关要求中打印速度为15页/分的针式打印机相关要求</w:t>
            </w:r>
          </w:p>
        </w:tc>
      </w:tr>
      <w:tr w14:paraId="5A61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2BED1E3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024" w:type="dxa"/>
            <w:vAlign w:val="center"/>
          </w:tcPr>
          <w:p w14:paraId="59B45D3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A020202投影仪</w:t>
            </w:r>
          </w:p>
        </w:tc>
        <w:tc>
          <w:tcPr>
            <w:tcW w:w="1516" w:type="dxa"/>
            <w:vAlign w:val="center"/>
          </w:tcPr>
          <w:p w14:paraId="2B7C6FF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46C675B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3E7F742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《投影机能效限定值及能效等级》（GB32028）</w:t>
            </w:r>
          </w:p>
        </w:tc>
      </w:tr>
      <w:tr w14:paraId="62A0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7DE9B9A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024" w:type="dxa"/>
            <w:vAlign w:val="center"/>
          </w:tcPr>
          <w:p w14:paraId="7C8BDB7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A020204多功能一体机</w:t>
            </w:r>
          </w:p>
        </w:tc>
        <w:tc>
          <w:tcPr>
            <w:tcW w:w="1516" w:type="dxa"/>
            <w:vAlign w:val="center"/>
          </w:tcPr>
          <w:p w14:paraId="6B15631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5E978FF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3F788FB0">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48FE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5DEDDEF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024" w:type="dxa"/>
            <w:vAlign w:val="center"/>
          </w:tcPr>
          <w:p w14:paraId="2632DEC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A020519泵</w:t>
            </w:r>
          </w:p>
        </w:tc>
        <w:tc>
          <w:tcPr>
            <w:tcW w:w="1516" w:type="dxa"/>
            <w:vAlign w:val="center"/>
          </w:tcPr>
          <w:p w14:paraId="2B80C8A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A02051901离心泵</w:t>
            </w:r>
          </w:p>
        </w:tc>
        <w:tc>
          <w:tcPr>
            <w:tcW w:w="1612" w:type="dxa"/>
            <w:vAlign w:val="center"/>
          </w:tcPr>
          <w:p w14:paraId="01562E7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2BAD6AB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《清水离心泵能效限定值及节能评价值》（GB19762）</w:t>
            </w:r>
          </w:p>
        </w:tc>
      </w:tr>
      <w:tr w14:paraId="0E71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restart"/>
            <w:vAlign w:val="center"/>
          </w:tcPr>
          <w:p w14:paraId="59F90A3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024" w:type="dxa"/>
            <w:vMerge w:val="restart"/>
            <w:vAlign w:val="center"/>
          </w:tcPr>
          <w:p w14:paraId="15CBC9F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A020523制冷空调设备</w:t>
            </w:r>
          </w:p>
        </w:tc>
        <w:tc>
          <w:tcPr>
            <w:tcW w:w="1516" w:type="dxa"/>
            <w:vMerge w:val="restart"/>
            <w:vAlign w:val="center"/>
          </w:tcPr>
          <w:p w14:paraId="7696868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★A02052301制冷压缩机</w:t>
            </w:r>
          </w:p>
        </w:tc>
        <w:tc>
          <w:tcPr>
            <w:tcW w:w="1612" w:type="dxa"/>
            <w:vAlign w:val="center"/>
          </w:tcPr>
          <w:p w14:paraId="0DCFE53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w:t>
            </w:r>
          </w:p>
        </w:tc>
        <w:tc>
          <w:tcPr>
            <w:tcW w:w="4335" w:type="dxa"/>
            <w:vAlign w:val="center"/>
          </w:tcPr>
          <w:p w14:paraId="2FFCAFC6">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《冷水机组能效限定值及能效等级》（GB19577），《低环境温度空气源热泵（冷水）机组能效限定值及能效等级》（GB37480）</w:t>
            </w:r>
          </w:p>
        </w:tc>
      </w:tr>
      <w:tr w14:paraId="103A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1AB1490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7FD9C7BD">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1FAB334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1DDF004A">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水源热泵机组</w:t>
            </w:r>
          </w:p>
        </w:tc>
        <w:tc>
          <w:tcPr>
            <w:tcW w:w="4335" w:type="dxa"/>
            <w:vAlign w:val="center"/>
          </w:tcPr>
          <w:p w14:paraId="56CAE0B8">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《水（地）源热泵机组能效限定值及能效等级》（GB30721）</w:t>
            </w:r>
          </w:p>
        </w:tc>
      </w:tr>
      <w:tr w14:paraId="3AAF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16B8441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2D7EB08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651A943F">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32E7CB7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w:t>
            </w:r>
          </w:p>
        </w:tc>
        <w:tc>
          <w:tcPr>
            <w:tcW w:w="4335" w:type="dxa"/>
            <w:vAlign w:val="center"/>
          </w:tcPr>
          <w:p w14:paraId="63334026">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《溴化锂吸收式冷水机组能效限定值及能效等级》（GB29540）</w:t>
            </w:r>
          </w:p>
        </w:tc>
      </w:tr>
      <w:tr w14:paraId="042C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50A0D03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2A15450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restart"/>
            <w:vAlign w:val="center"/>
          </w:tcPr>
          <w:p w14:paraId="63C01F5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★A02052305空调机组</w:t>
            </w:r>
          </w:p>
        </w:tc>
        <w:tc>
          <w:tcPr>
            <w:tcW w:w="1612" w:type="dxa"/>
            <w:vAlign w:val="center"/>
          </w:tcPr>
          <w:p w14:paraId="265C31A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多联式空调（热泵）机组（制冷量&gt;14000W）</w:t>
            </w:r>
          </w:p>
        </w:tc>
        <w:tc>
          <w:tcPr>
            <w:tcW w:w="4335" w:type="dxa"/>
            <w:vAlign w:val="center"/>
          </w:tcPr>
          <w:p w14:paraId="2F3B1D3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4054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7F44E9A1">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E9E3C60">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3EC906A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6B89478F">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单元式空气调节机（制冷量&gt;14000W）</w:t>
            </w:r>
          </w:p>
        </w:tc>
        <w:tc>
          <w:tcPr>
            <w:tcW w:w="4335" w:type="dxa"/>
            <w:vAlign w:val="center"/>
          </w:tcPr>
          <w:p w14:paraId="72C2DAE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《单元式空气调节机能效限定值及能效等级》（GB19576）《风管送风式空调机组能效限定值及能效等级》（GB37479）</w:t>
            </w:r>
          </w:p>
        </w:tc>
      </w:tr>
      <w:tr w14:paraId="2C7D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71C49FF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7161A4D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4DF011A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★A02052309专用制冷、空调设备</w:t>
            </w:r>
          </w:p>
        </w:tc>
        <w:tc>
          <w:tcPr>
            <w:tcW w:w="1612" w:type="dxa"/>
            <w:vAlign w:val="center"/>
          </w:tcPr>
          <w:p w14:paraId="46E1501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机房空调</w:t>
            </w:r>
          </w:p>
        </w:tc>
        <w:tc>
          <w:tcPr>
            <w:tcW w:w="4335" w:type="dxa"/>
            <w:vAlign w:val="center"/>
          </w:tcPr>
          <w:p w14:paraId="0856A950">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w:t>
            </w:r>
          </w:p>
        </w:tc>
      </w:tr>
      <w:tr w14:paraId="3D3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0C5063A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483EA1B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5A7596CF">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A02052399其他制冷空调设备</w:t>
            </w:r>
          </w:p>
        </w:tc>
        <w:tc>
          <w:tcPr>
            <w:tcW w:w="1612" w:type="dxa"/>
            <w:vAlign w:val="center"/>
          </w:tcPr>
          <w:p w14:paraId="3F998AA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冷却塔</w:t>
            </w:r>
          </w:p>
        </w:tc>
        <w:tc>
          <w:tcPr>
            <w:tcW w:w="4335" w:type="dxa"/>
            <w:vAlign w:val="center"/>
          </w:tcPr>
          <w:p w14:paraId="1B3952A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《机械通风冷却塔第1部分：中小型开式冷却塔》（GB/T7190.1）；《机械通风冷却塔第2部分：大型开式冷却塔》（GB/T7190.2）</w:t>
            </w:r>
          </w:p>
        </w:tc>
      </w:tr>
      <w:tr w14:paraId="3089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10263FA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024" w:type="dxa"/>
            <w:vAlign w:val="center"/>
          </w:tcPr>
          <w:p w14:paraId="30382CE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A020601电机</w:t>
            </w:r>
          </w:p>
        </w:tc>
        <w:tc>
          <w:tcPr>
            <w:tcW w:w="1516" w:type="dxa"/>
            <w:vAlign w:val="center"/>
          </w:tcPr>
          <w:p w14:paraId="4FF5E68D">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5037B20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65A33B3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《中小型三相异步电动机能效限定值及能效等级》（GB18613）</w:t>
            </w:r>
          </w:p>
        </w:tc>
      </w:tr>
      <w:tr w14:paraId="6531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61B3211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024" w:type="dxa"/>
            <w:vAlign w:val="center"/>
          </w:tcPr>
          <w:p w14:paraId="7903ABE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A020602变压器</w:t>
            </w:r>
          </w:p>
        </w:tc>
        <w:tc>
          <w:tcPr>
            <w:tcW w:w="1516" w:type="dxa"/>
            <w:vAlign w:val="center"/>
          </w:tcPr>
          <w:p w14:paraId="379F1F8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配电变压器</w:t>
            </w:r>
          </w:p>
        </w:tc>
        <w:tc>
          <w:tcPr>
            <w:tcW w:w="1612" w:type="dxa"/>
            <w:vAlign w:val="center"/>
          </w:tcPr>
          <w:p w14:paraId="36389E9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428111F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《三相配电变压器能效限定值及能效等级》（GB20052）</w:t>
            </w:r>
          </w:p>
        </w:tc>
      </w:tr>
      <w:tr w14:paraId="7E4A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31830F3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024" w:type="dxa"/>
            <w:vAlign w:val="center"/>
          </w:tcPr>
          <w:p w14:paraId="5FF3B19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★A020609镇流器</w:t>
            </w:r>
          </w:p>
        </w:tc>
        <w:tc>
          <w:tcPr>
            <w:tcW w:w="1516" w:type="dxa"/>
            <w:vAlign w:val="center"/>
          </w:tcPr>
          <w:p w14:paraId="7EBE480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管型荧光灯镇流器</w:t>
            </w:r>
          </w:p>
        </w:tc>
        <w:tc>
          <w:tcPr>
            <w:tcW w:w="1612" w:type="dxa"/>
            <w:vAlign w:val="center"/>
          </w:tcPr>
          <w:p w14:paraId="4C32B1B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454A2F6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《管形荧光灯镇流器能效限定值及能效等级》（GB17896）</w:t>
            </w:r>
          </w:p>
        </w:tc>
      </w:tr>
      <w:tr w14:paraId="6777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restart"/>
            <w:vAlign w:val="center"/>
          </w:tcPr>
          <w:p w14:paraId="1DB51C2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024" w:type="dxa"/>
            <w:vMerge w:val="restart"/>
            <w:vAlign w:val="center"/>
          </w:tcPr>
          <w:p w14:paraId="44C1561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A020618生活用电器</w:t>
            </w:r>
          </w:p>
        </w:tc>
        <w:tc>
          <w:tcPr>
            <w:tcW w:w="1516" w:type="dxa"/>
            <w:vAlign w:val="center"/>
          </w:tcPr>
          <w:p w14:paraId="501C41B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A0206180101电冰箱</w:t>
            </w:r>
          </w:p>
        </w:tc>
        <w:tc>
          <w:tcPr>
            <w:tcW w:w="1612" w:type="dxa"/>
            <w:vAlign w:val="center"/>
          </w:tcPr>
          <w:p w14:paraId="391EE5B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78E6A901">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《家用电冰箱耗电量限定值及能效等级》（GB 12021.2）</w:t>
            </w:r>
          </w:p>
        </w:tc>
      </w:tr>
      <w:tr w14:paraId="70C8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33" w:type="dxa"/>
            <w:vMerge w:val="continue"/>
            <w:vAlign w:val="center"/>
          </w:tcPr>
          <w:p w14:paraId="383A880C">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E48635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restart"/>
            <w:vAlign w:val="center"/>
          </w:tcPr>
          <w:p w14:paraId="7A058EE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★A0206180203空调机</w:t>
            </w:r>
          </w:p>
        </w:tc>
        <w:tc>
          <w:tcPr>
            <w:tcW w:w="1612" w:type="dxa"/>
            <w:vAlign w:val="center"/>
          </w:tcPr>
          <w:p w14:paraId="46E692C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房间空气调节器</w:t>
            </w:r>
          </w:p>
        </w:tc>
        <w:tc>
          <w:tcPr>
            <w:tcW w:w="4335" w:type="dxa"/>
            <w:vAlign w:val="center"/>
          </w:tcPr>
          <w:p w14:paraId="312B807D">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《转速可控型房间空气调节器能效限定值及能效等级》（GB21455-2013），待2019年修订发布后，按《房间空气调节器能效限定值及能效等级》GB21455-2019实施。</w:t>
            </w:r>
          </w:p>
        </w:tc>
      </w:tr>
      <w:tr w14:paraId="5656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5092803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45F8701">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4B54763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1C237E5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 14000W）</w:t>
            </w:r>
          </w:p>
        </w:tc>
        <w:tc>
          <w:tcPr>
            <w:tcW w:w="4335" w:type="dxa"/>
            <w:vAlign w:val="center"/>
          </w:tcPr>
          <w:p w14:paraId="449EB74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2466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Merge w:val="continue"/>
            <w:vAlign w:val="center"/>
          </w:tcPr>
          <w:p w14:paraId="28A98D3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3D75EDD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49F49DE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7C712FE5">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单元式空气调节机（制冷量≤14000W）</w:t>
            </w:r>
          </w:p>
        </w:tc>
        <w:tc>
          <w:tcPr>
            <w:tcW w:w="4335" w:type="dxa"/>
            <w:vAlign w:val="center"/>
          </w:tcPr>
          <w:p w14:paraId="0D63167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《单元式空气调节机能效限定值及能源效率等级》（GB19576）《风管送风式空调机组能效限定值及能效等级》（GB37479）</w:t>
            </w:r>
          </w:p>
        </w:tc>
      </w:tr>
      <w:tr w14:paraId="4C1C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00F2C67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328A32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2817CE9A">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A0206180301洗衣机</w:t>
            </w:r>
          </w:p>
        </w:tc>
        <w:tc>
          <w:tcPr>
            <w:tcW w:w="1612" w:type="dxa"/>
            <w:vAlign w:val="center"/>
          </w:tcPr>
          <w:p w14:paraId="64A164D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18477C4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《电动洗衣机能效水效限定值及等级》（GB12021.4）</w:t>
            </w:r>
          </w:p>
        </w:tc>
      </w:tr>
      <w:tr w14:paraId="0E00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4B96B94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4B85DC8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restart"/>
            <w:vAlign w:val="center"/>
          </w:tcPr>
          <w:p w14:paraId="1551C06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A02061808热水器</w:t>
            </w:r>
          </w:p>
        </w:tc>
        <w:tc>
          <w:tcPr>
            <w:tcW w:w="1612" w:type="dxa"/>
            <w:vAlign w:val="center"/>
          </w:tcPr>
          <w:p w14:paraId="0977ED8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★电热水器</w:t>
            </w:r>
          </w:p>
        </w:tc>
        <w:tc>
          <w:tcPr>
            <w:tcW w:w="4335" w:type="dxa"/>
            <w:vAlign w:val="center"/>
          </w:tcPr>
          <w:p w14:paraId="32FCA10F">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《储水式电热水器能效限定值及能效等级》（GB21519）</w:t>
            </w:r>
          </w:p>
        </w:tc>
      </w:tr>
      <w:tr w14:paraId="73EF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766A4EE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2E88896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460FB506">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7F22F104">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燃气热水器</w:t>
            </w:r>
          </w:p>
        </w:tc>
        <w:tc>
          <w:tcPr>
            <w:tcW w:w="4335" w:type="dxa"/>
            <w:vAlign w:val="center"/>
          </w:tcPr>
          <w:p w14:paraId="7D90E96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《家用燃气快速热水器和燃气采暖热水炉能效限定值及能效等级》（GB20665）</w:t>
            </w:r>
          </w:p>
        </w:tc>
      </w:tr>
      <w:tr w14:paraId="274B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7FAA820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0054A18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7EF497F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3C93297B">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热泵热水器</w:t>
            </w:r>
          </w:p>
        </w:tc>
        <w:tc>
          <w:tcPr>
            <w:tcW w:w="4335" w:type="dxa"/>
            <w:vAlign w:val="center"/>
          </w:tcPr>
          <w:p w14:paraId="596893DF">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《热泵热水机（器）能效限定值及能效等级》（GB29541）</w:t>
            </w:r>
          </w:p>
        </w:tc>
      </w:tr>
      <w:tr w14:paraId="6666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36B1E02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506B04F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Merge w:val="continue"/>
            <w:vAlign w:val="center"/>
          </w:tcPr>
          <w:p w14:paraId="190AA3F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612" w:type="dxa"/>
            <w:vAlign w:val="center"/>
          </w:tcPr>
          <w:p w14:paraId="7F2F96F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太阳能热水系统</w:t>
            </w:r>
          </w:p>
        </w:tc>
        <w:tc>
          <w:tcPr>
            <w:tcW w:w="4335" w:type="dxa"/>
            <w:vAlign w:val="center"/>
          </w:tcPr>
          <w:p w14:paraId="67DED902">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《家用太阳能热水系统能效限定值及能效等级》（GB26969）</w:t>
            </w:r>
          </w:p>
        </w:tc>
      </w:tr>
      <w:tr w14:paraId="72D7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restart"/>
            <w:vAlign w:val="center"/>
          </w:tcPr>
          <w:p w14:paraId="5147273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024" w:type="dxa"/>
            <w:vMerge w:val="restart"/>
            <w:vAlign w:val="center"/>
          </w:tcPr>
          <w:p w14:paraId="7480757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A020619照明设备</w:t>
            </w:r>
          </w:p>
        </w:tc>
        <w:tc>
          <w:tcPr>
            <w:tcW w:w="1516" w:type="dxa"/>
            <w:vAlign w:val="center"/>
          </w:tcPr>
          <w:p w14:paraId="7D7C7E8F">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w:t>
            </w:r>
          </w:p>
        </w:tc>
        <w:tc>
          <w:tcPr>
            <w:tcW w:w="1612" w:type="dxa"/>
            <w:vAlign w:val="center"/>
          </w:tcPr>
          <w:p w14:paraId="45B7EA9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3F45BAB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《普通照明用双端荧光灯能效限定值及能效等级》（GB19043）</w:t>
            </w:r>
          </w:p>
        </w:tc>
      </w:tr>
      <w:tr w14:paraId="290D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5D51818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6DAD2FA4">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3EDCEDE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LED道路/隧道照明产品</w:t>
            </w:r>
          </w:p>
        </w:tc>
        <w:tc>
          <w:tcPr>
            <w:tcW w:w="1612" w:type="dxa"/>
            <w:vAlign w:val="center"/>
          </w:tcPr>
          <w:p w14:paraId="4CF0F15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1651AD5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《道路和隧道照明用LED灯具能效限定值及能效等级》（GB37478）</w:t>
            </w:r>
          </w:p>
        </w:tc>
      </w:tr>
      <w:tr w14:paraId="76CE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0D56774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FC9B186">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32BC843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LED筒灯</w:t>
            </w:r>
          </w:p>
        </w:tc>
        <w:tc>
          <w:tcPr>
            <w:tcW w:w="1612" w:type="dxa"/>
            <w:vAlign w:val="center"/>
          </w:tcPr>
          <w:p w14:paraId="73074B5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32CA8EFB">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4CD7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733" w:type="dxa"/>
            <w:vMerge w:val="continue"/>
            <w:vAlign w:val="center"/>
          </w:tcPr>
          <w:p w14:paraId="51D6E31D">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2806CDE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43B2FFD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普通照明用非定向自镇流LED灯</w:t>
            </w:r>
          </w:p>
        </w:tc>
        <w:tc>
          <w:tcPr>
            <w:tcW w:w="1612" w:type="dxa"/>
            <w:vAlign w:val="center"/>
          </w:tcPr>
          <w:p w14:paraId="7013011F">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6729098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1EDE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33" w:type="dxa"/>
            <w:vAlign w:val="center"/>
          </w:tcPr>
          <w:p w14:paraId="7B185D6A">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024" w:type="dxa"/>
            <w:vAlign w:val="center"/>
          </w:tcPr>
          <w:p w14:paraId="0FFC963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★A020910电视设备</w:t>
            </w:r>
          </w:p>
        </w:tc>
        <w:tc>
          <w:tcPr>
            <w:tcW w:w="1516" w:type="dxa"/>
            <w:vAlign w:val="center"/>
          </w:tcPr>
          <w:p w14:paraId="237BCD0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A02091001普通电视设备（电视机）</w:t>
            </w:r>
          </w:p>
        </w:tc>
        <w:tc>
          <w:tcPr>
            <w:tcW w:w="1612" w:type="dxa"/>
            <w:vAlign w:val="center"/>
          </w:tcPr>
          <w:p w14:paraId="38AC7C0D">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4EC636E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《平板电视能效限定值及能效等级》（GB24850）</w:t>
            </w:r>
          </w:p>
        </w:tc>
      </w:tr>
      <w:tr w14:paraId="0025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33" w:type="dxa"/>
            <w:vAlign w:val="center"/>
          </w:tcPr>
          <w:p w14:paraId="399F2C00">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024" w:type="dxa"/>
            <w:vAlign w:val="center"/>
          </w:tcPr>
          <w:p w14:paraId="5FDD297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★A020911视频设备</w:t>
            </w:r>
          </w:p>
        </w:tc>
        <w:tc>
          <w:tcPr>
            <w:tcW w:w="1516" w:type="dxa"/>
            <w:vAlign w:val="center"/>
          </w:tcPr>
          <w:p w14:paraId="4E27F33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A02091107视频监控设备</w:t>
            </w:r>
          </w:p>
        </w:tc>
        <w:tc>
          <w:tcPr>
            <w:tcW w:w="1612" w:type="dxa"/>
            <w:vAlign w:val="center"/>
          </w:tcPr>
          <w:p w14:paraId="1DD78AE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监视器</w:t>
            </w:r>
          </w:p>
        </w:tc>
        <w:tc>
          <w:tcPr>
            <w:tcW w:w="4335" w:type="dxa"/>
            <w:vAlign w:val="center"/>
          </w:tcPr>
          <w:p w14:paraId="35007317">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72B5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25459DA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024" w:type="dxa"/>
            <w:vAlign w:val="center"/>
          </w:tcPr>
          <w:p w14:paraId="42AF2963">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A031210饮食炊事机械</w:t>
            </w:r>
          </w:p>
        </w:tc>
        <w:tc>
          <w:tcPr>
            <w:tcW w:w="1516" w:type="dxa"/>
            <w:vAlign w:val="center"/>
          </w:tcPr>
          <w:p w14:paraId="2F1DA48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w:t>
            </w:r>
          </w:p>
        </w:tc>
        <w:tc>
          <w:tcPr>
            <w:tcW w:w="1612" w:type="dxa"/>
            <w:vAlign w:val="center"/>
          </w:tcPr>
          <w:p w14:paraId="69143B21">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38F01A7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《商用燃气灶具能效限定值及能效等级》（GB30531）</w:t>
            </w:r>
          </w:p>
        </w:tc>
      </w:tr>
      <w:tr w14:paraId="7065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33" w:type="dxa"/>
            <w:vMerge w:val="restart"/>
            <w:vAlign w:val="center"/>
          </w:tcPr>
          <w:p w14:paraId="4B774A9D">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1024" w:type="dxa"/>
            <w:vMerge w:val="restart"/>
            <w:vAlign w:val="center"/>
          </w:tcPr>
          <w:p w14:paraId="58399846">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★A060805便器</w:t>
            </w:r>
          </w:p>
        </w:tc>
        <w:tc>
          <w:tcPr>
            <w:tcW w:w="1516" w:type="dxa"/>
            <w:vAlign w:val="center"/>
          </w:tcPr>
          <w:p w14:paraId="0BAEF89F">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w:t>
            </w:r>
          </w:p>
        </w:tc>
        <w:tc>
          <w:tcPr>
            <w:tcW w:w="1612" w:type="dxa"/>
            <w:vAlign w:val="center"/>
          </w:tcPr>
          <w:p w14:paraId="0B23FFE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6A52A5F9">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《坐便器水效限定值及水效等级》（GB25502）</w:t>
            </w:r>
          </w:p>
        </w:tc>
      </w:tr>
      <w:tr w14:paraId="590F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1E30DC1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1791BA3D">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1B51789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w:t>
            </w:r>
          </w:p>
        </w:tc>
        <w:tc>
          <w:tcPr>
            <w:tcW w:w="1612" w:type="dxa"/>
            <w:vAlign w:val="center"/>
          </w:tcPr>
          <w:p w14:paraId="072B1DE4">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0F64AABE">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《蹲便器用水效率限定值及用水效率等级》（GB30717）</w:t>
            </w:r>
          </w:p>
        </w:tc>
      </w:tr>
      <w:tr w14:paraId="0910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Merge w:val="continue"/>
            <w:vAlign w:val="center"/>
          </w:tcPr>
          <w:p w14:paraId="25D094B0">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024" w:type="dxa"/>
            <w:vMerge w:val="continue"/>
            <w:vAlign w:val="center"/>
          </w:tcPr>
          <w:p w14:paraId="0C49233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p>
        </w:tc>
        <w:tc>
          <w:tcPr>
            <w:tcW w:w="1516" w:type="dxa"/>
            <w:vAlign w:val="center"/>
          </w:tcPr>
          <w:p w14:paraId="65FF7959">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w:t>
            </w:r>
          </w:p>
        </w:tc>
        <w:tc>
          <w:tcPr>
            <w:tcW w:w="1612" w:type="dxa"/>
            <w:vAlign w:val="center"/>
          </w:tcPr>
          <w:p w14:paraId="672F8CA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7358690F">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《小便器用水效率限定值及用水效率等级》（GB28377）</w:t>
            </w:r>
          </w:p>
        </w:tc>
      </w:tr>
      <w:tr w14:paraId="5728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676BA94E">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024" w:type="dxa"/>
            <w:vAlign w:val="center"/>
          </w:tcPr>
          <w:p w14:paraId="21A9FE15">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★A060806水嘴</w:t>
            </w:r>
          </w:p>
        </w:tc>
        <w:tc>
          <w:tcPr>
            <w:tcW w:w="1516" w:type="dxa"/>
            <w:vAlign w:val="center"/>
          </w:tcPr>
          <w:p w14:paraId="7901509A">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602EDEB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684E611A">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《水嘴用水效率限定值及用水效率等级》（GB 25501）</w:t>
            </w:r>
          </w:p>
        </w:tc>
      </w:tr>
      <w:tr w14:paraId="7104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44C3AB87">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024" w:type="dxa"/>
            <w:vAlign w:val="center"/>
          </w:tcPr>
          <w:p w14:paraId="353F2188">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A060807便器冲洗阀</w:t>
            </w:r>
          </w:p>
        </w:tc>
        <w:tc>
          <w:tcPr>
            <w:tcW w:w="1516" w:type="dxa"/>
            <w:vAlign w:val="center"/>
          </w:tcPr>
          <w:p w14:paraId="562C20C4">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6F0531BD">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0E4BE945">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《便器冲洗阀用水效率限定值及用水效率等级》（GB28379）</w:t>
            </w:r>
          </w:p>
        </w:tc>
      </w:tr>
      <w:tr w14:paraId="167D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3" w:type="dxa"/>
            <w:vAlign w:val="center"/>
          </w:tcPr>
          <w:p w14:paraId="42E24AB2">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024" w:type="dxa"/>
            <w:vAlign w:val="center"/>
          </w:tcPr>
          <w:p w14:paraId="069766C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A060810淋浴器</w:t>
            </w:r>
          </w:p>
        </w:tc>
        <w:tc>
          <w:tcPr>
            <w:tcW w:w="1516" w:type="dxa"/>
            <w:vAlign w:val="center"/>
          </w:tcPr>
          <w:p w14:paraId="573D8445">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vAlign w:val="center"/>
          </w:tcPr>
          <w:p w14:paraId="39ACAA6C">
            <w:pPr>
              <w:keepNext w:val="0"/>
              <w:keepLines w:val="0"/>
              <w:pageBreakBefore w:val="0"/>
              <w:widowControl/>
              <w:shd w:val="clear"/>
              <w:kinsoku/>
              <w:wordWrap/>
              <w:overflowPunct/>
              <w:topLinePunct w:val="0"/>
              <w:autoSpaceDE/>
              <w:autoSpaceDN/>
              <w:bidi w:val="0"/>
              <w:adjustRightInd/>
              <w:snapToGrid/>
              <w:spacing w:line="36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335" w:type="dxa"/>
            <w:vAlign w:val="center"/>
          </w:tcPr>
          <w:p w14:paraId="43DFD653">
            <w:pPr>
              <w:keepNext w:val="0"/>
              <w:keepLines w:val="0"/>
              <w:pageBreakBefore w:val="0"/>
              <w:widowControl/>
              <w:shd w:val="clear"/>
              <w:kinsoku/>
              <w:wordWrap/>
              <w:overflowPunct/>
              <w:topLinePunct w:val="0"/>
              <w:autoSpaceDE/>
              <w:autoSpaceDN/>
              <w:bidi w:val="0"/>
              <w:adjustRightInd/>
              <w:snapToGrid/>
              <w:spacing w:line="360" w:lineRule="auto"/>
              <w:jc w:val="left"/>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《淋浴器用水效率限定值及用水效率等级》（GB28378）</w:t>
            </w:r>
          </w:p>
        </w:tc>
      </w:tr>
    </w:tbl>
    <w:p w14:paraId="03C27DFF">
      <w:pPr>
        <w:shd w:val="clear"/>
        <w:spacing w:after="120" w:line="360" w:lineRule="auto"/>
        <w:rPr>
          <w:rFonts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76005276">
      <w:pPr>
        <w:shd w:val="clear"/>
        <w:jc w:val="left"/>
        <w:rPr>
          <w:rFonts w:ascii="宋体" w:hAnsi="宋体" w:eastAsia="宋体" w:cs="宋体"/>
          <w:color w:val="auto"/>
          <w:kern w:val="0"/>
          <w:sz w:val="32"/>
          <w:szCs w:val="32"/>
          <w:highlight w:val="none"/>
        </w:rPr>
      </w:pPr>
      <w:r>
        <w:rPr>
          <w:rFonts w:hint="eastAsia" w:ascii="宋体" w:hAnsi="宋体" w:eastAsia="宋体" w:cs="宋体"/>
          <w:color w:val="auto"/>
          <w:kern w:val="0"/>
          <w:sz w:val="20"/>
          <w:szCs w:val="21"/>
          <w:highlight w:val="none"/>
        </w:rPr>
        <w:t xml:space="preserve">   </w:t>
      </w:r>
      <w:r>
        <w:rPr>
          <w:rFonts w:hint="eastAsia" w:ascii="宋体" w:hAnsi="宋体" w:eastAsia="宋体" w:cs="宋体"/>
          <w:color w:val="auto"/>
          <w:spacing w:val="-3"/>
          <w:szCs w:val="21"/>
          <w:highlight w:val="none"/>
        </w:rPr>
        <w:t xml:space="preserve"> 2.以“★”标注的为政府强制采购产品。</w:t>
      </w:r>
      <w:r>
        <w:rPr>
          <w:rFonts w:hint="eastAsia" w:ascii="宋体" w:hAnsi="宋体" w:eastAsia="宋体" w:cs="宋体"/>
          <w:color w:val="auto"/>
          <w:kern w:val="0"/>
          <w:sz w:val="20"/>
          <w:szCs w:val="21"/>
          <w:highlight w:val="none"/>
        </w:rPr>
        <w:br w:type="page"/>
      </w:r>
      <w:r>
        <w:rPr>
          <w:rFonts w:hint="eastAsia" w:ascii="宋体" w:hAnsi="宋体" w:eastAsia="宋体" w:cs="宋体"/>
          <w:color w:val="auto"/>
          <w:kern w:val="0"/>
          <w:sz w:val="30"/>
          <w:szCs w:val="30"/>
          <w:highlight w:val="none"/>
        </w:rPr>
        <w:t>附件2：</w:t>
      </w:r>
    </w:p>
    <w:p w14:paraId="41C44A16">
      <w:pPr>
        <w:shd w:val="clear"/>
        <w:jc w:val="center"/>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中小微企业划型标准</w:t>
      </w:r>
    </w:p>
    <w:tbl>
      <w:tblPr>
        <w:tblStyle w:val="4"/>
        <w:tblW w:w="943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1972"/>
        <w:gridCol w:w="845"/>
        <w:gridCol w:w="1830"/>
        <w:gridCol w:w="1690"/>
        <w:gridCol w:w="1127"/>
      </w:tblGrid>
      <w:tr w14:paraId="03C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973" w:type="dxa"/>
            <w:vAlign w:val="center"/>
          </w:tcPr>
          <w:p w14:paraId="6AF2DA8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1972" w:type="dxa"/>
            <w:vAlign w:val="center"/>
          </w:tcPr>
          <w:p w14:paraId="107A378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845" w:type="dxa"/>
            <w:vAlign w:val="center"/>
          </w:tcPr>
          <w:p w14:paraId="5FB8287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830" w:type="dxa"/>
            <w:vAlign w:val="center"/>
          </w:tcPr>
          <w:p w14:paraId="131C09C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1690" w:type="dxa"/>
            <w:vAlign w:val="center"/>
          </w:tcPr>
          <w:p w14:paraId="7C14474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1127" w:type="dxa"/>
            <w:vAlign w:val="center"/>
          </w:tcPr>
          <w:p w14:paraId="722B2FE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78C7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Align w:val="center"/>
          </w:tcPr>
          <w:p w14:paraId="18979D6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1972" w:type="dxa"/>
            <w:vAlign w:val="center"/>
          </w:tcPr>
          <w:p w14:paraId="2896AAC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462246D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552A651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690" w:type="dxa"/>
            <w:vAlign w:val="center"/>
          </w:tcPr>
          <w:p w14:paraId="65C6576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1127" w:type="dxa"/>
            <w:vAlign w:val="center"/>
          </w:tcPr>
          <w:p w14:paraId="6300F29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091C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629E34D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1972" w:type="dxa"/>
            <w:vAlign w:val="center"/>
          </w:tcPr>
          <w:p w14:paraId="4838E49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03A615E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7BA8E61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90" w:type="dxa"/>
            <w:vAlign w:val="center"/>
          </w:tcPr>
          <w:p w14:paraId="7F21570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27" w:type="dxa"/>
            <w:vAlign w:val="center"/>
          </w:tcPr>
          <w:p w14:paraId="3230B02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31F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0F1DBE7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7DC5D76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41FF51A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7E4465C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690" w:type="dxa"/>
            <w:vAlign w:val="center"/>
          </w:tcPr>
          <w:p w14:paraId="666D7AF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1127" w:type="dxa"/>
            <w:vAlign w:val="center"/>
          </w:tcPr>
          <w:p w14:paraId="02C891B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4975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47B7359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1972" w:type="dxa"/>
            <w:vAlign w:val="center"/>
          </w:tcPr>
          <w:p w14:paraId="21AB742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315D41C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4AA9BB3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690" w:type="dxa"/>
            <w:vAlign w:val="center"/>
          </w:tcPr>
          <w:p w14:paraId="6BD2948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1127" w:type="dxa"/>
            <w:vAlign w:val="center"/>
          </w:tcPr>
          <w:p w14:paraId="0FD69B6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33E3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1039C5D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57EB97C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45" w:type="dxa"/>
            <w:vAlign w:val="center"/>
          </w:tcPr>
          <w:p w14:paraId="532AB14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774C370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690" w:type="dxa"/>
            <w:vAlign w:val="center"/>
          </w:tcPr>
          <w:p w14:paraId="22E73AD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1127" w:type="dxa"/>
            <w:vAlign w:val="center"/>
          </w:tcPr>
          <w:p w14:paraId="08E99F5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3C7E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2CC4445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1972" w:type="dxa"/>
            <w:vAlign w:val="center"/>
          </w:tcPr>
          <w:p w14:paraId="6394693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7D5419C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0015628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690" w:type="dxa"/>
            <w:vAlign w:val="center"/>
          </w:tcPr>
          <w:p w14:paraId="34A40D2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1127" w:type="dxa"/>
            <w:vAlign w:val="center"/>
          </w:tcPr>
          <w:p w14:paraId="1DB47B0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13D0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52D21C0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720486C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69F4C6A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79FE462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690" w:type="dxa"/>
            <w:vAlign w:val="center"/>
          </w:tcPr>
          <w:p w14:paraId="316FA35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127" w:type="dxa"/>
            <w:vAlign w:val="center"/>
          </w:tcPr>
          <w:p w14:paraId="16E924B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2AA0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08FF52A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1972" w:type="dxa"/>
            <w:vAlign w:val="center"/>
          </w:tcPr>
          <w:p w14:paraId="11D5301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78CF4B8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109B5C3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690" w:type="dxa"/>
            <w:vAlign w:val="center"/>
          </w:tcPr>
          <w:p w14:paraId="5E075F3A">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1127" w:type="dxa"/>
            <w:vAlign w:val="center"/>
          </w:tcPr>
          <w:p w14:paraId="0894F63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4E2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2E31144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3D85CCB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19173F7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26A9B9D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690" w:type="dxa"/>
            <w:vAlign w:val="center"/>
          </w:tcPr>
          <w:p w14:paraId="1E45FC3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1127" w:type="dxa"/>
            <w:vAlign w:val="center"/>
          </w:tcPr>
          <w:p w14:paraId="29A9DDE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BD4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60F361B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1972" w:type="dxa"/>
            <w:vAlign w:val="center"/>
          </w:tcPr>
          <w:p w14:paraId="7AB49FC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10095A6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2424F52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90" w:type="dxa"/>
            <w:vAlign w:val="center"/>
          </w:tcPr>
          <w:p w14:paraId="2B813D8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27" w:type="dxa"/>
            <w:vAlign w:val="center"/>
          </w:tcPr>
          <w:p w14:paraId="1AADA62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78E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187A5ED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3A1EC80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50601DF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33E385C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690" w:type="dxa"/>
            <w:vAlign w:val="center"/>
          </w:tcPr>
          <w:p w14:paraId="29C107B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1127" w:type="dxa"/>
            <w:vAlign w:val="center"/>
          </w:tcPr>
          <w:p w14:paraId="289EFF0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3B32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18B8592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1972" w:type="dxa"/>
            <w:vAlign w:val="center"/>
          </w:tcPr>
          <w:p w14:paraId="63261DC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215FA51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1A80FD3A">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690" w:type="dxa"/>
            <w:vAlign w:val="center"/>
          </w:tcPr>
          <w:p w14:paraId="578BA40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1127" w:type="dxa"/>
            <w:vAlign w:val="center"/>
          </w:tcPr>
          <w:p w14:paraId="6FD1CC0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5EAD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5C7B3C2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7A8FC0D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70CCBFC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53FC465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690" w:type="dxa"/>
            <w:vAlign w:val="center"/>
          </w:tcPr>
          <w:p w14:paraId="709D554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27" w:type="dxa"/>
            <w:vAlign w:val="center"/>
          </w:tcPr>
          <w:p w14:paraId="026F2F2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204B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41E0DA8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1972" w:type="dxa"/>
            <w:vAlign w:val="center"/>
          </w:tcPr>
          <w:p w14:paraId="7888AC8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4631062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51E3C75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90" w:type="dxa"/>
            <w:vAlign w:val="center"/>
          </w:tcPr>
          <w:p w14:paraId="669AF50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27" w:type="dxa"/>
            <w:vAlign w:val="center"/>
          </w:tcPr>
          <w:p w14:paraId="50B34F0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94B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176BC4C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3D2BC70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72E5760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7E1E4D7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690" w:type="dxa"/>
            <w:vAlign w:val="center"/>
          </w:tcPr>
          <w:p w14:paraId="533D1C3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27" w:type="dxa"/>
            <w:vAlign w:val="center"/>
          </w:tcPr>
          <w:p w14:paraId="53A6954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336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5C2F224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1972" w:type="dxa"/>
            <w:vAlign w:val="center"/>
          </w:tcPr>
          <w:p w14:paraId="51F2B27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6BE01EF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059B706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690" w:type="dxa"/>
            <w:vAlign w:val="center"/>
          </w:tcPr>
          <w:p w14:paraId="1870CDC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6BFB1E3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2F1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53E1A76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48ACBFC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7AEBEF9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4BD046C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90" w:type="dxa"/>
            <w:vAlign w:val="center"/>
          </w:tcPr>
          <w:p w14:paraId="708269E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27" w:type="dxa"/>
            <w:vAlign w:val="center"/>
          </w:tcPr>
          <w:p w14:paraId="11D58E4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50D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4FD8C9B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1972" w:type="dxa"/>
            <w:vAlign w:val="center"/>
          </w:tcPr>
          <w:p w14:paraId="06E990B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61284B7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4D8E872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690" w:type="dxa"/>
            <w:vAlign w:val="center"/>
          </w:tcPr>
          <w:p w14:paraId="50DB715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7CBA314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DA9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5BF2105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1A0E5A5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2ED2C3E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1398036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90" w:type="dxa"/>
            <w:vAlign w:val="center"/>
          </w:tcPr>
          <w:p w14:paraId="2FCD113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27" w:type="dxa"/>
            <w:vAlign w:val="center"/>
          </w:tcPr>
          <w:p w14:paraId="420E4F7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B7C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4D344B3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1972" w:type="dxa"/>
            <w:vAlign w:val="center"/>
          </w:tcPr>
          <w:p w14:paraId="219772C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583D702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460A01A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690" w:type="dxa"/>
            <w:vAlign w:val="center"/>
          </w:tcPr>
          <w:p w14:paraId="155B24F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762083B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619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1356DB0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697D54D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715F101A">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1BF7CC0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690" w:type="dxa"/>
            <w:vAlign w:val="center"/>
          </w:tcPr>
          <w:p w14:paraId="10E797D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27" w:type="dxa"/>
            <w:vAlign w:val="center"/>
          </w:tcPr>
          <w:p w14:paraId="463640B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AAD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7A41E19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1972" w:type="dxa"/>
            <w:vAlign w:val="center"/>
          </w:tcPr>
          <w:p w14:paraId="3A9815B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1E71D7E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0659648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690" w:type="dxa"/>
            <w:vAlign w:val="center"/>
          </w:tcPr>
          <w:p w14:paraId="757D024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58B45F7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D0F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79727D2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066202FA">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777D8327">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42B00D7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690" w:type="dxa"/>
            <w:vAlign w:val="center"/>
          </w:tcPr>
          <w:p w14:paraId="0EB69DE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1127" w:type="dxa"/>
            <w:vAlign w:val="center"/>
          </w:tcPr>
          <w:p w14:paraId="1FFBB27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2874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7C0FDF8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1972" w:type="dxa"/>
            <w:vAlign w:val="center"/>
          </w:tcPr>
          <w:p w14:paraId="5199A85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49B4C16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647141F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690" w:type="dxa"/>
            <w:vAlign w:val="center"/>
          </w:tcPr>
          <w:p w14:paraId="0CCBCF4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1127" w:type="dxa"/>
            <w:vAlign w:val="center"/>
          </w:tcPr>
          <w:p w14:paraId="31137FD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7459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402E74E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4EE76BB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45" w:type="dxa"/>
            <w:vAlign w:val="center"/>
          </w:tcPr>
          <w:p w14:paraId="64B5313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2265706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690" w:type="dxa"/>
            <w:vAlign w:val="center"/>
          </w:tcPr>
          <w:p w14:paraId="201FE28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1127" w:type="dxa"/>
            <w:vAlign w:val="center"/>
          </w:tcPr>
          <w:p w14:paraId="2BD0410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3524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23A31E0D">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1972" w:type="dxa"/>
            <w:vAlign w:val="center"/>
          </w:tcPr>
          <w:p w14:paraId="61AE237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02D9A76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6B41746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90" w:type="dxa"/>
            <w:vAlign w:val="center"/>
          </w:tcPr>
          <w:p w14:paraId="6B9A0D69">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127" w:type="dxa"/>
            <w:vAlign w:val="center"/>
          </w:tcPr>
          <w:p w14:paraId="1562C05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77C5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7B2E088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160C7AF6">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45" w:type="dxa"/>
            <w:vAlign w:val="center"/>
          </w:tcPr>
          <w:p w14:paraId="4107FC1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1CD6E5F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690" w:type="dxa"/>
            <w:vAlign w:val="center"/>
          </w:tcPr>
          <w:p w14:paraId="17FB238C">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1127" w:type="dxa"/>
            <w:vAlign w:val="center"/>
          </w:tcPr>
          <w:p w14:paraId="5D82F04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6755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restart"/>
            <w:vAlign w:val="center"/>
          </w:tcPr>
          <w:p w14:paraId="4CE0762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1972" w:type="dxa"/>
            <w:vAlign w:val="center"/>
          </w:tcPr>
          <w:p w14:paraId="222E990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4E21E16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79DC438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690" w:type="dxa"/>
            <w:vAlign w:val="center"/>
          </w:tcPr>
          <w:p w14:paraId="703339F2">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53D55C3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E32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73" w:type="dxa"/>
            <w:vMerge w:val="continue"/>
            <w:vAlign w:val="center"/>
          </w:tcPr>
          <w:p w14:paraId="5A2F33C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p>
        </w:tc>
        <w:tc>
          <w:tcPr>
            <w:tcW w:w="1972" w:type="dxa"/>
            <w:vAlign w:val="center"/>
          </w:tcPr>
          <w:p w14:paraId="63F0EC1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45" w:type="dxa"/>
            <w:vAlign w:val="center"/>
          </w:tcPr>
          <w:p w14:paraId="1D763548">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30" w:type="dxa"/>
            <w:vAlign w:val="center"/>
          </w:tcPr>
          <w:p w14:paraId="1DD26EC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690" w:type="dxa"/>
            <w:vAlign w:val="center"/>
          </w:tcPr>
          <w:p w14:paraId="0D70E343">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1127" w:type="dxa"/>
            <w:vAlign w:val="center"/>
          </w:tcPr>
          <w:p w14:paraId="0EBA52DB">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9C5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73" w:type="dxa"/>
            <w:vAlign w:val="center"/>
          </w:tcPr>
          <w:p w14:paraId="1E7D8C51">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1972" w:type="dxa"/>
            <w:vAlign w:val="center"/>
          </w:tcPr>
          <w:p w14:paraId="596F8440">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45" w:type="dxa"/>
            <w:vAlign w:val="center"/>
          </w:tcPr>
          <w:p w14:paraId="673EBEA5">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30" w:type="dxa"/>
            <w:vAlign w:val="center"/>
          </w:tcPr>
          <w:p w14:paraId="4A833954">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690" w:type="dxa"/>
            <w:vAlign w:val="center"/>
          </w:tcPr>
          <w:p w14:paraId="777D5B6F">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27" w:type="dxa"/>
            <w:vAlign w:val="center"/>
          </w:tcPr>
          <w:p w14:paraId="0221FE7E">
            <w:pPr>
              <w:keepNext w:val="0"/>
              <w:keepLines w:val="0"/>
              <w:pageBreakBefore w:val="0"/>
              <w:widowControl/>
              <w:shd w:val="clear"/>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3C7695B8">
      <w:pPr>
        <w:keepNext w:val="0"/>
        <w:keepLines w:val="0"/>
        <w:pageBreakBefore w:val="0"/>
        <w:widowControl w:val="0"/>
        <w:shd w:val="clear"/>
        <w:kinsoku/>
        <w:wordWrap/>
        <w:overflowPunct/>
        <w:topLinePunct w:val="0"/>
        <w:autoSpaceDE/>
        <w:autoSpaceDN/>
        <w:bidi w:val="0"/>
        <w:adjustRightInd/>
        <w:snapToGrid/>
        <w:spacing w:line="312" w:lineRule="auto"/>
        <w:ind w:firstLine="525" w:firstLineChars="25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1B115DCE">
      <w:pPr>
        <w:shd w:val="clear"/>
        <w:rPr>
          <w:rFonts w:ascii="宋体" w:hAnsi="宋体" w:eastAsia="宋体" w:cs="宋体"/>
          <w:color w:val="auto"/>
          <w:highlight w:val="none"/>
        </w:rPr>
      </w:pPr>
    </w:p>
    <w:p w14:paraId="06F814A6">
      <w:pPr>
        <w:widowControl w:val="0"/>
        <w:shd w:val="clear"/>
        <w:spacing w:after="120"/>
        <w:ind w:firstLine="420"/>
        <w:jc w:val="both"/>
        <w:rPr>
          <w:rFonts w:hint="eastAsia" w:ascii="宋体" w:hAnsi="宋体" w:eastAsia="宋体" w:cs="宋体"/>
          <w:color w:val="auto"/>
          <w:kern w:val="2"/>
          <w:sz w:val="21"/>
          <w:szCs w:val="21"/>
          <w:highlight w:val="none"/>
          <w:lang w:val="en-US" w:eastAsia="zh-CN" w:bidi="ar-SA"/>
        </w:rPr>
      </w:pPr>
      <w:bookmarkStart w:id="56" w:name="_Toc22567"/>
      <w:r>
        <w:rPr>
          <w:rFonts w:hint="eastAsia" w:ascii="宋体" w:hAnsi="宋体" w:eastAsia="宋体" w:cs="宋体"/>
          <w:color w:val="auto"/>
          <w:kern w:val="2"/>
          <w:sz w:val="32"/>
          <w:szCs w:val="32"/>
          <w:highlight w:val="none"/>
          <w:lang w:val="en-US" w:eastAsia="zh-CN" w:bidi="ar-SA"/>
        </w:rPr>
        <w:t>附件3：</w:t>
      </w:r>
    </w:p>
    <w:p w14:paraId="68E3308F">
      <w:pPr>
        <w:widowControl/>
        <w:shd w:val="clear" w:color="auto"/>
        <w:spacing w:line="528" w:lineRule="exact"/>
        <w:ind w:left="1871"/>
        <w:jc w:val="left"/>
        <w:textAlignment w:val="auto"/>
        <w:rPr>
          <w:rFonts w:hint="eastAsia" w:ascii="宋体" w:hAnsi="宋体" w:eastAsia="宋体" w:cs="宋体"/>
          <w:color w:val="auto"/>
          <w:kern w:val="2"/>
          <w:sz w:val="40"/>
          <w:szCs w:val="40"/>
          <w:highlight w:val="none"/>
          <w:lang w:bidi="ar"/>
        </w:rPr>
      </w:pPr>
      <w:r>
        <w:rPr>
          <w:rFonts w:hint="eastAsia" w:ascii="宋体" w:hAnsi="宋体" w:eastAsia="宋体" w:cs="宋体"/>
          <w:b w:val="0"/>
          <w:bCs w:val="0"/>
          <w:color w:val="auto"/>
          <w:kern w:val="2"/>
          <w:sz w:val="40"/>
          <w:szCs w:val="40"/>
          <w:highlight w:val="none"/>
          <w:lang w:bidi="ar"/>
        </w:rPr>
        <w:t>中国境内生产的组件成本核算基本规则</w:t>
      </w:r>
    </w:p>
    <w:p w14:paraId="6DCE363B">
      <w:pPr>
        <w:widowControl w:val="0"/>
        <w:shd w:val="clear"/>
        <w:spacing w:after="120" w:line="360" w:lineRule="auto"/>
        <w:ind w:firstLine="465"/>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产品在中国境内生产的组件成本，一般按照其二级组件的相关成本进行核算。按照产品的一级组件进行成本核算能够满足中国境内生产的组件成本判定需求的，可以按照一级组件的相关成本进行核算。</w:t>
      </w:r>
    </w:p>
    <w:p w14:paraId="7EB8EAE7">
      <w:pPr>
        <w:widowControl w:val="0"/>
        <w:shd w:val="clear"/>
        <w:spacing w:after="120" w:line="360" w:lineRule="auto"/>
        <w:ind w:firstLine="465"/>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一、产品的一级组件是指直接组成产品的组件。产品的二级组件是指直接组成产品一级组件的组件。一级组件不可分解的，视同二级组件。</w:t>
      </w:r>
    </w:p>
    <w:p w14:paraId="49FE4E02">
      <w:pPr>
        <w:widowControl w:val="0"/>
        <w:shd w:val="clear"/>
        <w:spacing w:after="120" w:line="360" w:lineRule="auto"/>
        <w:ind w:firstLine="465"/>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二、二级组件在中国境内生产的，其全部成本计入中国境内生产的组件成本;二级组件不在中国境内生产的，其成本不计入中国境内生产的组件成本。</w:t>
      </w:r>
    </w:p>
    <w:p w14:paraId="4B6FB340">
      <w:pPr>
        <w:widowControl w:val="0"/>
        <w:shd w:val="clear"/>
        <w:spacing w:after="120" w:line="360" w:lineRule="auto"/>
        <w:ind w:firstLine="465"/>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三、产品总成本和组件成本以相关会计核算数据、采购合同、进货记录等为基础进行计算。</w:t>
      </w:r>
    </w:p>
    <w:p w14:paraId="7EF444A9">
      <w:pPr>
        <w:widowControl w:val="0"/>
        <w:shd w:val="clear"/>
        <w:spacing w:after="120"/>
        <w:ind w:firstLine="465"/>
        <w:jc w:val="center"/>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四、需要对成本核算规则予以进一步明确的其他有关事项，由财政部会同有关部门另行规定。</w:t>
      </w:r>
    </w:p>
    <w:p w14:paraId="71120087">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7B7BD3D">
      <w:pPr>
        <w:keepNext/>
        <w:keepLines/>
        <w:widowControl w:val="0"/>
        <w:shd w:val="clear"/>
        <w:spacing w:before="340" w:beforeLines="0" w:beforeAutospacing="0" w:after="330" w:afterLines="0" w:afterAutospacing="0" w:line="576" w:lineRule="auto"/>
        <w:jc w:val="center"/>
        <w:outlineLvl w:val="0"/>
        <w:rPr>
          <w:rFonts w:ascii="宋体" w:hAnsi="宋体" w:eastAsia="宋体" w:cs="宋体"/>
          <w:b/>
          <w:color w:val="auto"/>
          <w:kern w:val="44"/>
          <w:sz w:val="44"/>
          <w:szCs w:val="24"/>
          <w:highlight w:val="none"/>
          <w:lang w:val="en-US" w:eastAsia="zh-CN" w:bidi="ar-SA"/>
        </w:rPr>
      </w:pPr>
      <w:r>
        <w:rPr>
          <w:rFonts w:hint="eastAsia" w:ascii="宋体" w:hAnsi="宋体" w:eastAsia="宋体" w:cs="宋体"/>
          <w:b/>
          <w:color w:val="auto"/>
          <w:kern w:val="44"/>
          <w:sz w:val="44"/>
          <w:szCs w:val="24"/>
          <w:highlight w:val="none"/>
          <w:lang w:val="en-US" w:eastAsia="zh-CN" w:bidi="ar-SA"/>
        </w:rPr>
        <w:t>第四章  评审程序、评审方法和评审标准</w:t>
      </w:r>
      <w:bookmarkEnd w:id="56"/>
    </w:p>
    <w:p w14:paraId="1BD7561D">
      <w:pPr>
        <w:shd w:val="clear"/>
        <w:spacing w:line="400" w:lineRule="exact"/>
        <w:jc w:val="center"/>
        <w:rPr>
          <w:rFonts w:ascii="宋体" w:hAnsi="宋体" w:eastAsia="宋体" w:cs="宋体"/>
          <w:b/>
          <w:color w:val="auto"/>
          <w:sz w:val="32"/>
          <w:szCs w:val="32"/>
          <w:highlight w:val="none"/>
        </w:rPr>
      </w:pPr>
      <w:bookmarkStart w:id="57" w:name="_Toc22682"/>
      <w:r>
        <w:rPr>
          <w:rFonts w:hint="eastAsia" w:ascii="宋体" w:hAnsi="宋体" w:eastAsia="宋体" w:cs="宋体"/>
          <w:b/>
          <w:color w:val="auto"/>
          <w:sz w:val="32"/>
          <w:szCs w:val="32"/>
          <w:highlight w:val="none"/>
        </w:rPr>
        <w:t>一、评审程序和评审方法</w:t>
      </w:r>
      <w:bookmarkEnd w:id="57"/>
    </w:p>
    <w:p w14:paraId="23A0FEC6">
      <w:pPr>
        <w:shd w:val="clear"/>
        <w:spacing w:line="360" w:lineRule="auto"/>
        <w:ind w:firstLine="420" w:firstLineChars="200"/>
        <w:rPr>
          <w:rFonts w:ascii="宋体" w:hAnsi="宋体" w:eastAsia="宋体" w:cs="宋体"/>
          <w:bCs/>
          <w:color w:val="auto"/>
          <w:szCs w:val="21"/>
          <w:highlight w:val="none"/>
        </w:rPr>
      </w:pPr>
    </w:p>
    <w:p w14:paraId="3B2AB54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评审方法：☑最低评标价法，是指</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文件满足</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谈判文件全部实质性要求，且</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报价最低的谈判供应商为成交候选</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的评标方法。</w:t>
      </w:r>
    </w:p>
    <w:p w14:paraId="2373DC82">
      <w:pPr>
        <w:shd w:val="clear"/>
        <w:spacing w:line="360" w:lineRule="auto"/>
        <w:ind w:firstLine="422" w:firstLineChars="200"/>
        <w:rPr>
          <w:rFonts w:ascii="宋体" w:hAnsi="宋体" w:eastAsia="宋体" w:cs="宋体"/>
          <w:b/>
          <w:bCs w:val="0"/>
          <w:color w:val="auto"/>
          <w:szCs w:val="21"/>
          <w:highlight w:val="none"/>
        </w:rPr>
      </w:pPr>
      <w:r>
        <w:rPr>
          <w:rFonts w:hint="eastAsia" w:ascii="宋体" w:hAnsi="宋体" w:eastAsia="宋体" w:cs="宋体"/>
          <w:b/>
          <w:bCs w:val="0"/>
          <w:color w:val="auto"/>
          <w:szCs w:val="21"/>
          <w:highlight w:val="none"/>
        </w:rPr>
        <w:t>1.确认</w:t>
      </w:r>
      <w:r>
        <w:rPr>
          <w:rFonts w:hint="eastAsia" w:ascii="宋体" w:hAnsi="宋体" w:eastAsia="宋体" w:cs="宋体"/>
          <w:b/>
          <w:bCs w:val="0"/>
          <w:color w:val="auto"/>
          <w:szCs w:val="21"/>
          <w:highlight w:val="none"/>
          <w:lang w:val="en-US" w:eastAsia="zh-CN"/>
        </w:rPr>
        <w:t>竞争性</w:t>
      </w:r>
      <w:r>
        <w:rPr>
          <w:rFonts w:hint="eastAsia" w:ascii="宋体" w:hAnsi="宋体" w:eastAsia="宋体" w:cs="宋体"/>
          <w:b/>
          <w:bCs w:val="0"/>
          <w:color w:val="auto"/>
          <w:szCs w:val="21"/>
          <w:highlight w:val="none"/>
        </w:rPr>
        <w:t>谈判文件</w:t>
      </w:r>
    </w:p>
    <w:p w14:paraId="7155873F">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由谈判小组确认</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w:t>
      </w:r>
    </w:p>
    <w:p w14:paraId="4978BD67">
      <w:pPr>
        <w:shd w:val="clear"/>
        <w:spacing w:line="360" w:lineRule="auto"/>
        <w:ind w:firstLine="422" w:firstLineChars="200"/>
        <w:rPr>
          <w:rFonts w:ascii="宋体" w:hAnsi="宋体" w:eastAsia="宋体" w:cs="宋体"/>
          <w:b/>
          <w:bCs w:val="0"/>
          <w:color w:val="auto"/>
          <w:szCs w:val="21"/>
          <w:highlight w:val="none"/>
        </w:rPr>
      </w:pPr>
      <w:r>
        <w:rPr>
          <w:rFonts w:hint="eastAsia" w:ascii="宋体" w:hAnsi="宋体" w:eastAsia="宋体" w:cs="宋体"/>
          <w:b/>
          <w:bCs w:val="0"/>
          <w:color w:val="auto"/>
          <w:szCs w:val="21"/>
          <w:highlight w:val="none"/>
        </w:rPr>
        <w:t>2.资格审查</w:t>
      </w:r>
    </w:p>
    <w:p w14:paraId="44D7724A">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2.1响应文件开启后，谈判小组依法对供应商的资格证明文件进行审查。</w:t>
      </w:r>
    </w:p>
    <w:p w14:paraId="536C7C0C">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注：采购人代表或者采购代理机构在资格审查结束前，对供应商进行信用查询。</w:t>
      </w:r>
    </w:p>
    <w:p w14:paraId="0778322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（1）查询渠道：“广西政府采购云”平台、“信用中国”网站、</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中国政府采购网</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链接入口。</w:t>
      </w:r>
    </w:p>
    <w:p w14:paraId="268BD83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（2）信用查询截止时点：资格审查结束前。</w:t>
      </w:r>
    </w:p>
    <w:p w14:paraId="0342562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查询记录和证据留存方式：在查询网站中直接打印查询记录，截图另存为电子文档作为评审资料保存。</w:t>
      </w:r>
    </w:p>
    <w:p w14:paraId="65F37C8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信用信息使用规则：对在“信用中国”网站（www.creditchina.gov.cn）、中国政府采购网（www.ccgp.gov.cn）等渠道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4A045AE">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2.2资格审查标准为本</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谈判文件中载明对供应商资格要求的条件。资格审查采用合格制，凡符合</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谈判文件规定的供应商资格要求的响应文件均通过资格审查。</w:t>
      </w:r>
    </w:p>
    <w:p w14:paraId="70FF3A9E">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2.3供应商有下列情形之一的，资格审查不通过，其响应文件按无效响应处理：</w:t>
      </w:r>
    </w:p>
    <w:p w14:paraId="3AFBE00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（1）不具备</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谈判文件中规定的资格要求的；</w:t>
      </w:r>
    </w:p>
    <w:p w14:paraId="6DCCBCF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（2）响应文件未提供任一项“供应商须知前附表”资格证明文件规定的“必须提供”的文件资料的；</w:t>
      </w:r>
    </w:p>
    <w:p w14:paraId="505D16A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（3）响应文件提供的资格证明文件出现任一项不符合“供应商须知前附表”资格证明文件规定的“必须提供”的文件资料要求或者无效的。</w:t>
      </w:r>
    </w:p>
    <w:p w14:paraId="20EDF20E">
      <w:pPr>
        <w:shd w:val="clear"/>
        <w:spacing w:line="360" w:lineRule="auto"/>
        <w:ind w:firstLine="420" w:firstLineChars="200"/>
        <w:rPr>
          <w:rFonts w:ascii="宋体" w:hAnsi="宋体" w:eastAsia="宋体" w:cs="宋体"/>
          <w:bCs/>
          <w:color w:val="auto"/>
          <w:szCs w:val="21"/>
          <w:highlight w:val="none"/>
        </w:rPr>
      </w:pPr>
      <w:bookmarkStart w:id="58" w:name="_Hlk68601553"/>
      <w:r>
        <w:rPr>
          <w:rFonts w:hint="eastAsia" w:ascii="宋体" w:hAnsi="宋体" w:eastAsia="宋体" w:cs="宋体"/>
          <w:bCs/>
          <w:color w:val="auto"/>
          <w:szCs w:val="21"/>
          <w:highlight w:val="none"/>
        </w:rPr>
        <w:t>（4）同一合同项下的不同供应商，单位负责人为同一人或者存在直接控股、管理关系的；为本项目提供过整体设计、规范编制或者项目管理、监理、检测等服务的。</w:t>
      </w:r>
      <w:bookmarkEnd w:id="58"/>
    </w:p>
    <w:p w14:paraId="46C1896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2.4通过资格审查的合格供应商不足3家</w:t>
      </w:r>
      <w:r>
        <w:rPr>
          <w:rFonts w:hint="eastAsia" w:ascii="宋体" w:hAnsi="宋体" w:cs="宋体"/>
          <w:color w:val="auto"/>
          <w:szCs w:val="21"/>
        </w:rPr>
        <w:t>（本章</w:t>
      </w:r>
      <w:r>
        <w:rPr>
          <w:rFonts w:ascii="宋体" w:hAnsi="宋体" w:cs="宋体"/>
          <w:color w:val="auto"/>
          <w:szCs w:val="21"/>
        </w:rPr>
        <w:t>3.7</w:t>
      </w:r>
      <w:r>
        <w:rPr>
          <w:rFonts w:hint="eastAsia" w:ascii="宋体" w:hAnsi="宋体" w:cs="宋体"/>
          <w:color w:val="auto"/>
          <w:szCs w:val="21"/>
        </w:rPr>
        <w:t>条规定除外）</w:t>
      </w:r>
      <w:r>
        <w:rPr>
          <w:rFonts w:hint="eastAsia" w:ascii="宋体" w:hAnsi="宋体" w:eastAsia="宋体" w:cs="宋体"/>
          <w:bCs/>
          <w:color w:val="auto"/>
          <w:szCs w:val="21"/>
          <w:highlight w:val="none"/>
        </w:rPr>
        <w:t>的，不得进入符合性审查环节，采购人或者采购代理机构应当重新开展采购活动。</w:t>
      </w:r>
    </w:p>
    <w:p w14:paraId="1A0BDEB9">
      <w:pPr>
        <w:shd w:val="clear"/>
        <w:spacing w:line="360" w:lineRule="auto"/>
        <w:ind w:firstLine="422" w:firstLineChars="200"/>
        <w:rPr>
          <w:rFonts w:ascii="宋体" w:hAnsi="宋体" w:eastAsia="宋体" w:cs="宋体"/>
          <w:b/>
          <w:bCs w:val="0"/>
          <w:color w:val="auto"/>
          <w:szCs w:val="21"/>
          <w:highlight w:val="none"/>
        </w:rPr>
      </w:pPr>
      <w:r>
        <w:rPr>
          <w:rFonts w:hint="eastAsia" w:ascii="宋体" w:hAnsi="宋体" w:eastAsia="宋体" w:cs="宋体"/>
          <w:b/>
          <w:bCs w:val="0"/>
          <w:color w:val="auto"/>
          <w:szCs w:val="21"/>
          <w:highlight w:val="none"/>
        </w:rPr>
        <w:t>3.符合性审查</w:t>
      </w:r>
    </w:p>
    <w:p w14:paraId="34C1E2EF">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3.1由谈判小组对通过资格审查的合格供应商的响应文件的响应报价、商务、技术等实质性要求进行符合性审查，以确定其是否满足</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谈判文件的实质性要求。</w:t>
      </w:r>
    </w:p>
    <w:p w14:paraId="063A448D">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CEC3B34">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3.3谈判小组要求供应商澄清、说明或者更正响应文件应当以电子澄清函形式作出。供应商的澄清、说明或者更正应当以电子回函的形式按照谈判小组的要求作出明确的澄清、说明或者更正，未按谈判小组的要求作出明确澄清、说明或者更正的供应商的响应文件将按照有利于采购人的原则由谈判小组进行判定。供应商的澄清、说明或者更正必须加盖供应商公章（或电子签章）。供应商为自然人的，必须由本人签字并附身份证明。</w:t>
      </w:r>
    </w:p>
    <w:p w14:paraId="01C4549D">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 xml:space="preserve">3.4首次响应文件报价出现前后不一致的，按照下列规定修正： </w:t>
      </w:r>
    </w:p>
    <w:p w14:paraId="410C9CD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（1）响应文件中报价表内容与响应文件中相应内容不一致的，以报价表为准；</w:t>
      </w:r>
    </w:p>
    <w:p w14:paraId="1E6E612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（2）大写金额和小写金额不一致的，以大写金额为准；</w:t>
      </w:r>
    </w:p>
    <w:p w14:paraId="4A02AB5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（3）单价金额小数点或者百分比有明显错位的，以报价表的总价为准，并修改单价；</w:t>
      </w:r>
    </w:p>
    <w:p w14:paraId="3055F8B3">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（4）总价金额与按单价汇总金额不一致的，以单价金额计算结果为准。</w:t>
      </w:r>
    </w:p>
    <w:p w14:paraId="2B715AE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2D75349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3.5商务技术、报价评审</w:t>
      </w:r>
    </w:p>
    <w:p w14:paraId="2303C08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在评审时，如发现下列情形之一的，将被视为响应文件无效处理：</w:t>
      </w:r>
    </w:p>
    <w:p w14:paraId="56C6CD7C">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（1）商务技术评审</w:t>
      </w:r>
    </w:p>
    <w:p w14:paraId="46498E38">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1）响应文件未按</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谈判文件要求签署、盖章；</w:t>
      </w:r>
    </w:p>
    <w:p w14:paraId="7F09B16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2）委托代理人未能出具有效身份证明或者出具的身份证明与授权委托书中的信息不符；</w:t>
      </w:r>
    </w:p>
    <w:p w14:paraId="2F576A7D">
      <w:pPr>
        <w:shd w:val="clear"/>
        <w:spacing w:line="360" w:lineRule="auto"/>
        <w:ind w:firstLine="420" w:firstLineChars="200"/>
        <w:rPr>
          <w:rFonts w:ascii="宋体" w:hAnsi="宋体" w:eastAsia="宋体" w:cs="宋体"/>
          <w:bCs/>
          <w:color w:val="auto"/>
          <w:szCs w:val="21"/>
          <w:highlight w:val="none"/>
        </w:rPr>
      </w:pPr>
      <w:r>
        <w:rPr>
          <w:rFonts w:hint="eastAsia" w:ascii="宋体" w:hAnsi="宋体" w:cs="宋体"/>
          <w:color w:val="auto"/>
          <w:szCs w:val="21"/>
        </w:rPr>
        <w:t>3）提交的竞标保证金无效的或者未按照谈判文件的规定提交竞标保证金；</w:t>
      </w:r>
      <w:r>
        <w:rPr>
          <w:rFonts w:hint="eastAsia" w:ascii="宋体" w:hAnsi="宋体" w:eastAsia="宋体" w:cs="宋体"/>
          <w:bCs/>
          <w:color w:val="auto"/>
          <w:szCs w:val="21"/>
          <w:highlight w:val="none"/>
        </w:rPr>
        <w:t xml:space="preserve"> </w:t>
      </w:r>
    </w:p>
    <w:p w14:paraId="69AAB858">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6D95E3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）商务条款中标“▲”的条款发生负偏离的或者允许负偏离的条款数超过“供应商须知前附表”规定项数的或者标明实质性的要求发生负偏离；</w:t>
      </w:r>
    </w:p>
    <w:p w14:paraId="5CC2363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）未对</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有效期作出响应或者响应文件承诺的</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有效期不满足</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谈判文件要求；</w:t>
      </w:r>
    </w:p>
    <w:p w14:paraId="102269CF">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）响应文件的实质性内容未使用中文表述、使用计量单位不符合</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谈判文件要求；</w:t>
      </w:r>
    </w:p>
    <w:p w14:paraId="7C81D909">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）响应文件中的文件资料因填写不齐全或者内容虚假或者出现其他情形而导致被谈判小组认定无效；</w:t>
      </w:r>
    </w:p>
    <w:p w14:paraId="7F59B94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）响应文件含有采购人不能接受的附加条件；</w:t>
      </w:r>
    </w:p>
    <w:p w14:paraId="44376AFA">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10</w:t>
      </w:r>
      <w:r>
        <w:rPr>
          <w:rFonts w:hint="eastAsia" w:ascii="宋体" w:hAnsi="宋体" w:eastAsia="宋体" w:cs="宋体"/>
          <w:bCs/>
          <w:color w:val="auto"/>
          <w:szCs w:val="21"/>
          <w:highlight w:val="none"/>
        </w:rPr>
        <w:t>）属于“供应商须知正文”第7.5条情形；</w:t>
      </w:r>
    </w:p>
    <w:p w14:paraId="4460C38B">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）技术需求允许负偏离的条款数超过“供应商须知前附表”规定项数；</w:t>
      </w:r>
    </w:p>
    <w:p w14:paraId="19349E7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）虚假</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，或者出现其他情形而导致被谈判小组认定无效；</w:t>
      </w:r>
    </w:p>
    <w:p w14:paraId="4F3027ED">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技术方案不明确，</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谈判文件未允许但响应文件中存在一个或者一个以上备选（替代）</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方案；</w:t>
      </w:r>
    </w:p>
    <w:p w14:paraId="6F4BAD8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）响应文件标注的项目名称或者项目编号与竞争性谈判文件标注的项目名称或者项目编号不一致的；</w:t>
      </w:r>
    </w:p>
    <w:p w14:paraId="0DBDF0EC">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rPr>
        <w:t>15）</w:t>
      </w:r>
      <w:r>
        <w:rPr>
          <w:rFonts w:hint="eastAsia" w:ascii="宋体" w:hAnsi="宋体" w:eastAsia="宋体" w:cs="Times New Roman"/>
          <w:color w:val="auto"/>
          <w:szCs w:val="21"/>
        </w:rPr>
        <w:t>谈判文件明确不允许分包，响应文件拟分包的；</w:t>
      </w:r>
    </w:p>
    <w:p w14:paraId="50B9F20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）未响应</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谈判文件实质性要求；</w:t>
      </w:r>
    </w:p>
    <w:p w14:paraId="3471F25A">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）法律法规和</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谈判文件规定的其他无效情形。</w:t>
      </w:r>
    </w:p>
    <w:p w14:paraId="4492EE2E">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（2）报价评审</w:t>
      </w:r>
    </w:p>
    <w:p w14:paraId="04CCF55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 响应文件未提供“供应商须知前附表” 报价文件中规定的“响应报价表”；</w:t>
      </w:r>
    </w:p>
    <w:p w14:paraId="2742919A">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2）未采用人民币报价或者未按照</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谈判文件标明的币种报价；</w:t>
      </w:r>
    </w:p>
    <w:p w14:paraId="49D6D39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3）供应商未就所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分标进行报价或者存在漏项报价；供应商未就所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分标的单项内容作唯一报价；供应商未就所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分标的全部内容作唯一总价报价；供应商响应文件中存在有选择、有条件报价的（</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谈判文件允许有备选方案或者其他约定的除外）；</w:t>
      </w:r>
    </w:p>
    <w:p w14:paraId="51FAC67E">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4）响应报价（包含首次报价、最后报价）超过所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分标规定的采购预算金额或者最高限价的（如本项目公布了最高限价）；响应报价（包含首次报价、最后报价）超过</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谈判文件分项采购预算金额或者最高限价的（如本项目公布了最高限价）；</w:t>
      </w:r>
    </w:p>
    <w:p w14:paraId="4B963C09">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5）修正后的报价，供应商不确认的；或者经供应商确认修正后的响应报价（包含首次报价、最后报价）超过所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分标规定的采购预算金额或者最高限价（如本项目公布了最高限价）；或者经供应商确认修正后响应报价（包含首次报价、最后报价）超过</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谈判文件分项采购预算金额或者最高限价的（如本项目公布了最高限价）。</w:t>
      </w:r>
    </w:p>
    <w:p w14:paraId="7F6E5888">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6）响应文件响应的标的数量及单位与竞争性谈判文件要求实质性不一致的。</w:t>
      </w:r>
    </w:p>
    <w:p w14:paraId="707EF01B">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7）未响应</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谈判文件实质性要求的。</w:t>
      </w:r>
    </w:p>
    <w:p w14:paraId="338B5347">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3.6谈判小组对响应文件进行评审，未实质性响应</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谈判文件的响应文件按无效处理，谈判小组应当将资格和符合性不通过的情况告知有关供应商。谈判小组从符合</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谈判文件规定的相应资格条件的供应商名单中确定不少于3家的供应商参加谈判。</w:t>
      </w:r>
    </w:p>
    <w:p w14:paraId="7B2FE8F9">
      <w:pPr>
        <w:spacing w:line="360" w:lineRule="auto"/>
        <w:ind w:firstLine="420" w:firstLineChars="200"/>
        <w:rPr>
          <w:rFonts w:hint="eastAsia" w:ascii="宋体" w:hAnsi="宋体" w:eastAsia="宋体" w:cs="宋体"/>
          <w:color w:val="auto"/>
          <w:szCs w:val="21"/>
        </w:rPr>
      </w:pPr>
      <w:r>
        <w:rPr>
          <w:rFonts w:ascii="宋体" w:hAnsi="宋体" w:eastAsia="宋体" w:cs="宋体"/>
          <w:color w:val="auto"/>
          <w:szCs w:val="21"/>
        </w:rPr>
        <w:t>3</w:t>
      </w:r>
      <w:r>
        <w:rPr>
          <w:rFonts w:hint="eastAsia" w:ascii="宋体" w:hAnsi="宋体" w:eastAsia="宋体" w:cs="宋体"/>
          <w:color w:val="auto"/>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18FEBCBC">
      <w:pPr>
        <w:shd w:val="clear"/>
        <w:spacing w:line="360" w:lineRule="auto"/>
        <w:ind w:firstLine="420" w:firstLineChars="200"/>
        <w:rPr>
          <w:rFonts w:hint="eastAsia" w:ascii="宋体" w:hAnsi="宋体" w:eastAsia="宋体" w:cs="宋体"/>
          <w:bCs/>
          <w:color w:val="auto"/>
          <w:szCs w:val="21"/>
          <w:highlight w:val="none"/>
        </w:rPr>
      </w:pPr>
      <w:r>
        <w:rPr>
          <w:rFonts w:ascii="宋体" w:hAnsi="宋体" w:eastAsia="宋体" w:cs="宋体"/>
          <w:color w:val="auto"/>
          <w:szCs w:val="21"/>
        </w:rPr>
        <w:t>3</w:t>
      </w:r>
      <w:r>
        <w:rPr>
          <w:rFonts w:hint="eastAsia" w:ascii="宋体" w:hAnsi="宋体" w:eastAsia="宋体" w:cs="宋体"/>
          <w:color w:val="auto"/>
          <w:szCs w:val="21"/>
        </w:rPr>
        <w:t>.8除本章3.7条规定的情形外，通过符合性审查的合格供应商不足3家的，不得进入谈判环节，应当重新开展采购活动。</w:t>
      </w:r>
    </w:p>
    <w:p w14:paraId="0886C715">
      <w:pPr>
        <w:shd w:val="clear"/>
        <w:spacing w:line="360" w:lineRule="auto"/>
        <w:ind w:firstLine="422" w:firstLineChars="200"/>
        <w:rPr>
          <w:rFonts w:ascii="宋体" w:hAnsi="宋体" w:eastAsia="宋体" w:cs="宋体"/>
          <w:b/>
          <w:bCs w:val="0"/>
          <w:color w:val="auto"/>
          <w:szCs w:val="21"/>
          <w:highlight w:val="none"/>
        </w:rPr>
      </w:pPr>
      <w:r>
        <w:rPr>
          <w:rFonts w:hint="eastAsia" w:ascii="宋体" w:hAnsi="宋体" w:eastAsia="宋体" w:cs="宋体"/>
          <w:b/>
          <w:bCs w:val="0"/>
          <w:color w:val="auto"/>
          <w:szCs w:val="21"/>
          <w:highlight w:val="none"/>
        </w:rPr>
        <w:t>4.谈判程序</w:t>
      </w:r>
    </w:p>
    <w:p w14:paraId="257570F2">
      <w:pPr>
        <w:keepNext w:val="0"/>
        <w:keepLines w:val="0"/>
        <w:pageBreakBefore w:val="0"/>
        <w:widowControl w:val="0"/>
        <w:shd w:val="clear"/>
        <w:kinsoku/>
        <w:wordWrap w:val="0"/>
        <w:overflowPunct/>
        <w:topLinePunct w:val="0"/>
        <w:autoSpaceDE/>
        <w:autoSpaceDN/>
        <w:bidi w:val="0"/>
        <w:adjustRightInd/>
        <w:snapToGrid/>
        <w:spacing w:line="360" w:lineRule="auto"/>
        <w:ind w:firstLine="420" w:firstLineChars="200"/>
        <w:textAlignment w:val="auto"/>
        <w:rPr>
          <w:rFonts w:ascii="宋体" w:hAnsi="宋体" w:eastAsia="宋体" w:cs="宋体"/>
          <w:bCs/>
          <w:color w:val="auto"/>
          <w:szCs w:val="21"/>
          <w:highlight w:val="none"/>
        </w:rPr>
      </w:pPr>
      <w:r>
        <w:rPr>
          <w:rFonts w:hint="eastAsia" w:ascii="宋体" w:hAnsi="宋体" w:eastAsia="宋体" w:cs="宋体"/>
          <w:bCs/>
          <w:color w:val="auto"/>
          <w:szCs w:val="21"/>
          <w:highlight w:val="none"/>
        </w:rPr>
        <w:t>4.1谈判小组按照“供应商须知前附表” 确定的顺序，集中与单一供应商分别进行谈判，并给予所有参加谈判的供应商平等的谈判机会。符合谈判资格的供应商必须实时关注广西政府采购云平台（https://www.zcygov.cn）开标信息，在接到谈判通知后规定时间内参加谈判，未在规定时间内参加谈判的视同放弃参加谈判权利，其响应文件按无效响应处理。</w:t>
      </w:r>
    </w:p>
    <w:p w14:paraId="1B2626CA">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4.2在谈判过程中，谈判小组可以根据</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谈判文件和谈判情况实质性变动采购需求中的技术、服务要求以及合同草案条款，但不得变动</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谈判文件中的其他内容。实质性变动的内容，须经采购人代表确认。可能实质性变动的内容为采购需求中的技术、服务要求以及合同草案条款。</w:t>
      </w:r>
    </w:p>
    <w:p w14:paraId="70A1F70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4.3对</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谈判文件作出的实质性变动是</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谈判文件的有效组成部分，由谈判小组及时以电子澄清函形式同时通知所有参加谈判的供应商。</w:t>
      </w:r>
    </w:p>
    <w:p w14:paraId="2601D12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4.4供应商必须按照</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的变动情况和谈判小组的要求以回函的形式重新提交响应文件，并加盖供应商公章（或电子签章）。供应商为自然人的，必须由本人签字并附身份证明。参加谈判的供应商未在规定时间内重新提交响应文件的，视同退出谈判。</w:t>
      </w:r>
    </w:p>
    <w:p w14:paraId="7ED767E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4.5谈判中，谈判的任何一方不得透露与谈判有关的其他供应商的技术资料、价格和其他信息。</w:t>
      </w:r>
    </w:p>
    <w:p w14:paraId="5015F22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4.6</w:t>
      </w:r>
      <w:r>
        <w:rPr>
          <w:rFonts w:hint="eastAsia" w:ascii="宋体" w:hAnsi="宋体" w:eastAsia="宋体" w:cs="宋体"/>
          <w:bCs/>
          <w:color w:val="auto"/>
          <w:szCs w:val="21"/>
          <w:highlight w:val="none"/>
          <w:lang w:eastAsia="zh-CN"/>
        </w:rPr>
        <w:t>谈判小组应</w:t>
      </w:r>
      <w:r>
        <w:rPr>
          <w:rFonts w:hint="eastAsia" w:ascii="宋体" w:hAnsi="宋体" w:eastAsia="宋体" w:cs="宋体"/>
          <w:bCs/>
          <w:color w:val="auto"/>
          <w:szCs w:val="21"/>
          <w:highlight w:val="none"/>
        </w:rPr>
        <w:t>对谈判过程和重要谈判内容进行记录，谈判双方在记录上签字确认。</w:t>
      </w:r>
    </w:p>
    <w:p w14:paraId="52D1C95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4.7谈判过程中重新提交的响应文件，供应商可以在开启前补充、修改。</w:t>
      </w:r>
    </w:p>
    <w:p w14:paraId="7804326B">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4.8对谈判过程中提交的响应文件进行有效性、完整性和响应程度审查，通过审查的合格供应商不足3家的，采购人或者采购代理机构应当重新开展采购活动。</w:t>
      </w:r>
    </w:p>
    <w:p w14:paraId="3B9CE873">
      <w:pPr>
        <w:shd w:val="clear"/>
        <w:spacing w:line="360" w:lineRule="auto"/>
        <w:ind w:firstLine="422" w:firstLineChars="200"/>
        <w:rPr>
          <w:rFonts w:ascii="宋体" w:hAnsi="宋体" w:eastAsia="宋体" w:cs="宋体"/>
          <w:b/>
          <w:bCs w:val="0"/>
          <w:color w:val="auto"/>
          <w:szCs w:val="21"/>
          <w:highlight w:val="none"/>
        </w:rPr>
      </w:pPr>
      <w:r>
        <w:rPr>
          <w:rFonts w:hint="eastAsia" w:ascii="宋体" w:hAnsi="宋体" w:eastAsia="宋体" w:cs="宋体"/>
          <w:b/>
          <w:bCs w:val="0"/>
          <w:color w:val="auto"/>
          <w:szCs w:val="21"/>
          <w:highlight w:val="none"/>
        </w:rPr>
        <w:t>5.最后报价</w:t>
      </w:r>
    </w:p>
    <w:p w14:paraId="3AB0AF5C">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5.1</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谈判文件能够详细列明采购标的的技术、货物要求的，谈判结束后，由谈判小组要求所有继续参加谈判的供应商在规定时间内在广西政府采购云平台（https://www.zcygov.cn）提交最后报价，</w:t>
      </w:r>
      <w:r>
        <w:rPr>
          <w:rFonts w:hint="eastAsia" w:ascii="宋体" w:hAnsi="宋体" w:cs="宋体"/>
          <w:color w:val="auto"/>
          <w:szCs w:val="21"/>
        </w:rPr>
        <w:t>除本章第3.7条外</w:t>
      </w:r>
      <w:r>
        <w:rPr>
          <w:rFonts w:hint="eastAsia" w:ascii="宋体" w:hAnsi="宋体" w:cs="宋体"/>
          <w:color w:val="auto"/>
          <w:szCs w:val="21"/>
          <w:lang w:eastAsia="zh-CN"/>
        </w:rPr>
        <w:t>，</w:t>
      </w:r>
      <w:r>
        <w:rPr>
          <w:rFonts w:hint="eastAsia" w:ascii="宋体" w:hAnsi="宋体" w:eastAsia="宋体" w:cs="宋体"/>
          <w:bCs/>
          <w:color w:val="auto"/>
          <w:szCs w:val="21"/>
          <w:highlight w:val="none"/>
        </w:rPr>
        <w:t>提交最后报价的供应商不得少于3家，否则</w:t>
      </w:r>
      <w:r>
        <w:rPr>
          <w:rFonts w:hint="eastAsia" w:ascii="宋体" w:hAnsi="宋体" w:eastAsia="宋体" w:cs="宋体"/>
          <w:bCs/>
          <w:color w:val="auto"/>
          <w:szCs w:val="21"/>
          <w:highlight w:val="none"/>
          <w:lang w:eastAsia="zh-CN"/>
        </w:rPr>
        <w:t>应当</w:t>
      </w:r>
      <w:r>
        <w:rPr>
          <w:rFonts w:hint="eastAsia" w:ascii="宋体" w:hAnsi="宋体" w:eastAsia="宋体" w:cs="宋体"/>
          <w:bCs/>
          <w:color w:val="auto"/>
          <w:szCs w:val="21"/>
          <w:highlight w:val="none"/>
        </w:rPr>
        <w:t>重新采购。</w:t>
      </w:r>
    </w:p>
    <w:p w14:paraId="7575982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5.2</w:t>
      </w:r>
      <w:r>
        <w:rPr>
          <w:rFonts w:hint="eastAsia" w:ascii="宋体" w:hAnsi="宋体" w:eastAsia="宋体" w:cs="宋体"/>
          <w:bCs/>
          <w:color w:val="auto"/>
          <w:szCs w:val="21"/>
          <w:highlight w:val="none"/>
          <w:lang w:val="en-US" w:eastAsia="zh-CN"/>
        </w:rPr>
        <w:t>竞争性</w:t>
      </w:r>
      <w:r>
        <w:rPr>
          <w:rFonts w:hint="eastAsia" w:ascii="宋体" w:hAnsi="宋体" w:eastAsia="宋体" w:cs="宋体"/>
          <w:bCs/>
          <w:color w:val="auto"/>
          <w:szCs w:val="21"/>
          <w:highlight w:val="none"/>
        </w:rPr>
        <w:t>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https://www.zcygov.cn）提交最后报价。</w:t>
      </w:r>
    </w:p>
    <w:p w14:paraId="72FBE3F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5.3最后报价是供应商响应文件的有效组成部分。</w:t>
      </w:r>
    </w:p>
    <w:p w14:paraId="31610089">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5.4已经提交响应文件的供应商，在提交最后报价之前，可以根据谈判情况退出谈判，退出谈判的供应商的响应文件按无效响应处理。</w:t>
      </w:r>
    </w:p>
    <w:p w14:paraId="7C11BC08">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5.5供应商未在规定时间内提交最后报价的，视同退出谈判。</w:t>
      </w:r>
    </w:p>
    <w:p w14:paraId="46CBBCD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5.6谈判小组收齐某一分标最后报价后统一开启，谈判小组对最后报价进行有效性、完整性和响应程度的审查。</w:t>
      </w:r>
    </w:p>
    <w:p w14:paraId="7202995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 xml:space="preserve">5.7最终响应文件的报价出现前后不一致的，按照本章第3.4条的规定修正。 </w:t>
      </w:r>
    </w:p>
    <w:p w14:paraId="02984679">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5.8修正后的最终报价出现下列情形的，按无效响应处理：</w:t>
      </w:r>
    </w:p>
    <w:p w14:paraId="76CE8B2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（1）供应商不确认的（全流程电子化评标采取在线确认）；</w:t>
      </w:r>
    </w:p>
    <w:p w14:paraId="08D0717B">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（2）经供应商确认修正后的响应报价（包含首次报价、最后报价）超过所</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分标规定的采购预算金额或者最高限价的（如本项目公布了最高限价）；</w:t>
      </w:r>
    </w:p>
    <w:p w14:paraId="6C8A03A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（3）经供应商确认修正后的响应报价（包含首次报价、最后报价）超过分项采购预算金额或者最高限价的（如本项目公布了最高限价）。</w:t>
      </w:r>
    </w:p>
    <w:p w14:paraId="0B5C87EB">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5.9经供应商确认修正后的最后报价作为评审及签订合同的依据。</w:t>
      </w:r>
    </w:p>
    <w:p w14:paraId="11582F58">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5.10供应商出现最后报价按无效响应处理或者响应文件按无效处理时，谈判小组应当告知有关供应商。</w:t>
      </w:r>
    </w:p>
    <w:p w14:paraId="3F7212FE">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5.11最后报价结束后，谈判小组不得再与供应商进行任何形式的商谈。</w:t>
      </w:r>
    </w:p>
    <w:p w14:paraId="16D535A3">
      <w:pPr>
        <w:widowControl/>
        <w:shd w:val="clear"/>
        <w:snapToGrid w:val="0"/>
        <w:spacing w:line="400" w:lineRule="exact"/>
        <w:ind w:firstLine="422" w:firstLineChars="200"/>
        <w:jc w:val="lef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5.12</w:t>
      </w:r>
      <w:r>
        <w:rPr>
          <w:rFonts w:hint="eastAsia" w:ascii="宋体" w:hAnsi="宋体" w:eastAsia="宋体" w:cs="宋体"/>
          <w:b/>
          <w:bCs w:val="0"/>
          <w:color w:val="auto"/>
          <w:szCs w:val="21"/>
          <w:highlight w:val="none"/>
          <w:lang w:bidi="ar"/>
        </w:rPr>
        <w:t>异常低价审查</w:t>
      </w:r>
    </w:p>
    <w:p w14:paraId="6FF1E6ED">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5.12.</w:t>
      </w:r>
      <w:r>
        <w:rPr>
          <w:rFonts w:hint="eastAsia" w:ascii="宋体" w:hAnsi="宋体" w:eastAsia="宋体" w:cs="宋体"/>
          <w:bCs/>
          <w:color w:val="auto"/>
          <w:szCs w:val="21"/>
          <w:highlight w:val="none"/>
        </w:rPr>
        <w:t>1根据《关于推动解决政府采购异常低价问题的通知》(财库〔2026〕2号)规定，政府采购评审中出现异常低价下列情形之一的，</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小组应当启动异常低价投标审查程序：</w:t>
      </w:r>
    </w:p>
    <w:p w14:paraId="39FE7B3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（1）投标（响应）报价低于全部通过符合性审查供应商投标（响应）报价平均值50%的，即投标（响应）报价&lt;全部通过符合性审查供应商投标（响应）报价平均值×50%；</w:t>
      </w:r>
    </w:p>
    <w:p w14:paraId="28F64679">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（2）投标（响应）报价低于通过符合性审查的次低报价供应商投标（响应）报价50%的，即投标（响应）报价&lt;通过符合性审查的次低报价供应商投标（响应）报价×50%；</w:t>
      </w:r>
    </w:p>
    <w:p w14:paraId="1DD263E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（3）投标（响应）报价低于采购项目最高限价45%的，即投标（响应）报价&lt;采购项目最高限价×45%；</w:t>
      </w:r>
    </w:p>
    <w:p w14:paraId="1DEA99D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小组基于专业判断，认为供应商报价过低，有可能影响产品质量或者不能诚信履约的其他情形。</w:t>
      </w:r>
    </w:p>
    <w:p w14:paraId="254921F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（5）相关法律法规对供应商报价有规定的，从其规定。</w:t>
      </w:r>
    </w:p>
    <w:p w14:paraId="1562694E">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5.12.</w:t>
      </w:r>
      <w:r>
        <w:rPr>
          <w:rFonts w:hint="eastAsia" w:ascii="宋体" w:hAnsi="宋体" w:eastAsia="宋体" w:cs="宋体"/>
          <w:bCs/>
          <w:color w:val="auto"/>
          <w:szCs w:val="21"/>
          <w:highlight w:val="none"/>
        </w:rPr>
        <w:t>2资料要求：</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D3BB65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5.12.</w:t>
      </w:r>
      <w:r>
        <w:rPr>
          <w:rFonts w:hint="eastAsia" w:ascii="宋体" w:hAnsi="宋体" w:eastAsia="宋体" w:cs="宋体"/>
          <w:bCs/>
          <w:color w:val="auto"/>
          <w:szCs w:val="21"/>
          <w:highlight w:val="none"/>
        </w:rPr>
        <w:t>3审查要求：</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小组应当将其作为无效投标（响应）处理。</w:t>
      </w:r>
    </w:p>
    <w:p w14:paraId="6E416A3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5.12.</w:t>
      </w:r>
      <w:r>
        <w:rPr>
          <w:rFonts w:hint="eastAsia" w:ascii="宋体" w:hAnsi="宋体" w:eastAsia="宋体" w:cs="宋体"/>
          <w:bCs/>
          <w:color w:val="auto"/>
          <w:szCs w:val="21"/>
          <w:highlight w:val="none"/>
        </w:rPr>
        <w:t>4评审组织：采购人、采购代理机构应当为</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小组借助互联网等渠道查询相关信息的，应当严格遵守评审工作纪律，不得实施影响评审公正的行为。</w:t>
      </w:r>
    </w:p>
    <w:p w14:paraId="1DABA79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5.12.</w:t>
      </w:r>
      <w:r>
        <w:rPr>
          <w:rFonts w:hint="eastAsia" w:ascii="宋体" w:hAnsi="宋体" w:eastAsia="宋体" w:cs="宋体"/>
          <w:bCs/>
          <w:color w:val="auto"/>
          <w:szCs w:val="21"/>
          <w:highlight w:val="none"/>
        </w:rPr>
        <w:t>5记录及归档：异常低价投标（响应）审查的启动原因、审查意见和审查结果应当在评审报告中记录，并随供应商提供的相关书面说明及证明材料，以及</w:t>
      </w:r>
      <w:r>
        <w:rPr>
          <w:rFonts w:hint="eastAsia" w:ascii="宋体" w:hAnsi="宋体" w:eastAsia="宋体" w:cs="宋体"/>
          <w:bCs/>
          <w:color w:val="auto"/>
          <w:szCs w:val="21"/>
          <w:highlight w:val="none"/>
          <w:lang w:eastAsia="zh-CN"/>
        </w:rPr>
        <w:t>谈判</w:t>
      </w:r>
      <w:r>
        <w:rPr>
          <w:rFonts w:hint="eastAsia" w:ascii="宋体" w:hAnsi="宋体" w:eastAsia="宋体" w:cs="宋体"/>
          <w:bCs/>
          <w:color w:val="auto"/>
          <w:szCs w:val="21"/>
          <w:highlight w:val="none"/>
        </w:rPr>
        <w:t>小组有关互联网浏览、查询历史一并归档。</w:t>
      </w:r>
    </w:p>
    <w:p w14:paraId="2D8BDC3E">
      <w:pPr>
        <w:widowControl/>
        <w:shd w:val="clear"/>
        <w:snapToGrid w:val="0"/>
        <w:spacing w:line="400" w:lineRule="exact"/>
        <w:ind w:firstLine="422" w:firstLineChars="200"/>
        <w:jc w:val="left"/>
        <w:rPr>
          <w:rFonts w:hint="eastAsia" w:ascii="宋体" w:hAnsi="宋体" w:eastAsia="宋体" w:cs="宋体"/>
          <w:b/>
          <w:bCs w:val="0"/>
          <w:color w:val="auto"/>
          <w:szCs w:val="21"/>
          <w:highlight w:val="none"/>
          <w:lang w:val="en-US" w:eastAsia="zh-CN" w:bidi="ar"/>
        </w:rPr>
      </w:pPr>
      <w:r>
        <w:rPr>
          <w:rFonts w:hint="eastAsia" w:ascii="宋体" w:hAnsi="宋体" w:eastAsia="宋体" w:cs="宋体"/>
          <w:b/>
          <w:bCs w:val="0"/>
          <w:color w:val="auto"/>
          <w:szCs w:val="21"/>
          <w:highlight w:val="none"/>
          <w:lang w:val="en-US" w:eastAsia="zh-CN" w:bidi="ar"/>
        </w:rPr>
        <w:t>5.13实施本国产品标准及相关政策：</w:t>
      </w:r>
    </w:p>
    <w:p w14:paraId="69A77D7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5.13.1</w:t>
      </w:r>
      <w:r>
        <w:rPr>
          <w:rFonts w:hint="eastAsia" w:ascii="宋体" w:hAnsi="宋体" w:eastAsia="宋体" w:cs="宋体"/>
          <w:bCs/>
          <w:color w:val="auto"/>
          <w:szCs w:val="21"/>
          <w:highlight w:val="none"/>
        </w:rPr>
        <w:t>本国产品标准</w:t>
      </w:r>
    </w:p>
    <w:p w14:paraId="3ACA45E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本国产品应当符合以下条件：</w:t>
      </w:r>
    </w:p>
    <w:p w14:paraId="20047D7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在中国境内生产</w:t>
      </w:r>
    </w:p>
    <w:p w14:paraId="19B85F2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产品应当在中国境内生产，即在中华人民共和国关境内实现从原材料、组件到产品的属性改变。</w:t>
      </w:r>
    </w:p>
    <w:p w14:paraId="4E08256D">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属性改变是指经过制造、加工或者组装等工序，产生完全不同于原材料、组件的新产品，并具有新的名称和特征(用途)。属性改变不包括以下细微操作：</w:t>
      </w:r>
    </w:p>
    <w:p w14:paraId="2B38AF9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①</w:t>
      </w:r>
      <w:r>
        <w:rPr>
          <w:rFonts w:hint="eastAsia" w:ascii="宋体" w:hAnsi="宋体" w:eastAsia="宋体" w:cs="宋体"/>
          <w:bCs/>
          <w:color w:val="auto"/>
          <w:szCs w:val="21"/>
          <w:highlight w:val="none"/>
        </w:rPr>
        <w:t>为确保产品在运输或者储存期间保持某种状态而进行的操作</w:t>
      </w:r>
      <w:r>
        <w:rPr>
          <w:rFonts w:hint="eastAsia" w:ascii="宋体" w:hAnsi="宋体" w:eastAsia="宋体" w:cs="宋体"/>
          <w:bCs/>
          <w:color w:val="auto"/>
          <w:szCs w:val="21"/>
          <w:highlight w:val="none"/>
          <w:lang w:eastAsia="zh-CN"/>
        </w:rPr>
        <w:t>；</w:t>
      </w:r>
    </w:p>
    <w:p w14:paraId="5360F41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②</w:t>
      </w:r>
      <w:r>
        <w:rPr>
          <w:rFonts w:hint="eastAsia" w:ascii="宋体" w:hAnsi="宋体" w:eastAsia="宋体" w:cs="宋体"/>
          <w:bCs/>
          <w:color w:val="auto"/>
          <w:szCs w:val="21"/>
          <w:highlight w:val="none"/>
        </w:rPr>
        <w:t>为产品运输或者销售进行的包装或者展示</w:t>
      </w:r>
      <w:r>
        <w:rPr>
          <w:rFonts w:hint="eastAsia" w:ascii="宋体" w:hAnsi="宋体" w:eastAsia="宋体" w:cs="宋体"/>
          <w:bCs/>
          <w:color w:val="auto"/>
          <w:szCs w:val="21"/>
          <w:highlight w:val="none"/>
          <w:lang w:eastAsia="zh-CN"/>
        </w:rPr>
        <w:t>；</w:t>
      </w:r>
    </w:p>
    <w:p w14:paraId="7BEDE5C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③</w:t>
      </w:r>
      <w:r>
        <w:rPr>
          <w:rFonts w:hint="eastAsia" w:ascii="宋体" w:hAnsi="宋体" w:eastAsia="宋体" w:cs="宋体"/>
          <w:bCs/>
          <w:color w:val="auto"/>
          <w:szCs w:val="21"/>
          <w:highlight w:val="none"/>
        </w:rPr>
        <w:t>在产品或者其包装上粘贴或者印刷品牌、标志、标识以及其他用于区别的标记</w:t>
      </w:r>
      <w:r>
        <w:rPr>
          <w:rFonts w:hint="eastAsia" w:ascii="宋体" w:hAnsi="宋体" w:eastAsia="宋体" w:cs="宋体"/>
          <w:bCs/>
          <w:color w:val="auto"/>
          <w:szCs w:val="21"/>
          <w:highlight w:val="none"/>
          <w:lang w:eastAsia="zh-CN"/>
        </w:rPr>
        <w:t>；</w:t>
      </w:r>
    </w:p>
    <w:p w14:paraId="3079614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④</w:t>
      </w:r>
      <w:r>
        <w:rPr>
          <w:rFonts w:hint="eastAsia" w:ascii="宋体" w:hAnsi="宋体" w:eastAsia="宋体" w:cs="宋体"/>
          <w:bCs/>
          <w:color w:val="auto"/>
          <w:szCs w:val="21"/>
          <w:highlight w:val="none"/>
        </w:rPr>
        <w:t>简单的上漆、磨光和分装</w:t>
      </w:r>
      <w:r>
        <w:rPr>
          <w:rFonts w:hint="eastAsia" w:ascii="宋体" w:hAnsi="宋体" w:eastAsia="宋体" w:cs="宋体"/>
          <w:bCs/>
          <w:color w:val="auto"/>
          <w:szCs w:val="21"/>
          <w:highlight w:val="none"/>
          <w:lang w:eastAsia="zh-CN"/>
        </w:rPr>
        <w:t>；</w:t>
      </w:r>
    </w:p>
    <w:p w14:paraId="3CA3088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⑤</w:t>
      </w:r>
      <w:r>
        <w:rPr>
          <w:rFonts w:hint="eastAsia" w:ascii="宋体" w:hAnsi="宋体" w:eastAsia="宋体" w:cs="宋体"/>
          <w:bCs/>
          <w:color w:val="auto"/>
          <w:szCs w:val="21"/>
          <w:highlight w:val="none"/>
        </w:rPr>
        <w:t>其他不属于属性改变的情形。</w:t>
      </w:r>
    </w:p>
    <w:p w14:paraId="65C88589">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在中国境内生产的组件成本占比达到规定比例</w:t>
      </w:r>
    </w:p>
    <w:p w14:paraId="3E29A03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产品在中国境内生产的组件成本占比应当达到规定比例，计算公式为：</w:t>
      </w:r>
    </w:p>
    <w:p w14:paraId="2D863628">
      <w:pPr>
        <w:widowControl/>
        <w:shd w:val="clear" w:color="auto"/>
        <w:spacing w:line="360" w:lineRule="atLeast"/>
        <w:jc w:val="center"/>
        <w:textAlignment w:val="baseline"/>
        <w:rPr>
          <w:rFonts w:hint="eastAsia" w:ascii="微软雅黑" w:hAnsi="微软雅黑" w:eastAsia="微软雅黑" w:cs="宋体"/>
          <w:color w:val="auto"/>
          <w:kern w:val="0"/>
          <w:sz w:val="24"/>
          <w:szCs w:val="24"/>
          <w:highlight w:val="none"/>
        </w:rPr>
      </w:pPr>
      <w:r>
        <w:rPr>
          <w:rFonts w:ascii="微软雅黑" w:hAnsi="微软雅黑" w:eastAsia="微软雅黑" w:cs="宋体"/>
          <w:color w:val="auto"/>
          <w:kern w:val="0"/>
          <w:sz w:val="24"/>
          <w:szCs w:val="24"/>
          <w:highlight w:val="none"/>
        </w:rPr>
        <w:drawing>
          <wp:inline distT="0" distB="0" distL="114300" distR="114300">
            <wp:extent cx="4829175" cy="762000"/>
            <wp:effectExtent l="0" t="0" r="9525" b="0"/>
            <wp:docPr id="1" name="图片 1"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hainan.chinatax.gov.cn/u/cms/www/202510/090841112j4q.jpg"/>
                    <pic:cNvPicPr>
                      <a:picLocks noChangeAspect="1"/>
                    </pic:cNvPicPr>
                  </pic:nvPicPr>
                  <pic:blipFill>
                    <a:blip r:embed="rId12"/>
                    <a:stretch>
                      <a:fillRect/>
                    </a:stretch>
                  </pic:blipFill>
                  <pic:spPr>
                    <a:xfrm>
                      <a:off x="0" y="0"/>
                      <a:ext cx="4829175" cy="762000"/>
                    </a:xfrm>
                    <a:prstGeom prst="rect">
                      <a:avLst/>
                    </a:prstGeom>
                    <a:noFill/>
                    <a:ln>
                      <a:noFill/>
                    </a:ln>
                  </pic:spPr>
                </pic:pic>
              </a:graphicData>
            </a:graphic>
          </wp:inline>
        </w:drawing>
      </w:r>
    </w:p>
    <w:p w14:paraId="6AD1D5C7">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8189A7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特定产品的关键组件、关键工序符合相关要求</w:t>
      </w:r>
    </w:p>
    <w:p w14:paraId="01E0B681">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对特定产品，在符合本通知第一条第(一)项和第(二)项条件的基础上，应当符合财政部会同有关行业主管部门确定的其关键组件、关键工序在中国境内生产、完成等要求。</w:t>
      </w:r>
    </w:p>
    <w:p w14:paraId="338F167F">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2CC042C">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5.13.2</w:t>
      </w:r>
      <w:r>
        <w:rPr>
          <w:rFonts w:hint="eastAsia" w:ascii="宋体" w:hAnsi="宋体" w:eastAsia="宋体" w:cs="宋体"/>
          <w:bCs/>
          <w:color w:val="auto"/>
          <w:szCs w:val="21"/>
          <w:highlight w:val="none"/>
        </w:rPr>
        <w:t>本国产品标准的适用范围</w:t>
      </w:r>
    </w:p>
    <w:p w14:paraId="506DBDF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CFFB5A3">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5.13.3</w:t>
      </w:r>
      <w:r>
        <w:rPr>
          <w:rFonts w:hint="eastAsia" w:ascii="宋体" w:hAnsi="宋体" w:eastAsia="宋体" w:cs="宋体"/>
          <w:bCs/>
          <w:color w:val="auto"/>
          <w:szCs w:val="21"/>
          <w:highlight w:val="none"/>
        </w:rPr>
        <w:t>对本国产品的支持政策</w:t>
      </w:r>
    </w:p>
    <w:p w14:paraId="174B4991">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政府采购活动中既有本国产品又有非本国产品参与竞争的，依法对本国产品给予价格评审优惠，对本国产品的报价给予20%的价格扣除，用扣除后的价格参与评审。</w:t>
      </w:r>
    </w:p>
    <w:p w14:paraId="5750E5B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23534D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5.13.4</w:t>
      </w:r>
      <w:r>
        <w:rPr>
          <w:rFonts w:hint="eastAsia" w:ascii="宋体" w:hAnsi="宋体" w:eastAsia="宋体" w:cs="宋体"/>
          <w:bCs/>
          <w:color w:val="auto"/>
          <w:szCs w:val="21"/>
          <w:highlight w:val="none"/>
        </w:rPr>
        <w:t>政策执行要求</w:t>
      </w:r>
    </w:p>
    <w:p w14:paraId="6AB1E5A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产品在中国境内生产的组件成本核算规则。产品在中国境内生产的组件成本，按照《中国境内生产的组件成本核算基本规则》(见附件</w:t>
      </w:r>
      <w:r>
        <w:rPr>
          <w:rFonts w:hint="eastAsia" w:ascii="宋体" w:hAnsi="宋体" w:eastAsia="宋体" w:cs="宋体"/>
          <w:bCs/>
          <w:color w:val="auto"/>
          <w:szCs w:val="21"/>
          <w:highlight w:val="none"/>
          <w:lang w:eastAsia="zh-CN"/>
        </w:rPr>
        <w:t>3</w:t>
      </w:r>
      <w:r>
        <w:rPr>
          <w:rFonts w:hint="eastAsia" w:ascii="宋体" w:hAnsi="宋体" w:eastAsia="宋体" w:cs="宋体"/>
          <w:bCs/>
          <w:color w:val="auto"/>
          <w:szCs w:val="21"/>
          <w:highlight w:val="none"/>
        </w:rPr>
        <w:t>)计算。</w:t>
      </w:r>
    </w:p>
    <w:p w14:paraId="5A76B730">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有关证明文件。采购人、采购代理机构应当在采购文件中明确要求供应商对其提供的产品出具《关于符合本国产品标准的声明函》(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52506C2D">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采购人、采购代理机构应当随中标、成交结果同时公告中标、成交供应商提供的《声明函》或有关证明文件。</w:t>
      </w:r>
    </w:p>
    <w:p w14:paraId="1F96A4DF">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236ACC6B">
      <w:pPr>
        <w:shd w:val="clear"/>
        <w:spacing w:line="360"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中华人民共和国缔结或者共同参加的国际条约、协定对政府采购中本国产品政策另有规定的，按照有关条约、协定执行。</w:t>
      </w:r>
    </w:p>
    <w:p w14:paraId="03D3BD81">
      <w:pPr>
        <w:shd w:val="clear"/>
        <w:spacing w:line="360" w:lineRule="auto"/>
        <w:ind w:firstLine="422" w:firstLineChars="200"/>
        <w:rPr>
          <w:rFonts w:hint="eastAsia" w:ascii="宋体" w:hAnsi="宋体" w:eastAsia="宋体" w:cs="宋体"/>
          <w:b/>
          <w:bCs w:val="0"/>
          <w:color w:val="auto"/>
          <w:szCs w:val="21"/>
          <w:highlight w:val="none"/>
          <w:lang w:eastAsia="zh-CN"/>
        </w:rPr>
      </w:pPr>
      <w:r>
        <w:rPr>
          <w:rFonts w:hint="eastAsia" w:ascii="宋体" w:hAnsi="宋体" w:eastAsia="宋体" w:cs="宋体"/>
          <w:b/>
          <w:bCs w:val="0"/>
          <w:color w:val="auto"/>
          <w:szCs w:val="21"/>
          <w:highlight w:val="none"/>
        </w:rPr>
        <w:t>6.最后报价政府采购政策性扣除</w:t>
      </w:r>
      <w:r>
        <w:rPr>
          <w:rFonts w:hint="eastAsia" w:ascii="宋体" w:hAnsi="宋体" w:eastAsia="宋体" w:cs="宋体"/>
          <w:b/>
          <w:bCs w:val="0"/>
          <w:color w:val="auto"/>
          <w:szCs w:val="21"/>
          <w:highlight w:val="none"/>
          <w:lang w:eastAsia="zh-CN"/>
        </w:rPr>
        <w:t>：</w:t>
      </w:r>
    </w:p>
    <w:p w14:paraId="50C293A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4F4A244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6.2政策性扣除计算方法。</w:t>
      </w:r>
    </w:p>
    <w:p w14:paraId="1F88B678">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根据《政府采购促进中小企业发展管理办法》（财库〔2020〕46号）、《广西壮族自治区财政厅关于持续优化政府采购营商环境推动高质量发展的通知》（桂财采〔2024〕55号）的规定，供应商在其响应文件中提供《中小企业声明函》，且其</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全部货物均由小微企业提供的，对供应商的</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报价给予10%的扣除，扣除后的价格为评审</w:t>
      </w:r>
      <w:r>
        <w:rPr>
          <w:rFonts w:hint="eastAsia" w:ascii="宋体" w:hAnsi="宋体" w:eastAsia="宋体" w:cs="宋体"/>
          <w:bCs/>
          <w:color w:val="auto"/>
          <w:szCs w:val="21"/>
          <w:highlight w:val="none"/>
          <w:lang w:val="en-US" w:eastAsia="zh-CN"/>
        </w:rPr>
        <w:t>报</w:t>
      </w:r>
      <w:r>
        <w:rPr>
          <w:rFonts w:hint="eastAsia" w:ascii="宋体" w:hAnsi="宋体" w:eastAsia="宋体" w:cs="宋体"/>
          <w:bCs/>
          <w:color w:val="auto"/>
          <w:szCs w:val="21"/>
          <w:highlight w:val="none"/>
        </w:rPr>
        <w:t>价，即评审</w:t>
      </w:r>
      <w:r>
        <w:rPr>
          <w:rFonts w:hint="eastAsia" w:ascii="宋体" w:hAnsi="宋体" w:eastAsia="宋体" w:cs="宋体"/>
          <w:bCs/>
          <w:color w:val="auto"/>
          <w:szCs w:val="21"/>
          <w:highlight w:val="none"/>
          <w:lang w:val="en-US" w:eastAsia="zh-CN"/>
        </w:rPr>
        <w:t>报</w:t>
      </w:r>
      <w:r>
        <w:rPr>
          <w:rFonts w:hint="eastAsia" w:ascii="宋体" w:hAnsi="宋体" w:eastAsia="宋体" w:cs="宋体"/>
          <w:bCs/>
          <w:color w:val="auto"/>
          <w:szCs w:val="21"/>
          <w:highlight w:val="none"/>
        </w:rPr>
        <w:t>价=</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报价×（1-10%）。</w:t>
      </w:r>
    </w:p>
    <w:p w14:paraId="60560E3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4B5EF20">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1BEB98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6.5除上述情况外，评审</w:t>
      </w:r>
      <w:r>
        <w:rPr>
          <w:rFonts w:hint="eastAsia" w:ascii="宋体" w:hAnsi="宋体" w:eastAsia="宋体" w:cs="宋体"/>
          <w:bCs/>
          <w:color w:val="auto"/>
          <w:szCs w:val="21"/>
          <w:highlight w:val="none"/>
          <w:lang w:val="en-US" w:eastAsia="zh-CN"/>
        </w:rPr>
        <w:t>报</w:t>
      </w:r>
      <w:r>
        <w:rPr>
          <w:rFonts w:hint="eastAsia" w:ascii="宋体" w:hAnsi="宋体" w:eastAsia="宋体" w:cs="宋体"/>
          <w:bCs/>
          <w:color w:val="auto"/>
          <w:szCs w:val="21"/>
          <w:highlight w:val="none"/>
        </w:rPr>
        <w:t>价＝最后报价。</w:t>
      </w:r>
    </w:p>
    <w:p w14:paraId="73088552">
      <w:pPr>
        <w:shd w:val="clear"/>
        <w:spacing w:line="400" w:lineRule="exact"/>
        <w:jc w:val="center"/>
        <w:rPr>
          <w:rFonts w:ascii="宋体" w:hAnsi="宋体" w:eastAsia="宋体" w:cs="宋体"/>
          <w:b/>
          <w:color w:val="auto"/>
          <w:sz w:val="32"/>
          <w:szCs w:val="32"/>
          <w:highlight w:val="none"/>
        </w:rPr>
      </w:pPr>
    </w:p>
    <w:p w14:paraId="2283131B">
      <w:pPr>
        <w:shd w:val="clear"/>
        <w:spacing w:line="4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二、评审原则</w:t>
      </w:r>
    </w:p>
    <w:p w14:paraId="71A2637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1.评审原则</w:t>
      </w:r>
    </w:p>
    <w:p w14:paraId="5222BD92">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1.1谈判小组成员要依法独立评审，并对评审意见承担个人责任。谈判小组成员对需要共同认定的事项存在争议的，按照少数服从多数的原则作出结论。持不同意见的谈判小组成员应当在评审报告上签署不同意见并说明理由，否则视为同意。</w:t>
      </w:r>
    </w:p>
    <w:p w14:paraId="099BE517">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0B3A471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9A5841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2.终止竞争性谈判采购活动</w:t>
      </w:r>
    </w:p>
    <w:p w14:paraId="20394CC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出现下列情形之一的，采购人或者采购代理机构应当终止竞争性谈判采购活动，发布项目终止公告并说明原因，重新开展采购活动：</w:t>
      </w:r>
    </w:p>
    <w:p w14:paraId="4FEC47C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 xml:space="preserve">（1）因情况变化，不再符合规定的竞争性谈判采购方式适用情形的； </w:t>
      </w:r>
    </w:p>
    <w:p w14:paraId="20D6B59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（2）出现影响采购公正的违法、违规行为的；</w:t>
      </w:r>
    </w:p>
    <w:p w14:paraId="3C4E0D65">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（3）在采购过程中符合竞争要求的供应商或者报价未超过采购预算的供应商不足3家的，但《政府采购非招标采购方式管理办法》第二十七条第二款规定的情形除外。</w:t>
      </w:r>
    </w:p>
    <w:p w14:paraId="40BE3D28">
      <w:pPr>
        <w:shd w:val="clear"/>
        <w:spacing w:line="360" w:lineRule="auto"/>
        <w:rPr>
          <w:rFonts w:ascii="宋体" w:hAnsi="宋体" w:eastAsia="宋体" w:cs="宋体"/>
          <w:bCs/>
          <w:color w:val="auto"/>
          <w:szCs w:val="21"/>
          <w:highlight w:val="none"/>
        </w:rPr>
      </w:pPr>
    </w:p>
    <w:p w14:paraId="26CFF08A">
      <w:pPr>
        <w:shd w:val="clear"/>
        <w:spacing w:line="360" w:lineRule="auto"/>
        <w:ind w:firstLine="420" w:firstLineChars="200"/>
        <w:rPr>
          <w:rFonts w:ascii="宋体" w:hAnsi="宋体" w:eastAsia="宋体" w:cs="宋体"/>
          <w:bCs/>
          <w:color w:val="auto"/>
          <w:szCs w:val="21"/>
          <w:highlight w:val="none"/>
        </w:rPr>
      </w:pPr>
    </w:p>
    <w:p w14:paraId="6ADD229F">
      <w:pPr>
        <w:shd w:val="clear"/>
        <w:spacing w:line="400" w:lineRule="exact"/>
        <w:jc w:val="center"/>
        <w:rPr>
          <w:rFonts w:hint="eastAsia" w:ascii="宋体" w:hAnsi="宋体" w:eastAsia="宋体" w:cs="宋体"/>
          <w:b/>
          <w:color w:val="auto"/>
          <w:sz w:val="32"/>
          <w:szCs w:val="32"/>
          <w:highlight w:val="none"/>
          <w:lang w:eastAsia="zh-CN"/>
        </w:rPr>
      </w:pPr>
      <w:bookmarkStart w:id="59" w:name="_Toc80205935"/>
      <w:bookmarkStart w:id="60" w:name="_Toc10329"/>
      <w:r>
        <w:rPr>
          <w:rFonts w:hint="eastAsia" w:ascii="宋体" w:hAnsi="宋体" w:eastAsia="宋体" w:cs="宋体"/>
          <w:b/>
          <w:color w:val="auto"/>
          <w:sz w:val="32"/>
          <w:szCs w:val="32"/>
          <w:highlight w:val="none"/>
        </w:rPr>
        <w:t>三、</w:t>
      </w:r>
      <w:bookmarkEnd w:id="59"/>
      <w:bookmarkEnd w:id="60"/>
      <w:r>
        <w:rPr>
          <w:rFonts w:hint="eastAsia" w:ascii="宋体" w:hAnsi="宋体" w:eastAsia="宋体" w:cs="宋体"/>
          <w:b/>
          <w:color w:val="auto"/>
          <w:sz w:val="32"/>
          <w:szCs w:val="32"/>
          <w:highlight w:val="none"/>
          <w:lang w:eastAsia="zh-CN"/>
        </w:rPr>
        <w:t>评定成交的标准</w:t>
      </w:r>
    </w:p>
    <w:p w14:paraId="0B305EC5">
      <w:pPr>
        <w:shd w:val="clea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成交候选人推荐</w:t>
      </w:r>
    </w:p>
    <w:p w14:paraId="22A547A0">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谈判小组应当从</w:t>
      </w:r>
      <w:r>
        <w:rPr>
          <w:rFonts w:hint="eastAsia" w:ascii="宋体" w:hAnsi="宋体" w:cs="宋体"/>
          <w:color w:val="auto"/>
        </w:rPr>
        <w:t>质量和服务均能满足谈判文件实质性响应要求的供应商中</w:t>
      </w:r>
      <w:r>
        <w:rPr>
          <w:rFonts w:hint="eastAsia" w:ascii="宋体" w:hAnsi="宋体" w:cs="宋体"/>
          <w:color w:val="auto"/>
          <w:lang w:eastAsia="zh-CN"/>
        </w:rPr>
        <w:t>，</w:t>
      </w:r>
      <w:r>
        <w:rPr>
          <w:rFonts w:hint="eastAsia" w:ascii="宋体" w:hAnsi="宋体" w:eastAsia="宋体" w:cs="宋体"/>
          <w:bCs/>
          <w:color w:val="auto"/>
          <w:szCs w:val="21"/>
          <w:highlight w:val="none"/>
          <w:lang w:val="en-US" w:eastAsia="zh-CN"/>
        </w:rPr>
        <w:t>按照评审报价</w:t>
      </w:r>
      <w:r>
        <w:rPr>
          <w:rFonts w:hint="eastAsia" w:ascii="宋体" w:hAnsi="宋体" w:eastAsia="宋体" w:cs="宋体"/>
          <w:bCs/>
          <w:color w:val="auto"/>
          <w:szCs w:val="21"/>
          <w:highlight w:val="none"/>
        </w:rPr>
        <w:t>由低到高顺序排列，提出3名以上成交候选人</w:t>
      </w:r>
      <w:r>
        <w:rPr>
          <w:rFonts w:hint="eastAsia" w:ascii="宋体" w:hAnsi="宋体" w:cs="宋体"/>
          <w:color w:val="auto"/>
        </w:rPr>
        <w:t>（评审价相同时，按照最后报价由低到高顺序依次推荐；最后报价相同时，由谈判小组按“供应商须知前附表”第2</w:t>
      </w:r>
      <w:r>
        <w:rPr>
          <w:rFonts w:ascii="宋体" w:hAnsi="宋体" w:cs="宋体"/>
          <w:color w:val="auto"/>
        </w:rPr>
        <w:t>6</w:t>
      </w:r>
      <w:r>
        <w:rPr>
          <w:rFonts w:hint="eastAsia" w:ascii="宋体" w:hAnsi="宋体" w:cs="宋体"/>
          <w:color w:val="auto"/>
        </w:rPr>
        <w:t>条规定的顺序推荐）</w:t>
      </w:r>
      <w:r>
        <w:rPr>
          <w:rFonts w:hint="eastAsia" w:ascii="宋体" w:hAnsi="宋体" w:cs="宋体"/>
          <w:color w:val="auto"/>
          <w:lang w:eastAsia="zh-CN"/>
        </w:rPr>
        <w:t>，</w:t>
      </w:r>
      <w:r>
        <w:rPr>
          <w:rFonts w:hint="eastAsia" w:ascii="宋体" w:hAnsi="宋体" w:cs="宋体"/>
          <w:color w:val="auto"/>
        </w:rPr>
        <w:t>并编写评审报告，评审报告</w:t>
      </w:r>
      <w:r>
        <w:rPr>
          <w:rFonts w:hint="eastAsia" w:hAnsi="宋体"/>
          <w:color w:val="auto"/>
        </w:rPr>
        <w:t>通过电子交易平台向采购人、采购代理机构提交</w:t>
      </w:r>
      <w:r>
        <w:rPr>
          <w:rFonts w:hint="eastAsia" w:ascii="宋体" w:hAnsi="宋体" w:eastAsia="宋体" w:cs="宋体"/>
          <w:bCs/>
          <w:color w:val="auto"/>
          <w:szCs w:val="21"/>
          <w:highlight w:val="none"/>
        </w:rPr>
        <w:t>。</w:t>
      </w:r>
    </w:p>
    <w:p w14:paraId="09418C4C">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2.评标争议事项处理</w:t>
      </w:r>
    </w:p>
    <w:p w14:paraId="214933E2">
      <w:pPr>
        <w:shd w:val="clear"/>
        <w:spacing w:line="360" w:lineRule="auto"/>
        <w:ind w:firstLine="420" w:firstLineChars="200"/>
        <w:rPr>
          <w:rFonts w:hint="eastAsia" w:ascii="宋体" w:hAnsi="宋体" w:eastAsia="宋体" w:cs="宋体"/>
          <w:bCs/>
          <w:color w:val="auto"/>
          <w:szCs w:val="21"/>
          <w:highlight w:val="none"/>
        </w:rPr>
      </w:pPr>
      <w:bookmarkStart w:id="61" w:name="_Toc80205936"/>
      <w:bookmarkStart w:id="62" w:name="_Toc11370"/>
      <w:r>
        <w:rPr>
          <w:rFonts w:hint="eastAsia" w:ascii="宋体" w:hAnsi="宋体" w:eastAsia="宋体" w:cs="宋体"/>
          <w:bCs/>
          <w:color w:val="auto"/>
          <w:szCs w:val="21"/>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3C186C2A">
      <w:pPr>
        <w:shd w:val="clear"/>
        <w:spacing w:line="360" w:lineRule="auto"/>
        <w:ind w:firstLine="420" w:firstLineChars="200"/>
        <w:rPr>
          <w:rFonts w:hint="eastAsia" w:ascii="宋体" w:hAnsi="宋体" w:eastAsia="宋体" w:cs="宋体"/>
          <w:bCs/>
          <w:color w:val="auto"/>
          <w:szCs w:val="21"/>
          <w:highlight w:val="none"/>
        </w:rPr>
      </w:pPr>
    </w:p>
    <w:p w14:paraId="40FB0735">
      <w:pPr>
        <w:shd w:val="clear"/>
        <w:spacing w:line="40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第四节 评审过程的保密与录像</w:t>
      </w:r>
      <w:bookmarkEnd w:id="61"/>
      <w:bookmarkEnd w:id="62"/>
    </w:p>
    <w:p w14:paraId="7F5E8491">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1.保密。</w:t>
      </w:r>
    </w:p>
    <w:p w14:paraId="7BD1EE96">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评审活动在严格保密的情况下进行。评审过程中凡是与响应文件评审和比较、成交供应商推荐等评审有关的情况，以及涉及国家秘密和商业秘密等信息，</w:t>
      </w:r>
      <w:r>
        <w:rPr>
          <w:rFonts w:hint="eastAsia" w:ascii="宋体" w:hAnsi="宋体" w:eastAsia="宋体" w:cs="宋体"/>
          <w:bCs/>
          <w:color w:val="auto"/>
          <w:szCs w:val="21"/>
          <w:highlight w:val="none"/>
          <w:lang w:val="en-US" w:eastAsia="zh-CN"/>
        </w:rPr>
        <w:t>谈判小组</w:t>
      </w:r>
      <w:r>
        <w:rPr>
          <w:rFonts w:hint="eastAsia" w:ascii="宋体" w:hAnsi="宋体" w:eastAsia="宋体" w:cs="宋体"/>
          <w:bCs/>
          <w:color w:val="auto"/>
          <w:szCs w:val="21"/>
          <w:highlight w:val="none"/>
        </w:rPr>
        <w:t>成员、采购人和采购机构工作人员、相关监督人员等与评审有关的人员应当予以保密。</w:t>
      </w:r>
    </w:p>
    <w:p w14:paraId="398599F3">
      <w:pPr>
        <w:shd w:val="clear"/>
        <w:spacing w:line="360"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2.录音录像。</w:t>
      </w:r>
    </w:p>
    <w:p w14:paraId="1BA28AFD">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bCs/>
          <w:color w:val="auto"/>
          <w:szCs w:val="21"/>
          <w:highlight w:val="none"/>
        </w:rPr>
        <w:t>采购代理机构对评审工作现场及操作屏幕进行全过程录音录像，录音录像资料作为采购项目文件随其他文件一并存档。</w:t>
      </w:r>
    </w:p>
    <w:p w14:paraId="1B6AB582">
      <w:pPr>
        <w:keepNext/>
        <w:keepLines/>
        <w:widowControl w:val="0"/>
        <w:shd w:val="clear"/>
        <w:spacing w:before="340" w:beforeLines="0" w:beforeAutospacing="0" w:after="330" w:afterLines="0" w:afterAutospacing="0" w:line="576" w:lineRule="auto"/>
        <w:jc w:val="center"/>
        <w:outlineLvl w:val="0"/>
        <w:rPr>
          <w:rFonts w:ascii="宋体" w:hAnsi="宋体" w:eastAsia="宋体" w:cs="宋体"/>
          <w:b/>
          <w:color w:val="auto"/>
          <w:kern w:val="44"/>
          <w:sz w:val="44"/>
          <w:szCs w:val="24"/>
          <w:highlight w:val="none"/>
          <w:lang w:val="en-US" w:eastAsia="zh-CN" w:bidi="ar-SA"/>
        </w:rPr>
      </w:pPr>
      <w:r>
        <w:rPr>
          <w:rFonts w:hint="eastAsia" w:ascii="宋体" w:hAnsi="宋体" w:eastAsia="宋体" w:cs="宋体"/>
          <w:b/>
          <w:color w:val="auto"/>
          <w:kern w:val="44"/>
          <w:sz w:val="44"/>
          <w:szCs w:val="24"/>
          <w:highlight w:val="none"/>
          <w:lang w:val="en-US" w:eastAsia="zh-CN" w:bidi="ar-SA"/>
        </w:rPr>
        <w:br w:type="page"/>
      </w:r>
      <w:bookmarkStart w:id="63" w:name="_Toc8481"/>
      <w:r>
        <w:rPr>
          <w:rFonts w:hint="eastAsia" w:ascii="宋体" w:hAnsi="宋体" w:eastAsia="宋体" w:cs="宋体"/>
          <w:b/>
          <w:color w:val="auto"/>
          <w:kern w:val="44"/>
          <w:sz w:val="44"/>
          <w:szCs w:val="24"/>
          <w:highlight w:val="none"/>
          <w:lang w:val="en-US" w:eastAsia="zh-CN" w:bidi="ar-SA"/>
        </w:rPr>
        <w:t>第五章  响应文件格式</w:t>
      </w:r>
      <w:bookmarkEnd w:id="63"/>
    </w:p>
    <w:p w14:paraId="7EAF335E">
      <w:pPr>
        <w:keepNext/>
        <w:keepLines/>
        <w:widowControl w:val="0"/>
        <w:shd w:val="clear"/>
        <w:spacing w:before="260" w:after="260" w:line="416" w:lineRule="auto"/>
        <w:jc w:val="both"/>
        <w:outlineLvl w:val="1"/>
        <w:rPr>
          <w:rFonts w:ascii="宋体" w:hAnsi="宋体" w:eastAsia="宋体" w:cs="宋体"/>
          <w:b/>
          <w:bCs/>
          <w:color w:val="auto"/>
          <w:kern w:val="2"/>
          <w:sz w:val="32"/>
          <w:szCs w:val="32"/>
          <w:highlight w:val="none"/>
          <w:lang w:val="en-US" w:eastAsia="zh-CN" w:bidi="ar-SA"/>
        </w:rPr>
      </w:pPr>
      <w:bookmarkStart w:id="64" w:name="_Toc31723070"/>
      <w:bookmarkStart w:id="65" w:name="_Toc44229899"/>
      <w:bookmarkStart w:id="66" w:name="_Toc35611438"/>
      <w:bookmarkStart w:id="67" w:name="_Toc31728084"/>
      <w:bookmarkStart w:id="68" w:name="_Toc26483"/>
      <w:bookmarkStart w:id="69" w:name="_Toc35611516"/>
      <w:r>
        <w:rPr>
          <w:rFonts w:hint="eastAsia" w:ascii="宋体" w:hAnsi="宋体" w:eastAsia="宋体" w:cs="宋体"/>
          <w:b/>
          <w:bCs/>
          <w:color w:val="auto"/>
          <w:kern w:val="2"/>
          <w:sz w:val="32"/>
          <w:szCs w:val="32"/>
          <w:highlight w:val="none"/>
          <w:lang w:val="en-US" w:eastAsia="zh-CN" w:bidi="ar-SA"/>
        </w:rPr>
        <w:t>一、资格证明文件格式</w:t>
      </w:r>
      <w:bookmarkEnd w:id="64"/>
      <w:bookmarkEnd w:id="65"/>
      <w:bookmarkEnd w:id="66"/>
      <w:bookmarkEnd w:id="67"/>
      <w:bookmarkEnd w:id="68"/>
      <w:bookmarkEnd w:id="69"/>
    </w:p>
    <w:p w14:paraId="1A8F6D44">
      <w:pPr>
        <w:shd w:val="clear"/>
        <w:snapToGrid w:val="0"/>
        <w:spacing w:before="156" w:beforeLines="50" w:after="50" w:line="360" w:lineRule="auto"/>
        <w:jc w:val="left"/>
        <w:rPr>
          <w:rFonts w:ascii="宋体" w:hAnsi="宋体" w:eastAsia="宋体" w:cs="宋体"/>
          <w:b/>
          <w:color w:val="auto"/>
          <w:sz w:val="24"/>
          <w:highlight w:val="none"/>
        </w:rPr>
      </w:pPr>
      <w:r>
        <w:rPr>
          <w:rFonts w:hint="eastAsia" w:ascii="宋体" w:hAnsi="宋体" w:eastAsia="宋体" w:cs="宋体"/>
          <w:b/>
          <w:color w:val="auto"/>
          <w:sz w:val="32"/>
          <w:szCs w:val="32"/>
          <w:highlight w:val="none"/>
        </w:rPr>
        <w:t>1.资格证明文件封面格式：</w:t>
      </w:r>
      <w:r>
        <w:rPr>
          <w:rFonts w:hint="eastAsia" w:ascii="宋体" w:hAnsi="宋体" w:eastAsia="宋体" w:cs="宋体"/>
          <w:b/>
          <w:color w:val="auto"/>
          <w:sz w:val="24"/>
          <w:highlight w:val="none"/>
        </w:rPr>
        <w:t xml:space="preserve"> </w:t>
      </w:r>
    </w:p>
    <w:p w14:paraId="513243EB">
      <w:pPr>
        <w:shd w:val="clear"/>
        <w:snapToGrid w:val="0"/>
        <w:spacing w:before="156" w:beforeLines="50" w:after="50"/>
        <w:rPr>
          <w:rFonts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w:t>电子响应文件</w:t>
      </w:r>
    </w:p>
    <w:p w14:paraId="483BC38F">
      <w:pPr>
        <w:shd w:val="clear"/>
        <w:snapToGrid w:val="0"/>
        <w:spacing w:before="156" w:beforeLines="50" w:after="50"/>
        <w:rPr>
          <w:rFonts w:ascii="宋体" w:hAnsi="宋体" w:eastAsia="宋体" w:cs="宋体"/>
          <w:color w:val="auto"/>
          <w:sz w:val="24"/>
          <w:szCs w:val="20"/>
          <w:highlight w:val="none"/>
        </w:rPr>
      </w:pPr>
    </w:p>
    <w:p w14:paraId="0CFCCA0F">
      <w:pPr>
        <w:shd w:val="clear"/>
        <w:snapToGrid w:val="0"/>
        <w:spacing w:before="156" w:beforeLines="50" w:after="50"/>
        <w:rPr>
          <w:rFonts w:ascii="宋体" w:hAnsi="宋体" w:eastAsia="宋体" w:cs="宋体"/>
          <w:color w:val="auto"/>
          <w:sz w:val="24"/>
          <w:szCs w:val="20"/>
          <w:highlight w:val="none"/>
        </w:rPr>
      </w:pPr>
    </w:p>
    <w:p w14:paraId="683F7923">
      <w:pPr>
        <w:shd w:val="clear"/>
        <w:snapToGrid w:val="0"/>
        <w:spacing w:before="156" w:beforeLines="50"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7979473E">
      <w:pPr>
        <w:shd w:val="clear"/>
        <w:snapToGrid w:val="0"/>
        <w:spacing w:before="156" w:beforeLines="50" w:after="50"/>
        <w:rPr>
          <w:rFonts w:ascii="宋体" w:hAnsi="宋体" w:eastAsia="宋体" w:cs="宋体"/>
          <w:bCs/>
          <w:color w:val="auto"/>
          <w:sz w:val="24"/>
          <w:szCs w:val="20"/>
          <w:highlight w:val="none"/>
        </w:rPr>
      </w:pPr>
    </w:p>
    <w:p w14:paraId="445C35D7">
      <w:pPr>
        <w:shd w:val="clear"/>
        <w:snapToGrid w:val="0"/>
        <w:spacing w:before="156" w:beforeLines="50" w:after="50"/>
        <w:rPr>
          <w:rFonts w:ascii="宋体" w:hAnsi="宋体" w:eastAsia="宋体" w:cs="宋体"/>
          <w:bCs/>
          <w:color w:val="auto"/>
          <w:sz w:val="24"/>
          <w:szCs w:val="20"/>
          <w:highlight w:val="none"/>
        </w:rPr>
      </w:pPr>
    </w:p>
    <w:p w14:paraId="34A72F38">
      <w:pPr>
        <w:shd w:val="clear"/>
        <w:snapToGrid w:val="0"/>
        <w:spacing w:before="156" w:beforeLines="50" w:after="50"/>
        <w:rPr>
          <w:rFonts w:ascii="宋体" w:hAnsi="宋体" w:eastAsia="宋体" w:cs="宋体"/>
          <w:bCs/>
          <w:color w:val="auto"/>
          <w:sz w:val="24"/>
          <w:szCs w:val="20"/>
          <w:highlight w:val="none"/>
        </w:rPr>
      </w:pPr>
    </w:p>
    <w:p w14:paraId="6F64A639">
      <w:pPr>
        <w:shd w:val="clear"/>
        <w:snapToGrid w:val="0"/>
        <w:spacing w:before="156" w:beforeLines="50" w:after="50"/>
        <w:rPr>
          <w:rFonts w:ascii="宋体" w:hAnsi="宋体" w:eastAsia="宋体" w:cs="宋体"/>
          <w:bCs/>
          <w:color w:val="auto"/>
          <w:sz w:val="24"/>
          <w:szCs w:val="20"/>
          <w:highlight w:val="none"/>
        </w:rPr>
      </w:pPr>
    </w:p>
    <w:p w14:paraId="52C5852E">
      <w:pPr>
        <w:shd w:val="clear"/>
        <w:snapToGrid w:val="0"/>
        <w:spacing w:before="156" w:beforeLines="50" w:after="50"/>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74D1028">
      <w:pPr>
        <w:shd w:val="clear"/>
        <w:snapToGrid w:val="0"/>
        <w:spacing w:before="156" w:beforeLines="50" w:after="50"/>
        <w:ind w:firstLine="720" w:firstLineChars="225"/>
        <w:rPr>
          <w:rFonts w:ascii="宋体" w:hAnsi="宋体" w:eastAsia="宋体" w:cs="宋体"/>
          <w:bCs/>
          <w:color w:val="auto"/>
          <w:sz w:val="32"/>
          <w:szCs w:val="32"/>
          <w:highlight w:val="none"/>
        </w:rPr>
      </w:pPr>
    </w:p>
    <w:p w14:paraId="083AE067">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2B0ED428">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092AE2D">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w:t>
      </w:r>
      <w:r>
        <w:rPr>
          <w:rFonts w:hint="eastAsia" w:ascii="宋体" w:hAnsi="宋体" w:eastAsia="宋体" w:cs="宋体"/>
          <w:bCs/>
          <w:color w:val="auto"/>
          <w:sz w:val="32"/>
          <w:szCs w:val="32"/>
          <w:highlight w:val="none"/>
          <w:lang w:val="en-US" w:eastAsia="zh-CN"/>
        </w:rPr>
        <w:t>响应</w:t>
      </w:r>
      <w:r>
        <w:rPr>
          <w:rFonts w:hint="eastAsia" w:ascii="宋体" w:hAnsi="宋体" w:eastAsia="宋体" w:cs="宋体"/>
          <w:bCs/>
          <w:color w:val="auto"/>
          <w:sz w:val="32"/>
          <w:szCs w:val="32"/>
          <w:highlight w:val="none"/>
        </w:rPr>
        <w:t>分标（如有则填写，无分标时填写“无”或者留空）：</w:t>
      </w:r>
    </w:p>
    <w:p w14:paraId="0F3E5CFA">
      <w:pPr>
        <w:shd w:val="clear"/>
        <w:snapToGrid w:val="0"/>
        <w:spacing w:before="156" w:beforeLines="50" w:after="50"/>
        <w:ind w:firstLine="720" w:firstLineChars="225"/>
        <w:rPr>
          <w:rFonts w:ascii="宋体" w:hAnsi="宋体" w:eastAsia="宋体" w:cs="宋体"/>
          <w:bCs/>
          <w:color w:val="auto"/>
          <w:sz w:val="32"/>
          <w:szCs w:val="32"/>
          <w:highlight w:val="none"/>
        </w:rPr>
      </w:pPr>
    </w:p>
    <w:p w14:paraId="7D91AC12">
      <w:pPr>
        <w:widowControl w:val="0"/>
        <w:shd w:val="clear"/>
        <w:snapToGrid w:val="0"/>
        <w:spacing w:before="50" w:after="50"/>
        <w:ind w:firstLine="720" w:firstLineChars="225"/>
        <w:jc w:val="both"/>
        <w:rPr>
          <w:rFonts w:ascii="宋体" w:hAnsi="宋体" w:eastAsia="宋体" w:cs="宋体"/>
          <w:bCs/>
          <w:color w:val="auto"/>
          <w:kern w:val="2"/>
          <w:sz w:val="32"/>
          <w:szCs w:val="32"/>
          <w:highlight w:val="none"/>
          <w:lang w:val="en-US" w:eastAsia="zh-CN" w:bidi="ar-SA"/>
        </w:rPr>
      </w:pPr>
      <w:r>
        <w:rPr>
          <w:rFonts w:hint="eastAsia" w:ascii="宋体" w:hAnsi="宋体" w:eastAsia="宋体" w:cs="宋体"/>
          <w:bCs/>
          <w:color w:val="auto"/>
          <w:kern w:val="2"/>
          <w:sz w:val="32"/>
          <w:szCs w:val="32"/>
          <w:highlight w:val="none"/>
          <w:lang w:val="en-US" w:eastAsia="zh-CN" w:bidi="ar-SA"/>
        </w:rPr>
        <w:t>供应商名称：</w:t>
      </w:r>
    </w:p>
    <w:p w14:paraId="3E1B5031">
      <w:pPr>
        <w:widowControl w:val="0"/>
        <w:shd w:val="clear"/>
        <w:snapToGrid w:val="0"/>
        <w:spacing w:before="50" w:after="50"/>
        <w:ind w:firstLine="1280" w:firstLineChars="400"/>
        <w:jc w:val="both"/>
        <w:rPr>
          <w:rFonts w:ascii="宋体" w:hAnsi="宋体" w:eastAsia="宋体" w:cs="宋体"/>
          <w:bCs/>
          <w:color w:val="auto"/>
          <w:kern w:val="2"/>
          <w:sz w:val="32"/>
          <w:szCs w:val="32"/>
          <w:highlight w:val="none"/>
          <w:lang w:val="en-US" w:eastAsia="zh-CN" w:bidi="ar-SA"/>
        </w:rPr>
      </w:pPr>
    </w:p>
    <w:p w14:paraId="6893F00E">
      <w:pPr>
        <w:shd w:val="clear"/>
        <w:snapToGrid w:val="0"/>
        <w:spacing w:before="156" w:beforeLines="50"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5D0115F">
      <w:pPr>
        <w:shd w:val="clear"/>
        <w:snapToGrid w:val="0"/>
        <w:spacing w:before="156" w:beforeLines="50" w:after="50" w:line="360" w:lineRule="auto"/>
        <w:ind w:left="142"/>
        <w:jc w:val="left"/>
        <w:rPr>
          <w:rFonts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2.资格证明文件目录</w:t>
      </w:r>
    </w:p>
    <w:p w14:paraId="5E862E01">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color w:val="auto"/>
          <w:kern w:val="0"/>
          <w:sz w:val="24"/>
          <w:highlight w:val="none"/>
        </w:rPr>
        <w:t>…（页码）</w:t>
      </w:r>
    </w:p>
    <w:p w14:paraId="2969FD70">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二、供应商依法缴纳税收的相关材料[近半年2025年</w:t>
      </w:r>
      <w:r>
        <w:rPr>
          <w:rFonts w:hint="eastAsia" w:ascii="宋体" w:hAnsi="宋体" w:eastAsia="宋体" w:cs="宋体"/>
          <w:color w:val="auto"/>
          <w:kern w:val="0"/>
          <w:sz w:val="24"/>
          <w:highlight w:val="none"/>
          <w:lang w:val="en-US" w:eastAsia="zh-CN"/>
        </w:rPr>
        <w:t>12</w:t>
      </w:r>
      <w:r>
        <w:rPr>
          <w:rFonts w:hint="eastAsia" w:ascii="宋体" w:hAnsi="宋体" w:eastAsia="宋体" w:cs="宋体"/>
          <w:color w:val="auto"/>
          <w:kern w:val="0"/>
          <w:sz w:val="24"/>
          <w:highlight w:val="none"/>
        </w:rPr>
        <w:t>月至2026年</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月内任意连续3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页码）</w:t>
      </w:r>
    </w:p>
    <w:p w14:paraId="300DB8C2">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三、供应商依法缴纳社会保障资金的相关材料[近半年2025年</w:t>
      </w:r>
      <w:r>
        <w:rPr>
          <w:rFonts w:hint="eastAsia" w:ascii="宋体" w:hAnsi="宋体" w:eastAsia="宋体" w:cs="宋体"/>
          <w:color w:val="auto"/>
          <w:kern w:val="0"/>
          <w:sz w:val="24"/>
          <w:highlight w:val="none"/>
          <w:lang w:val="en-US" w:eastAsia="zh-CN"/>
        </w:rPr>
        <w:t>12</w:t>
      </w:r>
      <w:r>
        <w:rPr>
          <w:rFonts w:hint="eastAsia" w:ascii="宋体" w:hAnsi="宋体" w:eastAsia="宋体" w:cs="宋体"/>
          <w:color w:val="auto"/>
          <w:kern w:val="0"/>
          <w:sz w:val="24"/>
          <w:highlight w:val="none"/>
        </w:rPr>
        <w:t>月至2026年</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月内任意连续3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页码）</w:t>
      </w:r>
    </w:p>
    <w:p w14:paraId="362C3402">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sz w:val="24"/>
          <w:highlight w:val="none"/>
        </w:rPr>
        <w:t>四、供应商财务状况报告[供应商2024年或202</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r>
        <w:rPr>
          <w:rFonts w:hint="eastAsia" w:ascii="宋体" w:hAnsi="宋体" w:eastAsia="宋体" w:cs="宋体"/>
          <w:color w:val="auto"/>
          <w:kern w:val="0"/>
          <w:sz w:val="24"/>
          <w:highlight w:val="none"/>
        </w:rPr>
        <w:t>…………………………（页码）</w:t>
      </w:r>
    </w:p>
    <w:p w14:paraId="35919DF5">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sz w:val="24"/>
          <w:highlight w:val="none"/>
        </w:rPr>
        <w:t>五、供应商直接控股股东信息表、供应商直接管理关系信息表</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…（页码）</w:t>
      </w:r>
    </w:p>
    <w:p w14:paraId="102EB5B6">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六、</w:t>
      </w:r>
      <w:r>
        <w:rPr>
          <w:rFonts w:hint="eastAsia" w:ascii="宋体" w:hAnsi="宋体" w:eastAsia="宋体" w:cs="宋体"/>
          <w:color w:val="auto"/>
          <w:kern w:val="0"/>
          <w:sz w:val="24"/>
          <w:highlight w:val="none"/>
          <w:lang w:val="en-US" w:eastAsia="zh-CN"/>
        </w:rPr>
        <w:t>响应</w:t>
      </w:r>
      <w:r>
        <w:rPr>
          <w:rFonts w:hint="eastAsia" w:ascii="宋体" w:hAnsi="宋体" w:eastAsia="宋体" w:cs="宋体"/>
          <w:color w:val="auto"/>
          <w:kern w:val="0"/>
          <w:sz w:val="24"/>
          <w:highlight w:val="none"/>
        </w:rPr>
        <w:t>声明………………………………………………………………………（页码）</w:t>
      </w:r>
    </w:p>
    <w:p w14:paraId="0D935D0B">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七、联合体协议书……………………………………………………………………（页码）</w:t>
      </w:r>
    </w:p>
    <w:p w14:paraId="2237E21F">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八、除</w:t>
      </w:r>
      <w:r>
        <w:rPr>
          <w:rFonts w:hint="eastAsia" w:ascii="宋体" w:hAnsi="宋体" w:eastAsia="宋体" w:cs="宋体"/>
          <w:color w:val="auto"/>
          <w:kern w:val="0"/>
          <w:sz w:val="24"/>
          <w:highlight w:val="none"/>
          <w:lang w:val="en-US" w:eastAsia="zh-CN"/>
        </w:rPr>
        <w:t>竞争性</w:t>
      </w:r>
      <w:r>
        <w:rPr>
          <w:rFonts w:hint="eastAsia" w:ascii="宋体" w:hAnsi="宋体" w:eastAsia="宋体" w:cs="宋体"/>
          <w:color w:val="auto"/>
          <w:kern w:val="0"/>
          <w:sz w:val="24"/>
          <w:highlight w:val="none"/>
        </w:rPr>
        <w:t>谈判文件规定必须提供以外，供应商认为需要提供的其他证明材料…（页码）</w:t>
      </w:r>
    </w:p>
    <w:p w14:paraId="62174FCB">
      <w:pPr>
        <w:shd w:val="clear"/>
        <w:rPr>
          <w:rFonts w:ascii="宋体" w:hAnsi="宋体" w:eastAsia="宋体" w:cs="宋体"/>
          <w:color w:val="auto"/>
          <w:sz w:val="24"/>
          <w:highlight w:val="none"/>
        </w:rPr>
      </w:pPr>
    </w:p>
    <w:p w14:paraId="438B5DAD">
      <w:pPr>
        <w:shd w:val="clear"/>
        <w:snapToGrid w:val="0"/>
        <w:spacing w:before="156" w:beforeLines="50" w:after="50" w:line="360" w:lineRule="auto"/>
        <w:ind w:firstLine="645"/>
        <w:rPr>
          <w:rFonts w:ascii="宋体" w:hAnsi="宋体" w:eastAsia="宋体" w:cs="宋体"/>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r>
        <w:rPr>
          <w:rFonts w:hint="eastAsia" w:ascii="宋体" w:hAnsi="宋体" w:eastAsia="宋体" w:cs="宋体"/>
          <w:color w:val="auto"/>
          <w:sz w:val="24"/>
          <w:highlight w:val="none"/>
        </w:rPr>
        <w:t>。</w:t>
      </w:r>
    </w:p>
    <w:p w14:paraId="2E32E0E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F6B7882">
      <w:pPr>
        <w:shd w:val="clear"/>
        <w:snapToGrid w:val="0"/>
        <w:spacing w:before="156" w:beforeLines="50" w:after="50"/>
        <w:rPr>
          <w:rFonts w:ascii="宋体" w:hAnsi="宋体" w:eastAsia="宋体" w:cs="宋体"/>
          <w:b/>
          <w:color w:val="auto"/>
          <w:sz w:val="24"/>
          <w:szCs w:val="20"/>
          <w:highlight w:val="none"/>
        </w:rPr>
      </w:pPr>
      <w:r>
        <w:rPr>
          <w:rFonts w:hint="eastAsia" w:ascii="宋体" w:hAnsi="宋体" w:eastAsia="宋体" w:cs="宋体"/>
          <w:b/>
          <w:color w:val="auto"/>
          <w:sz w:val="24"/>
          <w:szCs w:val="20"/>
          <w:highlight w:val="none"/>
        </w:rPr>
        <w:br w:type="page"/>
      </w:r>
      <w:r>
        <w:rPr>
          <w:rFonts w:hint="eastAsia" w:ascii="宋体" w:hAnsi="宋体" w:eastAsia="宋体" w:cs="宋体"/>
          <w:b/>
          <w:color w:val="auto"/>
          <w:sz w:val="28"/>
          <w:szCs w:val="28"/>
          <w:highlight w:val="none"/>
        </w:rPr>
        <w:t>一、供应商为法人或者其他组织的提供其营业执照等证明文件（如营业执照或者事业单位法人证书或者执业许可证等），供应商为自然人的提供其身份证复印件</w:t>
      </w:r>
    </w:p>
    <w:p w14:paraId="2133E2CE">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AEF138">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0A259E10">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481BB6D">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15344F7">
      <w:pPr>
        <w:widowControl w:val="0"/>
        <w:shd w:val="clear"/>
        <w:tabs>
          <w:tab w:val="center" w:pos="4153"/>
          <w:tab w:val="right" w:pos="8306"/>
        </w:tabs>
        <w:snapToGrid w:val="0"/>
        <w:jc w:val="left"/>
        <w:rPr>
          <w:rFonts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二、供应商依法缴纳税收的相关材料[近半年2025年12月至2026年5月内任意连续3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p>
    <w:p w14:paraId="33B64AE1">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4355F23">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FE35FF3">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7D37030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27408F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DC75377">
      <w:pPr>
        <w:widowControl w:val="0"/>
        <w:shd w:val="clear"/>
        <w:tabs>
          <w:tab w:val="center" w:pos="4153"/>
          <w:tab w:val="right" w:pos="8306"/>
        </w:tabs>
        <w:snapToGrid w:val="0"/>
        <w:jc w:val="left"/>
        <w:rPr>
          <w:rFonts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三、供应商依法缴纳社会保障资金的相关材料[近半年2025年12月至2026年5月内任意连续3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依法缴纳社会保障资金的相应证明文件]</w:t>
      </w:r>
    </w:p>
    <w:p w14:paraId="5739753F">
      <w:pPr>
        <w:widowControl w:val="0"/>
        <w:shd w:val="clear"/>
        <w:tabs>
          <w:tab w:val="center" w:pos="4153"/>
          <w:tab w:val="right" w:pos="8306"/>
        </w:tabs>
        <w:snapToGrid w:val="0"/>
        <w:jc w:val="left"/>
        <w:rPr>
          <w:rFonts w:ascii="宋体" w:hAnsi="宋体" w:eastAsia="宋体" w:cs="宋体"/>
          <w:color w:val="auto"/>
          <w:kern w:val="0"/>
          <w:sz w:val="24"/>
          <w:szCs w:val="18"/>
          <w:highlight w:val="none"/>
          <w:lang w:val="en-US" w:eastAsia="zh-CN" w:bidi="ar-SA"/>
        </w:rPr>
      </w:pPr>
    </w:p>
    <w:p w14:paraId="6BC71484">
      <w:pPr>
        <w:widowControl w:val="0"/>
        <w:shd w:val="clear"/>
        <w:tabs>
          <w:tab w:val="center" w:pos="4153"/>
          <w:tab w:val="right" w:pos="8306"/>
        </w:tabs>
        <w:snapToGrid w:val="0"/>
        <w:jc w:val="left"/>
        <w:rPr>
          <w:rFonts w:ascii="宋体" w:hAnsi="宋体" w:eastAsia="宋体" w:cs="宋体"/>
          <w:color w:val="auto"/>
          <w:kern w:val="0"/>
          <w:sz w:val="24"/>
          <w:szCs w:val="18"/>
          <w:highlight w:val="none"/>
          <w:lang w:val="en-US" w:eastAsia="zh-CN" w:bidi="ar-SA"/>
        </w:rPr>
      </w:pPr>
    </w:p>
    <w:p w14:paraId="6B993060">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22713B9">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79B4C63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EE15A26">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3FA6C5B">
      <w:pPr>
        <w:widowControl w:val="0"/>
        <w:shd w:val="clear"/>
        <w:tabs>
          <w:tab w:val="center" w:pos="4153"/>
          <w:tab w:val="right" w:pos="8306"/>
        </w:tabs>
        <w:snapToGrid w:val="0"/>
        <w:jc w:val="left"/>
        <w:rPr>
          <w:rFonts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四、供应商财务状况报告[供应商2024年或2025年的年度财务状况报告复印件（可以是财务报表或银行出具的资信证明或第三方审计报告等证明材料）；供应商属于成立时间在规定年度之后的法人或其他组织，需提供成立之日起至响应文件提交截止时间前的1个月报表或银行出具的资信证明；资信证明应在有效期内，未注明有效期的，银行出具时间至响应文件提交截止时间不得超过一年]</w:t>
      </w:r>
    </w:p>
    <w:p w14:paraId="0DAB8BF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FE593EA">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21836E">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327F90C1">
      <w:pPr>
        <w:shd w:val="clear"/>
        <w:spacing w:line="300" w:lineRule="auto"/>
        <w:rPr>
          <w:rFonts w:ascii="宋体" w:hAnsi="宋体" w:eastAsia="宋体" w:cs="宋体"/>
          <w:color w:val="auto"/>
          <w:szCs w:val="21"/>
          <w:highlight w:val="none"/>
        </w:rPr>
      </w:pPr>
    </w:p>
    <w:p w14:paraId="7C1FFED6">
      <w:pPr>
        <w:shd w:val="clear"/>
        <w:spacing w:line="32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7F92060">
      <w:pPr>
        <w:shd w:val="clear"/>
        <w:spacing w:line="320" w:lineRule="exact"/>
        <w:jc w:val="center"/>
        <w:rPr>
          <w:rFonts w:hint="eastAsia" w:ascii="宋体" w:hAnsi="宋体" w:eastAsia="宋体" w:cs="宋体"/>
          <w:b/>
          <w:color w:val="auto"/>
          <w:sz w:val="32"/>
          <w:szCs w:val="32"/>
          <w:highlight w:val="none"/>
        </w:rPr>
      </w:pPr>
    </w:p>
    <w:p w14:paraId="074CC73E">
      <w:pPr>
        <w:shd w:val="clear"/>
        <w:spacing w:line="3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五、供应商直接控股股东信息表、供应商直接管理关系信息表</w:t>
      </w:r>
    </w:p>
    <w:p w14:paraId="34845BAD">
      <w:pPr>
        <w:shd w:val="clear"/>
        <w:snapToGrid w:val="0"/>
        <w:spacing w:before="156" w:beforeLines="50" w:after="50" w:line="360" w:lineRule="auto"/>
        <w:jc w:val="center"/>
        <w:rPr>
          <w:rFonts w:ascii="宋体" w:hAnsi="宋体" w:eastAsia="宋体" w:cs="宋体"/>
          <w:b/>
          <w:color w:val="auto"/>
          <w:sz w:val="24"/>
          <w:highlight w:val="none"/>
        </w:rPr>
      </w:pPr>
    </w:p>
    <w:p w14:paraId="7415A4A6">
      <w:pPr>
        <w:shd w:val="clear"/>
        <w:spacing w:line="3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供应商直接控股股东信息表</w:t>
      </w:r>
    </w:p>
    <w:p w14:paraId="5BBA2906">
      <w:pPr>
        <w:shd w:val="clear"/>
        <w:snapToGrid w:val="0"/>
        <w:spacing w:before="50" w:after="156" w:afterLines="50" w:line="360" w:lineRule="auto"/>
        <w:jc w:val="center"/>
        <w:rPr>
          <w:rFonts w:ascii="宋体" w:hAnsi="宋体" w:eastAsia="宋体" w:cs="宋体"/>
          <w:b/>
          <w:color w:val="auto"/>
          <w:sz w:val="24"/>
          <w:highlight w:val="none"/>
        </w:rPr>
      </w:pPr>
    </w:p>
    <w:tbl>
      <w:tblPr>
        <w:tblStyle w:val="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3AE139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4D949D">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9491C5">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83B4C6">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48B774">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797233">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6ABD600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DF2186">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E5CFF0">
            <w:pPr>
              <w:widowControl/>
              <w:shd w:val="clear"/>
              <w:spacing w:line="360" w:lineRule="auto"/>
              <w:jc w:val="center"/>
              <w:rPr>
                <w:rFonts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E87093">
            <w:pPr>
              <w:widowControl/>
              <w:shd w:val="clear"/>
              <w:spacing w:line="360" w:lineRule="auto"/>
              <w:jc w:val="center"/>
              <w:rPr>
                <w:rFonts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E42877">
            <w:pPr>
              <w:widowControl/>
              <w:shd w:val="clear"/>
              <w:spacing w:line="360" w:lineRule="auto"/>
              <w:jc w:val="center"/>
              <w:rPr>
                <w:rFonts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153757">
            <w:pPr>
              <w:widowControl/>
              <w:shd w:val="clear"/>
              <w:spacing w:line="360" w:lineRule="auto"/>
              <w:jc w:val="center"/>
              <w:rPr>
                <w:rFonts w:ascii="宋体" w:hAnsi="宋体" w:eastAsia="宋体" w:cs="宋体"/>
                <w:color w:val="auto"/>
                <w:kern w:val="0"/>
                <w:sz w:val="24"/>
                <w:highlight w:val="none"/>
              </w:rPr>
            </w:pPr>
          </w:p>
        </w:tc>
      </w:tr>
      <w:tr w14:paraId="4301F5A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FACDFF">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328DE5">
            <w:pPr>
              <w:widowControl/>
              <w:shd w:val="clear"/>
              <w:spacing w:line="360" w:lineRule="auto"/>
              <w:jc w:val="center"/>
              <w:rPr>
                <w:rFonts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B21F37">
            <w:pPr>
              <w:widowControl/>
              <w:shd w:val="clear"/>
              <w:spacing w:line="360" w:lineRule="auto"/>
              <w:jc w:val="center"/>
              <w:rPr>
                <w:rFonts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13EEB0">
            <w:pPr>
              <w:widowControl/>
              <w:shd w:val="clear"/>
              <w:spacing w:line="360" w:lineRule="auto"/>
              <w:jc w:val="center"/>
              <w:rPr>
                <w:rFonts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03CA35">
            <w:pPr>
              <w:widowControl/>
              <w:shd w:val="clear"/>
              <w:spacing w:line="360" w:lineRule="auto"/>
              <w:jc w:val="center"/>
              <w:rPr>
                <w:rFonts w:ascii="宋体" w:hAnsi="宋体" w:eastAsia="宋体" w:cs="宋体"/>
                <w:color w:val="auto"/>
                <w:kern w:val="0"/>
                <w:sz w:val="24"/>
                <w:highlight w:val="none"/>
              </w:rPr>
            </w:pPr>
          </w:p>
        </w:tc>
      </w:tr>
      <w:tr w14:paraId="7771FA4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8F23CD">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957D7">
            <w:pPr>
              <w:widowControl/>
              <w:shd w:val="clear"/>
              <w:spacing w:line="360" w:lineRule="auto"/>
              <w:jc w:val="center"/>
              <w:rPr>
                <w:rFonts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5BEF59">
            <w:pPr>
              <w:widowControl/>
              <w:shd w:val="clear"/>
              <w:spacing w:line="360" w:lineRule="auto"/>
              <w:jc w:val="center"/>
              <w:rPr>
                <w:rFonts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21FFFE">
            <w:pPr>
              <w:widowControl/>
              <w:shd w:val="clear"/>
              <w:spacing w:line="360" w:lineRule="auto"/>
              <w:jc w:val="center"/>
              <w:rPr>
                <w:rFonts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F638D3">
            <w:pPr>
              <w:widowControl/>
              <w:shd w:val="clear"/>
              <w:spacing w:line="360" w:lineRule="auto"/>
              <w:jc w:val="center"/>
              <w:rPr>
                <w:rFonts w:ascii="宋体" w:hAnsi="宋体" w:eastAsia="宋体" w:cs="宋体"/>
                <w:color w:val="auto"/>
                <w:kern w:val="0"/>
                <w:sz w:val="24"/>
                <w:highlight w:val="none"/>
              </w:rPr>
            </w:pPr>
          </w:p>
        </w:tc>
      </w:tr>
      <w:tr w14:paraId="707B1C3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67D159">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73BB48">
            <w:pPr>
              <w:widowControl/>
              <w:shd w:val="clear"/>
              <w:spacing w:line="360" w:lineRule="auto"/>
              <w:jc w:val="center"/>
              <w:rPr>
                <w:rFonts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40B50D">
            <w:pPr>
              <w:widowControl/>
              <w:shd w:val="clear"/>
              <w:spacing w:line="360" w:lineRule="auto"/>
              <w:jc w:val="center"/>
              <w:rPr>
                <w:rFonts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0FB8A1">
            <w:pPr>
              <w:widowControl/>
              <w:shd w:val="clear"/>
              <w:spacing w:line="360" w:lineRule="auto"/>
              <w:jc w:val="center"/>
              <w:rPr>
                <w:rFonts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F951E3">
            <w:pPr>
              <w:widowControl/>
              <w:shd w:val="clear"/>
              <w:spacing w:line="360" w:lineRule="auto"/>
              <w:jc w:val="center"/>
              <w:rPr>
                <w:rFonts w:ascii="宋体" w:hAnsi="宋体" w:eastAsia="宋体" w:cs="宋体"/>
                <w:color w:val="auto"/>
                <w:kern w:val="0"/>
                <w:sz w:val="24"/>
                <w:highlight w:val="none"/>
              </w:rPr>
            </w:pPr>
          </w:p>
        </w:tc>
      </w:tr>
    </w:tbl>
    <w:p w14:paraId="661D1786">
      <w:pPr>
        <w:shd w:val="clear"/>
        <w:snapToGrid w:val="0"/>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注：</w:t>
      </w:r>
    </w:p>
    <w:p w14:paraId="0F616AEC">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38694E0">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55728A64">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6E533637">
      <w:pPr>
        <w:shd w:val="clear"/>
        <w:snapToGrid w:val="0"/>
        <w:spacing w:line="360" w:lineRule="auto"/>
        <w:jc w:val="left"/>
        <w:rPr>
          <w:rFonts w:ascii="宋体" w:hAnsi="宋体" w:eastAsia="宋体" w:cs="宋体"/>
          <w:color w:val="auto"/>
          <w:sz w:val="24"/>
          <w:highlight w:val="none"/>
        </w:rPr>
      </w:pPr>
    </w:p>
    <w:p w14:paraId="773DB985">
      <w:pPr>
        <w:shd w:val="clear"/>
        <w:snapToGrid w:val="0"/>
        <w:spacing w:line="360" w:lineRule="auto"/>
        <w:jc w:val="left"/>
        <w:rPr>
          <w:rFonts w:ascii="宋体" w:hAnsi="宋体" w:eastAsia="宋体" w:cs="宋体"/>
          <w:color w:val="auto"/>
          <w:sz w:val="24"/>
          <w:highlight w:val="none"/>
        </w:rPr>
      </w:pPr>
    </w:p>
    <w:p w14:paraId="1CB796C6">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E0F18F8">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41B8A6C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44C9EF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62A010B">
      <w:pPr>
        <w:shd w:val="clear"/>
        <w:snapToGrid w:val="0"/>
        <w:jc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D639E69">
      <w:pPr>
        <w:shd w:val="clear"/>
        <w:spacing w:line="3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供应商直接管理关系信息表</w:t>
      </w:r>
    </w:p>
    <w:p w14:paraId="467F2FAB">
      <w:pPr>
        <w:shd w:val="clear"/>
        <w:snapToGrid w:val="0"/>
        <w:spacing w:line="360" w:lineRule="auto"/>
        <w:jc w:val="center"/>
        <w:rPr>
          <w:rFonts w:ascii="宋体" w:hAnsi="宋体" w:eastAsia="宋体" w:cs="宋体"/>
          <w:b/>
          <w:color w:val="auto"/>
          <w:sz w:val="24"/>
          <w:highlight w:val="none"/>
        </w:rPr>
      </w:pPr>
    </w:p>
    <w:tbl>
      <w:tblPr>
        <w:tblStyle w:val="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899C8F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39FA64">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04A18B">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619DBD">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BDB10F">
            <w:pPr>
              <w:widowControl/>
              <w:shd w:val="clear"/>
              <w:spacing w:line="360" w:lineRule="auto"/>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1DEF8F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6144DD">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B4B42C">
            <w:pPr>
              <w:widowControl/>
              <w:shd w:val="clear"/>
              <w:spacing w:line="360" w:lineRule="auto"/>
              <w:jc w:val="center"/>
              <w:rPr>
                <w:rFonts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7ABBC4">
            <w:pPr>
              <w:widowControl/>
              <w:shd w:val="clear"/>
              <w:spacing w:line="360" w:lineRule="auto"/>
              <w:jc w:val="center"/>
              <w:rPr>
                <w:rFonts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FA567D">
            <w:pPr>
              <w:widowControl/>
              <w:shd w:val="clear"/>
              <w:spacing w:line="360" w:lineRule="auto"/>
              <w:jc w:val="center"/>
              <w:rPr>
                <w:rFonts w:ascii="宋体" w:hAnsi="宋体" w:eastAsia="宋体" w:cs="宋体"/>
                <w:color w:val="auto"/>
                <w:kern w:val="0"/>
                <w:sz w:val="24"/>
                <w:highlight w:val="none"/>
              </w:rPr>
            </w:pPr>
          </w:p>
        </w:tc>
      </w:tr>
      <w:tr w14:paraId="4D7A6EC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511D33">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46B96">
            <w:pPr>
              <w:widowControl/>
              <w:shd w:val="clear"/>
              <w:spacing w:line="360" w:lineRule="auto"/>
              <w:jc w:val="center"/>
              <w:rPr>
                <w:rFonts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AE3125">
            <w:pPr>
              <w:widowControl/>
              <w:shd w:val="clear"/>
              <w:spacing w:line="360" w:lineRule="auto"/>
              <w:jc w:val="center"/>
              <w:rPr>
                <w:rFonts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89F5EB">
            <w:pPr>
              <w:widowControl/>
              <w:shd w:val="clear"/>
              <w:spacing w:line="360" w:lineRule="auto"/>
              <w:jc w:val="center"/>
              <w:rPr>
                <w:rFonts w:ascii="宋体" w:hAnsi="宋体" w:eastAsia="宋体" w:cs="宋体"/>
                <w:color w:val="auto"/>
                <w:kern w:val="0"/>
                <w:sz w:val="24"/>
                <w:highlight w:val="none"/>
              </w:rPr>
            </w:pPr>
          </w:p>
        </w:tc>
      </w:tr>
      <w:tr w14:paraId="6D2A10A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7AE311">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AE7908">
            <w:pPr>
              <w:widowControl/>
              <w:shd w:val="clear"/>
              <w:spacing w:line="360" w:lineRule="auto"/>
              <w:jc w:val="center"/>
              <w:rPr>
                <w:rFonts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E55F01">
            <w:pPr>
              <w:widowControl/>
              <w:shd w:val="clear"/>
              <w:spacing w:line="360" w:lineRule="auto"/>
              <w:jc w:val="center"/>
              <w:rPr>
                <w:rFonts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A41432">
            <w:pPr>
              <w:widowControl/>
              <w:shd w:val="clear"/>
              <w:spacing w:line="360" w:lineRule="auto"/>
              <w:jc w:val="center"/>
              <w:rPr>
                <w:rFonts w:ascii="宋体" w:hAnsi="宋体" w:eastAsia="宋体" w:cs="宋体"/>
                <w:color w:val="auto"/>
                <w:kern w:val="0"/>
                <w:sz w:val="24"/>
                <w:highlight w:val="none"/>
              </w:rPr>
            </w:pPr>
          </w:p>
        </w:tc>
      </w:tr>
      <w:tr w14:paraId="1CA253B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97281F">
            <w:pPr>
              <w:widowControl/>
              <w:shd w:val="clear"/>
              <w:spacing w:line="360" w:lineRule="auto"/>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0F7742">
            <w:pPr>
              <w:widowControl/>
              <w:shd w:val="clear"/>
              <w:spacing w:line="360" w:lineRule="auto"/>
              <w:jc w:val="center"/>
              <w:rPr>
                <w:rFonts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977766">
            <w:pPr>
              <w:widowControl/>
              <w:shd w:val="clear"/>
              <w:spacing w:line="360" w:lineRule="auto"/>
              <w:jc w:val="center"/>
              <w:rPr>
                <w:rFonts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646ABE">
            <w:pPr>
              <w:widowControl/>
              <w:shd w:val="clear"/>
              <w:spacing w:line="360" w:lineRule="auto"/>
              <w:jc w:val="center"/>
              <w:rPr>
                <w:rFonts w:ascii="宋体" w:hAnsi="宋体" w:eastAsia="宋体" w:cs="宋体"/>
                <w:color w:val="auto"/>
                <w:kern w:val="0"/>
                <w:sz w:val="24"/>
                <w:highlight w:val="none"/>
              </w:rPr>
            </w:pPr>
          </w:p>
        </w:tc>
      </w:tr>
    </w:tbl>
    <w:p w14:paraId="0CD2628E">
      <w:pPr>
        <w:shd w:val="clear"/>
        <w:snapToGrid w:val="0"/>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注：</w:t>
      </w:r>
    </w:p>
    <w:p w14:paraId="055DCEF8">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5CA8DCD8">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7EECC3DA">
      <w:pPr>
        <w:shd w:val="clear"/>
        <w:snapToGrid w:val="0"/>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4816EE44">
      <w:pPr>
        <w:shd w:val="clear"/>
        <w:snapToGrid w:val="0"/>
        <w:spacing w:line="360" w:lineRule="auto"/>
        <w:jc w:val="left"/>
        <w:rPr>
          <w:rFonts w:ascii="宋体" w:hAnsi="宋体" w:eastAsia="宋体" w:cs="宋体"/>
          <w:color w:val="auto"/>
          <w:sz w:val="24"/>
          <w:highlight w:val="none"/>
        </w:rPr>
      </w:pPr>
    </w:p>
    <w:p w14:paraId="46209587">
      <w:pPr>
        <w:shd w:val="clea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812E23">
      <w:pPr>
        <w:shd w:val="clea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rPr>
        <w:t>日期：  年  月   日</w:t>
      </w:r>
    </w:p>
    <w:p w14:paraId="70078031">
      <w:pPr>
        <w:shd w:val="clear"/>
        <w:spacing w:line="320" w:lineRule="exact"/>
        <w:jc w:val="center"/>
        <w:rPr>
          <w:rFonts w:ascii="宋体" w:hAnsi="宋体" w:eastAsia="宋体" w:cs="宋体"/>
          <w:b/>
          <w:color w:val="auto"/>
          <w:sz w:val="32"/>
          <w:szCs w:val="32"/>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sz w:val="32"/>
          <w:szCs w:val="32"/>
          <w:highlight w:val="none"/>
        </w:rPr>
        <w:t>六、</w:t>
      </w:r>
      <w:r>
        <w:rPr>
          <w:rFonts w:hint="eastAsia" w:ascii="宋体" w:hAnsi="宋体" w:eastAsia="宋体" w:cs="宋体"/>
          <w:b/>
          <w:color w:val="auto"/>
          <w:sz w:val="32"/>
          <w:szCs w:val="32"/>
          <w:highlight w:val="none"/>
          <w:lang w:val="en-US" w:eastAsia="zh-CN"/>
        </w:rPr>
        <w:t>响应</w:t>
      </w:r>
      <w:r>
        <w:rPr>
          <w:rFonts w:hint="eastAsia" w:ascii="宋体" w:hAnsi="宋体" w:eastAsia="宋体" w:cs="宋体"/>
          <w:b/>
          <w:color w:val="auto"/>
          <w:sz w:val="32"/>
          <w:szCs w:val="32"/>
          <w:highlight w:val="none"/>
        </w:rPr>
        <w:t>声明</w:t>
      </w:r>
    </w:p>
    <w:p w14:paraId="7DA2B4AE">
      <w:pPr>
        <w:shd w:val="clear"/>
        <w:spacing w:line="320" w:lineRule="exact"/>
        <w:jc w:val="center"/>
        <w:rPr>
          <w:rFonts w:ascii="宋体" w:hAnsi="宋体" w:eastAsia="宋体" w:cs="宋体"/>
          <w:color w:val="auto"/>
          <w:sz w:val="24"/>
          <w:szCs w:val="20"/>
          <w:highlight w:val="none"/>
        </w:rPr>
      </w:pPr>
    </w:p>
    <w:p w14:paraId="3E76044D">
      <w:pPr>
        <w:shd w:val="clear"/>
        <w:spacing w:before="156" w:beforeLines="50" w:after="50"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p>
    <w:p w14:paraId="359B453E">
      <w:pPr>
        <w:keepNext w:val="0"/>
        <w:keepLines w:val="0"/>
        <w:pageBreakBefore w:val="0"/>
        <w:widowControl w:val="0"/>
        <w:shd w:val="clear"/>
        <w:kinsoku/>
        <w:wordWrap w:val="0"/>
        <w:overflowPunct/>
        <w:topLinePunct w:val="0"/>
        <w:autoSpaceDE/>
        <w:autoSpaceDN/>
        <w:bidi w:val="0"/>
        <w:adjustRightInd/>
        <w:snapToGrid/>
        <w:spacing w:before="156" w:beforeLines="50" w:after="50" w:line="360" w:lineRule="auto"/>
        <w:ind w:firstLine="480" w:firstLineChars="200"/>
        <w:contextualSpacing/>
        <w:textAlignment w:val="auto"/>
        <w:rPr>
          <w:rFonts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5F8B3BD">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项目的</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，为便于贵方公正、择优地确定成交供应商及其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产品和服务，我方就本次</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有关事项郑重声明如下：</w:t>
      </w:r>
    </w:p>
    <w:p w14:paraId="0F7FC946">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47A2DB87">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A8B8186">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5EF54500">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（1）将按</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谈判文件的约定履行合同责任和义务；</w:t>
      </w:r>
    </w:p>
    <w:p w14:paraId="1ACF4B5F">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（2）已详细审查全部</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谈判文件，包括澄清或者更正公告（如有）；</w:t>
      </w:r>
    </w:p>
    <w:p w14:paraId="29FE4D51">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077CDBFF">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（4）响应</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谈判文件规定的</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有效期。</w:t>
      </w:r>
    </w:p>
    <w:p w14:paraId="25438475">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521EC99">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3B744704">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39F75A39">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785C6D3D">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F3A1838">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275D5C3B">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401E6BC2">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FAED3D6">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C00CEE6">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1D79AD5E">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208FFE21">
      <w:pPr>
        <w:widowControl w:val="0"/>
        <w:shd w:val="clear"/>
        <w:spacing w:line="360" w:lineRule="auto"/>
        <w:ind w:firstLine="480" w:firstLineChars="200"/>
        <w:contextualSpacing/>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7.与本谈判有关的一切正式往来信函请寄：</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邮政编号：</w:t>
      </w:r>
      <w:r>
        <w:rPr>
          <w:rFonts w:hint="eastAsia" w:ascii="宋体" w:hAnsi="宋体" w:eastAsia="宋体" w:cs="宋体"/>
          <w:color w:val="auto"/>
          <w:kern w:val="0"/>
          <w:sz w:val="24"/>
          <w:szCs w:val="24"/>
          <w:highlight w:val="none"/>
          <w:u w:val="single"/>
          <w:lang w:val="en-US" w:eastAsia="zh-CN" w:bidi="ar-SA"/>
        </w:rPr>
        <w:t xml:space="preserve">        </w:t>
      </w:r>
    </w:p>
    <w:p w14:paraId="3D4B27D9">
      <w:pPr>
        <w:widowControl w:val="0"/>
        <w:shd w:val="clear"/>
        <w:spacing w:line="360" w:lineRule="auto"/>
        <w:ind w:firstLine="480" w:firstLineChars="200"/>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电话/传真：</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电子函件：</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0A8866BB">
      <w:pPr>
        <w:widowControl w:val="0"/>
        <w:shd w:val="clear"/>
        <w:tabs>
          <w:tab w:val="left" w:pos="939"/>
        </w:tabs>
        <w:spacing w:line="360" w:lineRule="auto"/>
        <w:ind w:left="141" w:leftChars="67" w:firstLine="360" w:firstLineChars="150"/>
        <w:contextualSpacing/>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开户银行：</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 xml:space="preserve"> 银行账号：</w:t>
      </w:r>
      <w:r>
        <w:rPr>
          <w:rFonts w:hint="eastAsia" w:ascii="宋体" w:hAnsi="宋体" w:eastAsia="宋体" w:cs="宋体"/>
          <w:color w:val="auto"/>
          <w:kern w:val="2"/>
          <w:sz w:val="24"/>
          <w:szCs w:val="24"/>
          <w:highlight w:val="none"/>
          <w:u w:val="single"/>
          <w:lang w:val="en-US" w:eastAsia="zh-CN" w:bidi="ar-SA"/>
        </w:rPr>
        <w:t xml:space="preserve">                            </w:t>
      </w:r>
    </w:p>
    <w:p w14:paraId="20FD2BE4">
      <w:pPr>
        <w:widowControl w:val="0"/>
        <w:shd w:val="clear"/>
        <w:tabs>
          <w:tab w:val="left" w:pos="939"/>
        </w:tabs>
        <w:spacing w:line="360" w:lineRule="auto"/>
        <w:ind w:left="0" w:leftChars="0" w:firstLine="480" w:firstLineChars="200"/>
        <w:contextualSpacing/>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8.以上事项如有虚假或者隐瞒，我方愿意承担一切后果，并不再寻求任何旨在减轻或者免除法律责任的辩解。</w:t>
      </w:r>
    </w:p>
    <w:p w14:paraId="616AA426">
      <w:pPr>
        <w:widowControl w:val="0"/>
        <w:shd w:val="clear"/>
        <w:tabs>
          <w:tab w:val="left" w:pos="939"/>
        </w:tabs>
        <w:spacing w:line="360" w:lineRule="auto"/>
        <w:ind w:left="141" w:leftChars="67" w:firstLine="360" w:firstLineChars="150"/>
        <w:contextualSpacing/>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特此承诺。</w:t>
      </w:r>
    </w:p>
    <w:p w14:paraId="4E0840A9">
      <w:pPr>
        <w:shd w:val="clear"/>
        <w:spacing w:before="156" w:beforeLines="5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注：如为联合体</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，盖章处须加盖联合体各方公章并由联合体各方法定代表人签署，否则其响应文件按无效响应处理。</w:t>
      </w:r>
    </w:p>
    <w:p w14:paraId="3ED0D0C2">
      <w:pPr>
        <w:shd w:val="clear"/>
        <w:spacing w:line="360" w:lineRule="auto"/>
        <w:ind w:firstLine="4320" w:firstLineChars="1800"/>
        <w:rPr>
          <w:rFonts w:ascii="宋体" w:hAnsi="宋体" w:eastAsia="宋体" w:cs="宋体"/>
          <w:color w:val="auto"/>
          <w:sz w:val="24"/>
          <w:highlight w:val="none"/>
        </w:rPr>
      </w:pPr>
    </w:p>
    <w:p w14:paraId="09818241">
      <w:pPr>
        <w:shd w:val="clear"/>
        <w:snapToGrid w:val="0"/>
        <w:spacing w:before="156" w:beforeLines="50" w:after="50" w:line="360" w:lineRule="auto"/>
        <w:ind w:right="480" w:firstLine="240" w:firstLineChars="100"/>
        <w:jc w:val="right"/>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2ECC88B">
      <w:pPr>
        <w:shd w:val="clear"/>
        <w:snapToGrid w:val="0"/>
        <w:spacing w:before="156" w:beforeLines="50" w:after="50" w:line="360" w:lineRule="auto"/>
        <w:ind w:right="480" w:firstLine="240" w:firstLineChars="100"/>
        <w:jc w:val="righ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8FD587F">
      <w:pPr>
        <w:shd w:val="clear"/>
        <w:rPr>
          <w:rFonts w:ascii="宋体" w:hAnsi="宋体" w:eastAsia="宋体" w:cs="宋体"/>
          <w:color w:val="auto"/>
          <w:highlight w:val="none"/>
        </w:rPr>
      </w:pPr>
    </w:p>
    <w:p w14:paraId="2A69C0A6">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241412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0336C828">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5AE9EE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0E8F5B89">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679D74A">
      <w:pPr>
        <w:shd w:val="clear"/>
        <w:spacing w:line="320" w:lineRule="exact"/>
        <w:jc w:val="center"/>
        <w:rPr>
          <w:rFonts w:hint="eastAsia" w:ascii="宋体" w:hAnsi="宋体" w:eastAsia="宋体" w:cs="宋体"/>
          <w:b/>
          <w:color w:val="auto"/>
          <w:highlight w:val="none"/>
          <w:lang w:val="en-US" w:eastAsia="zh-CN"/>
        </w:rPr>
      </w:pPr>
      <w:r>
        <w:rPr>
          <w:rFonts w:hint="eastAsia" w:ascii="宋体" w:hAnsi="宋体" w:eastAsia="宋体" w:cs="宋体"/>
          <w:color w:val="auto"/>
          <w:highlight w:val="none"/>
        </w:rPr>
        <w:br w:type="page"/>
      </w:r>
      <w:r>
        <w:rPr>
          <w:rFonts w:hint="eastAsia" w:ascii="宋体" w:hAnsi="宋体" w:eastAsia="宋体" w:cs="宋体"/>
          <w:b/>
          <w:color w:val="auto"/>
          <w:sz w:val="32"/>
          <w:szCs w:val="32"/>
          <w:highlight w:val="none"/>
        </w:rPr>
        <w:t>七、联合体协议书</w:t>
      </w:r>
      <w:r>
        <w:rPr>
          <w:rFonts w:hint="eastAsia" w:ascii="宋体" w:hAnsi="宋体" w:eastAsia="宋体" w:cs="宋体"/>
          <w:b/>
          <w:color w:val="auto"/>
          <w:sz w:val="32"/>
          <w:szCs w:val="32"/>
          <w:highlight w:val="none"/>
          <w:lang w:eastAsia="zh-CN"/>
        </w:rPr>
        <w:t>（如有）</w:t>
      </w:r>
    </w:p>
    <w:p w14:paraId="1C387FF2">
      <w:pPr>
        <w:shd w:val="clear"/>
        <w:rPr>
          <w:rFonts w:ascii="宋体" w:hAnsi="宋体" w:eastAsia="宋体" w:cs="宋体"/>
          <w:color w:val="auto"/>
          <w:highlight w:val="none"/>
        </w:rPr>
      </w:pPr>
    </w:p>
    <w:p w14:paraId="65A75A00">
      <w:pPr>
        <w:shd w:val="clear"/>
        <w:rPr>
          <w:rFonts w:ascii="宋体" w:hAnsi="宋体" w:eastAsia="宋体" w:cs="宋体"/>
          <w:color w:val="auto"/>
          <w:highlight w:val="none"/>
        </w:rPr>
      </w:pPr>
    </w:p>
    <w:p w14:paraId="16D0C822">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（所有成员单位名称）自愿组成</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（联合体名称）联合体，共同参加</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（项目名称）采购项目响应。现就联合体响应事宜订立如下协议：</w:t>
      </w:r>
    </w:p>
    <w:p w14:paraId="7B2EEE69">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u w:val="single"/>
          <w:lang w:val="en-US" w:eastAsia="zh-CN" w:bidi="ar-SA"/>
        </w:rPr>
        <w:tab/>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（某成员单位名称）为</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（联合体名称）牵头人。</w:t>
      </w:r>
    </w:p>
    <w:p w14:paraId="62749E11">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联合体各成员授权牵头人代表联合体参加响应活动，签署文件及对文件的盖章，提交和接收相关的资料、信息及指示，进行合同谈判活动，负责合同实施阶段的组织和协调工作，以及处理与本响应项目有关的一切事宜。</w:t>
      </w:r>
    </w:p>
    <w:p w14:paraId="0006C4FF">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3.联合体牵头人在本项目中签署和盖章的一切文件和处理的一切事宜，联合体各成员均予以承认。联合体各成员将严格按照竞争性谈判文件、响应文件和合同的要求全面履行义务，并向采购人承担连带责任。</w:t>
      </w:r>
    </w:p>
    <w:p w14:paraId="299BEE83">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4.联合体各成员单位内部的职责分工如下：</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w:t>
      </w:r>
    </w:p>
    <w:p w14:paraId="0FE267E1">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5.本</w:t>
      </w:r>
      <w:r>
        <w:rPr>
          <w:rFonts w:hint="eastAsia" w:ascii="宋体" w:hAnsi="宋体" w:eastAsia="宋体" w:cs="宋体"/>
          <w:color w:val="auto"/>
          <w:spacing w:val="-6"/>
          <w:kern w:val="2"/>
          <w:sz w:val="24"/>
          <w:szCs w:val="24"/>
          <w:highlight w:val="none"/>
          <w:lang w:val="en-US" w:eastAsia="zh-CN" w:bidi="ar-SA"/>
        </w:rPr>
        <w:t>协议书自所有成员单位法定代表人或者其委托代理人签字或者盖单位章之日起生效，合同履行完毕后自动失效。</w:t>
      </w:r>
    </w:p>
    <w:p w14:paraId="62F471F7">
      <w:pPr>
        <w:widowControl w:val="0"/>
        <w:shd w:val="clear"/>
        <w:overflowPunct w:val="0"/>
        <w:spacing w:line="360" w:lineRule="auto"/>
        <w:ind w:firstLine="480" w:firstLineChars="200"/>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6.本协议书一式</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u w:val="single"/>
          <w:lang w:val="en-US" w:eastAsia="zh-CN" w:bidi="ar-SA"/>
        </w:rPr>
        <w:tab/>
      </w:r>
      <w:r>
        <w:rPr>
          <w:rFonts w:hint="eastAsia" w:ascii="宋体" w:hAnsi="宋体" w:eastAsia="宋体" w:cs="宋体"/>
          <w:color w:val="auto"/>
          <w:kern w:val="2"/>
          <w:sz w:val="24"/>
          <w:szCs w:val="24"/>
          <w:highlight w:val="none"/>
          <w:lang w:val="en-US" w:eastAsia="zh-CN" w:bidi="ar-SA"/>
        </w:rPr>
        <w:t>份，联合体成员和采购人各执一份。</w:t>
      </w:r>
    </w:p>
    <w:p w14:paraId="7451CCEB">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4"/>
          <w:highlight w:val="none"/>
          <w:lang w:val="en-US" w:eastAsia="zh-CN" w:bidi="ar-SA"/>
        </w:rPr>
        <w:t>注：</w:t>
      </w:r>
      <w:r>
        <w:rPr>
          <w:rFonts w:hint="eastAsia" w:ascii="宋体" w:hAnsi="宋体" w:eastAsia="宋体" w:cs="宋体"/>
          <w:color w:val="auto"/>
          <w:kern w:val="2"/>
          <w:sz w:val="24"/>
          <w:szCs w:val="20"/>
          <w:highlight w:val="none"/>
          <w:lang w:val="en-US" w:eastAsia="zh-CN" w:bidi="ar-SA"/>
        </w:rPr>
        <w:t>本协议书由法定代表人签字的，应附法定代表人身份证明；本协议书由委托代理人签字的，应附法定代表人授权委托书。</w:t>
      </w:r>
    </w:p>
    <w:p w14:paraId="35275F0F">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p>
    <w:p w14:paraId="7A9B715E">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牵头人名称：</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（公章/电子签章）</w:t>
      </w:r>
    </w:p>
    <w:p w14:paraId="11DA213B">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法定代表人或其委托代理人：</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（签字或盖章）</w:t>
      </w:r>
    </w:p>
    <w:p w14:paraId="7950AC4D">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p>
    <w:p w14:paraId="7427DD10">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成员一名称：</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（公章/电子签章）</w:t>
      </w:r>
    </w:p>
    <w:p w14:paraId="19C691CB">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法定代表人或其委托代理人：</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（签字或盖章）</w:t>
      </w:r>
    </w:p>
    <w:p w14:paraId="2DB60796">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p>
    <w:p w14:paraId="0DCCC4AD">
      <w:pPr>
        <w:widowControl w:val="0"/>
        <w:shd w:val="clear"/>
        <w:overflowPunct w:val="0"/>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成员二名称：</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（公章/电子签章）</w:t>
      </w:r>
    </w:p>
    <w:p w14:paraId="07FBB213">
      <w:pPr>
        <w:widowControl w:val="0"/>
        <w:shd w:val="clear"/>
        <w:overflowPunct w:val="0"/>
        <w:spacing w:line="360" w:lineRule="auto"/>
        <w:ind w:firstLine="480" w:firstLineChars="200"/>
        <w:jc w:val="both"/>
        <w:rPr>
          <w:rFonts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法定代表人或其委托代理人：</w:t>
      </w:r>
      <w:r>
        <w:rPr>
          <w:rFonts w:hint="eastAsia" w:ascii="宋体" w:hAnsi="宋体" w:eastAsia="宋体" w:cs="宋体"/>
          <w:color w:val="auto"/>
          <w:kern w:val="2"/>
          <w:sz w:val="24"/>
          <w:szCs w:val="20"/>
          <w:highlight w:val="none"/>
          <w:u w:val="single"/>
          <w:lang w:val="en-US" w:eastAsia="zh-CN" w:bidi="ar-SA"/>
        </w:rPr>
        <w:t xml:space="preserve">                         </w:t>
      </w:r>
      <w:r>
        <w:rPr>
          <w:rFonts w:hint="eastAsia" w:ascii="宋体" w:hAnsi="宋体" w:eastAsia="宋体" w:cs="宋体"/>
          <w:color w:val="auto"/>
          <w:kern w:val="2"/>
          <w:sz w:val="24"/>
          <w:szCs w:val="20"/>
          <w:highlight w:val="none"/>
          <w:lang w:val="en-US" w:eastAsia="zh-CN" w:bidi="ar-SA"/>
        </w:rPr>
        <w:t>（签字或盖章）</w:t>
      </w:r>
    </w:p>
    <w:p w14:paraId="027F9A31">
      <w:pPr>
        <w:widowControl w:val="0"/>
        <w:shd w:val="clear"/>
        <w:overflowPunct w:val="0"/>
        <w:spacing w:line="360" w:lineRule="auto"/>
        <w:ind w:firstLine="480" w:firstLineChars="200"/>
        <w:jc w:val="both"/>
        <w:rPr>
          <w:rFonts w:ascii="宋体" w:hAnsi="宋体" w:eastAsia="宋体" w:cs="宋体"/>
          <w:color w:val="auto"/>
          <w:kern w:val="2"/>
          <w:sz w:val="24"/>
          <w:szCs w:val="20"/>
          <w:highlight w:val="none"/>
          <w:lang w:val="en-US" w:eastAsia="zh-CN" w:bidi="ar-SA"/>
        </w:rPr>
      </w:pPr>
    </w:p>
    <w:p w14:paraId="327211BE">
      <w:pPr>
        <w:widowControl w:val="0"/>
        <w:shd w:val="clear"/>
        <w:overflowPunct w:val="0"/>
        <w:spacing w:line="360" w:lineRule="auto"/>
        <w:ind w:firstLine="480" w:firstLineChars="200"/>
        <w:jc w:val="both"/>
        <w:rPr>
          <w:rFonts w:ascii="宋体" w:hAnsi="宋体" w:eastAsia="宋体" w:cs="宋体"/>
          <w:color w:val="auto"/>
          <w:kern w:val="2"/>
          <w:sz w:val="24"/>
          <w:szCs w:val="20"/>
          <w:highlight w:val="none"/>
          <w:lang w:val="en-US" w:eastAsia="zh-CN" w:bidi="ar-SA"/>
        </w:rPr>
      </w:pPr>
    </w:p>
    <w:p w14:paraId="26F42577">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r>
        <w:rPr>
          <w:rFonts w:hint="eastAsia" w:ascii="宋体" w:hAnsi="宋体" w:eastAsia="宋体" w:cs="宋体"/>
          <w:b/>
          <w:color w:val="auto"/>
          <w:kern w:val="0"/>
          <w:sz w:val="32"/>
          <w:szCs w:val="32"/>
          <w:highlight w:val="none"/>
          <w:lang w:val="en-US" w:eastAsia="zh-CN" w:bidi="ar-SA"/>
        </w:rPr>
        <w:br w:type="page"/>
      </w:r>
    </w:p>
    <w:p w14:paraId="0A642CA3">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6648824A">
      <w:pPr>
        <w:widowControl w:val="0"/>
        <w:shd w:val="clear"/>
        <w:tabs>
          <w:tab w:val="center" w:pos="4153"/>
          <w:tab w:val="right" w:pos="8306"/>
        </w:tabs>
        <w:snapToGrid w:val="0"/>
        <w:jc w:val="left"/>
        <w:rPr>
          <w:rFonts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八、除竞争性谈判文件规定必须提供以外，供应商认为需要提供的其他证明材料</w:t>
      </w:r>
    </w:p>
    <w:p w14:paraId="47BACD0C">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7AF989FD">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37B0A027">
      <w:pPr>
        <w:shd w:val="clear"/>
        <w:spacing w:line="360" w:lineRule="auto"/>
        <w:rPr>
          <w:rFonts w:ascii="宋体" w:hAnsi="宋体" w:eastAsia="宋体" w:cs="宋体"/>
          <w:color w:val="auto"/>
          <w:sz w:val="24"/>
          <w:highlight w:val="none"/>
        </w:rPr>
      </w:pPr>
    </w:p>
    <w:p w14:paraId="7E3754EA">
      <w:pPr>
        <w:shd w:val="clear"/>
        <w:spacing w:line="276" w:lineRule="auto"/>
        <w:ind w:firstLine="4320" w:firstLineChars="1800"/>
        <w:rPr>
          <w:rFonts w:ascii="宋体" w:hAnsi="宋体" w:eastAsia="宋体" w:cs="宋体"/>
          <w:color w:val="auto"/>
          <w:sz w:val="24"/>
          <w:highlight w:val="none"/>
        </w:rPr>
      </w:pPr>
    </w:p>
    <w:p w14:paraId="4A8383A0">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6F6FB8FF">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1144BDFE">
      <w:pPr>
        <w:shd w:val="clear"/>
        <w:spacing w:line="360" w:lineRule="auto"/>
        <w:rPr>
          <w:rFonts w:ascii="宋体" w:hAnsi="宋体" w:eastAsia="宋体" w:cs="宋体"/>
          <w:color w:val="auto"/>
          <w:sz w:val="24"/>
          <w:highlight w:val="none"/>
        </w:rPr>
      </w:pPr>
    </w:p>
    <w:p w14:paraId="19DB3CA7">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0CFAEF7E">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73450FE9">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1270A8B1">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5117F8A3">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BC9B88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9B9E10E">
      <w:pPr>
        <w:keepNext/>
        <w:keepLines/>
        <w:widowControl w:val="0"/>
        <w:shd w:val="clear"/>
        <w:spacing w:before="260" w:after="260" w:line="416" w:lineRule="auto"/>
        <w:jc w:val="both"/>
        <w:outlineLvl w:val="1"/>
        <w:rPr>
          <w:rFonts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br w:type="page"/>
      </w:r>
      <w:bookmarkStart w:id="70" w:name="_Toc14506"/>
      <w:r>
        <w:rPr>
          <w:rFonts w:hint="eastAsia" w:ascii="宋体" w:hAnsi="宋体" w:eastAsia="宋体" w:cs="宋体"/>
          <w:b/>
          <w:bCs/>
          <w:color w:val="auto"/>
          <w:kern w:val="2"/>
          <w:sz w:val="32"/>
          <w:szCs w:val="32"/>
          <w:highlight w:val="none"/>
          <w:lang w:val="en-US" w:eastAsia="zh-CN" w:bidi="ar-SA"/>
        </w:rPr>
        <w:t>二、商务技术文件格式</w:t>
      </w:r>
      <w:bookmarkEnd w:id="70"/>
      <w:r>
        <w:rPr>
          <w:rFonts w:hint="eastAsia" w:ascii="宋体" w:hAnsi="宋体" w:eastAsia="宋体" w:cs="宋体"/>
          <w:b/>
          <w:bCs/>
          <w:color w:val="auto"/>
          <w:kern w:val="2"/>
          <w:sz w:val="32"/>
          <w:szCs w:val="32"/>
          <w:highlight w:val="none"/>
          <w:lang w:val="en-US" w:eastAsia="zh-CN" w:bidi="ar-SA"/>
        </w:rPr>
        <w:t xml:space="preserve"> </w:t>
      </w:r>
    </w:p>
    <w:p w14:paraId="7C73E7C1">
      <w:pPr>
        <w:shd w:val="clear"/>
        <w:snapToGrid w:val="0"/>
        <w:spacing w:before="156" w:beforeLines="50" w:after="50" w:line="360" w:lineRule="auto"/>
        <w:jc w:val="left"/>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1.商务技术文件封面格式</w:t>
      </w:r>
    </w:p>
    <w:p w14:paraId="5184D603">
      <w:pPr>
        <w:shd w:val="clear"/>
        <w:snapToGrid w:val="0"/>
        <w:spacing w:before="156" w:beforeLines="50" w:after="50"/>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8617E84">
      <w:pPr>
        <w:shd w:val="clear"/>
        <w:snapToGrid w:val="0"/>
        <w:spacing w:before="156" w:beforeLines="50" w:after="50"/>
        <w:jc w:val="right"/>
        <w:rPr>
          <w:rFonts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w:t>电子响应文件</w:t>
      </w:r>
    </w:p>
    <w:p w14:paraId="40EBEBF0">
      <w:pPr>
        <w:shd w:val="clear"/>
        <w:snapToGrid w:val="0"/>
        <w:spacing w:before="156" w:beforeLines="50" w:after="50"/>
        <w:rPr>
          <w:rFonts w:ascii="宋体" w:hAnsi="宋体" w:eastAsia="宋体" w:cs="宋体"/>
          <w:color w:val="auto"/>
          <w:sz w:val="24"/>
          <w:szCs w:val="20"/>
          <w:highlight w:val="none"/>
        </w:rPr>
      </w:pPr>
    </w:p>
    <w:p w14:paraId="7605D256">
      <w:pPr>
        <w:shd w:val="clear"/>
        <w:snapToGrid w:val="0"/>
        <w:spacing w:before="156" w:beforeLines="50" w:after="50"/>
        <w:rPr>
          <w:rFonts w:ascii="宋体" w:hAnsi="宋体" w:eastAsia="宋体" w:cs="宋体"/>
          <w:color w:val="auto"/>
          <w:sz w:val="24"/>
          <w:szCs w:val="20"/>
          <w:highlight w:val="none"/>
        </w:rPr>
      </w:pPr>
    </w:p>
    <w:p w14:paraId="7677F7F1">
      <w:pPr>
        <w:shd w:val="clear"/>
        <w:snapToGrid w:val="0"/>
        <w:spacing w:before="156" w:beforeLines="50" w:after="50"/>
        <w:rPr>
          <w:rFonts w:ascii="宋体" w:hAnsi="宋体" w:eastAsia="宋体" w:cs="宋体"/>
          <w:color w:val="auto"/>
          <w:sz w:val="24"/>
          <w:szCs w:val="20"/>
          <w:highlight w:val="none"/>
        </w:rPr>
      </w:pPr>
    </w:p>
    <w:p w14:paraId="3237DD08">
      <w:pPr>
        <w:shd w:val="clear"/>
        <w:snapToGrid w:val="0"/>
        <w:spacing w:before="156" w:beforeLines="50"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5204E04C">
      <w:pPr>
        <w:shd w:val="clear"/>
        <w:snapToGrid w:val="0"/>
        <w:spacing w:before="156" w:beforeLines="50" w:after="50"/>
        <w:rPr>
          <w:rFonts w:ascii="宋体" w:hAnsi="宋体" w:eastAsia="宋体" w:cs="宋体"/>
          <w:bCs/>
          <w:color w:val="auto"/>
          <w:sz w:val="24"/>
          <w:szCs w:val="20"/>
          <w:highlight w:val="none"/>
        </w:rPr>
      </w:pPr>
    </w:p>
    <w:p w14:paraId="16C69906">
      <w:pPr>
        <w:shd w:val="clear"/>
        <w:snapToGrid w:val="0"/>
        <w:spacing w:before="156" w:beforeLines="50" w:after="50"/>
        <w:rPr>
          <w:rFonts w:ascii="宋体" w:hAnsi="宋体" w:eastAsia="宋体" w:cs="宋体"/>
          <w:bCs/>
          <w:color w:val="auto"/>
          <w:sz w:val="24"/>
          <w:szCs w:val="20"/>
          <w:highlight w:val="none"/>
        </w:rPr>
      </w:pPr>
    </w:p>
    <w:p w14:paraId="2F50AA80">
      <w:pPr>
        <w:shd w:val="clear"/>
        <w:snapToGrid w:val="0"/>
        <w:spacing w:before="156" w:beforeLines="50" w:after="50"/>
        <w:rPr>
          <w:rFonts w:ascii="宋体" w:hAnsi="宋体" w:eastAsia="宋体" w:cs="宋体"/>
          <w:bCs/>
          <w:color w:val="auto"/>
          <w:sz w:val="24"/>
          <w:szCs w:val="20"/>
          <w:highlight w:val="none"/>
        </w:rPr>
      </w:pPr>
    </w:p>
    <w:p w14:paraId="1A858AA5">
      <w:pPr>
        <w:shd w:val="clear"/>
        <w:snapToGrid w:val="0"/>
        <w:spacing w:before="156" w:beforeLines="50" w:after="50"/>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64B8083">
      <w:pPr>
        <w:shd w:val="clear"/>
        <w:snapToGrid w:val="0"/>
        <w:spacing w:before="156" w:beforeLines="50" w:after="50"/>
        <w:ind w:firstLine="720" w:firstLineChars="225"/>
        <w:rPr>
          <w:rFonts w:ascii="宋体" w:hAnsi="宋体" w:eastAsia="宋体" w:cs="宋体"/>
          <w:bCs/>
          <w:color w:val="auto"/>
          <w:sz w:val="32"/>
          <w:szCs w:val="32"/>
          <w:highlight w:val="none"/>
        </w:rPr>
      </w:pPr>
    </w:p>
    <w:p w14:paraId="45CEAE2A">
      <w:pPr>
        <w:shd w:val="clear"/>
        <w:snapToGrid w:val="0"/>
        <w:spacing w:before="156" w:beforeLines="50" w:after="50"/>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7395B704">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EFA6C48">
      <w:pPr>
        <w:shd w:val="clear"/>
        <w:snapToGrid w:val="0"/>
        <w:spacing w:before="156" w:beforeLines="50" w:after="50"/>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w:t>
      </w:r>
      <w:r>
        <w:rPr>
          <w:rFonts w:hint="eastAsia" w:ascii="宋体" w:hAnsi="宋体" w:eastAsia="宋体" w:cs="宋体"/>
          <w:bCs/>
          <w:color w:val="auto"/>
          <w:sz w:val="32"/>
          <w:szCs w:val="32"/>
          <w:highlight w:val="none"/>
          <w:lang w:val="en-US" w:eastAsia="zh-CN"/>
        </w:rPr>
        <w:t>响应</w:t>
      </w:r>
      <w:r>
        <w:rPr>
          <w:rFonts w:hint="eastAsia" w:ascii="宋体" w:hAnsi="宋体" w:eastAsia="宋体" w:cs="宋体"/>
          <w:bCs/>
          <w:color w:val="auto"/>
          <w:sz w:val="32"/>
          <w:szCs w:val="32"/>
          <w:highlight w:val="none"/>
        </w:rPr>
        <w:t>分标（如有则填写，无分标时填写“无”或者留空）：</w:t>
      </w:r>
    </w:p>
    <w:p w14:paraId="581D8165">
      <w:pPr>
        <w:shd w:val="clear"/>
        <w:snapToGrid w:val="0"/>
        <w:spacing w:before="156" w:beforeLines="50" w:after="50"/>
        <w:ind w:firstLine="720" w:firstLineChars="225"/>
        <w:rPr>
          <w:rFonts w:ascii="宋体" w:hAnsi="宋体" w:eastAsia="宋体" w:cs="宋体"/>
          <w:bCs/>
          <w:color w:val="auto"/>
          <w:sz w:val="32"/>
          <w:szCs w:val="32"/>
          <w:highlight w:val="none"/>
        </w:rPr>
      </w:pPr>
    </w:p>
    <w:p w14:paraId="66D1561D">
      <w:pPr>
        <w:widowControl w:val="0"/>
        <w:shd w:val="clear"/>
        <w:snapToGrid w:val="0"/>
        <w:spacing w:before="50" w:after="50"/>
        <w:ind w:firstLine="640" w:firstLineChars="200"/>
        <w:jc w:val="both"/>
        <w:rPr>
          <w:rFonts w:ascii="宋体" w:hAnsi="宋体" w:eastAsia="宋体" w:cs="宋体"/>
          <w:bCs/>
          <w:color w:val="auto"/>
          <w:kern w:val="2"/>
          <w:sz w:val="32"/>
          <w:szCs w:val="32"/>
          <w:highlight w:val="none"/>
          <w:lang w:val="en-US" w:eastAsia="zh-CN" w:bidi="ar-SA"/>
        </w:rPr>
      </w:pPr>
      <w:r>
        <w:rPr>
          <w:rFonts w:hint="eastAsia" w:ascii="宋体" w:hAnsi="宋体" w:eastAsia="宋体" w:cs="宋体"/>
          <w:bCs/>
          <w:color w:val="auto"/>
          <w:kern w:val="2"/>
          <w:sz w:val="32"/>
          <w:szCs w:val="32"/>
          <w:highlight w:val="none"/>
          <w:lang w:val="en-US" w:eastAsia="zh-CN" w:bidi="ar-SA"/>
        </w:rPr>
        <w:t>供应商名称：</w:t>
      </w:r>
    </w:p>
    <w:p w14:paraId="29AAE4A9">
      <w:pPr>
        <w:widowControl w:val="0"/>
        <w:shd w:val="clear"/>
        <w:snapToGrid w:val="0"/>
        <w:spacing w:before="50" w:after="50"/>
        <w:ind w:firstLine="1280" w:firstLineChars="400"/>
        <w:jc w:val="both"/>
        <w:rPr>
          <w:rFonts w:ascii="宋体" w:hAnsi="宋体" w:eastAsia="宋体" w:cs="宋体"/>
          <w:bCs/>
          <w:color w:val="auto"/>
          <w:kern w:val="2"/>
          <w:sz w:val="32"/>
          <w:szCs w:val="32"/>
          <w:highlight w:val="none"/>
          <w:lang w:val="en-US" w:eastAsia="zh-CN" w:bidi="ar-SA"/>
        </w:rPr>
      </w:pPr>
    </w:p>
    <w:p w14:paraId="6CD361A1">
      <w:pPr>
        <w:shd w:val="clear"/>
        <w:snapToGrid w:val="0"/>
        <w:spacing w:before="156" w:beforeLines="50"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A7DC523">
      <w:pPr>
        <w:shd w:val="clear"/>
        <w:snapToGrid w:val="0"/>
        <w:spacing w:before="156" w:beforeLines="50" w:after="50" w:line="360" w:lineRule="auto"/>
        <w:ind w:left="142"/>
        <w:jc w:val="left"/>
        <w:rPr>
          <w:rFonts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2.商务技术文件目录</w:t>
      </w:r>
    </w:p>
    <w:p w14:paraId="69D0B109">
      <w:pPr>
        <w:shd w:val="clear"/>
        <w:snapToGrid w:val="0"/>
        <w:spacing w:before="156" w:beforeLines="50" w:after="50" w:line="360" w:lineRule="auto"/>
        <w:ind w:firstLine="562" w:firstLineChars="20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商务文件</w:t>
      </w:r>
    </w:p>
    <w:p w14:paraId="466D8F48">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一、无串通</w:t>
      </w:r>
      <w:r>
        <w:rPr>
          <w:rFonts w:hint="eastAsia" w:ascii="宋体" w:hAnsi="宋体" w:eastAsia="宋体" w:cs="宋体"/>
          <w:color w:val="auto"/>
          <w:kern w:val="0"/>
          <w:sz w:val="24"/>
          <w:highlight w:val="none"/>
          <w:lang w:val="en-US" w:eastAsia="zh-CN"/>
        </w:rPr>
        <w:t>响应</w:t>
      </w:r>
      <w:r>
        <w:rPr>
          <w:rFonts w:hint="eastAsia" w:ascii="宋体" w:hAnsi="宋体" w:eastAsia="宋体" w:cs="宋体"/>
          <w:color w:val="auto"/>
          <w:kern w:val="0"/>
          <w:sz w:val="24"/>
          <w:highlight w:val="none"/>
        </w:rPr>
        <w:t>行为的承诺函……………………………………………………（页码）</w:t>
      </w:r>
    </w:p>
    <w:p w14:paraId="74CF5200">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二、法定代表人身份证明书及法定代表人有效身份证正反面复印件…（页码）</w:t>
      </w:r>
    </w:p>
    <w:p w14:paraId="5CCBF784">
      <w:pPr>
        <w:shd w:val="clea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三、法定代表人授权委托书及委托代理人有效身份证正反面复印件…………（页码）</w:t>
      </w:r>
    </w:p>
    <w:p w14:paraId="03162E2C">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四、商务条款偏离表…………………………………………………………………（页码）</w:t>
      </w:r>
    </w:p>
    <w:p w14:paraId="7774C617">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五</w:t>
      </w:r>
      <w:r>
        <w:rPr>
          <w:rFonts w:hint="eastAsia" w:ascii="宋体" w:hAnsi="宋体" w:eastAsia="宋体" w:cs="宋体"/>
          <w:color w:val="auto"/>
          <w:kern w:val="0"/>
          <w:sz w:val="24"/>
          <w:highlight w:val="none"/>
        </w:rPr>
        <w:t>、供应商认为需要提供的其他有关资料…………………………………………（页码）</w:t>
      </w:r>
    </w:p>
    <w:p w14:paraId="451D4A3E">
      <w:pPr>
        <w:shd w:val="clear"/>
        <w:snapToGrid w:val="0"/>
        <w:spacing w:before="156" w:beforeLines="50" w:after="50" w:line="360" w:lineRule="auto"/>
        <w:ind w:firstLine="562" w:firstLineChars="200"/>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技术文件</w:t>
      </w:r>
    </w:p>
    <w:p w14:paraId="246515F5">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0554690">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一、技术需求偏离表…………………………………………………………………（页码）</w:t>
      </w:r>
    </w:p>
    <w:p w14:paraId="3FEED9C1">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二、配置清单（均不含报价）………………………………………………………（页码）</w:t>
      </w:r>
    </w:p>
    <w:p w14:paraId="0BAB3820">
      <w:pPr>
        <w:widowControl w:val="0"/>
        <w:shd w:val="clear"/>
        <w:spacing w:after="120"/>
        <w:ind w:firstLine="0" w:firstLineChars="0"/>
        <w:jc w:val="both"/>
        <w:rPr>
          <w:rFonts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三、售后服务方案……………………………………………………………………（页码）</w:t>
      </w:r>
    </w:p>
    <w:p w14:paraId="6887B057">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四、项目实施人员一览表……………………………………………………………（页码）</w:t>
      </w:r>
    </w:p>
    <w:p w14:paraId="77A3B594">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五、供应商认为需要提供的其他有关资料…………………………………………（页码）</w:t>
      </w:r>
    </w:p>
    <w:p w14:paraId="5EDA3209">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DCE0D0D">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61BF850">
      <w:pPr>
        <w:shd w:val="clear"/>
        <w:snapToGrid w:val="0"/>
        <w:spacing w:before="156" w:beforeLines="50" w:after="50" w:line="360" w:lineRule="auto"/>
        <w:ind w:firstLine="645"/>
        <w:rPr>
          <w:rFonts w:ascii="宋体" w:hAnsi="宋体" w:eastAsia="宋体" w:cs="宋体"/>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r>
        <w:rPr>
          <w:rFonts w:hint="eastAsia" w:ascii="宋体" w:hAnsi="宋体" w:eastAsia="宋体" w:cs="宋体"/>
          <w:color w:val="auto"/>
          <w:sz w:val="24"/>
          <w:highlight w:val="none"/>
        </w:rPr>
        <w:t>。</w:t>
      </w:r>
    </w:p>
    <w:p w14:paraId="3E42CCF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E45746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CDDE2D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EC2835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D2CA6CB">
      <w:pPr>
        <w:shd w:val="clear"/>
        <w:spacing w:line="520" w:lineRule="exact"/>
        <w:jc w:val="left"/>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28"/>
          <w:szCs w:val="28"/>
          <w:highlight w:val="none"/>
        </w:rPr>
        <w:t>商务文件</w:t>
      </w:r>
    </w:p>
    <w:p w14:paraId="21C4C3AA">
      <w:pPr>
        <w:shd w:val="clea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一、无串通</w:t>
      </w:r>
      <w:r>
        <w:rPr>
          <w:rFonts w:hint="eastAsia" w:ascii="宋体" w:hAnsi="宋体" w:eastAsia="宋体" w:cs="宋体"/>
          <w:b/>
          <w:bCs/>
          <w:color w:val="auto"/>
          <w:sz w:val="32"/>
          <w:szCs w:val="32"/>
          <w:highlight w:val="none"/>
          <w:lang w:val="en-US" w:eastAsia="zh-CN"/>
        </w:rPr>
        <w:t>响应</w:t>
      </w:r>
      <w:r>
        <w:rPr>
          <w:rFonts w:hint="eastAsia" w:ascii="宋体" w:hAnsi="宋体" w:eastAsia="宋体" w:cs="宋体"/>
          <w:b/>
          <w:bCs/>
          <w:color w:val="auto"/>
          <w:sz w:val="32"/>
          <w:szCs w:val="32"/>
          <w:highlight w:val="none"/>
        </w:rPr>
        <w:t>行为的承诺函</w:t>
      </w:r>
    </w:p>
    <w:p w14:paraId="6FF7BD06">
      <w:pPr>
        <w:shd w:val="clear"/>
        <w:spacing w:line="400" w:lineRule="exact"/>
        <w:ind w:firstLine="640" w:firstLineChars="200"/>
        <w:rPr>
          <w:rFonts w:ascii="宋体" w:hAnsi="宋体" w:eastAsia="宋体" w:cs="宋体"/>
          <w:color w:val="auto"/>
          <w:sz w:val="32"/>
          <w:szCs w:val="32"/>
          <w:highlight w:val="none"/>
        </w:rPr>
      </w:pPr>
    </w:p>
    <w:p w14:paraId="2013C771">
      <w:pPr>
        <w:shd w:val="clear"/>
        <w:spacing w:line="360" w:lineRule="auto"/>
        <w:ind w:firstLine="482" w:firstLineChars="200"/>
        <w:contextualSpacing/>
        <w:rPr>
          <w:rFonts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的情形：</w:t>
      </w:r>
    </w:p>
    <w:p w14:paraId="56304D04">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1.不同供应商的响应文件由同一单位或者个人编制；或者不同供应商报名的IP地址一致的；</w:t>
      </w:r>
    </w:p>
    <w:p w14:paraId="1422A858">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事宜；</w:t>
      </w:r>
    </w:p>
    <w:p w14:paraId="7D996411">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3.不同的供应商的响应文件载明的项目管理员为同一个人；</w:t>
      </w:r>
    </w:p>
    <w:p w14:paraId="569523F5">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pacing w:val="-6"/>
          <w:sz w:val="24"/>
          <w:highlight w:val="none"/>
        </w:rPr>
        <w:t>报价呈规律性差异；</w:t>
      </w:r>
    </w:p>
    <w:p w14:paraId="4E284BB0">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38C9C5D4">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6.不同供应商的</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保证金从同一单位或者个人账户转出。</w:t>
      </w:r>
    </w:p>
    <w:p w14:paraId="1D951F3E">
      <w:pPr>
        <w:shd w:val="clear"/>
        <w:spacing w:line="360" w:lineRule="auto"/>
        <w:ind w:firstLine="482" w:firstLineChars="200"/>
        <w:contextualSpacing/>
        <w:rPr>
          <w:rFonts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5347A130">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22DFA50">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2FDE409">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2CBFE312">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209B9E50">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报价，或者在竞争性谈判项目中事先约定轮流以高价位或者低价位成交，或者事先约定由某一特定供应商成交，然后再参加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w:t>
      </w:r>
    </w:p>
    <w:p w14:paraId="1DB8A902">
      <w:pPr>
        <w:shd w:val="clea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D43CE18">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0F33BECE">
      <w:pPr>
        <w:shd w:val="clear"/>
        <w:spacing w:line="360" w:lineRule="auto"/>
        <w:ind w:firstLine="480" w:firstLineChars="200"/>
        <w:rPr>
          <w:rFonts w:ascii="宋体" w:hAnsi="宋体" w:eastAsia="宋体" w:cs="宋体"/>
          <w:color w:val="auto"/>
          <w:sz w:val="24"/>
          <w:highlight w:val="none"/>
        </w:rPr>
      </w:pPr>
    </w:p>
    <w:p w14:paraId="662132CD">
      <w:pPr>
        <w:shd w:val="clea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1A62F2DE">
      <w:pPr>
        <w:shd w:val="clear"/>
        <w:spacing w:line="360" w:lineRule="auto"/>
        <w:rPr>
          <w:rFonts w:ascii="宋体" w:hAnsi="宋体" w:eastAsia="宋体" w:cs="宋体"/>
          <w:color w:val="auto"/>
          <w:sz w:val="24"/>
          <w:highlight w:val="none"/>
        </w:rPr>
      </w:pPr>
    </w:p>
    <w:p w14:paraId="2846C6E0">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1054582A">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78BEAFB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69563F3">
      <w:pPr>
        <w:shd w:val="clear"/>
        <w:spacing w:line="520" w:lineRule="exact"/>
        <w:jc w:val="center"/>
        <w:rPr>
          <w:rFonts w:hint="eastAsia" w:ascii="宋体" w:hAnsi="宋体" w:eastAsia="宋体" w:cs="宋体"/>
          <w:b/>
          <w:bCs/>
          <w:color w:val="auto"/>
          <w:sz w:val="32"/>
          <w:szCs w:val="32"/>
          <w:highlight w:val="none"/>
        </w:rPr>
      </w:pPr>
    </w:p>
    <w:p w14:paraId="48B7BA4E">
      <w:pPr>
        <w:shd w:val="clear"/>
        <w:spacing w:line="520" w:lineRule="exact"/>
        <w:jc w:val="center"/>
        <w:rPr>
          <w:rFonts w:ascii="宋体" w:hAnsi="宋体" w:eastAsia="宋体" w:cs="宋体"/>
          <w:color w:val="auto"/>
          <w:highlight w:val="none"/>
        </w:rPr>
      </w:pPr>
      <w:r>
        <w:rPr>
          <w:rFonts w:hint="eastAsia" w:ascii="宋体" w:hAnsi="宋体" w:eastAsia="宋体" w:cs="宋体"/>
          <w:b/>
          <w:bCs/>
          <w:color w:val="auto"/>
          <w:sz w:val="32"/>
          <w:szCs w:val="32"/>
          <w:highlight w:val="none"/>
        </w:rPr>
        <w:t>二、法定代表人身份证明书及法定代表人有效身份证正反面复印件</w:t>
      </w:r>
    </w:p>
    <w:p w14:paraId="5B5D2D89">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8F2633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73A92F9">
      <w:pPr>
        <w:shd w:val="clear"/>
        <w:spacing w:before="312" w:beforeLines="100" w:after="156" w:afterLines="50" w:line="520" w:lineRule="exact"/>
        <w:ind w:left="540"/>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法定代表人证明书</w:t>
      </w:r>
    </w:p>
    <w:p w14:paraId="07A1CDBE">
      <w:pPr>
        <w:shd w:val="clear"/>
        <w:spacing w:line="520" w:lineRule="exact"/>
        <w:ind w:left="540"/>
        <w:rPr>
          <w:rFonts w:ascii="宋体" w:hAnsi="宋体" w:eastAsia="宋体" w:cs="宋体"/>
          <w:color w:val="auto"/>
          <w:sz w:val="32"/>
          <w:szCs w:val="32"/>
          <w:highlight w:val="none"/>
        </w:rPr>
      </w:pPr>
    </w:p>
    <w:p w14:paraId="3A42A9BA">
      <w:pPr>
        <w:shd w:val="clear"/>
        <w:spacing w:line="360" w:lineRule="auto"/>
        <w:ind w:left="540"/>
        <w:rPr>
          <w:rFonts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5882CE66">
      <w:pPr>
        <w:shd w:val="clear"/>
        <w:spacing w:line="360" w:lineRule="auto"/>
        <w:ind w:left="540"/>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654A0F94">
      <w:pPr>
        <w:shd w:val="clear"/>
        <w:spacing w:line="360" w:lineRule="auto"/>
        <w:ind w:left="540"/>
        <w:rPr>
          <w:rFonts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6DB67DE8">
      <w:pPr>
        <w:shd w:val="clear"/>
        <w:spacing w:line="360" w:lineRule="auto"/>
        <w:ind w:left="540"/>
        <w:rPr>
          <w:rFonts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1BA6CCD9">
      <w:pPr>
        <w:shd w:val="clear"/>
        <w:spacing w:line="360" w:lineRule="auto"/>
        <w:ind w:left="540"/>
        <w:rPr>
          <w:rFonts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D63A02F">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的法定代表人。</w:t>
      </w:r>
    </w:p>
    <w:p w14:paraId="1800511F">
      <w:pPr>
        <w:shd w:val="clear"/>
        <w:spacing w:line="360" w:lineRule="auto"/>
        <w:ind w:left="54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12B4395">
      <w:pPr>
        <w:shd w:val="clear"/>
        <w:spacing w:line="500" w:lineRule="exact"/>
        <w:ind w:left="540"/>
        <w:rPr>
          <w:rFonts w:ascii="宋体" w:hAnsi="宋体" w:eastAsia="宋体" w:cs="宋体"/>
          <w:color w:val="auto"/>
          <w:sz w:val="24"/>
          <w:highlight w:val="none"/>
        </w:rPr>
      </w:pPr>
    </w:p>
    <w:p w14:paraId="56843F3C">
      <w:pPr>
        <w:shd w:val="clear"/>
        <w:spacing w:line="500" w:lineRule="exact"/>
        <w:ind w:left="540"/>
        <w:rPr>
          <w:rFonts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084F5251">
      <w:pPr>
        <w:shd w:val="clear"/>
        <w:spacing w:line="500" w:lineRule="exact"/>
        <w:ind w:left="540"/>
        <w:rPr>
          <w:rFonts w:ascii="宋体" w:hAnsi="宋体" w:eastAsia="宋体" w:cs="宋体"/>
          <w:color w:val="auto"/>
          <w:sz w:val="24"/>
          <w:highlight w:val="none"/>
        </w:rPr>
      </w:pPr>
    </w:p>
    <w:p w14:paraId="7FEB1D6E">
      <w:pPr>
        <w:shd w:val="clear"/>
        <w:snapToGrid w:val="0"/>
        <w:spacing w:line="360" w:lineRule="auto"/>
        <w:ind w:firstLine="5640" w:firstLineChars="2350"/>
        <w:rPr>
          <w:rFonts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供应商名称（电子签章）：</w:t>
      </w:r>
    </w:p>
    <w:p w14:paraId="3B611317">
      <w:pPr>
        <w:shd w:val="clear"/>
        <w:snapToGrid w:val="0"/>
        <w:spacing w:line="360" w:lineRule="auto"/>
        <w:ind w:firstLine="5160" w:firstLineChars="215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7406AF08">
      <w:pPr>
        <w:shd w:val="clear"/>
        <w:snapToGrid w:val="0"/>
        <w:spacing w:before="156" w:beforeLines="50" w:after="50" w:line="360" w:lineRule="auto"/>
        <w:jc w:val="left"/>
        <w:rPr>
          <w:rFonts w:ascii="宋体" w:hAnsi="宋体" w:eastAsia="宋体" w:cs="宋体"/>
          <w:color w:val="auto"/>
          <w:sz w:val="24"/>
          <w:highlight w:val="none"/>
        </w:rPr>
      </w:pPr>
    </w:p>
    <w:p w14:paraId="6F79440C">
      <w:pPr>
        <w:shd w:val="clear"/>
        <w:snapToGrid w:val="0"/>
        <w:spacing w:before="156" w:beforeLines="50" w:after="50"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t>注：1.自然人</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的无需提供，联合体</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的只需牵头人出具。</w:t>
      </w:r>
    </w:p>
    <w:p w14:paraId="5E71B184">
      <w:pPr>
        <w:shd w:val="clear"/>
        <w:snapToGrid w:val="0"/>
        <w:spacing w:before="156" w:beforeLines="50" w:after="50"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谈判文件规定的法定代表人指负责人或者自然人。本</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谈判文件所称负责人是指参加</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的其他组织营业执照上的负责人，本</w:t>
      </w: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谈判文件所称自然人指参与</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的自然人本人。</w:t>
      </w:r>
    </w:p>
    <w:tbl>
      <w:tblPr>
        <w:tblStyle w:val="4"/>
        <w:tblpPr w:leftFromText="180" w:rightFromText="180" w:vertAnchor="text" w:horzAnchor="margin" w:tblpXSpec="center" w:tblpY="116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E95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tcPr>
          <w:p w14:paraId="328B0343">
            <w:pPr>
              <w:shd w:val="clear"/>
              <w:spacing w:line="360" w:lineRule="auto"/>
              <w:rPr>
                <w:rFonts w:ascii="宋体" w:hAnsi="宋体" w:eastAsia="宋体" w:cs="宋体"/>
                <w:b/>
                <w:color w:val="auto"/>
                <w:sz w:val="24"/>
                <w:highlight w:val="none"/>
              </w:rPr>
            </w:pPr>
          </w:p>
          <w:p w14:paraId="66ED0A4F">
            <w:pPr>
              <w:shd w:val="clear"/>
              <w:spacing w:line="360" w:lineRule="auto"/>
              <w:rPr>
                <w:rFonts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法定代表身份证复印件粘贴处（正、反面）</w:t>
            </w:r>
          </w:p>
        </w:tc>
      </w:tr>
    </w:tbl>
    <w:p w14:paraId="7BF23788">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736CA3C">
      <w:pPr>
        <w:shd w:val="clear"/>
        <w:adjustRightInd w:val="0"/>
        <w:snapToGrid w:val="0"/>
        <w:spacing w:line="300" w:lineRule="auto"/>
        <w:jc w:val="left"/>
        <w:rPr>
          <w:rFonts w:ascii="宋体" w:hAnsi="宋体" w:eastAsia="宋体" w:cs="宋体"/>
          <w:b/>
          <w:color w:val="auto"/>
          <w:szCs w:val="21"/>
          <w:highlight w:val="none"/>
        </w:rPr>
      </w:pPr>
    </w:p>
    <w:p w14:paraId="29BC14A7">
      <w:pPr>
        <w:shd w:val="clear"/>
        <w:spacing w:line="500" w:lineRule="exact"/>
        <w:jc w:val="center"/>
        <w:rPr>
          <w:rFonts w:ascii="宋体" w:hAnsi="宋体" w:eastAsia="宋体" w:cs="宋体"/>
          <w:color w:val="auto"/>
          <w:sz w:val="36"/>
          <w:szCs w:val="36"/>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color w:val="auto"/>
          <w:sz w:val="32"/>
          <w:szCs w:val="32"/>
          <w:highlight w:val="none"/>
        </w:rPr>
        <w:t xml:space="preserve">三、法定代表人授权委托书及委托代理人有效身份证正反面复印件 </w:t>
      </w:r>
    </w:p>
    <w:p w14:paraId="60363649">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A69ECB3">
      <w:pPr>
        <w:shd w:val="clea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法定代表人授权委托书（非联合体竞标格式）</w:t>
      </w:r>
    </w:p>
    <w:p w14:paraId="5ECF7761">
      <w:pPr>
        <w:shd w:val="clear"/>
        <w:spacing w:line="520" w:lineRule="exac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49FE601E">
      <w:pPr>
        <w:shd w:val="clear"/>
        <w:snapToGrid w:val="0"/>
        <w:spacing w:before="156" w:beforeLines="50" w:after="50"/>
        <w:jc w:val="center"/>
        <w:rPr>
          <w:rFonts w:ascii="宋体" w:hAnsi="宋体" w:eastAsia="宋体" w:cs="宋体"/>
          <w:b/>
          <w:color w:val="auto"/>
          <w:sz w:val="24"/>
          <w:highlight w:val="none"/>
        </w:rPr>
      </w:pPr>
    </w:p>
    <w:p w14:paraId="430F9189">
      <w:pPr>
        <w:spacing w:line="360" w:lineRule="auto"/>
        <w:rPr>
          <w:rFonts w:ascii="宋体" w:hAnsi="宋体" w:eastAsia="宋体" w:cs="仿宋_GB2312"/>
          <w:color w:val="auto"/>
          <w:sz w:val="24"/>
          <w:highlight w:val="none"/>
        </w:rPr>
      </w:pPr>
      <w:r>
        <w:rPr>
          <w:rFonts w:hint="eastAsia" w:ascii="宋体" w:hAnsi="宋体" w:eastAsia="宋体" w:cs="仿宋_GB2312"/>
          <w:color w:val="auto"/>
          <w:sz w:val="24"/>
          <w:highlight w:val="none"/>
        </w:rPr>
        <w:t>致：</w:t>
      </w:r>
      <w:bookmarkStart w:id="71" w:name="PO_3000001871_PM031_7"/>
      <w:r>
        <w:rPr>
          <w:rFonts w:hint="eastAsia" w:ascii="宋体" w:hAnsi="宋体" w:eastAsia="宋体" w:cs="仿宋_GB2312"/>
          <w:color w:val="auto"/>
          <w:sz w:val="24"/>
          <w:highlight w:val="none"/>
          <w:u w:val="single"/>
        </w:rPr>
        <w:t>广西邕政采购代理有限公司</w:t>
      </w:r>
      <w:bookmarkEnd w:id="71"/>
      <w:r>
        <w:rPr>
          <w:rFonts w:hint="eastAsia" w:ascii="宋体" w:hAnsi="宋体" w:eastAsia="宋体" w:cs="仿宋_GB2312"/>
          <w:color w:val="auto"/>
          <w:sz w:val="24"/>
          <w:highlight w:val="none"/>
        </w:rPr>
        <w:t>：</w:t>
      </w:r>
    </w:p>
    <w:p w14:paraId="404236B0">
      <w:pPr>
        <w:spacing w:line="360" w:lineRule="auto"/>
        <w:ind w:firstLine="480" w:firstLineChars="200"/>
        <w:rPr>
          <w:rFonts w:ascii="宋体" w:hAnsi="宋体" w:eastAsia="宋体" w:cs="仿宋_GB2312"/>
          <w:color w:val="auto"/>
          <w:sz w:val="24"/>
          <w:highlight w:val="none"/>
        </w:rPr>
      </w:pPr>
      <w:r>
        <w:rPr>
          <w:rFonts w:hint="eastAsia" w:ascii="宋体" w:hAnsi="宋体" w:eastAsia="宋体" w:cs="仿宋_GB2312"/>
          <w:color w:val="auto"/>
          <w:sz w:val="24"/>
          <w:highlight w:val="none"/>
        </w:rPr>
        <w:t>我</w:t>
      </w:r>
      <w:r>
        <w:rPr>
          <w:rFonts w:hint="eastAsia" w:ascii="宋体" w:hAnsi="宋体" w:eastAsia="宋体" w:cs="仿宋_GB2312"/>
          <w:color w:val="auto"/>
          <w:sz w:val="24"/>
          <w:highlight w:val="none"/>
          <w:u w:val="single"/>
        </w:rPr>
        <w:t xml:space="preserve">  （姓名）  </w:t>
      </w: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 xml:space="preserve">  （供应商名称）  </w:t>
      </w:r>
      <w:r>
        <w:rPr>
          <w:rFonts w:hint="eastAsia" w:ascii="宋体" w:hAnsi="宋体" w:eastAsia="宋体" w:cs="仿宋_GB2312"/>
          <w:color w:val="auto"/>
          <w:sz w:val="24"/>
          <w:highlight w:val="none"/>
        </w:rPr>
        <w:t>的（</w:t>
      </w:r>
      <w:r>
        <w:rPr>
          <w:rFonts w:hint="eastAsia" w:ascii="宋体" w:hAnsi="宋体" w:eastAsia="宋体" w:cs="仿宋_GB2312"/>
          <w:color w:val="auto"/>
          <w:sz w:val="24"/>
          <w:highlight w:val="none"/>
          <w:u w:val="single"/>
        </w:rPr>
        <w:t>□法定代表人/□负责人/□自然人本人</w:t>
      </w:r>
      <w:r>
        <w:rPr>
          <w:rFonts w:hint="eastAsia" w:ascii="宋体" w:hAnsi="宋体" w:eastAsia="宋体" w:cs="仿宋_GB2312"/>
          <w:color w:val="auto"/>
          <w:sz w:val="24"/>
          <w:highlight w:val="none"/>
        </w:rPr>
        <w:t>），现授权</w:t>
      </w:r>
      <w:r>
        <w:rPr>
          <w:rFonts w:hint="eastAsia" w:ascii="宋体" w:hAnsi="宋体" w:eastAsia="宋体" w:cs="仿宋_GB2312"/>
          <w:color w:val="auto"/>
          <w:sz w:val="24"/>
          <w:highlight w:val="none"/>
          <w:u w:val="single"/>
        </w:rPr>
        <w:t xml:space="preserve"> （姓名） </w:t>
      </w:r>
      <w:r>
        <w:rPr>
          <w:rFonts w:hint="eastAsia" w:ascii="宋体" w:hAnsi="宋体" w:eastAsia="宋体" w:cs="仿宋_GB2312"/>
          <w:color w:val="auto"/>
          <w:sz w:val="24"/>
          <w:highlight w:val="none"/>
        </w:rPr>
        <w:t>以我方的名义参加</w:t>
      </w:r>
      <w:r>
        <w:rPr>
          <w:rFonts w:hint="eastAsia" w:ascii="宋体" w:hAnsi="宋体" w:eastAsia="宋体" w:cs="仿宋_GB2312"/>
          <w:color w:val="auto"/>
          <w:sz w:val="24"/>
          <w:highlight w:val="none"/>
          <w:u w:val="single"/>
        </w:rPr>
        <w:t xml:space="preserve">  (项目名称)       </w:t>
      </w:r>
      <w:r>
        <w:rPr>
          <w:rFonts w:hint="eastAsia" w:ascii="宋体" w:hAnsi="宋体" w:eastAsia="宋体" w:cs="仿宋_GB2312"/>
          <w:color w:val="auto"/>
          <w:sz w:val="24"/>
          <w:highlight w:val="none"/>
        </w:rPr>
        <w:t>的竞标活动，并代表我方全权办理针对上述项目的所有采购程序和环节的具体事务和签署相关文件。</w:t>
      </w:r>
    </w:p>
    <w:p w14:paraId="7889A7BE">
      <w:pPr>
        <w:spacing w:line="360" w:lineRule="auto"/>
        <w:rPr>
          <w:rFonts w:ascii="宋体" w:hAnsi="宋体" w:eastAsia="宋体" w:cs="仿宋_GB2312"/>
          <w:color w:val="auto"/>
          <w:sz w:val="24"/>
          <w:highlight w:val="none"/>
        </w:rPr>
      </w:pPr>
      <w:r>
        <w:rPr>
          <w:rFonts w:hint="eastAsia" w:ascii="宋体" w:hAnsi="宋体" w:eastAsia="宋体" w:cs="仿宋_GB2312"/>
          <w:color w:val="auto"/>
          <w:sz w:val="24"/>
          <w:highlight w:val="none"/>
        </w:rPr>
        <w:t xml:space="preserve">    我方对委托代理人的签字事项负全部责任。</w:t>
      </w:r>
    </w:p>
    <w:p w14:paraId="25E0DC59">
      <w:pPr>
        <w:spacing w:line="360" w:lineRule="auto"/>
        <w:ind w:firstLine="480" w:firstLineChars="200"/>
        <w:rPr>
          <w:rFonts w:ascii="宋体" w:hAnsi="宋体" w:eastAsia="宋体" w:cs="仿宋_GB2312"/>
          <w:color w:val="auto"/>
          <w:sz w:val="24"/>
          <w:highlight w:val="none"/>
        </w:rPr>
      </w:pPr>
      <w:r>
        <w:rPr>
          <w:rFonts w:hint="eastAsia" w:ascii="宋体" w:hAnsi="宋体" w:eastAsia="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773DD3A">
      <w:pPr>
        <w:spacing w:line="360" w:lineRule="auto"/>
        <w:ind w:firstLine="480" w:firstLineChars="200"/>
        <w:rPr>
          <w:rFonts w:ascii="宋体" w:hAnsi="宋体" w:eastAsia="宋体" w:cs="仿宋_GB2312"/>
          <w:color w:val="auto"/>
          <w:sz w:val="24"/>
          <w:highlight w:val="none"/>
        </w:rPr>
      </w:pPr>
      <w:r>
        <w:rPr>
          <w:rFonts w:hint="eastAsia" w:ascii="宋体" w:hAnsi="宋体" w:eastAsia="宋体" w:cs="仿宋_GB2312"/>
          <w:color w:val="auto"/>
          <w:sz w:val="24"/>
          <w:highlight w:val="none"/>
        </w:rPr>
        <w:t>委托代理人无转委托权，特此委托。</w:t>
      </w:r>
    </w:p>
    <w:p w14:paraId="2BF8ED17">
      <w:pPr>
        <w:spacing w:line="360" w:lineRule="auto"/>
        <w:ind w:firstLine="482" w:firstLineChars="200"/>
        <w:rPr>
          <w:rFonts w:ascii="宋体" w:hAnsi="宋体" w:eastAsia="宋体" w:cs="仿宋_GB2312"/>
          <w:b/>
          <w:bCs/>
          <w:color w:val="auto"/>
          <w:sz w:val="24"/>
          <w:highlight w:val="none"/>
        </w:rPr>
      </w:pPr>
      <w:r>
        <w:rPr>
          <w:rFonts w:hint="eastAsia" w:ascii="宋体" w:hAnsi="宋体" w:eastAsia="宋体" w:cs="仿宋_GB2312"/>
          <w:b/>
          <w:bCs/>
          <w:color w:val="auto"/>
          <w:sz w:val="24"/>
          <w:highlight w:val="none"/>
        </w:rPr>
        <w:t>附：法定代表人身份证明书及委托代理人有效身份证正反面复印件</w:t>
      </w:r>
    </w:p>
    <w:p w14:paraId="77056682">
      <w:pPr>
        <w:spacing w:line="360" w:lineRule="auto"/>
        <w:rPr>
          <w:rFonts w:ascii="宋体" w:hAnsi="宋体" w:eastAsia="宋体" w:cs="仿宋_GB2312"/>
          <w:color w:val="auto"/>
          <w:sz w:val="24"/>
          <w:highlight w:val="none"/>
        </w:rPr>
      </w:pPr>
    </w:p>
    <w:p w14:paraId="66598727">
      <w:pPr>
        <w:spacing w:line="360" w:lineRule="auto"/>
        <w:rPr>
          <w:rFonts w:ascii="宋体" w:hAnsi="宋体" w:eastAsia="宋体" w:cs="仿宋_GB2312"/>
          <w:color w:val="auto"/>
          <w:sz w:val="24"/>
          <w:highlight w:val="none"/>
        </w:rPr>
      </w:pPr>
      <w:r>
        <w:rPr>
          <w:rFonts w:hint="eastAsia" w:ascii="宋体" w:hAnsi="宋体" w:eastAsia="宋体" w:cs="仿宋_GB2312"/>
          <w:color w:val="auto"/>
          <w:sz w:val="24"/>
          <w:highlight w:val="none"/>
        </w:rPr>
        <w:t xml:space="preserve">委托代理人（签字）：                 法定代表人（签字或盖章）：                    </w:t>
      </w:r>
    </w:p>
    <w:p w14:paraId="406B6EB8">
      <w:pPr>
        <w:spacing w:line="360" w:lineRule="auto"/>
        <w:rPr>
          <w:rFonts w:ascii="宋体" w:hAnsi="宋体" w:eastAsia="宋体" w:cs="仿宋_GB2312"/>
          <w:color w:val="auto"/>
          <w:sz w:val="24"/>
          <w:highlight w:val="none"/>
        </w:rPr>
      </w:pPr>
      <w:r>
        <w:rPr>
          <w:rFonts w:hint="eastAsia" w:ascii="宋体" w:hAnsi="宋体" w:eastAsia="宋体" w:cs="仿宋_GB2312"/>
          <w:color w:val="auto"/>
          <w:sz w:val="24"/>
          <w:highlight w:val="none"/>
        </w:rPr>
        <w:t xml:space="preserve">委托代理人身份证号码：                              </w:t>
      </w:r>
    </w:p>
    <w:p w14:paraId="4888C049">
      <w:pPr>
        <w:spacing w:line="360" w:lineRule="auto"/>
        <w:rPr>
          <w:rFonts w:ascii="宋体" w:hAnsi="宋体" w:eastAsia="宋体" w:cs="仿宋_GB2312"/>
          <w:color w:val="auto"/>
          <w:sz w:val="24"/>
          <w:highlight w:val="none"/>
        </w:rPr>
      </w:pPr>
      <w:r>
        <w:rPr>
          <w:rFonts w:hint="eastAsia" w:ascii="宋体" w:hAnsi="宋体" w:eastAsia="宋体" w:cs="仿宋_GB2312"/>
          <w:color w:val="auto"/>
          <w:sz w:val="24"/>
          <w:highlight w:val="none"/>
        </w:rPr>
        <w:t xml:space="preserve">                                </w:t>
      </w:r>
    </w:p>
    <w:p w14:paraId="23AD81CF">
      <w:pPr>
        <w:spacing w:line="360" w:lineRule="auto"/>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rPr>
        <w:t xml:space="preserve"> </w:t>
      </w:r>
      <w:r>
        <w:rPr>
          <w:rFonts w:hint="eastAsia" w:ascii="宋体" w:hAnsi="宋体" w:eastAsia="宋体" w:cs="仿宋_GB2312"/>
          <w:color w:val="auto"/>
          <w:sz w:val="24"/>
          <w:highlight w:val="none"/>
          <w:lang w:val="en-US" w:eastAsia="zh-CN"/>
        </w:rPr>
        <w:t xml:space="preserve">         </w:t>
      </w:r>
    </w:p>
    <w:p w14:paraId="2DC1D147">
      <w:pPr>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xml:space="preserve"> 供应商名称（电子签章）：</w:t>
      </w:r>
    </w:p>
    <w:p w14:paraId="49CE9CCE">
      <w:pPr>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lang w:val="zh-CN"/>
        </w:rPr>
        <w:t xml:space="preserve">                                                   日期：  年  月   日</w:t>
      </w:r>
    </w:p>
    <w:p w14:paraId="3A51C225">
      <w:pPr>
        <w:keepNext w:val="0"/>
        <w:keepLines w:val="0"/>
        <w:pageBreakBefore w:val="0"/>
        <w:widowControl w:val="0"/>
        <w:shd w:val="clear"/>
        <w:kinsoku/>
        <w:wordWrap/>
        <w:overflowPunct/>
        <w:topLinePunct w:val="0"/>
        <w:bidi w:val="0"/>
        <w:spacing w:line="400" w:lineRule="exact"/>
        <w:textAlignment w:val="auto"/>
        <w:rPr>
          <w:rFonts w:hint="eastAsia" w:ascii="宋体" w:hAnsi="宋体" w:eastAsia="宋体" w:cs="宋体"/>
          <w:color w:val="auto"/>
          <w:sz w:val="24"/>
          <w:highlight w:val="none"/>
        </w:rPr>
      </w:pPr>
    </w:p>
    <w:p w14:paraId="11DD0C55">
      <w:pPr>
        <w:keepNext w:val="0"/>
        <w:keepLines w:val="0"/>
        <w:pageBreakBefore w:val="0"/>
        <w:widowControl w:val="0"/>
        <w:shd w:val="clear"/>
        <w:kinsoku/>
        <w:wordWrap/>
        <w:overflowPunct/>
        <w:topLinePunct w:val="0"/>
        <w:bidi w:val="0"/>
        <w:spacing w:line="400" w:lineRule="exact"/>
        <w:textAlignment w:val="auto"/>
        <w:rPr>
          <w:rFonts w:hint="eastAsia" w:ascii="宋体" w:hAnsi="宋体" w:eastAsia="宋体" w:cs="宋体"/>
          <w:color w:val="auto"/>
          <w:sz w:val="24"/>
          <w:highlight w:val="none"/>
        </w:rPr>
      </w:pPr>
    </w:p>
    <w:p w14:paraId="2E8A161B">
      <w:pPr>
        <w:keepNext w:val="0"/>
        <w:keepLines w:val="0"/>
        <w:pageBreakBefore w:val="0"/>
        <w:widowControl w:val="0"/>
        <w:shd w:val="clear"/>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法定代表人必须在授权委托书上亲笔签字或盖章，委托代理人必须在授权委托书上亲笔签字，否则其响应文件按无效响应处理。</w:t>
      </w:r>
    </w:p>
    <w:p w14:paraId="57B9F70E">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DF190B6">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 法人、其他组织竞标时“我方”是指“我单位”，自然人竞标时“我方”是指“本人”。</w:t>
      </w:r>
    </w:p>
    <w:p w14:paraId="47B80794">
      <w:pPr>
        <w:shd w:val="clear"/>
        <w:spacing w:line="360" w:lineRule="auto"/>
        <w:rPr>
          <w:rFonts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附件：</w:t>
      </w:r>
    </w:p>
    <w:tbl>
      <w:tblPr>
        <w:tblStyle w:val="4"/>
        <w:tblpPr w:leftFromText="180" w:rightFromText="180" w:vertAnchor="text" w:horzAnchor="margin" w:tblpXSpec="center" w:tblpY="263"/>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0"/>
      </w:tblGrid>
      <w:tr w14:paraId="0C1E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8940" w:type="dxa"/>
          </w:tcPr>
          <w:p w14:paraId="3F083E4B">
            <w:pPr>
              <w:shd w:val="clear"/>
              <w:spacing w:line="360" w:lineRule="auto"/>
              <w:rPr>
                <w:rFonts w:ascii="宋体" w:hAnsi="宋体" w:eastAsia="宋体" w:cs="宋体"/>
                <w:b/>
                <w:color w:val="auto"/>
                <w:sz w:val="24"/>
                <w:highlight w:val="none"/>
              </w:rPr>
            </w:pPr>
          </w:p>
          <w:p w14:paraId="5FB2D125">
            <w:pPr>
              <w:shd w:val="clear"/>
              <w:spacing w:line="360" w:lineRule="auto"/>
              <w:rPr>
                <w:rFonts w:ascii="宋体" w:hAnsi="宋体" w:eastAsia="宋体" w:cs="宋体"/>
                <w:b/>
                <w:color w:val="auto"/>
                <w:sz w:val="24"/>
                <w:highlight w:val="none"/>
              </w:rPr>
            </w:pPr>
            <w:r>
              <w:rPr>
                <w:rFonts w:hint="eastAsia" w:ascii="宋体" w:hAnsi="宋体" w:eastAsia="宋体" w:cs="宋体"/>
                <w:b/>
                <w:color w:val="auto"/>
                <w:sz w:val="24"/>
                <w:highlight w:val="none"/>
              </w:rPr>
              <w:t>全权代表身份证复印件粘贴处（正、反面）</w:t>
            </w:r>
          </w:p>
        </w:tc>
      </w:tr>
    </w:tbl>
    <w:p w14:paraId="08506305">
      <w:pPr>
        <w:shd w:val="clear"/>
        <w:snapToGrid w:val="0"/>
        <w:spacing w:before="50" w:after="156" w:afterLines="50" w:line="360" w:lineRule="auto"/>
        <w:jc w:val="left"/>
        <w:rPr>
          <w:rFonts w:ascii="宋体" w:hAnsi="宋体" w:eastAsia="宋体" w:cs="宋体"/>
          <w:color w:val="auto"/>
          <w:szCs w:val="21"/>
          <w:highlight w:val="none"/>
        </w:rPr>
      </w:pPr>
    </w:p>
    <w:p w14:paraId="6D9B0A63">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AA9DA1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ADDE9BA">
      <w:pPr>
        <w:shd w:val="clear"/>
        <w:jc w:val="center"/>
        <w:rPr>
          <w:rFonts w:ascii="宋体" w:hAnsi="宋体" w:eastAsia="宋体" w:cs="宋体"/>
          <w:bCs/>
          <w:color w:val="auto"/>
          <w:sz w:val="44"/>
          <w:szCs w:val="44"/>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 w:val="32"/>
          <w:szCs w:val="32"/>
          <w:highlight w:val="none"/>
        </w:rPr>
        <w:t>四、商务条款偏离表</w:t>
      </w:r>
    </w:p>
    <w:p w14:paraId="4FB23A35">
      <w:pPr>
        <w:shd w:val="clear"/>
        <w:spacing w:line="500" w:lineRule="exact"/>
        <w:jc w:val="center"/>
        <w:rPr>
          <w:rFonts w:ascii="宋体" w:hAnsi="宋体" w:eastAsia="宋体" w:cs="宋体"/>
          <w:b/>
          <w:color w:val="auto"/>
          <w:sz w:val="32"/>
          <w:szCs w:val="32"/>
          <w:highlight w:val="none"/>
        </w:rPr>
      </w:pPr>
      <w:r>
        <w:rPr>
          <w:rFonts w:hint="eastAsia" w:ascii="宋体" w:hAnsi="宋体" w:eastAsia="宋体" w:cs="宋体"/>
          <w:bCs/>
          <w:color w:val="auto"/>
          <w:sz w:val="32"/>
          <w:szCs w:val="32"/>
          <w:highlight w:val="none"/>
        </w:rPr>
        <w:t>（注：按采购需求具体条款修改）</w:t>
      </w:r>
    </w:p>
    <w:p w14:paraId="0AA56091">
      <w:pPr>
        <w:shd w:val="clear"/>
        <w:rPr>
          <w:rFonts w:ascii="宋体" w:hAnsi="宋体" w:eastAsia="宋体" w:cs="宋体"/>
          <w:color w:val="auto"/>
          <w:highlight w:val="none"/>
        </w:rPr>
      </w:pPr>
    </w:p>
    <w:p w14:paraId="618268BE">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55665038">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05F08F86">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分标号（此处有分标时填写具体分标号，无分标时填写“无”）：</w:t>
      </w:r>
      <w:r>
        <w:rPr>
          <w:rFonts w:hint="eastAsia" w:ascii="宋体" w:hAnsi="宋体" w:eastAsia="宋体" w:cs="宋体"/>
          <w:color w:val="auto"/>
          <w:kern w:val="0"/>
          <w:sz w:val="24"/>
          <w:szCs w:val="24"/>
          <w:highlight w:val="none"/>
          <w:u w:val="single"/>
          <w:lang w:val="en-US" w:eastAsia="zh-CN" w:bidi="ar-SA"/>
        </w:rPr>
        <w:t xml:space="preserve">               </w:t>
      </w:r>
    </w:p>
    <w:p w14:paraId="155B1700">
      <w:pPr>
        <w:shd w:val="clear"/>
        <w:snapToGrid w:val="0"/>
        <w:spacing w:before="50" w:line="360" w:lineRule="auto"/>
        <w:jc w:val="left"/>
        <w:rPr>
          <w:rFonts w:ascii="宋体" w:hAnsi="宋体" w:eastAsia="宋体" w:cs="宋体"/>
          <w:color w:val="auto"/>
          <w:sz w:val="24"/>
          <w:highlight w:val="none"/>
          <w:u w:val="single"/>
        </w:rPr>
      </w:pPr>
    </w:p>
    <w:tbl>
      <w:tblPr>
        <w:tblStyle w:val="4"/>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3690"/>
        <w:gridCol w:w="3555"/>
        <w:gridCol w:w="1297"/>
      </w:tblGrid>
      <w:tr w14:paraId="4DD2A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766" w:type="dxa"/>
            <w:tcBorders>
              <w:top w:val="single" w:color="auto" w:sz="4" w:space="0"/>
              <w:left w:val="single" w:color="auto" w:sz="4" w:space="0"/>
              <w:bottom w:val="single" w:color="auto" w:sz="4" w:space="0"/>
              <w:right w:val="single" w:color="auto" w:sz="4" w:space="0"/>
            </w:tcBorders>
            <w:vAlign w:val="center"/>
          </w:tcPr>
          <w:p w14:paraId="4187B24A">
            <w:pPr>
              <w:shd w:val="clear"/>
              <w:snapToGrid w:val="0"/>
              <w:spacing w:before="156" w:beforeLines="5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项号</w:t>
            </w:r>
          </w:p>
        </w:tc>
        <w:tc>
          <w:tcPr>
            <w:tcW w:w="3690" w:type="dxa"/>
            <w:tcBorders>
              <w:top w:val="single" w:color="auto" w:sz="4" w:space="0"/>
              <w:left w:val="single" w:color="auto" w:sz="4" w:space="0"/>
              <w:bottom w:val="single" w:color="auto" w:sz="4" w:space="0"/>
              <w:right w:val="single" w:color="auto" w:sz="4" w:space="0"/>
            </w:tcBorders>
            <w:vAlign w:val="center"/>
          </w:tcPr>
          <w:p w14:paraId="5669261A">
            <w:pPr>
              <w:shd w:val="clear"/>
              <w:snapToGrid w:val="0"/>
              <w:spacing w:before="156" w:beforeLines="5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竞争性</w:t>
            </w:r>
            <w:r>
              <w:rPr>
                <w:rFonts w:hint="eastAsia" w:ascii="宋体" w:hAnsi="宋体" w:eastAsia="宋体" w:cs="宋体"/>
                <w:color w:val="auto"/>
                <w:sz w:val="24"/>
                <w:highlight w:val="none"/>
              </w:rPr>
              <w:t>谈判文件</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商务条款要求</w:t>
            </w:r>
          </w:p>
        </w:tc>
        <w:tc>
          <w:tcPr>
            <w:tcW w:w="3555" w:type="dxa"/>
            <w:tcBorders>
              <w:top w:val="single" w:color="auto" w:sz="4" w:space="0"/>
              <w:left w:val="single" w:color="auto" w:sz="4" w:space="0"/>
              <w:bottom w:val="single" w:color="auto" w:sz="4" w:space="0"/>
              <w:right w:val="single" w:color="auto" w:sz="4" w:space="0"/>
            </w:tcBorders>
            <w:vAlign w:val="center"/>
          </w:tcPr>
          <w:p w14:paraId="22F363D9">
            <w:pPr>
              <w:shd w:val="clear"/>
              <w:snapToGrid w:val="0"/>
              <w:spacing w:before="156" w:beforeLines="5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响应文件承诺的商务条款</w:t>
            </w:r>
          </w:p>
        </w:tc>
        <w:tc>
          <w:tcPr>
            <w:tcW w:w="1297" w:type="dxa"/>
            <w:tcBorders>
              <w:top w:val="single" w:color="auto" w:sz="4" w:space="0"/>
              <w:left w:val="single" w:color="auto" w:sz="4" w:space="0"/>
              <w:bottom w:val="single" w:color="auto" w:sz="4" w:space="0"/>
              <w:right w:val="single" w:color="auto" w:sz="4" w:space="0"/>
            </w:tcBorders>
            <w:vAlign w:val="center"/>
          </w:tcPr>
          <w:p w14:paraId="6C32F511">
            <w:pPr>
              <w:shd w:val="clear"/>
              <w:snapToGrid w:val="0"/>
              <w:spacing w:before="156" w:beforeLines="5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14:paraId="60CA2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766" w:type="dxa"/>
            <w:tcBorders>
              <w:top w:val="single" w:color="auto" w:sz="4" w:space="0"/>
              <w:left w:val="single" w:color="auto" w:sz="4" w:space="0"/>
              <w:bottom w:val="single" w:color="auto" w:sz="4" w:space="0"/>
              <w:right w:val="single" w:color="auto" w:sz="4" w:space="0"/>
            </w:tcBorders>
            <w:vAlign w:val="center"/>
          </w:tcPr>
          <w:p w14:paraId="1FDC9721">
            <w:pPr>
              <w:shd w:val="clear"/>
              <w:spacing w:line="360" w:lineRule="auto"/>
              <w:jc w:val="center"/>
              <w:rPr>
                <w:rFonts w:ascii="宋体" w:hAnsi="宋体" w:eastAsia="宋体" w:cs="宋体"/>
                <w:color w:val="auto"/>
                <w:sz w:val="24"/>
                <w:highlight w:val="none"/>
              </w:rPr>
            </w:pPr>
          </w:p>
        </w:tc>
        <w:tc>
          <w:tcPr>
            <w:tcW w:w="3690" w:type="dxa"/>
            <w:tcBorders>
              <w:top w:val="single" w:color="auto" w:sz="4" w:space="0"/>
              <w:left w:val="single" w:color="auto" w:sz="4" w:space="0"/>
              <w:bottom w:val="single" w:color="auto" w:sz="4" w:space="0"/>
              <w:right w:val="single" w:color="auto" w:sz="4" w:space="0"/>
            </w:tcBorders>
            <w:vAlign w:val="center"/>
          </w:tcPr>
          <w:p w14:paraId="0135F4B5">
            <w:pPr>
              <w:shd w:val="clear"/>
              <w:snapToGrid w:val="0"/>
              <w:spacing w:before="156" w:beforeLines="50" w:line="360" w:lineRule="auto"/>
              <w:jc w:val="center"/>
              <w:rPr>
                <w:rFonts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vAlign w:val="center"/>
          </w:tcPr>
          <w:p w14:paraId="3213BC35">
            <w:pPr>
              <w:shd w:val="clear"/>
              <w:snapToGrid w:val="0"/>
              <w:spacing w:before="156" w:beforeLines="50" w:line="360" w:lineRule="auto"/>
              <w:jc w:val="center"/>
              <w:rPr>
                <w:rFonts w:ascii="宋体" w:hAnsi="宋体" w:eastAsia="宋体" w:cs="宋体"/>
                <w:color w:val="auto"/>
                <w:sz w:val="24"/>
                <w:highlight w:val="none"/>
              </w:rPr>
            </w:pPr>
          </w:p>
        </w:tc>
        <w:tc>
          <w:tcPr>
            <w:tcW w:w="1297" w:type="dxa"/>
            <w:tcBorders>
              <w:top w:val="single" w:color="auto" w:sz="4" w:space="0"/>
              <w:left w:val="single" w:color="auto" w:sz="4" w:space="0"/>
              <w:bottom w:val="single" w:color="auto" w:sz="4" w:space="0"/>
              <w:right w:val="single" w:color="auto" w:sz="4" w:space="0"/>
            </w:tcBorders>
            <w:vAlign w:val="center"/>
          </w:tcPr>
          <w:p w14:paraId="044E2F00">
            <w:pPr>
              <w:shd w:val="clear"/>
              <w:snapToGrid w:val="0"/>
              <w:spacing w:before="156" w:beforeLines="50" w:line="360" w:lineRule="auto"/>
              <w:jc w:val="center"/>
              <w:rPr>
                <w:rFonts w:ascii="宋体" w:hAnsi="宋体" w:eastAsia="宋体" w:cs="宋体"/>
                <w:color w:val="auto"/>
                <w:sz w:val="24"/>
                <w:highlight w:val="none"/>
              </w:rPr>
            </w:pPr>
          </w:p>
        </w:tc>
      </w:tr>
      <w:tr w14:paraId="5E2A5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766" w:type="dxa"/>
            <w:tcBorders>
              <w:top w:val="single" w:color="auto" w:sz="4" w:space="0"/>
              <w:left w:val="single" w:color="auto" w:sz="4" w:space="0"/>
              <w:bottom w:val="single" w:color="auto" w:sz="4" w:space="0"/>
              <w:right w:val="single" w:color="auto" w:sz="4" w:space="0"/>
            </w:tcBorders>
            <w:vAlign w:val="center"/>
          </w:tcPr>
          <w:p w14:paraId="7FBFE7DA">
            <w:pPr>
              <w:shd w:val="clear"/>
              <w:spacing w:line="360" w:lineRule="auto"/>
              <w:jc w:val="center"/>
              <w:rPr>
                <w:rFonts w:ascii="宋体" w:hAnsi="宋体" w:eastAsia="宋体" w:cs="宋体"/>
                <w:color w:val="auto"/>
                <w:sz w:val="24"/>
                <w:highlight w:val="none"/>
              </w:rPr>
            </w:pPr>
          </w:p>
        </w:tc>
        <w:tc>
          <w:tcPr>
            <w:tcW w:w="3690" w:type="dxa"/>
            <w:tcBorders>
              <w:top w:val="single" w:color="auto" w:sz="4" w:space="0"/>
              <w:left w:val="single" w:color="auto" w:sz="4" w:space="0"/>
              <w:bottom w:val="single" w:color="auto" w:sz="4" w:space="0"/>
              <w:right w:val="single" w:color="auto" w:sz="4" w:space="0"/>
            </w:tcBorders>
            <w:vAlign w:val="center"/>
          </w:tcPr>
          <w:p w14:paraId="2F06E103">
            <w:pPr>
              <w:shd w:val="clear"/>
              <w:snapToGrid w:val="0"/>
              <w:spacing w:before="156" w:beforeLines="50" w:line="360" w:lineRule="auto"/>
              <w:jc w:val="center"/>
              <w:rPr>
                <w:rFonts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vAlign w:val="center"/>
          </w:tcPr>
          <w:p w14:paraId="55EFACD9">
            <w:pPr>
              <w:shd w:val="clear"/>
              <w:snapToGrid w:val="0"/>
              <w:spacing w:before="156" w:beforeLines="50" w:line="360" w:lineRule="auto"/>
              <w:ind w:left="43"/>
              <w:jc w:val="center"/>
              <w:rPr>
                <w:rFonts w:ascii="宋体" w:hAnsi="宋体" w:eastAsia="宋体" w:cs="宋体"/>
                <w:color w:val="auto"/>
                <w:sz w:val="24"/>
                <w:highlight w:val="none"/>
              </w:rPr>
            </w:pPr>
          </w:p>
        </w:tc>
        <w:tc>
          <w:tcPr>
            <w:tcW w:w="1297" w:type="dxa"/>
            <w:tcBorders>
              <w:top w:val="single" w:color="auto" w:sz="4" w:space="0"/>
              <w:left w:val="single" w:color="auto" w:sz="4" w:space="0"/>
              <w:bottom w:val="single" w:color="auto" w:sz="4" w:space="0"/>
              <w:right w:val="single" w:color="auto" w:sz="4" w:space="0"/>
            </w:tcBorders>
            <w:vAlign w:val="center"/>
          </w:tcPr>
          <w:p w14:paraId="128202C1">
            <w:pPr>
              <w:shd w:val="clear"/>
              <w:snapToGrid w:val="0"/>
              <w:spacing w:before="156" w:beforeLines="50" w:line="360" w:lineRule="auto"/>
              <w:ind w:left="43"/>
              <w:jc w:val="center"/>
              <w:rPr>
                <w:rFonts w:ascii="宋体" w:hAnsi="宋体" w:eastAsia="宋体" w:cs="宋体"/>
                <w:color w:val="auto"/>
                <w:sz w:val="24"/>
                <w:highlight w:val="none"/>
              </w:rPr>
            </w:pPr>
          </w:p>
        </w:tc>
      </w:tr>
      <w:tr w14:paraId="5693E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766" w:type="dxa"/>
            <w:tcBorders>
              <w:top w:val="single" w:color="auto" w:sz="4" w:space="0"/>
              <w:left w:val="single" w:color="auto" w:sz="4" w:space="0"/>
              <w:bottom w:val="single" w:color="auto" w:sz="4" w:space="0"/>
              <w:right w:val="single" w:color="auto" w:sz="4" w:space="0"/>
            </w:tcBorders>
            <w:vAlign w:val="center"/>
          </w:tcPr>
          <w:p w14:paraId="2E4770F8">
            <w:pPr>
              <w:shd w:val="clear"/>
              <w:spacing w:line="360" w:lineRule="auto"/>
              <w:jc w:val="center"/>
              <w:rPr>
                <w:rFonts w:ascii="宋体" w:hAnsi="宋体" w:eastAsia="宋体" w:cs="宋体"/>
                <w:color w:val="auto"/>
                <w:sz w:val="24"/>
                <w:highlight w:val="none"/>
              </w:rPr>
            </w:pPr>
          </w:p>
        </w:tc>
        <w:tc>
          <w:tcPr>
            <w:tcW w:w="3690" w:type="dxa"/>
            <w:tcBorders>
              <w:top w:val="single" w:color="auto" w:sz="4" w:space="0"/>
              <w:left w:val="single" w:color="auto" w:sz="4" w:space="0"/>
              <w:bottom w:val="single" w:color="auto" w:sz="4" w:space="0"/>
              <w:right w:val="single" w:color="auto" w:sz="4" w:space="0"/>
            </w:tcBorders>
            <w:vAlign w:val="center"/>
          </w:tcPr>
          <w:p w14:paraId="7536FF68">
            <w:pPr>
              <w:shd w:val="clear"/>
              <w:snapToGrid w:val="0"/>
              <w:spacing w:before="156" w:beforeLines="50" w:line="360" w:lineRule="auto"/>
              <w:jc w:val="center"/>
              <w:rPr>
                <w:rFonts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vAlign w:val="center"/>
          </w:tcPr>
          <w:p w14:paraId="03BDA63B">
            <w:pPr>
              <w:shd w:val="clear"/>
              <w:snapToGrid w:val="0"/>
              <w:spacing w:before="156" w:beforeLines="50" w:line="360" w:lineRule="auto"/>
              <w:jc w:val="center"/>
              <w:rPr>
                <w:rFonts w:ascii="宋体" w:hAnsi="宋体" w:eastAsia="宋体" w:cs="宋体"/>
                <w:color w:val="auto"/>
                <w:sz w:val="24"/>
                <w:highlight w:val="none"/>
              </w:rPr>
            </w:pPr>
          </w:p>
        </w:tc>
        <w:tc>
          <w:tcPr>
            <w:tcW w:w="1297" w:type="dxa"/>
            <w:tcBorders>
              <w:top w:val="single" w:color="auto" w:sz="4" w:space="0"/>
              <w:left w:val="single" w:color="auto" w:sz="4" w:space="0"/>
              <w:bottom w:val="single" w:color="auto" w:sz="4" w:space="0"/>
              <w:right w:val="single" w:color="auto" w:sz="4" w:space="0"/>
            </w:tcBorders>
            <w:vAlign w:val="center"/>
          </w:tcPr>
          <w:p w14:paraId="3AAB5959">
            <w:pPr>
              <w:shd w:val="clear"/>
              <w:snapToGrid w:val="0"/>
              <w:spacing w:before="156" w:beforeLines="50" w:line="360" w:lineRule="auto"/>
              <w:jc w:val="center"/>
              <w:rPr>
                <w:rFonts w:ascii="宋体" w:hAnsi="宋体" w:eastAsia="宋体" w:cs="宋体"/>
                <w:color w:val="auto"/>
                <w:sz w:val="24"/>
                <w:highlight w:val="none"/>
              </w:rPr>
            </w:pPr>
          </w:p>
        </w:tc>
      </w:tr>
      <w:tr w14:paraId="5CD74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66" w:type="dxa"/>
            <w:tcBorders>
              <w:top w:val="single" w:color="auto" w:sz="4" w:space="0"/>
              <w:left w:val="single" w:color="auto" w:sz="4" w:space="0"/>
              <w:bottom w:val="single" w:color="auto" w:sz="4" w:space="0"/>
              <w:right w:val="single" w:color="auto" w:sz="4" w:space="0"/>
            </w:tcBorders>
            <w:vAlign w:val="center"/>
          </w:tcPr>
          <w:p w14:paraId="374FCF27">
            <w:pPr>
              <w:shd w:val="clear"/>
              <w:snapToGrid w:val="0"/>
              <w:spacing w:before="156" w:beforeLines="5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w:t>
            </w:r>
          </w:p>
        </w:tc>
        <w:tc>
          <w:tcPr>
            <w:tcW w:w="3690" w:type="dxa"/>
            <w:tcBorders>
              <w:top w:val="single" w:color="auto" w:sz="4" w:space="0"/>
              <w:left w:val="single" w:color="auto" w:sz="4" w:space="0"/>
              <w:bottom w:val="single" w:color="auto" w:sz="4" w:space="0"/>
              <w:right w:val="single" w:color="auto" w:sz="4" w:space="0"/>
            </w:tcBorders>
            <w:vAlign w:val="center"/>
          </w:tcPr>
          <w:p w14:paraId="57FA1CA2">
            <w:pPr>
              <w:shd w:val="clear"/>
              <w:snapToGrid w:val="0"/>
              <w:spacing w:before="156" w:beforeLines="50" w:line="360" w:lineRule="auto"/>
              <w:jc w:val="center"/>
              <w:rPr>
                <w:rFonts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vAlign w:val="center"/>
          </w:tcPr>
          <w:p w14:paraId="33AFBAE7">
            <w:pPr>
              <w:shd w:val="clear"/>
              <w:snapToGrid w:val="0"/>
              <w:spacing w:before="156" w:beforeLines="50" w:line="360" w:lineRule="auto"/>
              <w:jc w:val="center"/>
              <w:rPr>
                <w:rFonts w:ascii="宋体" w:hAnsi="宋体" w:eastAsia="宋体" w:cs="宋体"/>
                <w:color w:val="auto"/>
                <w:sz w:val="24"/>
                <w:highlight w:val="none"/>
              </w:rPr>
            </w:pPr>
          </w:p>
        </w:tc>
        <w:tc>
          <w:tcPr>
            <w:tcW w:w="1297" w:type="dxa"/>
            <w:tcBorders>
              <w:top w:val="single" w:color="auto" w:sz="4" w:space="0"/>
              <w:left w:val="single" w:color="auto" w:sz="4" w:space="0"/>
              <w:bottom w:val="single" w:color="auto" w:sz="4" w:space="0"/>
              <w:right w:val="single" w:color="auto" w:sz="4" w:space="0"/>
            </w:tcBorders>
            <w:vAlign w:val="center"/>
          </w:tcPr>
          <w:p w14:paraId="669D6A08">
            <w:pPr>
              <w:shd w:val="clear"/>
              <w:snapToGrid w:val="0"/>
              <w:spacing w:before="156" w:beforeLines="50" w:line="360" w:lineRule="auto"/>
              <w:jc w:val="center"/>
              <w:rPr>
                <w:rFonts w:ascii="宋体" w:hAnsi="宋体" w:eastAsia="宋体" w:cs="宋体"/>
                <w:color w:val="auto"/>
                <w:sz w:val="24"/>
                <w:highlight w:val="none"/>
              </w:rPr>
            </w:pPr>
          </w:p>
        </w:tc>
      </w:tr>
    </w:tbl>
    <w:p w14:paraId="3A0CD7AD">
      <w:pPr>
        <w:widowControl w:val="0"/>
        <w:shd w:val="clear"/>
        <w:spacing w:after="1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w:t>
      </w:r>
    </w:p>
    <w:p w14:paraId="1FE02EEC">
      <w:pPr>
        <w:widowControl w:val="0"/>
        <w:shd w:val="clear"/>
        <w:spacing w:after="120" w:line="360" w:lineRule="auto"/>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 说明：应对照竞争性谈判文件“第三章 采购需求”中的商务条款</w:t>
      </w:r>
      <w:r>
        <w:rPr>
          <w:rFonts w:hint="eastAsia" w:ascii="宋体" w:hAnsi="宋体" w:eastAsia="宋体" w:cs="宋体"/>
          <w:b/>
          <w:bCs/>
          <w:color w:val="auto"/>
          <w:kern w:val="0"/>
          <w:sz w:val="24"/>
          <w:szCs w:val="24"/>
          <w:highlight w:val="none"/>
          <w:lang w:val="en-US" w:eastAsia="zh-CN" w:bidi="ar-SA"/>
        </w:rPr>
        <w:t>进行逐条</w:t>
      </w:r>
      <w:r>
        <w:rPr>
          <w:rFonts w:hint="eastAsia" w:ascii="宋体" w:hAnsi="宋体" w:eastAsia="宋体" w:cs="宋体"/>
          <w:color w:val="auto"/>
          <w:kern w:val="0"/>
          <w:sz w:val="24"/>
          <w:szCs w:val="24"/>
          <w:highlight w:val="none"/>
          <w:lang w:val="en-US" w:eastAsia="zh-CN" w:bidi="ar-SA"/>
        </w:rPr>
        <w:t>实质性响应，并作出偏离说明。如果“响应文件承诺的商务条款”列仅注明“符合”、“满足”等简单性措辞的，将可能导致响应被拒绝。</w:t>
      </w:r>
    </w:p>
    <w:p w14:paraId="720C11CD">
      <w:pPr>
        <w:shd w:val="clear"/>
        <w:snapToGrid w:val="0"/>
        <w:spacing w:before="50" w:line="360" w:lineRule="auto"/>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2.供应商应根据自身的承诺，对照</w:t>
      </w:r>
      <w:r>
        <w:rPr>
          <w:rFonts w:hint="eastAsia" w:ascii="宋体" w:hAnsi="宋体" w:eastAsia="宋体" w:cs="宋体"/>
          <w:color w:val="auto"/>
          <w:kern w:val="0"/>
          <w:sz w:val="24"/>
          <w:szCs w:val="24"/>
          <w:highlight w:val="none"/>
          <w:lang w:val="en-US" w:eastAsia="zh-CN"/>
        </w:rPr>
        <w:t>竞争性</w:t>
      </w:r>
      <w:r>
        <w:rPr>
          <w:rFonts w:hint="eastAsia" w:ascii="宋体" w:hAnsi="宋体" w:eastAsia="宋体" w:cs="宋体"/>
          <w:color w:val="auto"/>
          <w:kern w:val="0"/>
          <w:sz w:val="24"/>
          <w:highlight w:val="none"/>
        </w:rPr>
        <w:t>谈判文件要求在“偏离说明”中注明“正偏离”“负偏离”或者“无偏离”。既不属于“正偏离”也不属于“负偏离”即为“无偏离”。当响应文件的商务</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内容低于竞争性谈判采购文件要求时，竞标人应当如实写明“负偏离”，否则视为虚假应标</w:t>
      </w:r>
      <w:r>
        <w:rPr>
          <w:rFonts w:hint="eastAsia" w:ascii="宋体" w:hAnsi="宋体" w:eastAsia="宋体" w:cs="宋体"/>
          <w:color w:val="auto"/>
          <w:kern w:val="0"/>
          <w:sz w:val="24"/>
          <w:highlight w:val="none"/>
          <w:lang w:eastAsia="zh-CN"/>
        </w:rPr>
        <w:t>。</w:t>
      </w:r>
    </w:p>
    <w:p w14:paraId="16CAAFEC">
      <w:pPr>
        <w:pStyle w:val="6"/>
        <w:rPr>
          <w:color w:val="auto"/>
        </w:rPr>
      </w:pPr>
      <w:r>
        <w:rPr>
          <w:rFonts w:hint="eastAsia" w:ascii="宋体" w:hAnsi="宋体" w:cs="仿宋_GB2312"/>
          <w:color w:val="auto"/>
          <w:kern w:val="0"/>
          <w:sz w:val="24"/>
          <w:highlight w:val="none"/>
        </w:rPr>
        <w:t>3.表格内容均需按要求填写并盖章，不得留空，否则按竞标无效处理。</w:t>
      </w:r>
    </w:p>
    <w:p w14:paraId="6767F52C">
      <w:pPr>
        <w:shd w:val="clear"/>
        <w:snapToGrid w:val="0"/>
        <w:spacing w:before="50" w:after="50" w:line="360" w:lineRule="auto"/>
        <w:ind w:right="-817" w:rightChars="-389"/>
        <w:rPr>
          <w:rFonts w:ascii="宋体" w:hAnsi="宋体" w:eastAsia="宋体" w:cs="宋体"/>
          <w:color w:val="auto"/>
          <w:sz w:val="24"/>
          <w:highlight w:val="none"/>
        </w:rPr>
      </w:pPr>
    </w:p>
    <w:p w14:paraId="189EDE83">
      <w:pPr>
        <w:shd w:val="clear"/>
        <w:spacing w:line="360" w:lineRule="auto"/>
        <w:ind w:firstLine="3840" w:firstLineChars="1600"/>
        <w:rPr>
          <w:rFonts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18F5C3D1">
      <w:pPr>
        <w:shd w:val="clear"/>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日期：  年  月   日</w:t>
      </w:r>
    </w:p>
    <w:p w14:paraId="15C34167">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B7A1B85">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D5483AF">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614437B">
      <w:pPr>
        <w:shd w:val="clear"/>
        <w:adjustRightInd w:val="0"/>
        <w:snapToGrid w:val="0"/>
        <w:spacing w:line="520" w:lineRule="exact"/>
        <w:ind w:firstLine="7040" w:firstLineChars="1600"/>
        <w:jc w:val="center"/>
        <w:rPr>
          <w:rFonts w:ascii="宋体" w:hAnsi="宋体" w:eastAsia="宋体" w:cs="宋体"/>
          <w:bCs/>
          <w:color w:val="auto"/>
          <w:sz w:val="44"/>
          <w:szCs w:val="44"/>
          <w:highlight w:val="none"/>
        </w:rPr>
      </w:pPr>
    </w:p>
    <w:p w14:paraId="6A3D7F5E">
      <w:pPr>
        <w:shd w:val="clear"/>
        <w:adjustRightInd w:val="0"/>
        <w:snapToGrid w:val="0"/>
        <w:spacing w:line="520" w:lineRule="exact"/>
        <w:ind w:firstLine="7040" w:firstLineChars="1600"/>
        <w:jc w:val="center"/>
        <w:rPr>
          <w:rFonts w:ascii="宋体" w:hAnsi="宋体" w:eastAsia="宋体" w:cs="宋体"/>
          <w:bCs/>
          <w:color w:val="auto"/>
          <w:sz w:val="44"/>
          <w:szCs w:val="44"/>
          <w:highlight w:val="none"/>
        </w:rPr>
      </w:pPr>
    </w:p>
    <w:p w14:paraId="28542401">
      <w:pPr>
        <w:shd w:val="clear"/>
        <w:adjustRightInd w:val="0"/>
        <w:snapToGrid w:val="0"/>
        <w:spacing w:line="520" w:lineRule="exact"/>
        <w:ind w:firstLine="7040" w:firstLineChars="1600"/>
        <w:jc w:val="center"/>
        <w:rPr>
          <w:rFonts w:ascii="宋体" w:hAnsi="宋体" w:eastAsia="宋体" w:cs="宋体"/>
          <w:bCs/>
          <w:color w:val="auto"/>
          <w:sz w:val="44"/>
          <w:szCs w:val="44"/>
          <w:highlight w:val="none"/>
        </w:rPr>
      </w:pPr>
    </w:p>
    <w:p w14:paraId="2376CD1F">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76220A6">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D88D2D6">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EED5A9D">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CC41F65">
      <w:pPr>
        <w:shd w:val="clear"/>
        <w:snapToGrid w:val="0"/>
        <w:spacing w:before="50" w:after="50" w:line="360" w:lineRule="auto"/>
        <w:ind w:right="-817" w:rightChars="-389"/>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五</w:t>
      </w:r>
      <w:r>
        <w:rPr>
          <w:rFonts w:hint="eastAsia" w:ascii="宋体" w:hAnsi="宋体" w:eastAsia="宋体" w:cs="宋体"/>
          <w:b/>
          <w:bCs/>
          <w:color w:val="auto"/>
          <w:sz w:val="32"/>
          <w:szCs w:val="32"/>
          <w:highlight w:val="none"/>
        </w:rPr>
        <w:t>、供应商认为需要提供的其他有关资料</w:t>
      </w:r>
    </w:p>
    <w:p w14:paraId="71A29C9B">
      <w:pPr>
        <w:shd w:val="clear"/>
        <w:spacing w:line="360" w:lineRule="auto"/>
        <w:ind w:firstLine="5760" w:firstLineChars="1600"/>
        <w:rPr>
          <w:rFonts w:ascii="宋体" w:hAnsi="宋体" w:eastAsia="宋体" w:cs="宋体"/>
          <w:color w:val="auto"/>
          <w:sz w:val="36"/>
          <w:szCs w:val="36"/>
          <w:highlight w:val="none"/>
        </w:rPr>
      </w:pPr>
    </w:p>
    <w:p w14:paraId="0F39E178">
      <w:pPr>
        <w:shd w:val="clear"/>
        <w:spacing w:line="360" w:lineRule="auto"/>
        <w:ind w:firstLine="5760" w:firstLineChars="1600"/>
        <w:rPr>
          <w:rFonts w:ascii="宋体" w:hAnsi="宋体" w:eastAsia="宋体" w:cs="宋体"/>
          <w:color w:val="auto"/>
          <w:sz w:val="36"/>
          <w:szCs w:val="36"/>
          <w:highlight w:val="none"/>
        </w:rPr>
      </w:pPr>
    </w:p>
    <w:p w14:paraId="3D3C454A">
      <w:pPr>
        <w:shd w:val="clear"/>
        <w:spacing w:line="360" w:lineRule="auto"/>
        <w:contextualSpacing/>
        <w:jc w:val="center"/>
        <w:rPr>
          <w:rFonts w:ascii="宋体" w:hAnsi="宋体" w:eastAsia="宋体" w:cs="宋体"/>
          <w:color w:val="auto"/>
          <w:kern w:val="0"/>
          <w:sz w:val="24"/>
          <w:highlight w:val="none"/>
        </w:rPr>
      </w:pPr>
    </w:p>
    <w:p w14:paraId="2A2251F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7623F71">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85AE103">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744EEC3">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201F895">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15C19ED">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9CC4F54">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7968835">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br w:type="page"/>
      </w:r>
      <w:r>
        <w:rPr>
          <w:rFonts w:hint="eastAsia" w:ascii="宋体" w:hAnsi="宋体" w:eastAsia="宋体" w:cs="宋体"/>
          <w:b/>
          <w:color w:val="auto"/>
          <w:kern w:val="0"/>
          <w:sz w:val="28"/>
          <w:szCs w:val="28"/>
          <w:highlight w:val="none"/>
          <w:lang w:val="en-US" w:eastAsia="zh-CN" w:bidi="ar-SA"/>
        </w:rPr>
        <w:t>技术文件</w:t>
      </w:r>
    </w:p>
    <w:p w14:paraId="52174CF1">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92DF90C">
      <w:pPr>
        <w:shd w:val="clea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一、技术需求偏离表</w:t>
      </w:r>
    </w:p>
    <w:p w14:paraId="5FF6B3D9">
      <w:pPr>
        <w:shd w:val="clear"/>
        <w:spacing w:line="520" w:lineRule="exact"/>
        <w:rPr>
          <w:rFonts w:ascii="宋体" w:hAnsi="宋体" w:eastAsia="宋体" w:cs="宋体"/>
          <w:color w:val="auto"/>
          <w:sz w:val="32"/>
          <w:szCs w:val="32"/>
          <w:highlight w:val="none"/>
        </w:rPr>
      </w:pPr>
    </w:p>
    <w:p w14:paraId="6361BF35">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44848711">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588E4355">
      <w:pPr>
        <w:shd w:val="clear"/>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分标号（此处有分标时填写具体分标号，无分标时填写“无”）：</w:t>
      </w:r>
      <w:r>
        <w:rPr>
          <w:rFonts w:hint="eastAsia" w:ascii="宋体" w:hAnsi="宋体" w:eastAsia="宋体" w:cs="宋体"/>
          <w:color w:val="auto"/>
          <w:sz w:val="24"/>
          <w:highlight w:val="none"/>
          <w:u w:val="single"/>
        </w:rPr>
        <w:t xml:space="preserve">               </w:t>
      </w:r>
    </w:p>
    <w:p w14:paraId="4D5B9B96">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945"/>
        <w:gridCol w:w="3705"/>
        <w:gridCol w:w="3059"/>
        <w:gridCol w:w="1212"/>
      </w:tblGrid>
      <w:tr w14:paraId="34455F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1" w:type="dxa"/>
            <w:noWrap w:val="0"/>
            <w:vAlign w:val="center"/>
          </w:tcPr>
          <w:p w14:paraId="1E12CF97">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序号</w:t>
            </w:r>
          </w:p>
        </w:tc>
        <w:tc>
          <w:tcPr>
            <w:tcW w:w="945" w:type="dxa"/>
            <w:tcBorders>
              <w:right w:val="single" w:color="auto" w:sz="4" w:space="0"/>
            </w:tcBorders>
            <w:noWrap w:val="0"/>
            <w:vAlign w:val="center"/>
          </w:tcPr>
          <w:p w14:paraId="0E46EC79">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标的名称</w:t>
            </w:r>
          </w:p>
        </w:tc>
        <w:tc>
          <w:tcPr>
            <w:tcW w:w="3705" w:type="dxa"/>
            <w:tcBorders>
              <w:left w:val="single" w:color="auto" w:sz="4" w:space="0"/>
            </w:tcBorders>
            <w:noWrap w:val="0"/>
            <w:vAlign w:val="center"/>
          </w:tcPr>
          <w:p w14:paraId="598AAF14">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竞争性谈判采购文件的技术需求</w:t>
            </w:r>
          </w:p>
        </w:tc>
        <w:tc>
          <w:tcPr>
            <w:tcW w:w="3059" w:type="dxa"/>
            <w:noWrap w:val="0"/>
            <w:vAlign w:val="center"/>
          </w:tcPr>
          <w:p w14:paraId="6355A2EA">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响应文件承诺的技术需求</w:t>
            </w:r>
          </w:p>
        </w:tc>
        <w:tc>
          <w:tcPr>
            <w:tcW w:w="1212" w:type="dxa"/>
            <w:noWrap w:val="0"/>
            <w:vAlign w:val="center"/>
          </w:tcPr>
          <w:p w14:paraId="17FD75C4">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偏离说明</w:t>
            </w:r>
          </w:p>
        </w:tc>
      </w:tr>
      <w:tr w14:paraId="18E09D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1" w:type="dxa"/>
            <w:noWrap w:val="0"/>
            <w:vAlign w:val="center"/>
          </w:tcPr>
          <w:p w14:paraId="747E58BF">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w:t>
            </w:r>
          </w:p>
        </w:tc>
        <w:tc>
          <w:tcPr>
            <w:tcW w:w="945" w:type="dxa"/>
            <w:tcBorders>
              <w:right w:val="single" w:color="auto" w:sz="4" w:space="0"/>
            </w:tcBorders>
            <w:noWrap w:val="0"/>
            <w:vAlign w:val="center"/>
          </w:tcPr>
          <w:p w14:paraId="13AACEEC">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705" w:type="dxa"/>
            <w:tcBorders>
              <w:left w:val="single" w:color="auto" w:sz="4" w:space="0"/>
            </w:tcBorders>
            <w:noWrap w:val="0"/>
            <w:vAlign w:val="center"/>
          </w:tcPr>
          <w:p w14:paraId="2B510452">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059" w:type="dxa"/>
            <w:noWrap w:val="0"/>
            <w:vAlign w:val="center"/>
          </w:tcPr>
          <w:p w14:paraId="74D63597">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1212" w:type="dxa"/>
            <w:noWrap w:val="0"/>
            <w:vAlign w:val="center"/>
          </w:tcPr>
          <w:p w14:paraId="2489C9B8">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r>
      <w:tr w14:paraId="78BE4F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1" w:type="dxa"/>
            <w:noWrap w:val="0"/>
            <w:vAlign w:val="center"/>
          </w:tcPr>
          <w:p w14:paraId="43EE5777">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945" w:type="dxa"/>
            <w:tcBorders>
              <w:right w:val="single" w:color="auto" w:sz="4" w:space="0"/>
            </w:tcBorders>
            <w:noWrap w:val="0"/>
            <w:vAlign w:val="center"/>
          </w:tcPr>
          <w:p w14:paraId="55C26082">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705" w:type="dxa"/>
            <w:tcBorders>
              <w:left w:val="single" w:color="auto" w:sz="4" w:space="0"/>
            </w:tcBorders>
            <w:noWrap w:val="0"/>
            <w:vAlign w:val="center"/>
          </w:tcPr>
          <w:p w14:paraId="68D4AB32">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059" w:type="dxa"/>
            <w:noWrap w:val="0"/>
            <w:vAlign w:val="center"/>
          </w:tcPr>
          <w:p w14:paraId="32A4E084">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1212" w:type="dxa"/>
            <w:noWrap w:val="0"/>
            <w:vAlign w:val="center"/>
          </w:tcPr>
          <w:p w14:paraId="04504796">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r>
      <w:tr w14:paraId="7A7631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1" w:type="dxa"/>
            <w:noWrap w:val="0"/>
            <w:vAlign w:val="center"/>
          </w:tcPr>
          <w:p w14:paraId="6EB85B0A">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945" w:type="dxa"/>
            <w:tcBorders>
              <w:right w:val="single" w:color="auto" w:sz="4" w:space="0"/>
            </w:tcBorders>
            <w:noWrap w:val="0"/>
            <w:vAlign w:val="center"/>
          </w:tcPr>
          <w:p w14:paraId="4031FD0F">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705" w:type="dxa"/>
            <w:tcBorders>
              <w:left w:val="single" w:color="auto" w:sz="4" w:space="0"/>
            </w:tcBorders>
            <w:noWrap w:val="0"/>
            <w:vAlign w:val="center"/>
          </w:tcPr>
          <w:p w14:paraId="7E92FB9A">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059" w:type="dxa"/>
            <w:noWrap w:val="0"/>
            <w:vAlign w:val="center"/>
          </w:tcPr>
          <w:p w14:paraId="05ECB632">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1212" w:type="dxa"/>
            <w:noWrap w:val="0"/>
            <w:vAlign w:val="center"/>
          </w:tcPr>
          <w:p w14:paraId="18477726">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r>
      <w:tr w14:paraId="71834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71" w:type="dxa"/>
            <w:noWrap w:val="0"/>
            <w:vAlign w:val="center"/>
          </w:tcPr>
          <w:p w14:paraId="15F26A6B">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w:t>
            </w:r>
          </w:p>
        </w:tc>
        <w:tc>
          <w:tcPr>
            <w:tcW w:w="945" w:type="dxa"/>
            <w:tcBorders>
              <w:right w:val="single" w:color="auto" w:sz="4" w:space="0"/>
            </w:tcBorders>
            <w:noWrap w:val="0"/>
            <w:vAlign w:val="center"/>
          </w:tcPr>
          <w:p w14:paraId="49720B44">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705" w:type="dxa"/>
            <w:tcBorders>
              <w:left w:val="single" w:color="auto" w:sz="4" w:space="0"/>
            </w:tcBorders>
            <w:noWrap w:val="0"/>
            <w:vAlign w:val="center"/>
          </w:tcPr>
          <w:p w14:paraId="6E74BAC9">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3059" w:type="dxa"/>
            <w:noWrap w:val="0"/>
            <w:vAlign w:val="center"/>
          </w:tcPr>
          <w:p w14:paraId="5D60E127">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c>
          <w:tcPr>
            <w:tcW w:w="1212" w:type="dxa"/>
            <w:tcBorders>
              <w:right w:val="single" w:color="auto" w:sz="4" w:space="0"/>
            </w:tcBorders>
            <w:noWrap w:val="0"/>
            <w:vAlign w:val="center"/>
          </w:tcPr>
          <w:p w14:paraId="6A7CA900">
            <w:pPr>
              <w:widowControl w:val="0"/>
              <w:shd w:val="clear"/>
              <w:spacing w:line="360" w:lineRule="auto"/>
              <w:ind w:firstLine="0" w:firstLineChars="0"/>
              <w:jc w:val="center"/>
              <w:rPr>
                <w:rFonts w:hint="eastAsia" w:ascii="宋体" w:hAnsi="宋体" w:eastAsia="宋体" w:cs="仿宋_GB2312"/>
                <w:color w:val="auto"/>
                <w:kern w:val="2"/>
                <w:sz w:val="24"/>
                <w:szCs w:val="24"/>
                <w:highlight w:val="none"/>
                <w:lang w:val="en-US" w:eastAsia="zh-CN" w:bidi="ar-SA"/>
              </w:rPr>
            </w:pPr>
          </w:p>
        </w:tc>
      </w:tr>
    </w:tbl>
    <w:p w14:paraId="501FAA78">
      <w:pPr>
        <w:shd w:val="clear"/>
        <w:adjustRightInd w:val="0"/>
        <w:snapToGrid w:val="0"/>
        <w:spacing w:line="360" w:lineRule="auto"/>
        <w:rPr>
          <w:rFonts w:ascii="宋体" w:hAnsi="宋体" w:eastAsia="宋体" w:cs="宋体"/>
          <w:color w:val="auto"/>
          <w:sz w:val="24"/>
          <w:highlight w:val="none"/>
        </w:rPr>
      </w:pPr>
    </w:p>
    <w:p w14:paraId="45E7FF21">
      <w:pPr>
        <w:widowControl w:val="0"/>
        <w:shd w:val="clear"/>
        <w:spacing w:line="360" w:lineRule="auto"/>
        <w:ind w:firstLine="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w:t>
      </w:r>
    </w:p>
    <w:p w14:paraId="0FBBE6BC">
      <w:pPr>
        <w:keepNext w:val="0"/>
        <w:keepLines w:val="0"/>
        <w:pageBreakBefore w:val="0"/>
        <w:widowControl w:val="0"/>
        <w:shd w:val="clear"/>
        <w:kinsoku/>
        <w:wordWrap/>
        <w:overflowPunct/>
        <w:topLinePunct w:val="0"/>
        <w:autoSpaceDE/>
        <w:autoSpaceDN/>
        <w:bidi w:val="0"/>
        <w:adjustRightInd/>
        <w:spacing w:line="360" w:lineRule="auto"/>
        <w:ind w:firstLine="480" w:firstLineChars="200"/>
        <w:jc w:val="both"/>
        <w:textAlignment w:val="auto"/>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 说明：应对照竞争性谈判文件“第三章 采购需求”中的技术条款</w:t>
      </w:r>
      <w:r>
        <w:rPr>
          <w:rFonts w:hint="eastAsia" w:ascii="宋体" w:hAnsi="宋体" w:eastAsia="宋体" w:cs="宋体"/>
          <w:b/>
          <w:bCs/>
          <w:color w:val="auto"/>
          <w:kern w:val="0"/>
          <w:sz w:val="24"/>
          <w:szCs w:val="24"/>
          <w:highlight w:val="none"/>
          <w:lang w:val="en-US" w:eastAsia="zh-CN" w:bidi="ar-SA"/>
        </w:rPr>
        <w:t>进行逐条</w:t>
      </w:r>
      <w:r>
        <w:rPr>
          <w:rFonts w:hint="eastAsia" w:ascii="宋体" w:hAnsi="宋体" w:eastAsia="宋体" w:cs="宋体"/>
          <w:color w:val="auto"/>
          <w:kern w:val="0"/>
          <w:sz w:val="24"/>
          <w:szCs w:val="24"/>
          <w:highlight w:val="none"/>
          <w:lang w:val="en-US" w:eastAsia="zh-CN" w:bidi="ar-SA"/>
        </w:rPr>
        <w:t>实质性响应，并作出偏离说明。如果“响应文件承诺的商务条款”列仅注明“符合”、“满足”等简单性措辞的，将可能导致响应被拒绝。</w:t>
      </w:r>
    </w:p>
    <w:p w14:paraId="019F2E3A">
      <w:pPr>
        <w:keepNext w:val="0"/>
        <w:keepLines w:val="0"/>
        <w:pageBreakBefore w:val="0"/>
        <w:widowControl w:val="0"/>
        <w:shd w:val="clear"/>
        <w:kinsoku/>
        <w:wordWrap/>
        <w:overflowPunct/>
        <w:topLinePunct w:val="0"/>
        <w:autoSpaceDE/>
        <w:autoSpaceDN/>
        <w:bidi w:val="0"/>
        <w:adjustRightInd/>
        <w:snapToGrid w:val="0"/>
        <w:spacing w:before="50" w:line="360" w:lineRule="auto"/>
        <w:ind w:firstLine="480" w:firstLineChars="2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2.供应商应根据自身的承诺，对照</w:t>
      </w:r>
      <w:r>
        <w:rPr>
          <w:rFonts w:hint="eastAsia" w:ascii="宋体" w:hAnsi="宋体" w:eastAsia="宋体" w:cs="宋体"/>
          <w:color w:val="auto"/>
          <w:kern w:val="0"/>
          <w:sz w:val="24"/>
          <w:szCs w:val="24"/>
          <w:highlight w:val="none"/>
          <w:lang w:val="en-US" w:eastAsia="zh-CN"/>
        </w:rPr>
        <w:t>竞争性</w:t>
      </w:r>
      <w:r>
        <w:rPr>
          <w:rFonts w:hint="eastAsia" w:ascii="宋体" w:hAnsi="宋体" w:eastAsia="宋体" w:cs="宋体"/>
          <w:color w:val="auto"/>
          <w:kern w:val="0"/>
          <w:sz w:val="24"/>
          <w:highlight w:val="none"/>
        </w:rPr>
        <w:t>谈判文件要求在“偏离说明”中注明“正偏离”“负偏离”或者“无偏离”。既不属于“正偏离”也不属于“负偏离”即为“无偏离”。当响应文件的商务</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内容低于竞争性谈判采购文件要求时，竞标人应当如实写明“负偏离”，否则视为虚假应标</w:t>
      </w:r>
      <w:r>
        <w:rPr>
          <w:rFonts w:hint="eastAsia" w:ascii="宋体" w:hAnsi="宋体" w:eastAsia="宋体" w:cs="宋体"/>
          <w:color w:val="auto"/>
          <w:kern w:val="0"/>
          <w:sz w:val="24"/>
          <w:highlight w:val="none"/>
          <w:lang w:eastAsia="zh-CN"/>
        </w:rPr>
        <w:t>。</w:t>
      </w:r>
    </w:p>
    <w:p w14:paraId="4A381DEE">
      <w:pPr>
        <w:keepNext w:val="0"/>
        <w:keepLines w:val="0"/>
        <w:pageBreakBefore w:val="0"/>
        <w:widowControl w:val="0"/>
        <w:shd w:val="clear"/>
        <w:kinsoku/>
        <w:wordWrap/>
        <w:overflowPunct/>
        <w:topLinePunct w:val="0"/>
        <w:autoSpaceDE/>
        <w:autoSpaceDN/>
        <w:bidi w:val="0"/>
        <w:adjustRightInd/>
        <w:spacing w:line="360" w:lineRule="auto"/>
        <w:ind w:firstLine="480" w:firstLineChars="200"/>
        <w:jc w:val="both"/>
        <w:textAlignment w:val="auto"/>
        <w:rPr>
          <w:rFonts w:hint="eastAsia" w:ascii="宋体" w:hAnsi="宋体" w:cs="仿宋_GB2312"/>
          <w:color w:val="auto"/>
          <w:kern w:val="0"/>
          <w:sz w:val="24"/>
          <w:highlight w:val="none"/>
        </w:rPr>
      </w:pPr>
      <w:r>
        <w:rPr>
          <w:rFonts w:hint="eastAsia" w:ascii="宋体" w:hAnsi="宋体" w:cs="仿宋_GB2312"/>
          <w:color w:val="auto"/>
          <w:kern w:val="0"/>
          <w:sz w:val="24"/>
          <w:highlight w:val="none"/>
        </w:rPr>
        <w:t>3.表格内容均需按要求填写并盖章，不得留空，否则按竞标无效处理。</w:t>
      </w:r>
    </w:p>
    <w:p w14:paraId="7AE70490">
      <w:pPr>
        <w:keepNext w:val="0"/>
        <w:keepLines w:val="0"/>
        <w:pageBreakBefore w:val="0"/>
        <w:widowControl w:val="0"/>
        <w:shd w:val="clear"/>
        <w:kinsoku/>
        <w:wordWrap/>
        <w:overflowPunct/>
        <w:topLinePunct w:val="0"/>
        <w:autoSpaceDE/>
        <w:autoSpaceDN/>
        <w:bidi w:val="0"/>
        <w:adjustRightInd/>
        <w:spacing w:line="360" w:lineRule="auto"/>
        <w:ind w:firstLine="480" w:firstLineChars="200"/>
        <w:jc w:val="both"/>
        <w:textAlignment w:val="auto"/>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4.如技术偏离表中的竞标响应与佐证材料不一致的，以佐证材料为准。</w:t>
      </w:r>
    </w:p>
    <w:p w14:paraId="5473ABA1">
      <w:pPr>
        <w:widowControl w:val="0"/>
        <w:shd w:val="clear"/>
        <w:spacing w:line="360" w:lineRule="auto"/>
        <w:jc w:val="both"/>
        <w:rPr>
          <w:rFonts w:ascii="宋体" w:hAnsi="宋体" w:eastAsia="宋体" w:cs="宋体"/>
          <w:color w:val="auto"/>
          <w:kern w:val="0"/>
          <w:sz w:val="24"/>
          <w:szCs w:val="24"/>
          <w:highlight w:val="none"/>
          <w:lang w:val="en-US" w:eastAsia="zh-CN" w:bidi="ar-SA"/>
        </w:rPr>
      </w:pPr>
    </w:p>
    <w:p w14:paraId="6CB29821">
      <w:pPr>
        <w:shd w:val="clear"/>
        <w:spacing w:line="360" w:lineRule="auto"/>
        <w:ind w:firstLine="3840" w:firstLineChars="1600"/>
        <w:rPr>
          <w:rFonts w:ascii="宋体" w:hAnsi="宋体" w:eastAsia="宋体" w:cs="宋体"/>
          <w:color w:val="auto"/>
          <w:sz w:val="24"/>
          <w:highlight w:val="none"/>
        </w:rPr>
      </w:pPr>
    </w:p>
    <w:p w14:paraId="2B4E0AEE">
      <w:pPr>
        <w:shd w:val="clear"/>
        <w:spacing w:line="360" w:lineRule="auto"/>
        <w:ind w:firstLine="3840" w:firstLineChars="1600"/>
        <w:rPr>
          <w:rFonts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29DFA668">
      <w:pPr>
        <w:shd w:val="clear"/>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日期：  年  月   日</w:t>
      </w:r>
    </w:p>
    <w:p w14:paraId="146A946E">
      <w:pPr>
        <w:shd w:val="clear"/>
        <w:snapToGrid w:val="0"/>
        <w:spacing w:before="156" w:beforeLines="50" w:after="50"/>
        <w:ind w:left="142"/>
        <w:jc w:val="left"/>
        <w:rPr>
          <w:rFonts w:ascii="宋体" w:hAnsi="宋体" w:eastAsia="宋体" w:cs="宋体"/>
          <w:color w:val="auto"/>
          <w:sz w:val="24"/>
          <w:highlight w:val="none"/>
        </w:rPr>
      </w:pPr>
    </w:p>
    <w:p w14:paraId="2C496493">
      <w:pPr>
        <w:shd w:val="clear"/>
        <w:snapToGrid w:val="0"/>
        <w:spacing w:before="156" w:beforeLines="50" w:after="50"/>
        <w:ind w:left="142"/>
        <w:jc w:val="left"/>
        <w:rPr>
          <w:rFonts w:ascii="宋体" w:hAnsi="宋体" w:eastAsia="宋体" w:cs="宋体"/>
          <w:color w:val="auto"/>
          <w:sz w:val="24"/>
          <w:highlight w:val="none"/>
        </w:rPr>
      </w:pPr>
    </w:p>
    <w:p w14:paraId="11FD3587">
      <w:pPr>
        <w:shd w:val="clear"/>
        <w:jc w:val="center"/>
        <w:rPr>
          <w:rFonts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二、配置清单（均不含报价）</w:t>
      </w:r>
    </w:p>
    <w:p w14:paraId="6BFFF1F7">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tbl>
      <w:tblPr>
        <w:tblStyle w:val="4"/>
        <w:tblW w:w="46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3"/>
        <w:gridCol w:w="1236"/>
        <w:gridCol w:w="1049"/>
        <w:gridCol w:w="886"/>
        <w:gridCol w:w="1776"/>
        <w:gridCol w:w="1236"/>
        <w:gridCol w:w="723"/>
        <w:gridCol w:w="1536"/>
      </w:tblGrid>
      <w:tr w14:paraId="6947E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2BFE1893">
            <w:pPr>
              <w:shd w:val="clear"/>
              <w:snapToGrid w:val="0"/>
              <w:spacing w:before="50" w:after="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4" w:type="pct"/>
            <w:tcBorders>
              <w:top w:val="single" w:color="auto" w:sz="4" w:space="0"/>
              <w:left w:val="single" w:color="auto" w:sz="4" w:space="0"/>
              <w:bottom w:val="single" w:color="auto" w:sz="4" w:space="0"/>
              <w:right w:val="single" w:color="auto" w:sz="4" w:space="0"/>
            </w:tcBorders>
            <w:vAlign w:val="center"/>
          </w:tcPr>
          <w:p w14:paraId="5E519AB4">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572" w:type="pct"/>
            <w:tcBorders>
              <w:top w:val="single" w:color="auto" w:sz="4" w:space="0"/>
              <w:left w:val="single" w:color="auto" w:sz="4" w:space="0"/>
              <w:bottom w:val="single" w:color="auto" w:sz="4" w:space="0"/>
              <w:right w:val="single" w:color="auto" w:sz="4" w:space="0"/>
            </w:tcBorders>
            <w:vAlign w:val="center"/>
          </w:tcPr>
          <w:p w14:paraId="550DE714">
            <w:pPr>
              <w:shd w:val="clear"/>
              <w:snapToGrid w:val="0"/>
              <w:spacing w:before="50" w:after="5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483" w:type="pct"/>
            <w:tcBorders>
              <w:top w:val="single" w:color="auto" w:sz="4" w:space="0"/>
              <w:left w:val="single" w:color="auto" w:sz="4" w:space="0"/>
              <w:bottom w:val="single" w:color="auto" w:sz="4" w:space="0"/>
              <w:right w:val="single" w:color="auto" w:sz="4" w:space="0"/>
            </w:tcBorders>
            <w:vAlign w:val="center"/>
          </w:tcPr>
          <w:p w14:paraId="3E5F5367">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w:t>
            </w:r>
          </w:p>
        </w:tc>
        <w:tc>
          <w:tcPr>
            <w:tcW w:w="968" w:type="pct"/>
            <w:tcBorders>
              <w:top w:val="single" w:color="auto" w:sz="4" w:space="0"/>
              <w:left w:val="single" w:color="auto" w:sz="4" w:space="0"/>
              <w:bottom w:val="single" w:color="auto" w:sz="4" w:space="0"/>
              <w:right w:val="single" w:color="auto" w:sz="4" w:space="0"/>
            </w:tcBorders>
            <w:vAlign w:val="center"/>
          </w:tcPr>
          <w:p w14:paraId="02070300">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674" w:type="pct"/>
            <w:tcBorders>
              <w:top w:val="single" w:color="auto" w:sz="4" w:space="0"/>
              <w:left w:val="single" w:color="auto" w:sz="4" w:space="0"/>
              <w:bottom w:val="single" w:color="auto" w:sz="4" w:space="0"/>
              <w:right w:val="single" w:color="auto" w:sz="4" w:space="0"/>
            </w:tcBorders>
            <w:vAlign w:val="center"/>
          </w:tcPr>
          <w:p w14:paraId="646313B2">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制造商</w:t>
            </w:r>
          </w:p>
        </w:tc>
        <w:tc>
          <w:tcPr>
            <w:tcW w:w="394" w:type="pct"/>
            <w:tcBorders>
              <w:top w:val="single" w:color="auto" w:sz="4" w:space="0"/>
              <w:left w:val="single" w:color="auto" w:sz="4" w:space="0"/>
              <w:bottom w:val="single" w:color="auto" w:sz="4" w:space="0"/>
              <w:right w:val="single" w:color="auto" w:sz="4" w:space="0"/>
            </w:tcBorders>
            <w:vAlign w:val="center"/>
          </w:tcPr>
          <w:p w14:paraId="062D0BE7">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原产地</w:t>
            </w:r>
          </w:p>
        </w:tc>
        <w:tc>
          <w:tcPr>
            <w:tcW w:w="837" w:type="pct"/>
            <w:tcBorders>
              <w:top w:val="single" w:color="auto" w:sz="4" w:space="0"/>
              <w:left w:val="single" w:color="auto" w:sz="4" w:space="0"/>
              <w:bottom w:val="single" w:color="auto" w:sz="4" w:space="0"/>
              <w:right w:val="single" w:color="auto" w:sz="4" w:space="0"/>
            </w:tcBorders>
            <w:vAlign w:val="center"/>
          </w:tcPr>
          <w:p w14:paraId="60A76590">
            <w:pPr>
              <w:shd w:val="clear"/>
              <w:snapToGrid w:val="0"/>
              <w:spacing w:before="50" w:after="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参数性能、指标及配置</w:t>
            </w:r>
          </w:p>
        </w:tc>
      </w:tr>
      <w:tr w14:paraId="60EB5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488AC062">
            <w:pPr>
              <w:shd w:val="clea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674" w:type="pct"/>
            <w:tcBorders>
              <w:top w:val="single" w:color="auto" w:sz="4" w:space="0"/>
              <w:left w:val="single" w:color="auto" w:sz="4" w:space="0"/>
              <w:bottom w:val="single" w:color="auto" w:sz="4" w:space="0"/>
              <w:right w:val="single" w:color="auto" w:sz="4" w:space="0"/>
            </w:tcBorders>
            <w:vAlign w:val="center"/>
          </w:tcPr>
          <w:p w14:paraId="2124B286">
            <w:pPr>
              <w:shd w:val="clear"/>
              <w:snapToGrid w:val="0"/>
              <w:spacing w:before="50" w:after="50"/>
              <w:jc w:val="center"/>
              <w:rPr>
                <w:rFonts w:ascii="宋体" w:hAnsi="宋体" w:eastAsia="宋体" w:cs="宋体"/>
                <w:color w:val="auto"/>
                <w:sz w:val="24"/>
                <w:szCs w:val="24"/>
                <w:highlight w:val="none"/>
              </w:rPr>
            </w:pPr>
          </w:p>
        </w:tc>
        <w:tc>
          <w:tcPr>
            <w:tcW w:w="572" w:type="pct"/>
            <w:tcBorders>
              <w:top w:val="single" w:color="auto" w:sz="4" w:space="0"/>
              <w:left w:val="single" w:color="auto" w:sz="4" w:space="0"/>
              <w:bottom w:val="single" w:color="auto" w:sz="4" w:space="0"/>
              <w:right w:val="single" w:color="auto" w:sz="4" w:space="0"/>
            </w:tcBorders>
            <w:vAlign w:val="center"/>
          </w:tcPr>
          <w:p w14:paraId="525819F5">
            <w:pPr>
              <w:shd w:val="clear"/>
              <w:snapToGrid w:val="0"/>
              <w:spacing w:before="50" w:after="50"/>
              <w:jc w:val="center"/>
              <w:rPr>
                <w:rFonts w:ascii="宋体" w:hAnsi="宋体" w:eastAsia="宋体" w:cs="宋体"/>
                <w:color w:val="auto"/>
                <w:sz w:val="24"/>
                <w:szCs w:val="24"/>
                <w:highlight w:val="none"/>
              </w:rPr>
            </w:pPr>
          </w:p>
        </w:tc>
        <w:tc>
          <w:tcPr>
            <w:tcW w:w="483" w:type="pct"/>
            <w:tcBorders>
              <w:top w:val="single" w:color="auto" w:sz="4" w:space="0"/>
              <w:left w:val="single" w:color="auto" w:sz="4" w:space="0"/>
              <w:bottom w:val="single" w:color="auto" w:sz="4" w:space="0"/>
              <w:right w:val="single" w:color="auto" w:sz="4" w:space="0"/>
            </w:tcBorders>
            <w:vAlign w:val="center"/>
          </w:tcPr>
          <w:p w14:paraId="1F0065E3">
            <w:pPr>
              <w:shd w:val="clear"/>
              <w:snapToGrid w:val="0"/>
              <w:spacing w:before="50" w:after="50"/>
              <w:jc w:val="center"/>
              <w:rPr>
                <w:rFonts w:ascii="宋体" w:hAnsi="宋体" w:eastAsia="宋体" w:cs="宋体"/>
                <w:color w:val="auto"/>
                <w:sz w:val="24"/>
                <w:szCs w:val="24"/>
                <w:highlight w:val="none"/>
              </w:rPr>
            </w:pPr>
          </w:p>
        </w:tc>
        <w:tc>
          <w:tcPr>
            <w:tcW w:w="968" w:type="pct"/>
            <w:tcBorders>
              <w:top w:val="single" w:color="auto" w:sz="4" w:space="0"/>
              <w:left w:val="single" w:color="auto" w:sz="4" w:space="0"/>
              <w:bottom w:val="single" w:color="auto" w:sz="4" w:space="0"/>
              <w:right w:val="single" w:color="auto" w:sz="4" w:space="0"/>
            </w:tcBorders>
          </w:tcPr>
          <w:p w14:paraId="6BB17E1A">
            <w:pPr>
              <w:shd w:val="clear"/>
              <w:snapToGrid w:val="0"/>
              <w:spacing w:before="50" w:after="50"/>
              <w:jc w:val="center"/>
              <w:rPr>
                <w:rFonts w:ascii="宋体" w:hAnsi="宋体" w:eastAsia="宋体" w:cs="宋体"/>
                <w:color w:val="auto"/>
                <w:sz w:val="24"/>
                <w:szCs w:val="24"/>
                <w:highlight w:val="none"/>
              </w:rPr>
            </w:pPr>
          </w:p>
        </w:tc>
        <w:tc>
          <w:tcPr>
            <w:tcW w:w="674" w:type="pct"/>
            <w:tcBorders>
              <w:top w:val="single" w:color="auto" w:sz="4" w:space="0"/>
              <w:left w:val="single" w:color="auto" w:sz="4" w:space="0"/>
              <w:bottom w:val="single" w:color="auto" w:sz="4" w:space="0"/>
              <w:right w:val="single" w:color="auto" w:sz="4" w:space="0"/>
            </w:tcBorders>
            <w:vAlign w:val="center"/>
          </w:tcPr>
          <w:p w14:paraId="4DE7FD3C">
            <w:pPr>
              <w:shd w:val="clear"/>
              <w:snapToGrid w:val="0"/>
              <w:spacing w:before="50" w:after="50"/>
              <w:jc w:val="center"/>
              <w:rPr>
                <w:rFonts w:ascii="宋体" w:hAnsi="宋体" w:eastAsia="宋体" w:cs="宋体"/>
                <w:color w:val="auto"/>
                <w:sz w:val="24"/>
                <w:szCs w:val="24"/>
                <w:highlight w:val="none"/>
              </w:rPr>
            </w:pPr>
          </w:p>
        </w:tc>
        <w:tc>
          <w:tcPr>
            <w:tcW w:w="394" w:type="pct"/>
            <w:tcBorders>
              <w:top w:val="single" w:color="auto" w:sz="4" w:space="0"/>
              <w:left w:val="single" w:color="auto" w:sz="4" w:space="0"/>
              <w:bottom w:val="single" w:color="auto" w:sz="4" w:space="0"/>
              <w:right w:val="single" w:color="auto" w:sz="4" w:space="0"/>
            </w:tcBorders>
            <w:vAlign w:val="center"/>
          </w:tcPr>
          <w:p w14:paraId="12A16536">
            <w:pPr>
              <w:shd w:val="clear"/>
              <w:snapToGrid w:val="0"/>
              <w:spacing w:before="50" w:after="50"/>
              <w:jc w:val="center"/>
              <w:rPr>
                <w:rFonts w:ascii="宋体" w:hAnsi="宋体" w:eastAsia="宋体" w:cs="宋体"/>
                <w:color w:val="auto"/>
                <w:sz w:val="24"/>
                <w:szCs w:val="24"/>
                <w:highlight w:val="none"/>
              </w:rPr>
            </w:pPr>
          </w:p>
        </w:tc>
        <w:tc>
          <w:tcPr>
            <w:tcW w:w="837" w:type="pct"/>
            <w:tcBorders>
              <w:top w:val="single" w:color="auto" w:sz="4" w:space="0"/>
              <w:left w:val="single" w:color="auto" w:sz="4" w:space="0"/>
              <w:bottom w:val="single" w:color="auto" w:sz="4" w:space="0"/>
              <w:right w:val="single" w:color="auto" w:sz="4" w:space="0"/>
            </w:tcBorders>
            <w:vAlign w:val="center"/>
          </w:tcPr>
          <w:p w14:paraId="69E5ACA0">
            <w:pPr>
              <w:shd w:val="clear"/>
              <w:snapToGrid w:val="0"/>
              <w:spacing w:before="50" w:after="50"/>
              <w:jc w:val="center"/>
              <w:rPr>
                <w:rFonts w:ascii="宋体" w:hAnsi="宋体" w:eastAsia="宋体" w:cs="宋体"/>
                <w:color w:val="auto"/>
                <w:sz w:val="24"/>
                <w:szCs w:val="24"/>
                <w:highlight w:val="none"/>
              </w:rPr>
            </w:pPr>
          </w:p>
        </w:tc>
      </w:tr>
      <w:tr w14:paraId="4622F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06DF1D3C">
            <w:pPr>
              <w:shd w:val="clea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674" w:type="pct"/>
            <w:tcBorders>
              <w:top w:val="single" w:color="auto" w:sz="4" w:space="0"/>
              <w:left w:val="single" w:color="auto" w:sz="4" w:space="0"/>
              <w:bottom w:val="single" w:color="auto" w:sz="4" w:space="0"/>
              <w:right w:val="single" w:color="auto" w:sz="4" w:space="0"/>
            </w:tcBorders>
            <w:vAlign w:val="center"/>
          </w:tcPr>
          <w:p w14:paraId="1C3F9DEA">
            <w:pPr>
              <w:shd w:val="clear"/>
              <w:snapToGrid w:val="0"/>
              <w:spacing w:before="50" w:after="50"/>
              <w:jc w:val="center"/>
              <w:rPr>
                <w:rFonts w:ascii="宋体" w:hAnsi="宋体" w:eastAsia="宋体" w:cs="宋体"/>
                <w:color w:val="auto"/>
                <w:sz w:val="24"/>
                <w:szCs w:val="24"/>
                <w:highlight w:val="none"/>
              </w:rPr>
            </w:pPr>
          </w:p>
        </w:tc>
        <w:tc>
          <w:tcPr>
            <w:tcW w:w="572" w:type="pct"/>
            <w:tcBorders>
              <w:top w:val="single" w:color="auto" w:sz="4" w:space="0"/>
              <w:left w:val="single" w:color="auto" w:sz="4" w:space="0"/>
              <w:bottom w:val="single" w:color="auto" w:sz="4" w:space="0"/>
              <w:right w:val="single" w:color="auto" w:sz="4" w:space="0"/>
            </w:tcBorders>
            <w:vAlign w:val="center"/>
          </w:tcPr>
          <w:p w14:paraId="5401C483">
            <w:pPr>
              <w:shd w:val="clear"/>
              <w:snapToGrid w:val="0"/>
              <w:spacing w:before="50" w:after="50"/>
              <w:jc w:val="center"/>
              <w:rPr>
                <w:rFonts w:ascii="宋体" w:hAnsi="宋体" w:eastAsia="宋体" w:cs="宋体"/>
                <w:color w:val="auto"/>
                <w:sz w:val="24"/>
                <w:szCs w:val="24"/>
                <w:highlight w:val="none"/>
              </w:rPr>
            </w:pPr>
          </w:p>
        </w:tc>
        <w:tc>
          <w:tcPr>
            <w:tcW w:w="483" w:type="pct"/>
            <w:tcBorders>
              <w:top w:val="single" w:color="auto" w:sz="4" w:space="0"/>
              <w:left w:val="single" w:color="auto" w:sz="4" w:space="0"/>
              <w:bottom w:val="single" w:color="auto" w:sz="4" w:space="0"/>
              <w:right w:val="single" w:color="auto" w:sz="4" w:space="0"/>
            </w:tcBorders>
            <w:vAlign w:val="center"/>
          </w:tcPr>
          <w:p w14:paraId="05A7CF14">
            <w:pPr>
              <w:shd w:val="clear"/>
              <w:snapToGrid w:val="0"/>
              <w:spacing w:before="50" w:after="50"/>
              <w:jc w:val="center"/>
              <w:rPr>
                <w:rFonts w:ascii="宋体" w:hAnsi="宋体" w:eastAsia="宋体" w:cs="宋体"/>
                <w:color w:val="auto"/>
                <w:sz w:val="24"/>
                <w:szCs w:val="24"/>
                <w:highlight w:val="none"/>
              </w:rPr>
            </w:pPr>
          </w:p>
        </w:tc>
        <w:tc>
          <w:tcPr>
            <w:tcW w:w="968" w:type="pct"/>
            <w:tcBorders>
              <w:top w:val="single" w:color="auto" w:sz="4" w:space="0"/>
              <w:left w:val="single" w:color="auto" w:sz="4" w:space="0"/>
              <w:bottom w:val="single" w:color="auto" w:sz="4" w:space="0"/>
              <w:right w:val="single" w:color="auto" w:sz="4" w:space="0"/>
            </w:tcBorders>
          </w:tcPr>
          <w:p w14:paraId="5D4A96C5">
            <w:pPr>
              <w:shd w:val="clear"/>
              <w:snapToGrid w:val="0"/>
              <w:spacing w:before="50" w:after="50"/>
              <w:jc w:val="center"/>
              <w:rPr>
                <w:rFonts w:ascii="宋体" w:hAnsi="宋体" w:eastAsia="宋体" w:cs="宋体"/>
                <w:color w:val="auto"/>
                <w:sz w:val="24"/>
                <w:szCs w:val="24"/>
                <w:highlight w:val="none"/>
              </w:rPr>
            </w:pPr>
          </w:p>
        </w:tc>
        <w:tc>
          <w:tcPr>
            <w:tcW w:w="674" w:type="pct"/>
            <w:tcBorders>
              <w:top w:val="single" w:color="auto" w:sz="4" w:space="0"/>
              <w:left w:val="single" w:color="auto" w:sz="4" w:space="0"/>
              <w:bottom w:val="single" w:color="auto" w:sz="4" w:space="0"/>
              <w:right w:val="single" w:color="auto" w:sz="4" w:space="0"/>
            </w:tcBorders>
            <w:vAlign w:val="center"/>
          </w:tcPr>
          <w:p w14:paraId="53DDC6C5">
            <w:pPr>
              <w:shd w:val="clear"/>
              <w:snapToGrid w:val="0"/>
              <w:spacing w:before="50" w:after="50"/>
              <w:jc w:val="center"/>
              <w:rPr>
                <w:rFonts w:ascii="宋体" w:hAnsi="宋体" w:eastAsia="宋体" w:cs="宋体"/>
                <w:color w:val="auto"/>
                <w:sz w:val="24"/>
                <w:szCs w:val="24"/>
                <w:highlight w:val="none"/>
              </w:rPr>
            </w:pPr>
          </w:p>
        </w:tc>
        <w:tc>
          <w:tcPr>
            <w:tcW w:w="394" w:type="pct"/>
            <w:tcBorders>
              <w:top w:val="single" w:color="auto" w:sz="4" w:space="0"/>
              <w:left w:val="single" w:color="auto" w:sz="4" w:space="0"/>
              <w:bottom w:val="single" w:color="auto" w:sz="4" w:space="0"/>
              <w:right w:val="single" w:color="auto" w:sz="4" w:space="0"/>
            </w:tcBorders>
            <w:vAlign w:val="center"/>
          </w:tcPr>
          <w:p w14:paraId="27BCDF90">
            <w:pPr>
              <w:shd w:val="clear"/>
              <w:snapToGrid w:val="0"/>
              <w:spacing w:before="50" w:after="50"/>
              <w:jc w:val="center"/>
              <w:rPr>
                <w:rFonts w:ascii="宋体" w:hAnsi="宋体" w:eastAsia="宋体" w:cs="宋体"/>
                <w:color w:val="auto"/>
                <w:sz w:val="24"/>
                <w:szCs w:val="24"/>
                <w:highlight w:val="none"/>
              </w:rPr>
            </w:pPr>
          </w:p>
        </w:tc>
        <w:tc>
          <w:tcPr>
            <w:tcW w:w="837" w:type="pct"/>
            <w:tcBorders>
              <w:top w:val="single" w:color="auto" w:sz="4" w:space="0"/>
              <w:left w:val="single" w:color="auto" w:sz="4" w:space="0"/>
              <w:bottom w:val="single" w:color="auto" w:sz="4" w:space="0"/>
              <w:right w:val="single" w:color="auto" w:sz="4" w:space="0"/>
            </w:tcBorders>
            <w:vAlign w:val="center"/>
          </w:tcPr>
          <w:p w14:paraId="014B4D89">
            <w:pPr>
              <w:shd w:val="clear"/>
              <w:snapToGrid w:val="0"/>
              <w:spacing w:before="50" w:after="50"/>
              <w:jc w:val="center"/>
              <w:rPr>
                <w:rFonts w:ascii="宋体" w:hAnsi="宋体" w:eastAsia="宋体" w:cs="宋体"/>
                <w:color w:val="auto"/>
                <w:sz w:val="24"/>
                <w:szCs w:val="24"/>
                <w:highlight w:val="none"/>
              </w:rPr>
            </w:pPr>
          </w:p>
        </w:tc>
      </w:tr>
      <w:tr w14:paraId="3A45D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44CBD0BE">
            <w:pPr>
              <w:shd w:val="clea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674" w:type="pct"/>
            <w:tcBorders>
              <w:top w:val="single" w:color="auto" w:sz="4" w:space="0"/>
              <w:left w:val="single" w:color="auto" w:sz="4" w:space="0"/>
              <w:bottom w:val="single" w:color="auto" w:sz="4" w:space="0"/>
              <w:right w:val="single" w:color="auto" w:sz="4" w:space="0"/>
            </w:tcBorders>
            <w:vAlign w:val="center"/>
          </w:tcPr>
          <w:p w14:paraId="684B63B4">
            <w:pPr>
              <w:shd w:val="clear"/>
              <w:snapToGrid w:val="0"/>
              <w:spacing w:before="50" w:after="50"/>
              <w:jc w:val="center"/>
              <w:rPr>
                <w:rFonts w:ascii="宋体" w:hAnsi="宋体" w:eastAsia="宋体" w:cs="宋体"/>
                <w:color w:val="auto"/>
                <w:sz w:val="24"/>
                <w:szCs w:val="24"/>
                <w:highlight w:val="none"/>
              </w:rPr>
            </w:pPr>
          </w:p>
        </w:tc>
        <w:tc>
          <w:tcPr>
            <w:tcW w:w="572" w:type="pct"/>
            <w:tcBorders>
              <w:top w:val="single" w:color="auto" w:sz="4" w:space="0"/>
              <w:left w:val="single" w:color="auto" w:sz="4" w:space="0"/>
              <w:bottom w:val="single" w:color="auto" w:sz="4" w:space="0"/>
              <w:right w:val="single" w:color="auto" w:sz="4" w:space="0"/>
            </w:tcBorders>
            <w:vAlign w:val="center"/>
          </w:tcPr>
          <w:p w14:paraId="629CFF8C">
            <w:pPr>
              <w:shd w:val="clear"/>
              <w:snapToGrid w:val="0"/>
              <w:spacing w:before="50" w:after="50"/>
              <w:jc w:val="center"/>
              <w:rPr>
                <w:rFonts w:ascii="宋体" w:hAnsi="宋体" w:eastAsia="宋体" w:cs="宋体"/>
                <w:color w:val="auto"/>
                <w:sz w:val="24"/>
                <w:szCs w:val="24"/>
                <w:highlight w:val="none"/>
              </w:rPr>
            </w:pPr>
          </w:p>
        </w:tc>
        <w:tc>
          <w:tcPr>
            <w:tcW w:w="483" w:type="pct"/>
            <w:tcBorders>
              <w:top w:val="single" w:color="auto" w:sz="4" w:space="0"/>
              <w:left w:val="single" w:color="auto" w:sz="4" w:space="0"/>
              <w:bottom w:val="single" w:color="auto" w:sz="4" w:space="0"/>
              <w:right w:val="single" w:color="auto" w:sz="4" w:space="0"/>
            </w:tcBorders>
            <w:vAlign w:val="center"/>
          </w:tcPr>
          <w:p w14:paraId="063C923B">
            <w:pPr>
              <w:shd w:val="clear"/>
              <w:snapToGrid w:val="0"/>
              <w:spacing w:before="50" w:after="50"/>
              <w:jc w:val="center"/>
              <w:rPr>
                <w:rFonts w:ascii="宋体" w:hAnsi="宋体" w:eastAsia="宋体" w:cs="宋体"/>
                <w:color w:val="auto"/>
                <w:sz w:val="24"/>
                <w:szCs w:val="24"/>
                <w:highlight w:val="none"/>
              </w:rPr>
            </w:pPr>
          </w:p>
        </w:tc>
        <w:tc>
          <w:tcPr>
            <w:tcW w:w="968" w:type="pct"/>
            <w:tcBorders>
              <w:top w:val="single" w:color="auto" w:sz="4" w:space="0"/>
              <w:left w:val="single" w:color="auto" w:sz="4" w:space="0"/>
              <w:bottom w:val="single" w:color="auto" w:sz="4" w:space="0"/>
              <w:right w:val="single" w:color="auto" w:sz="4" w:space="0"/>
            </w:tcBorders>
          </w:tcPr>
          <w:p w14:paraId="662C9964">
            <w:pPr>
              <w:shd w:val="clear"/>
              <w:snapToGrid w:val="0"/>
              <w:spacing w:before="50" w:after="50"/>
              <w:jc w:val="center"/>
              <w:rPr>
                <w:rFonts w:ascii="宋体" w:hAnsi="宋体" w:eastAsia="宋体" w:cs="宋体"/>
                <w:color w:val="auto"/>
                <w:sz w:val="24"/>
                <w:szCs w:val="24"/>
                <w:highlight w:val="none"/>
              </w:rPr>
            </w:pPr>
          </w:p>
        </w:tc>
        <w:tc>
          <w:tcPr>
            <w:tcW w:w="674" w:type="pct"/>
            <w:tcBorders>
              <w:top w:val="single" w:color="auto" w:sz="4" w:space="0"/>
              <w:left w:val="single" w:color="auto" w:sz="4" w:space="0"/>
              <w:bottom w:val="single" w:color="auto" w:sz="4" w:space="0"/>
              <w:right w:val="single" w:color="auto" w:sz="4" w:space="0"/>
            </w:tcBorders>
            <w:vAlign w:val="center"/>
          </w:tcPr>
          <w:p w14:paraId="24B89468">
            <w:pPr>
              <w:shd w:val="clear"/>
              <w:snapToGrid w:val="0"/>
              <w:spacing w:before="50" w:after="50"/>
              <w:jc w:val="center"/>
              <w:rPr>
                <w:rFonts w:ascii="宋体" w:hAnsi="宋体" w:eastAsia="宋体" w:cs="宋体"/>
                <w:color w:val="auto"/>
                <w:sz w:val="24"/>
                <w:szCs w:val="24"/>
                <w:highlight w:val="none"/>
              </w:rPr>
            </w:pPr>
          </w:p>
        </w:tc>
        <w:tc>
          <w:tcPr>
            <w:tcW w:w="394" w:type="pct"/>
            <w:tcBorders>
              <w:top w:val="single" w:color="auto" w:sz="4" w:space="0"/>
              <w:left w:val="single" w:color="auto" w:sz="4" w:space="0"/>
              <w:bottom w:val="single" w:color="auto" w:sz="4" w:space="0"/>
              <w:right w:val="single" w:color="auto" w:sz="4" w:space="0"/>
            </w:tcBorders>
            <w:vAlign w:val="center"/>
          </w:tcPr>
          <w:p w14:paraId="1A48DCD7">
            <w:pPr>
              <w:shd w:val="clear"/>
              <w:snapToGrid w:val="0"/>
              <w:spacing w:before="50" w:after="50"/>
              <w:jc w:val="center"/>
              <w:rPr>
                <w:rFonts w:ascii="宋体" w:hAnsi="宋体" w:eastAsia="宋体" w:cs="宋体"/>
                <w:color w:val="auto"/>
                <w:sz w:val="24"/>
                <w:szCs w:val="24"/>
                <w:highlight w:val="none"/>
              </w:rPr>
            </w:pPr>
          </w:p>
        </w:tc>
        <w:tc>
          <w:tcPr>
            <w:tcW w:w="837" w:type="pct"/>
            <w:tcBorders>
              <w:top w:val="single" w:color="auto" w:sz="4" w:space="0"/>
              <w:left w:val="single" w:color="auto" w:sz="4" w:space="0"/>
              <w:bottom w:val="single" w:color="auto" w:sz="4" w:space="0"/>
              <w:right w:val="single" w:color="auto" w:sz="4" w:space="0"/>
            </w:tcBorders>
            <w:vAlign w:val="center"/>
          </w:tcPr>
          <w:p w14:paraId="41611D40">
            <w:pPr>
              <w:shd w:val="clear"/>
              <w:snapToGrid w:val="0"/>
              <w:spacing w:before="50" w:after="50"/>
              <w:jc w:val="center"/>
              <w:rPr>
                <w:rFonts w:ascii="宋体" w:hAnsi="宋体" w:eastAsia="宋体" w:cs="宋体"/>
                <w:color w:val="auto"/>
                <w:sz w:val="24"/>
                <w:szCs w:val="24"/>
                <w:highlight w:val="none"/>
              </w:rPr>
            </w:pPr>
          </w:p>
        </w:tc>
      </w:tr>
    </w:tbl>
    <w:p w14:paraId="4045A10C">
      <w:pPr>
        <w:shd w:val="clear"/>
        <w:spacing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备注：</w:t>
      </w:r>
    </w:p>
    <w:p w14:paraId="3A0884BB">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r>
        <w:rPr>
          <w:rFonts w:hint="eastAsia" w:ascii="宋体" w:hAnsi="宋体" w:eastAsia="宋体" w:cs="宋体"/>
          <w:b/>
          <w:bCs/>
          <w:color w:val="auto"/>
          <w:kern w:val="0"/>
          <w:sz w:val="24"/>
          <w:szCs w:val="18"/>
          <w:highlight w:val="none"/>
          <w:lang w:val="en-US" w:eastAsia="zh-CN" w:bidi="ar-SA"/>
        </w:rPr>
        <w:t>以上配置清单中“标的名称、数量及单位、品牌、规格型号、制造商、原产地、参数性能、指标及配置”必须如实填写完整，品牌、规格型号没有则填无，填写有缺漏的，响应文件作无效处理</w:t>
      </w:r>
      <w:r>
        <w:rPr>
          <w:rFonts w:hint="eastAsia" w:ascii="宋体" w:hAnsi="宋体" w:eastAsia="宋体" w:cs="宋体"/>
          <w:b/>
          <w:color w:val="auto"/>
          <w:kern w:val="0"/>
          <w:sz w:val="24"/>
          <w:szCs w:val="18"/>
          <w:highlight w:val="none"/>
          <w:lang w:val="en-US" w:eastAsia="zh-CN" w:bidi="ar-SA"/>
        </w:rPr>
        <w:t>。标的名称</w:t>
      </w:r>
      <w:r>
        <w:rPr>
          <w:rFonts w:hint="eastAsia" w:ascii="宋体" w:hAnsi="宋体" w:eastAsia="宋体" w:cs="宋体"/>
          <w:color w:val="auto"/>
          <w:kern w:val="0"/>
          <w:sz w:val="24"/>
          <w:szCs w:val="18"/>
          <w:highlight w:val="none"/>
          <w:lang w:val="en-US" w:eastAsia="zh-CN" w:bidi="ar-SA"/>
        </w:rPr>
        <w:t>、数量及单位、品牌必须与“采购需求”一致，</w:t>
      </w:r>
      <w:r>
        <w:rPr>
          <w:rFonts w:hint="eastAsia" w:ascii="宋体" w:hAnsi="宋体" w:eastAsia="宋体" w:cs="宋体"/>
          <w:bCs/>
          <w:color w:val="auto"/>
          <w:kern w:val="0"/>
          <w:sz w:val="24"/>
          <w:szCs w:val="18"/>
          <w:highlight w:val="none"/>
          <w:lang w:val="en-US" w:eastAsia="zh-CN" w:bidi="ar-SA"/>
        </w:rPr>
        <w:t>否则响应文件作无效处理。</w:t>
      </w:r>
    </w:p>
    <w:p w14:paraId="19463799">
      <w:pPr>
        <w:shd w:val="clear"/>
        <w:snapToGrid w:val="0"/>
        <w:spacing w:before="50" w:after="50" w:line="360" w:lineRule="auto"/>
        <w:ind w:right="-817" w:rightChars="-389"/>
        <w:rPr>
          <w:rFonts w:ascii="宋体" w:hAnsi="宋体" w:eastAsia="宋体" w:cs="宋体"/>
          <w:color w:val="auto"/>
          <w:sz w:val="24"/>
          <w:highlight w:val="none"/>
        </w:rPr>
      </w:pPr>
    </w:p>
    <w:p w14:paraId="684A713D">
      <w:pPr>
        <w:shd w:val="clear"/>
        <w:spacing w:line="360" w:lineRule="auto"/>
        <w:ind w:firstLine="3840" w:firstLineChars="1600"/>
        <w:rPr>
          <w:rFonts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560559D6">
      <w:pPr>
        <w:shd w:val="clear"/>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日期：  年  月   日</w:t>
      </w:r>
    </w:p>
    <w:p w14:paraId="6DCF9731">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3B5D762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737ED9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D295A91">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F3D558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DF2FA9F">
      <w:pPr>
        <w:shd w:val="clea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三、售后服务方案</w:t>
      </w:r>
    </w:p>
    <w:p w14:paraId="61750497">
      <w:pPr>
        <w:widowControl w:val="0"/>
        <w:shd w:val="clear"/>
        <w:tabs>
          <w:tab w:val="center" w:pos="4153"/>
          <w:tab w:val="right" w:pos="8306"/>
        </w:tabs>
        <w:snapToGrid w:val="0"/>
        <w:jc w:val="left"/>
        <w:rPr>
          <w:rFonts w:ascii="宋体" w:hAnsi="宋体" w:eastAsia="宋体" w:cs="宋体"/>
          <w:b/>
          <w:bCs/>
          <w:color w:val="auto"/>
          <w:kern w:val="0"/>
          <w:sz w:val="24"/>
          <w:szCs w:val="18"/>
          <w:highlight w:val="none"/>
          <w:lang w:val="en-US" w:eastAsia="zh-CN" w:bidi="ar-SA"/>
        </w:rPr>
      </w:pPr>
    </w:p>
    <w:p w14:paraId="7FAF29E6">
      <w:pPr>
        <w:widowControl w:val="0"/>
        <w:shd w:val="clear"/>
        <w:tabs>
          <w:tab w:val="center" w:pos="4153"/>
          <w:tab w:val="right" w:pos="8306"/>
        </w:tabs>
        <w:snapToGrid w:val="0"/>
        <w:jc w:val="left"/>
        <w:rPr>
          <w:rFonts w:ascii="宋体" w:hAnsi="宋体" w:eastAsia="宋体" w:cs="宋体"/>
          <w:b/>
          <w:bCs/>
          <w:color w:val="auto"/>
          <w:kern w:val="0"/>
          <w:sz w:val="24"/>
          <w:szCs w:val="18"/>
          <w:highlight w:val="none"/>
          <w:lang w:val="en-US" w:eastAsia="zh-CN" w:bidi="ar-SA"/>
        </w:rPr>
      </w:pPr>
      <w:r>
        <w:rPr>
          <w:rFonts w:hint="eastAsia" w:ascii="宋体" w:hAnsi="宋体" w:eastAsia="宋体" w:cs="宋体"/>
          <w:b/>
          <w:bCs/>
          <w:color w:val="auto"/>
          <w:kern w:val="0"/>
          <w:sz w:val="24"/>
          <w:szCs w:val="18"/>
          <w:highlight w:val="none"/>
          <w:lang w:val="en-US" w:eastAsia="zh-CN" w:bidi="ar-SA"/>
        </w:rPr>
        <w:t>由供应商按本项目竞争性谈判文件第三章“采购需求”中商务条款部分的售后服务要求自行填写，其中要包含售后服务承诺书。</w:t>
      </w:r>
    </w:p>
    <w:p w14:paraId="1F1A0C5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3E00F9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CB5BCC6">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E7973DD">
      <w:pPr>
        <w:shd w:val="clear"/>
        <w:spacing w:line="360" w:lineRule="auto"/>
        <w:contextualSpacing/>
        <w:jc w:val="center"/>
        <w:rPr>
          <w:rFonts w:ascii="宋体" w:hAnsi="宋体" w:eastAsia="宋体" w:cs="宋体"/>
          <w:color w:val="auto"/>
          <w:kern w:val="0"/>
          <w:sz w:val="24"/>
          <w:highlight w:val="none"/>
        </w:rPr>
      </w:pPr>
    </w:p>
    <w:p w14:paraId="77D10EB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8B09772">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22857C08">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07865E7C">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5113DECA">
      <w:pPr>
        <w:shd w:val="clea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49832821">
      <w:pPr>
        <w:shd w:val="clea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四、项目实施人员一览表</w:t>
      </w:r>
    </w:p>
    <w:p w14:paraId="4A4C2422">
      <w:pPr>
        <w:shd w:val="clear"/>
        <w:rPr>
          <w:rFonts w:ascii="宋体" w:hAnsi="宋体" w:eastAsia="宋体" w:cs="宋体"/>
          <w:color w:val="auto"/>
          <w:highlight w:val="none"/>
        </w:rPr>
      </w:pPr>
    </w:p>
    <w:p w14:paraId="40CEF4FA">
      <w:pPr>
        <w:shd w:val="clear"/>
        <w:rPr>
          <w:rFonts w:ascii="宋体" w:hAnsi="宋体" w:eastAsia="宋体" w:cs="宋体"/>
          <w:color w:val="auto"/>
          <w:highlight w:val="none"/>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66"/>
        <w:gridCol w:w="1837"/>
        <w:gridCol w:w="1533"/>
        <w:gridCol w:w="1833"/>
        <w:gridCol w:w="1990"/>
      </w:tblGrid>
      <w:tr w14:paraId="4796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882" w:type="dxa"/>
            <w:vAlign w:val="center"/>
          </w:tcPr>
          <w:p w14:paraId="5E52AAB2">
            <w:pPr>
              <w:shd w:val="clear"/>
              <w:snapToGrid w:val="0"/>
              <w:spacing w:before="50" w:after="156" w:afterLines="50"/>
              <w:jc w:val="center"/>
              <w:rPr>
                <w:rFonts w:ascii="宋体" w:hAnsi="宋体" w:eastAsia="宋体" w:cs="宋体"/>
                <w:color w:val="auto"/>
                <w:sz w:val="24"/>
                <w:szCs w:val="20"/>
                <w:highlight w:val="none"/>
              </w:rPr>
            </w:pPr>
          </w:p>
          <w:p w14:paraId="4B67472E">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姓名</w:t>
            </w:r>
          </w:p>
        </w:tc>
        <w:tc>
          <w:tcPr>
            <w:tcW w:w="766" w:type="dxa"/>
            <w:vAlign w:val="center"/>
          </w:tcPr>
          <w:p w14:paraId="1A5E4DA8">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职务</w:t>
            </w:r>
          </w:p>
        </w:tc>
        <w:tc>
          <w:tcPr>
            <w:tcW w:w="1837" w:type="dxa"/>
            <w:vAlign w:val="center"/>
          </w:tcPr>
          <w:p w14:paraId="24DA36F8">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专业技术资格（职称）或者职业资格或者执业资格证或者其他证书</w:t>
            </w:r>
          </w:p>
        </w:tc>
        <w:tc>
          <w:tcPr>
            <w:tcW w:w="1533" w:type="dxa"/>
            <w:vAlign w:val="center"/>
          </w:tcPr>
          <w:p w14:paraId="22E6FF4C">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证书编号</w:t>
            </w:r>
          </w:p>
        </w:tc>
        <w:tc>
          <w:tcPr>
            <w:tcW w:w="1833" w:type="dxa"/>
            <w:vAlign w:val="center"/>
          </w:tcPr>
          <w:p w14:paraId="678CA506">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参加本单位</w:t>
            </w:r>
          </w:p>
          <w:p w14:paraId="4B58BC1D">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工作时间</w:t>
            </w:r>
          </w:p>
        </w:tc>
        <w:tc>
          <w:tcPr>
            <w:tcW w:w="1990" w:type="dxa"/>
            <w:vAlign w:val="center"/>
          </w:tcPr>
          <w:p w14:paraId="232FBB1E">
            <w:pPr>
              <w:shd w:val="clear"/>
              <w:snapToGrid w:val="0"/>
              <w:spacing w:before="50" w:after="156" w:afterLines="50"/>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劳动合同编号</w:t>
            </w:r>
          </w:p>
        </w:tc>
      </w:tr>
      <w:tr w14:paraId="02D2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82" w:type="dxa"/>
            <w:vAlign w:val="center"/>
          </w:tcPr>
          <w:p w14:paraId="10A18E8F">
            <w:pPr>
              <w:shd w:val="clear"/>
              <w:snapToGrid w:val="0"/>
              <w:spacing w:before="50" w:after="156" w:afterLines="50"/>
              <w:jc w:val="center"/>
              <w:rPr>
                <w:rFonts w:ascii="宋体" w:hAnsi="宋体" w:eastAsia="宋体" w:cs="宋体"/>
                <w:color w:val="auto"/>
                <w:sz w:val="24"/>
                <w:szCs w:val="20"/>
                <w:highlight w:val="none"/>
              </w:rPr>
            </w:pPr>
          </w:p>
        </w:tc>
        <w:tc>
          <w:tcPr>
            <w:tcW w:w="766" w:type="dxa"/>
            <w:vAlign w:val="center"/>
          </w:tcPr>
          <w:p w14:paraId="1734191E">
            <w:pPr>
              <w:shd w:val="clear"/>
              <w:snapToGrid w:val="0"/>
              <w:spacing w:before="50" w:after="156" w:afterLines="50"/>
              <w:jc w:val="center"/>
              <w:rPr>
                <w:rFonts w:ascii="宋体" w:hAnsi="宋体" w:eastAsia="宋体" w:cs="宋体"/>
                <w:color w:val="auto"/>
                <w:sz w:val="24"/>
                <w:szCs w:val="20"/>
                <w:highlight w:val="none"/>
              </w:rPr>
            </w:pPr>
          </w:p>
        </w:tc>
        <w:tc>
          <w:tcPr>
            <w:tcW w:w="1837" w:type="dxa"/>
            <w:vAlign w:val="center"/>
          </w:tcPr>
          <w:p w14:paraId="26801296">
            <w:pPr>
              <w:shd w:val="clear"/>
              <w:snapToGrid w:val="0"/>
              <w:spacing w:before="50" w:after="156" w:afterLines="50"/>
              <w:jc w:val="center"/>
              <w:rPr>
                <w:rFonts w:ascii="宋体" w:hAnsi="宋体" w:eastAsia="宋体" w:cs="宋体"/>
                <w:color w:val="auto"/>
                <w:sz w:val="24"/>
                <w:szCs w:val="20"/>
                <w:highlight w:val="none"/>
              </w:rPr>
            </w:pPr>
          </w:p>
        </w:tc>
        <w:tc>
          <w:tcPr>
            <w:tcW w:w="1533" w:type="dxa"/>
            <w:vAlign w:val="center"/>
          </w:tcPr>
          <w:p w14:paraId="610BC6C1">
            <w:pPr>
              <w:shd w:val="clear"/>
              <w:snapToGrid w:val="0"/>
              <w:spacing w:before="50" w:after="156" w:afterLines="50"/>
              <w:jc w:val="center"/>
              <w:rPr>
                <w:rFonts w:ascii="宋体" w:hAnsi="宋体" w:eastAsia="宋体" w:cs="宋体"/>
                <w:color w:val="auto"/>
                <w:sz w:val="24"/>
                <w:szCs w:val="20"/>
                <w:highlight w:val="none"/>
              </w:rPr>
            </w:pPr>
          </w:p>
        </w:tc>
        <w:tc>
          <w:tcPr>
            <w:tcW w:w="1833" w:type="dxa"/>
            <w:vAlign w:val="center"/>
          </w:tcPr>
          <w:p w14:paraId="6A42C406">
            <w:pPr>
              <w:shd w:val="clear"/>
              <w:snapToGrid w:val="0"/>
              <w:spacing w:before="50" w:after="156" w:afterLines="50"/>
              <w:jc w:val="center"/>
              <w:rPr>
                <w:rFonts w:ascii="宋体" w:hAnsi="宋体" w:eastAsia="宋体" w:cs="宋体"/>
                <w:color w:val="auto"/>
                <w:sz w:val="24"/>
                <w:szCs w:val="20"/>
                <w:highlight w:val="none"/>
              </w:rPr>
            </w:pPr>
          </w:p>
        </w:tc>
        <w:tc>
          <w:tcPr>
            <w:tcW w:w="1990" w:type="dxa"/>
            <w:vAlign w:val="center"/>
          </w:tcPr>
          <w:p w14:paraId="446331F3">
            <w:pPr>
              <w:shd w:val="clear"/>
              <w:snapToGrid w:val="0"/>
              <w:spacing w:before="50" w:after="156" w:afterLines="50"/>
              <w:jc w:val="center"/>
              <w:rPr>
                <w:rFonts w:ascii="宋体" w:hAnsi="宋体" w:eastAsia="宋体" w:cs="宋体"/>
                <w:color w:val="auto"/>
                <w:sz w:val="24"/>
                <w:szCs w:val="20"/>
                <w:highlight w:val="none"/>
              </w:rPr>
            </w:pPr>
          </w:p>
        </w:tc>
      </w:tr>
      <w:tr w14:paraId="4053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82" w:type="dxa"/>
            <w:vAlign w:val="center"/>
          </w:tcPr>
          <w:p w14:paraId="15086D7F">
            <w:pPr>
              <w:shd w:val="clear"/>
              <w:snapToGrid w:val="0"/>
              <w:spacing w:before="50" w:after="156" w:afterLines="50"/>
              <w:jc w:val="center"/>
              <w:rPr>
                <w:rFonts w:ascii="宋体" w:hAnsi="宋体" w:eastAsia="宋体" w:cs="宋体"/>
                <w:color w:val="auto"/>
                <w:sz w:val="24"/>
                <w:szCs w:val="20"/>
                <w:highlight w:val="none"/>
              </w:rPr>
            </w:pPr>
          </w:p>
        </w:tc>
        <w:tc>
          <w:tcPr>
            <w:tcW w:w="766" w:type="dxa"/>
            <w:vAlign w:val="center"/>
          </w:tcPr>
          <w:p w14:paraId="04EA164F">
            <w:pPr>
              <w:shd w:val="clear"/>
              <w:snapToGrid w:val="0"/>
              <w:spacing w:before="50" w:after="156" w:afterLines="50"/>
              <w:jc w:val="center"/>
              <w:rPr>
                <w:rFonts w:ascii="宋体" w:hAnsi="宋体" w:eastAsia="宋体" w:cs="宋体"/>
                <w:color w:val="auto"/>
                <w:sz w:val="24"/>
                <w:szCs w:val="20"/>
                <w:highlight w:val="none"/>
              </w:rPr>
            </w:pPr>
          </w:p>
        </w:tc>
        <w:tc>
          <w:tcPr>
            <w:tcW w:w="1837" w:type="dxa"/>
            <w:vAlign w:val="center"/>
          </w:tcPr>
          <w:p w14:paraId="017D4B9A">
            <w:pPr>
              <w:shd w:val="clear"/>
              <w:snapToGrid w:val="0"/>
              <w:spacing w:before="50" w:after="156" w:afterLines="50"/>
              <w:jc w:val="center"/>
              <w:rPr>
                <w:rFonts w:ascii="宋体" w:hAnsi="宋体" w:eastAsia="宋体" w:cs="宋体"/>
                <w:color w:val="auto"/>
                <w:sz w:val="24"/>
                <w:szCs w:val="20"/>
                <w:highlight w:val="none"/>
              </w:rPr>
            </w:pPr>
          </w:p>
        </w:tc>
        <w:tc>
          <w:tcPr>
            <w:tcW w:w="1533" w:type="dxa"/>
            <w:vAlign w:val="center"/>
          </w:tcPr>
          <w:p w14:paraId="3C016AC7">
            <w:pPr>
              <w:shd w:val="clear"/>
              <w:snapToGrid w:val="0"/>
              <w:spacing w:before="50" w:after="156" w:afterLines="50"/>
              <w:jc w:val="center"/>
              <w:rPr>
                <w:rFonts w:ascii="宋体" w:hAnsi="宋体" w:eastAsia="宋体" w:cs="宋体"/>
                <w:color w:val="auto"/>
                <w:sz w:val="24"/>
                <w:szCs w:val="20"/>
                <w:highlight w:val="none"/>
              </w:rPr>
            </w:pPr>
          </w:p>
        </w:tc>
        <w:tc>
          <w:tcPr>
            <w:tcW w:w="1833" w:type="dxa"/>
            <w:vAlign w:val="center"/>
          </w:tcPr>
          <w:p w14:paraId="4CE931CA">
            <w:pPr>
              <w:shd w:val="clear"/>
              <w:snapToGrid w:val="0"/>
              <w:spacing w:before="50" w:after="156" w:afterLines="50"/>
              <w:jc w:val="center"/>
              <w:rPr>
                <w:rFonts w:ascii="宋体" w:hAnsi="宋体" w:eastAsia="宋体" w:cs="宋体"/>
                <w:color w:val="auto"/>
                <w:sz w:val="24"/>
                <w:szCs w:val="20"/>
                <w:highlight w:val="none"/>
              </w:rPr>
            </w:pPr>
          </w:p>
        </w:tc>
        <w:tc>
          <w:tcPr>
            <w:tcW w:w="1990" w:type="dxa"/>
            <w:vAlign w:val="center"/>
          </w:tcPr>
          <w:p w14:paraId="0A1F89A8">
            <w:pPr>
              <w:shd w:val="clear"/>
              <w:snapToGrid w:val="0"/>
              <w:spacing w:before="50" w:after="156" w:afterLines="50"/>
              <w:jc w:val="center"/>
              <w:rPr>
                <w:rFonts w:ascii="宋体" w:hAnsi="宋体" w:eastAsia="宋体" w:cs="宋体"/>
                <w:color w:val="auto"/>
                <w:sz w:val="24"/>
                <w:szCs w:val="20"/>
                <w:highlight w:val="none"/>
              </w:rPr>
            </w:pPr>
          </w:p>
        </w:tc>
      </w:tr>
      <w:tr w14:paraId="0D2F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82" w:type="dxa"/>
            <w:vAlign w:val="center"/>
          </w:tcPr>
          <w:p w14:paraId="77B3E62D">
            <w:pPr>
              <w:shd w:val="clear"/>
              <w:snapToGrid w:val="0"/>
              <w:spacing w:before="50" w:after="156" w:afterLines="50"/>
              <w:jc w:val="center"/>
              <w:rPr>
                <w:rFonts w:ascii="宋体" w:hAnsi="宋体" w:eastAsia="宋体" w:cs="宋体"/>
                <w:color w:val="auto"/>
                <w:sz w:val="24"/>
                <w:szCs w:val="20"/>
                <w:highlight w:val="none"/>
              </w:rPr>
            </w:pPr>
          </w:p>
        </w:tc>
        <w:tc>
          <w:tcPr>
            <w:tcW w:w="766" w:type="dxa"/>
            <w:vAlign w:val="center"/>
          </w:tcPr>
          <w:p w14:paraId="53742038">
            <w:pPr>
              <w:shd w:val="clear"/>
              <w:snapToGrid w:val="0"/>
              <w:spacing w:before="50" w:after="156" w:afterLines="50"/>
              <w:jc w:val="center"/>
              <w:rPr>
                <w:rFonts w:ascii="宋体" w:hAnsi="宋体" w:eastAsia="宋体" w:cs="宋体"/>
                <w:color w:val="auto"/>
                <w:sz w:val="24"/>
                <w:szCs w:val="20"/>
                <w:highlight w:val="none"/>
              </w:rPr>
            </w:pPr>
          </w:p>
        </w:tc>
        <w:tc>
          <w:tcPr>
            <w:tcW w:w="1837" w:type="dxa"/>
            <w:vAlign w:val="center"/>
          </w:tcPr>
          <w:p w14:paraId="701498F1">
            <w:pPr>
              <w:shd w:val="clear"/>
              <w:snapToGrid w:val="0"/>
              <w:spacing w:before="50" w:after="156" w:afterLines="50"/>
              <w:jc w:val="center"/>
              <w:rPr>
                <w:rFonts w:ascii="宋体" w:hAnsi="宋体" w:eastAsia="宋体" w:cs="宋体"/>
                <w:color w:val="auto"/>
                <w:sz w:val="24"/>
                <w:szCs w:val="20"/>
                <w:highlight w:val="none"/>
              </w:rPr>
            </w:pPr>
          </w:p>
        </w:tc>
        <w:tc>
          <w:tcPr>
            <w:tcW w:w="1533" w:type="dxa"/>
            <w:vAlign w:val="center"/>
          </w:tcPr>
          <w:p w14:paraId="41C5653E">
            <w:pPr>
              <w:shd w:val="clear"/>
              <w:snapToGrid w:val="0"/>
              <w:spacing w:before="50" w:after="156" w:afterLines="50"/>
              <w:jc w:val="center"/>
              <w:rPr>
                <w:rFonts w:ascii="宋体" w:hAnsi="宋体" w:eastAsia="宋体" w:cs="宋体"/>
                <w:color w:val="auto"/>
                <w:sz w:val="24"/>
                <w:szCs w:val="20"/>
                <w:highlight w:val="none"/>
              </w:rPr>
            </w:pPr>
          </w:p>
        </w:tc>
        <w:tc>
          <w:tcPr>
            <w:tcW w:w="1833" w:type="dxa"/>
            <w:vAlign w:val="center"/>
          </w:tcPr>
          <w:p w14:paraId="3DA90E7B">
            <w:pPr>
              <w:shd w:val="clear"/>
              <w:snapToGrid w:val="0"/>
              <w:spacing w:before="50" w:after="156" w:afterLines="50"/>
              <w:jc w:val="center"/>
              <w:rPr>
                <w:rFonts w:ascii="宋体" w:hAnsi="宋体" w:eastAsia="宋体" w:cs="宋体"/>
                <w:color w:val="auto"/>
                <w:sz w:val="24"/>
                <w:szCs w:val="20"/>
                <w:highlight w:val="none"/>
              </w:rPr>
            </w:pPr>
          </w:p>
        </w:tc>
        <w:tc>
          <w:tcPr>
            <w:tcW w:w="1990" w:type="dxa"/>
            <w:vAlign w:val="center"/>
          </w:tcPr>
          <w:p w14:paraId="373930EF">
            <w:pPr>
              <w:shd w:val="clear"/>
              <w:snapToGrid w:val="0"/>
              <w:spacing w:before="50" w:after="156" w:afterLines="50"/>
              <w:jc w:val="center"/>
              <w:rPr>
                <w:rFonts w:ascii="宋体" w:hAnsi="宋体" w:eastAsia="宋体" w:cs="宋体"/>
                <w:color w:val="auto"/>
                <w:sz w:val="24"/>
                <w:szCs w:val="20"/>
                <w:highlight w:val="none"/>
              </w:rPr>
            </w:pPr>
          </w:p>
        </w:tc>
      </w:tr>
    </w:tbl>
    <w:p w14:paraId="48FD6867">
      <w:pPr>
        <w:shd w:val="clear"/>
        <w:snapToGrid w:val="0"/>
        <w:spacing w:before="50" w:after="156" w:afterLines="50"/>
        <w:jc w:val="left"/>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注：在填写时，如本表格不适合供应商的实际情况，可根据本表格式自行制表填写。</w:t>
      </w:r>
    </w:p>
    <w:p w14:paraId="7F5D29F8">
      <w:pPr>
        <w:shd w:val="clear"/>
        <w:spacing w:line="360" w:lineRule="auto"/>
        <w:ind w:firstLine="3840" w:firstLineChars="1600"/>
        <w:rPr>
          <w:rFonts w:ascii="宋体" w:hAnsi="宋体" w:eastAsia="宋体" w:cs="宋体"/>
          <w:color w:val="auto"/>
          <w:kern w:val="0"/>
          <w:sz w:val="24"/>
          <w:highlight w:val="none"/>
        </w:rPr>
      </w:pPr>
    </w:p>
    <w:p w14:paraId="559CD352">
      <w:pPr>
        <w:shd w:val="clear"/>
        <w:spacing w:line="360" w:lineRule="auto"/>
        <w:ind w:firstLine="3840" w:firstLineChars="1600"/>
        <w:rPr>
          <w:rFonts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466E73E9">
      <w:pPr>
        <w:shd w:val="clear"/>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日期：  年  月   日</w:t>
      </w:r>
    </w:p>
    <w:p w14:paraId="76EB87D9">
      <w:pPr>
        <w:widowControl w:val="0"/>
        <w:shd w:val="clear"/>
        <w:spacing w:after="120"/>
        <w:ind w:firstLine="210" w:firstLineChars="100"/>
        <w:jc w:val="both"/>
        <w:rPr>
          <w:rFonts w:ascii="宋体" w:hAnsi="宋体" w:eastAsia="宋体" w:cs="宋体"/>
          <w:color w:val="auto"/>
          <w:kern w:val="2"/>
          <w:sz w:val="21"/>
          <w:szCs w:val="24"/>
          <w:highlight w:val="none"/>
          <w:lang w:val="en-US" w:eastAsia="zh-CN" w:bidi="ar-SA"/>
        </w:rPr>
      </w:pPr>
    </w:p>
    <w:p w14:paraId="60F13CDA">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D4527B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96B43F5">
      <w:pPr>
        <w:shd w:val="clea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五、供应商认为需要提供的其他有关资料</w:t>
      </w:r>
    </w:p>
    <w:p w14:paraId="194FB18A">
      <w:pPr>
        <w:shd w:val="clear"/>
        <w:spacing w:line="360" w:lineRule="auto"/>
        <w:ind w:firstLine="5760" w:firstLineChars="1600"/>
        <w:rPr>
          <w:rFonts w:ascii="宋体" w:hAnsi="宋体" w:eastAsia="宋体" w:cs="宋体"/>
          <w:color w:val="auto"/>
          <w:sz w:val="36"/>
          <w:szCs w:val="36"/>
          <w:highlight w:val="none"/>
        </w:rPr>
      </w:pPr>
    </w:p>
    <w:p w14:paraId="7CD1718D">
      <w:pPr>
        <w:shd w:val="clear"/>
        <w:spacing w:line="360" w:lineRule="auto"/>
        <w:contextualSpacing/>
        <w:jc w:val="center"/>
        <w:rPr>
          <w:rFonts w:ascii="宋体" w:hAnsi="宋体" w:eastAsia="宋体" w:cs="宋体"/>
          <w:color w:val="auto"/>
          <w:kern w:val="0"/>
          <w:sz w:val="24"/>
          <w:highlight w:val="none"/>
        </w:rPr>
      </w:pPr>
    </w:p>
    <w:p w14:paraId="61F942B2">
      <w:pPr>
        <w:keepNext/>
        <w:keepLines/>
        <w:widowControl w:val="0"/>
        <w:shd w:val="clear"/>
        <w:spacing w:before="260" w:after="260" w:line="416" w:lineRule="auto"/>
        <w:jc w:val="both"/>
        <w:outlineLvl w:val="1"/>
        <w:rPr>
          <w:rFonts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br w:type="page"/>
      </w:r>
      <w:bookmarkStart w:id="72" w:name="_Toc175"/>
      <w:r>
        <w:rPr>
          <w:rFonts w:hint="eastAsia" w:ascii="宋体" w:hAnsi="宋体" w:eastAsia="宋体" w:cs="宋体"/>
          <w:b/>
          <w:bCs/>
          <w:color w:val="auto"/>
          <w:kern w:val="2"/>
          <w:sz w:val="32"/>
          <w:szCs w:val="32"/>
          <w:highlight w:val="none"/>
          <w:lang w:val="en-US" w:eastAsia="zh-CN" w:bidi="ar-SA"/>
        </w:rPr>
        <w:t>三、报价文件格式</w:t>
      </w:r>
      <w:bookmarkEnd w:id="72"/>
    </w:p>
    <w:p w14:paraId="6DE4573B">
      <w:pPr>
        <w:shd w:val="clear"/>
        <w:snapToGrid w:val="0"/>
        <w:spacing w:before="156" w:beforeLines="50" w:after="50" w:line="360" w:lineRule="auto"/>
        <w:jc w:val="left"/>
        <w:rPr>
          <w:rFonts w:ascii="宋体" w:hAnsi="宋体" w:eastAsia="宋体" w:cs="宋体"/>
          <w:b/>
          <w:color w:val="auto"/>
          <w:sz w:val="24"/>
          <w:highlight w:val="none"/>
        </w:rPr>
      </w:pPr>
      <w:r>
        <w:rPr>
          <w:rFonts w:hint="eastAsia" w:ascii="宋体" w:hAnsi="宋体" w:eastAsia="宋体" w:cs="宋体"/>
          <w:b/>
          <w:color w:val="auto"/>
          <w:sz w:val="32"/>
          <w:szCs w:val="32"/>
          <w:highlight w:val="none"/>
        </w:rPr>
        <w:t>1.报价文件封面格式：</w:t>
      </w:r>
      <w:r>
        <w:rPr>
          <w:rFonts w:hint="eastAsia" w:ascii="宋体" w:hAnsi="宋体" w:eastAsia="宋体" w:cs="宋体"/>
          <w:b/>
          <w:color w:val="auto"/>
          <w:sz w:val="24"/>
          <w:highlight w:val="none"/>
        </w:rPr>
        <w:t xml:space="preserve"> </w:t>
      </w:r>
    </w:p>
    <w:p w14:paraId="1F425367">
      <w:pPr>
        <w:shd w:val="clear"/>
        <w:snapToGrid w:val="0"/>
        <w:spacing w:before="156" w:beforeLines="50" w:after="50"/>
        <w:rPr>
          <w:rFonts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w:t>电子响应文件</w:t>
      </w:r>
    </w:p>
    <w:p w14:paraId="07D43AB2">
      <w:pPr>
        <w:shd w:val="clear"/>
        <w:snapToGrid w:val="0"/>
        <w:spacing w:before="156" w:beforeLines="50" w:after="50"/>
        <w:rPr>
          <w:rFonts w:ascii="宋体" w:hAnsi="宋体" w:eastAsia="宋体" w:cs="宋体"/>
          <w:color w:val="auto"/>
          <w:sz w:val="24"/>
          <w:szCs w:val="20"/>
          <w:highlight w:val="none"/>
        </w:rPr>
      </w:pPr>
    </w:p>
    <w:p w14:paraId="4B1E66E1">
      <w:pPr>
        <w:shd w:val="clear"/>
        <w:snapToGrid w:val="0"/>
        <w:spacing w:before="156" w:beforeLines="50" w:after="50"/>
        <w:rPr>
          <w:rFonts w:ascii="宋体" w:hAnsi="宋体" w:eastAsia="宋体" w:cs="宋体"/>
          <w:color w:val="auto"/>
          <w:sz w:val="24"/>
          <w:szCs w:val="20"/>
          <w:highlight w:val="none"/>
        </w:rPr>
      </w:pPr>
    </w:p>
    <w:p w14:paraId="1C6B09BF">
      <w:pPr>
        <w:shd w:val="clear"/>
        <w:snapToGrid w:val="0"/>
        <w:spacing w:before="156" w:beforeLines="50" w:after="50"/>
        <w:jc w:val="center"/>
        <w:rPr>
          <w:rFonts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36585431">
      <w:pPr>
        <w:shd w:val="clear"/>
        <w:snapToGrid w:val="0"/>
        <w:spacing w:before="156" w:beforeLines="50" w:after="50"/>
        <w:rPr>
          <w:rFonts w:ascii="宋体" w:hAnsi="宋体" w:eastAsia="宋体" w:cs="宋体"/>
          <w:bCs/>
          <w:color w:val="auto"/>
          <w:sz w:val="24"/>
          <w:szCs w:val="20"/>
          <w:highlight w:val="none"/>
        </w:rPr>
      </w:pPr>
    </w:p>
    <w:p w14:paraId="01727A7C">
      <w:pPr>
        <w:shd w:val="clear"/>
        <w:snapToGrid w:val="0"/>
        <w:spacing w:before="156" w:beforeLines="50" w:after="50"/>
        <w:rPr>
          <w:rFonts w:ascii="宋体" w:hAnsi="宋体" w:eastAsia="宋体" w:cs="宋体"/>
          <w:bCs/>
          <w:color w:val="auto"/>
          <w:sz w:val="24"/>
          <w:szCs w:val="20"/>
          <w:highlight w:val="none"/>
        </w:rPr>
      </w:pPr>
    </w:p>
    <w:p w14:paraId="27FE58DE">
      <w:pPr>
        <w:shd w:val="clear"/>
        <w:snapToGrid w:val="0"/>
        <w:spacing w:before="156" w:beforeLines="50" w:after="50"/>
        <w:rPr>
          <w:rFonts w:ascii="宋体" w:hAnsi="宋体" w:eastAsia="宋体" w:cs="宋体"/>
          <w:bCs/>
          <w:color w:val="auto"/>
          <w:sz w:val="24"/>
          <w:szCs w:val="20"/>
          <w:highlight w:val="none"/>
        </w:rPr>
      </w:pPr>
    </w:p>
    <w:p w14:paraId="7CB40787">
      <w:pPr>
        <w:shd w:val="clear"/>
        <w:snapToGrid w:val="0"/>
        <w:spacing w:before="156" w:beforeLines="50" w:after="50"/>
        <w:rPr>
          <w:rFonts w:ascii="宋体" w:hAnsi="宋体" w:eastAsia="宋体" w:cs="宋体"/>
          <w:bCs/>
          <w:color w:val="auto"/>
          <w:sz w:val="24"/>
          <w:szCs w:val="20"/>
          <w:highlight w:val="none"/>
        </w:rPr>
      </w:pPr>
    </w:p>
    <w:p w14:paraId="723CD68B">
      <w:pPr>
        <w:shd w:val="clear"/>
        <w:snapToGrid w:val="0"/>
        <w:spacing w:before="156" w:beforeLines="50" w:after="50"/>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F145992">
      <w:pPr>
        <w:shd w:val="clear"/>
        <w:snapToGrid w:val="0"/>
        <w:spacing w:before="156" w:beforeLines="50" w:after="50"/>
        <w:ind w:firstLine="720" w:firstLineChars="225"/>
        <w:rPr>
          <w:rFonts w:ascii="宋体" w:hAnsi="宋体" w:eastAsia="宋体" w:cs="宋体"/>
          <w:bCs/>
          <w:color w:val="auto"/>
          <w:sz w:val="32"/>
          <w:szCs w:val="32"/>
          <w:highlight w:val="none"/>
        </w:rPr>
      </w:pPr>
    </w:p>
    <w:p w14:paraId="11EAC512">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0D4F3A9">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99D1E5E">
      <w:pPr>
        <w:shd w:val="clear"/>
        <w:snapToGrid w:val="0"/>
        <w:spacing w:before="156" w:beforeLines="50" w:after="50"/>
        <w:ind w:firstLine="720" w:firstLineChars="225"/>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w:t>
      </w:r>
      <w:r>
        <w:rPr>
          <w:rFonts w:hint="eastAsia" w:ascii="宋体" w:hAnsi="宋体" w:eastAsia="宋体" w:cs="宋体"/>
          <w:bCs/>
          <w:color w:val="auto"/>
          <w:sz w:val="32"/>
          <w:szCs w:val="32"/>
          <w:highlight w:val="none"/>
          <w:lang w:val="en-US" w:eastAsia="zh-CN"/>
        </w:rPr>
        <w:t>响应</w:t>
      </w:r>
      <w:r>
        <w:rPr>
          <w:rFonts w:hint="eastAsia" w:ascii="宋体" w:hAnsi="宋体" w:eastAsia="宋体" w:cs="宋体"/>
          <w:bCs/>
          <w:color w:val="auto"/>
          <w:sz w:val="32"/>
          <w:szCs w:val="32"/>
          <w:highlight w:val="none"/>
        </w:rPr>
        <w:t>分标（如有则填写，无分标时填写“无”或者留空）：</w:t>
      </w:r>
    </w:p>
    <w:p w14:paraId="1433C628">
      <w:pPr>
        <w:shd w:val="clear"/>
        <w:snapToGrid w:val="0"/>
        <w:spacing w:before="156" w:beforeLines="50" w:after="50"/>
        <w:ind w:firstLine="720" w:firstLineChars="225"/>
        <w:rPr>
          <w:rFonts w:ascii="宋体" w:hAnsi="宋体" w:eastAsia="宋体" w:cs="宋体"/>
          <w:bCs/>
          <w:color w:val="auto"/>
          <w:sz w:val="32"/>
          <w:szCs w:val="32"/>
          <w:highlight w:val="none"/>
        </w:rPr>
      </w:pPr>
    </w:p>
    <w:p w14:paraId="29595920">
      <w:pPr>
        <w:widowControl w:val="0"/>
        <w:shd w:val="clear"/>
        <w:snapToGrid w:val="0"/>
        <w:spacing w:before="50" w:after="50"/>
        <w:ind w:firstLine="720" w:firstLineChars="225"/>
        <w:jc w:val="both"/>
        <w:rPr>
          <w:rFonts w:ascii="宋体" w:hAnsi="宋体" w:eastAsia="宋体" w:cs="宋体"/>
          <w:bCs/>
          <w:color w:val="auto"/>
          <w:kern w:val="2"/>
          <w:sz w:val="32"/>
          <w:szCs w:val="32"/>
          <w:highlight w:val="none"/>
          <w:lang w:val="en-US" w:eastAsia="zh-CN" w:bidi="ar-SA"/>
        </w:rPr>
      </w:pPr>
      <w:r>
        <w:rPr>
          <w:rFonts w:hint="eastAsia" w:ascii="宋体" w:hAnsi="宋体" w:eastAsia="宋体" w:cs="宋体"/>
          <w:bCs/>
          <w:color w:val="auto"/>
          <w:kern w:val="2"/>
          <w:sz w:val="32"/>
          <w:szCs w:val="32"/>
          <w:highlight w:val="none"/>
          <w:lang w:val="en-US" w:eastAsia="zh-CN" w:bidi="ar-SA"/>
        </w:rPr>
        <w:t>供应商名称：</w:t>
      </w:r>
    </w:p>
    <w:p w14:paraId="1567F108">
      <w:pPr>
        <w:widowControl w:val="0"/>
        <w:shd w:val="clear"/>
        <w:snapToGrid w:val="0"/>
        <w:spacing w:before="50" w:after="50"/>
        <w:ind w:firstLine="1280" w:firstLineChars="400"/>
        <w:jc w:val="both"/>
        <w:rPr>
          <w:rFonts w:ascii="宋体" w:hAnsi="宋体" w:eastAsia="宋体" w:cs="宋体"/>
          <w:bCs/>
          <w:color w:val="auto"/>
          <w:kern w:val="2"/>
          <w:sz w:val="32"/>
          <w:szCs w:val="32"/>
          <w:highlight w:val="none"/>
          <w:lang w:val="en-US" w:eastAsia="zh-CN" w:bidi="ar-SA"/>
        </w:rPr>
      </w:pPr>
    </w:p>
    <w:p w14:paraId="64501387">
      <w:pPr>
        <w:shd w:val="clear"/>
        <w:snapToGrid w:val="0"/>
        <w:spacing w:before="156" w:beforeLines="50" w:after="5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77C5595">
      <w:pPr>
        <w:shd w:val="clear"/>
        <w:snapToGrid w:val="0"/>
        <w:spacing w:before="156" w:beforeLines="50" w:after="50" w:line="360" w:lineRule="auto"/>
        <w:ind w:left="142"/>
        <w:jc w:val="left"/>
        <w:rPr>
          <w:rFonts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2.报价文件目录</w:t>
      </w:r>
    </w:p>
    <w:p w14:paraId="354C8930">
      <w:pPr>
        <w:shd w:val="clear"/>
        <w:snapToGrid w:val="0"/>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响应函</w:t>
      </w:r>
      <w:r>
        <w:rPr>
          <w:rFonts w:hint="eastAsia" w:ascii="宋体" w:hAnsi="宋体" w:eastAsia="宋体" w:cs="宋体"/>
          <w:color w:val="auto"/>
          <w:kern w:val="0"/>
          <w:sz w:val="24"/>
          <w:highlight w:val="none"/>
        </w:rPr>
        <w:t>………………………………………………………………………（页码）</w:t>
      </w:r>
    </w:p>
    <w:p w14:paraId="2A36E35A">
      <w:pPr>
        <w:shd w:val="clea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3049CE80">
      <w:pPr>
        <w:shd w:val="clear"/>
        <w:snapToGrid w:val="0"/>
        <w:spacing w:line="360" w:lineRule="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三、中小企业声明函或《残疾人福利性单位声明函》或属于监狱企业的证明文件……（页码）</w:t>
      </w:r>
    </w:p>
    <w:p w14:paraId="6A21508C">
      <w:pPr>
        <w:shd w:val="clea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四、关于符合本国产品标准的声明函</w:t>
      </w:r>
      <w:r>
        <w:rPr>
          <w:rFonts w:hint="eastAsia" w:ascii="宋体" w:hAnsi="宋体" w:eastAsia="宋体" w:cs="宋体"/>
          <w:color w:val="auto"/>
          <w:kern w:val="0"/>
          <w:sz w:val="24"/>
          <w:highlight w:val="none"/>
        </w:rPr>
        <w:t>…………………………………………（页码）</w:t>
      </w:r>
    </w:p>
    <w:p w14:paraId="7BCFD4A4">
      <w:pPr>
        <w:shd w:val="clea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五、</w:t>
      </w:r>
      <w:r>
        <w:rPr>
          <w:rFonts w:hint="eastAsia" w:ascii="宋体" w:hAnsi="宋体" w:eastAsia="宋体" w:cs="宋体"/>
          <w:color w:val="auto"/>
          <w:kern w:val="0"/>
          <w:sz w:val="24"/>
          <w:highlight w:val="none"/>
        </w:rPr>
        <w:t>供应商认为需要提供的其他有关资料………………………………（页码）</w:t>
      </w:r>
    </w:p>
    <w:p w14:paraId="3DDAF959">
      <w:pPr>
        <w:shd w:val="clear"/>
        <w:snapToGrid w:val="0"/>
        <w:spacing w:line="360" w:lineRule="auto"/>
        <w:rPr>
          <w:rFonts w:hint="eastAsia" w:ascii="宋体" w:hAnsi="宋体" w:eastAsia="宋体" w:cs="宋体"/>
          <w:color w:val="auto"/>
          <w:kern w:val="0"/>
          <w:sz w:val="24"/>
          <w:highlight w:val="none"/>
          <w:lang w:val="en-US" w:eastAsia="zh-CN"/>
        </w:rPr>
      </w:pPr>
    </w:p>
    <w:p w14:paraId="4DBD75D0">
      <w:pPr>
        <w:shd w:val="clear"/>
        <w:rPr>
          <w:rFonts w:ascii="宋体" w:hAnsi="宋体" w:eastAsia="宋体" w:cs="宋体"/>
          <w:color w:val="auto"/>
          <w:sz w:val="24"/>
          <w:highlight w:val="none"/>
        </w:rPr>
      </w:pPr>
    </w:p>
    <w:p w14:paraId="47BECEFF">
      <w:pPr>
        <w:shd w:val="clear"/>
        <w:snapToGrid w:val="0"/>
        <w:spacing w:before="156" w:beforeLines="50" w:after="50" w:line="360" w:lineRule="auto"/>
        <w:ind w:firstLine="645"/>
        <w:rPr>
          <w:rFonts w:ascii="宋体" w:hAnsi="宋体" w:eastAsia="宋体" w:cs="宋体"/>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r>
        <w:rPr>
          <w:rFonts w:hint="eastAsia" w:ascii="宋体" w:hAnsi="宋体" w:eastAsia="宋体" w:cs="宋体"/>
          <w:color w:val="auto"/>
          <w:sz w:val="24"/>
          <w:highlight w:val="none"/>
        </w:rPr>
        <w:t>。</w:t>
      </w:r>
    </w:p>
    <w:p w14:paraId="396D0AE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4AB9CF55">
      <w:pPr>
        <w:shd w:val="clear"/>
        <w:spacing w:line="520" w:lineRule="exact"/>
        <w:jc w:val="center"/>
        <w:rPr>
          <w:rFonts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 w:val="32"/>
          <w:szCs w:val="32"/>
          <w:highlight w:val="none"/>
        </w:rPr>
        <w:t>一、响应函</w:t>
      </w:r>
    </w:p>
    <w:p w14:paraId="0FF87AD2">
      <w:pPr>
        <w:shd w:val="clear"/>
        <w:rPr>
          <w:rFonts w:ascii="宋体" w:hAnsi="宋体" w:eastAsia="宋体" w:cs="宋体"/>
          <w:color w:val="auto"/>
          <w:highlight w:val="none"/>
        </w:rPr>
      </w:pPr>
    </w:p>
    <w:p w14:paraId="0B1A4D9A">
      <w:pPr>
        <w:widowControl w:val="0"/>
        <w:shd w:val="clear"/>
        <w:spacing w:line="440" w:lineRule="exact"/>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w:t>
      </w:r>
      <w:r>
        <w:rPr>
          <w:rFonts w:hint="eastAsia" w:ascii="宋体" w:hAnsi="宋体" w:eastAsia="宋体" w:cs="宋体"/>
          <w:color w:val="auto"/>
          <w:kern w:val="0"/>
          <w:sz w:val="24"/>
          <w:szCs w:val="24"/>
          <w:highlight w:val="none"/>
          <w:u w:val="single"/>
          <w:lang w:val="en-US" w:eastAsia="zh-CN" w:bidi="ar-SA"/>
        </w:rPr>
        <w:t>（采购人名称）</w:t>
      </w:r>
    </w:p>
    <w:p w14:paraId="5D6B8776">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我方已仔细阅读了贵方组织的</w:t>
      </w:r>
      <w:r>
        <w:rPr>
          <w:rFonts w:hint="eastAsia" w:ascii="宋体" w:hAnsi="宋体" w:eastAsia="宋体" w:cs="宋体"/>
          <w:color w:val="auto"/>
          <w:kern w:val="0"/>
          <w:sz w:val="24"/>
          <w:szCs w:val="24"/>
          <w:highlight w:val="none"/>
          <w:u w:val="single"/>
          <w:lang w:val="en-US" w:eastAsia="zh-CN" w:bidi="ar-SA"/>
        </w:rPr>
        <w:t xml:space="preserve">  （项目名称）  </w:t>
      </w:r>
      <w:r>
        <w:rPr>
          <w:rFonts w:hint="eastAsia" w:ascii="宋体" w:hAnsi="宋体" w:eastAsia="宋体" w:cs="宋体"/>
          <w:color w:val="auto"/>
          <w:kern w:val="0"/>
          <w:sz w:val="24"/>
          <w:szCs w:val="24"/>
          <w:highlight w:val="none"/>
          <w:lang w:val="en-US" w:eastAsia="zh-CN" w:bidi="ar-SA"/>
        </w:rPr>
        <w:t>项目（项目编号：</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）的竞争性</w:t>
      </w: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color w:val="auto"/>
          <w:kern w:val="0"/>
          <w:sz w:val="24"/>
          <w:szCs w:val="24"/>
          <w:highlight w:val="none"/>
          <w:lang w:val="en-US" w:eastAsia="zh-CN" w:bidi="ar-SA"/>
        </w:rPr>
        <w:t>文件的全部内容，授权</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（职务、职称）为全权代表，现正式递交下述文件参加贵方组织的本次政府采购活动： </w:t>
      </w:r>
    </w:p>
    <w:p w14:paraId="3F20D8A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一、报价文件电子版一份（包含按供应商须知前附表要求提交的全部文件）；</w:t>
      </w:r>
    </w:p>
    <w:p w14:paraId="7201EA33">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二、资格文件电子版一份（包含按供应商须知前附表要求提交的全部文件）；</w:t>
      </w:r>
    </w:p>
    <w:p w14:paraId="23CF98C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三、技术文件电子版一份（包含按供应商须知前附表要求提交的全部文件）；</w:t>
      </w:r>
    </w:p>
    <w:p w14:paraId="073A70D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四、商务文件电子版一份（包含按供应商须知前附表要求提交的全部文件）；</w:t>
      </w:r>
    </w:p>
    <w:p w14:paraId="52BE0DB3">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据此函，签字人兹宣布：</w:t>
      </w:r>
    </w:p>
    <w:p w14:paraId="16739B26">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1.我方愿意以（大写）人民币</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元 （</w:t>
      </w:r>
      <w:r>
        <w:rPr>
          <w:rFonts w:hint="eastAsia" w:ascii="Arial" w:hAnsi="Arial" w:eastAsia="宋体" w:cs="Arial"/>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）的总报价，交付时间：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，提供本项目竞争性</w:t>
      </w: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color w:val="auto"/>
          <w:kern w:val="0"/>
          <w:sz w:val="24"/>
          <w:szCs w:val="24"/>
          <w:highlight w:val="none"/>
          <w:lang w:val="en-US" w:eastAsia="zh-CN" w:bidi="ar-SA"/>
        </w:rPr>
        <w:t>文件第三章“采购需求”中的相应的采购内容。</w:t>
      </w:r>
    </w:p>
    <w:p w14:paraId="4068384A">
      <w:pPr>
        <w:widowControl w:val="0"/>
        <w:shd w:val="clear"/>
        <w:spacing w:line="360" w:lineRule="exact"/>
        <w:ind w:firstLine="480" w:firstLineChars="20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2.我方同意自本项目竞争性</w:t>
      </w: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color w:val="auto"/>
          <w:kern w:val="0"/>
          <w:sz w:val="24"/>
          <w:szCs w:val="24"/>
          <w:highlight w:val="none"/>
          <w:lang w:val="en-US" w:eastAsia="zh-CN" w:bidi="ar-SA"/>
        </w:rPr>
        <w:t>文件“第二章 供应商须知”第一节 供应商须知前附表第20.1项规定的截止时间（开标时间）起遵循本响应函，并承诺在“供应商须知前附表”第16.2项规定的响应有效期内不修改、撤销响应文件。</w:t>
      </w:r>
    </w:p>
    <w:p w14:paraId="47534947">
      <w:pPr>
        <w:widowControl w:val="0"/>
        <w:shd w:val="clear"/>
        <w:spacing w:line="360" w:lineRule="exact"/>
        <w:ind w:firstLine="480" w:firstLineChars="20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3.我方所递交的响应文件及有关资料都是内容完整、真实和准确的。</w:t>
      </w:r>
    </w:p>
    <w:p w14:paraId="417B9CAC">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4.如本项目采购内容涉及须符合国家强制规定的，我方承诺我方本次响应（包括资格条件和所投产品）均符合国家有关强制规定。</w:t>
      </w:r>
    </w:p>
    <w:p w14:paraId="5130305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5.如我方成交，我方承诺在收到成交通知书后，在成交通知书规定的期限内，根据竞争性</w:t>
      </w: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color w:val="auto"/>
          <w:kern w:val="0"/>
          <w:sz w:val="24"/>
          <w:szCs w:val="24"/>
          <w:highlight w:val="none"/>
          <w:lang w:val="en-US" w:eastAsia="zh-CN" w:bidi="ar-SA"/>
        </w:rPr>
        <w:t>文件、我方的响应文件及有关澄清承诺书的要求按第六章“合同文本”与采购人订立书面合同，并按照合同约定承担完成合同的责任和义务。</w:t>
      </w:r>
    </w:p>
    <w:p w14:paraId="126E4095">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6.我方已详细审核竞争性</w:t>
      </w: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color w:val="auto"/>
          <w:kern w:val="0"/>
          <w:sz w:val="24"/>
          <w:szCs w:val="24"/>
          <w:highlight w:val="none"/>
          <w:lang w:val="en-US" w:eastAsia="zh-CN" w:bidi="ar-SA"/>
        </w:rPr>
        <w:t>文件，我方知道必须放弃提出含糊不清或误解问题的权利。</w:t>
      </w:r>
    </w:p>
    <w:p w14:paraId="5493C001">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7.我方同意应贵方要求提供与本响应有关的任何数据或资料。若贵方需要，我方愿意提供我方做出的一切承诺的证明材料。</w:t>
      </w:r>
    </w:p>
    <w:p w14:paraId="66804C2D">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8.我方完全理解贵方不一定接受响应报价最低的供应商为成交供应商的行为。</w:t>
      </w:r>
    </w:p>
    <w:p w14:paraId="06C29EE8">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69411BB">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（1）提供虚假材料谋取中标、成交的；</w:t>
      </w:r>
    </w:p>
    <w:p w14:paraId="3CAD3122">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（2）采取不正当手段诋毁、排挤其他供应商的；</w:t>
      </w:r>
    </w:p>
    <w:p w14:paraId="39A8D67B">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（3）与采购人、其他供应商或者采购代理机构恶意串通的；</w:t>
      </w:r>
    </w:p>
    <w:p w14:paraId="025E0B7F">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（4）向采购人、采购代理机构行贿或者提供其他不正当利益的；</w:t>
      </w:r>
    </w:p>
    <w:p w14:paraId="79EA861F">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（5）在招标采购过程中与采购人进行协商谈判的；</w:t>
      </w:r>
    </w:p>
    <w:p w14:paraId="758FD523">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（6）拒绝有关部门监督检查或提供虚假情况的。</w:t>
      </w:r>
    </w:p>
    <w:p w14:paraId="21AC737C">
      <w:pPr>
        <w:widowControl w:val="0"/>
        <w:shd w:val="clear"/>
        <w:spacing w:line="440" w:lineRule="exact"/>
        <w:ind w:left="42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10.我方及由本人担任法定代表人的其他机构最近三年内被处罚的违法行为有：</w:t>
      </w:r>
      <w:r>
        <w:rPr>
          <w:rFonts w:hint="eastAsia" w:ascii="宋体" w:hAnsi="宋体" w:eastAsia="宋体" w:cs="宋体"/>
          <w:color w:val="auto"/>
          <w:kern w:val="0"/>
          <w:sz w:val="24"/>
          <w:szCs w:val="24"/>
          <w:highlight w:val="none"/>
          <w:u w:val="single"/>
          <w:lang w:val="en-US" w:eastAsia="zh-CN" w:bidi="ar-SA"/>
        </w:rPr>
        <w:t xml:space="preserve">       </w:t>
      </w:r>
    </w:p>
    <w:p w14:paraId="2B6978CC">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11.以上事项如有虚假或隐瞒，我方愿意承担一切后果，并不再寻求任何旨在减轻或免除法律责任的辩解。</w:t>
      </w:r>
    </w:p>
    <w:p w14:paraId="0405AB69">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12.与本响应有关的一切正式往来信函请寄：</w:t>
      </w:r>
    </w:p>
    <w:p w14:paraId="3D61C77C">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地址：</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5E2CD164">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电话：</w:t>
      </w:r>
      <w:r>
        <w:rPr>
          <w:rFonts w:hint="eastAsia" w:ascii="宋体" w:hAnsi="宋体" w:eastAsia="宋体" w:cs="宋体"/>
          <w:color w:val="auto"/>
          <w:kern w:val="0"/>
          <w:sz w:val="24"/>
          <w:szCs w:val="24"/>
          <w:highlight w:val="none"/>
          <w:u w:val="single"/>
          <w:lang w:val="en-US" w:eastAsia="zh-CN" w:bidi="ar-SA"/>
        </w:rPr>
        <w:t xml:space="preserve">                                      　　　　　　　　　</w:t>
      </w:r>
    </w:p>
    <w:p w14:paraId="3509169B">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传真：</w:t>
      </w:r>
      <w:r>
        <w:rPr>
          <w:rFonts w:hint="eastAsia" w:ascii="宋体" w:hAnsi="宋体" w:eastAsia="宋体" w:cs="宋体"/>
          <w:color w:val="auto"/>
          <w:kern w:val="0"/>
          <w:sz w:val="24"/>
          <w:szCs w:val="24"/>
          <w:highlight w:val="none"/>
          <w:u w:val="single"/>
          <w:lang w:val="en-US" w:eastAsia="zh-CN" w:bidi="ar-SA"/>
        </w:rPr>
        <w:t>　　　　　　　　　　　　　　　　　　　　　　　　　　　　</w:t>
      </w:r>
    </w:p>
    <w:p w14:paraId="49C63556">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邮政编码：</w:t>
      </w:r>
      <w:r>
        <w:rPr>
          <w:rFonts w:hint="eastAsia" w:ascii="宋体" w:hAnsi="宋体" w:eastAsia="宋体" w:cs="宋体"/>
          <w:color w:val="auto"/>
          <w:kern w:val="0"/>
          <w:sz w:val="24"/>
          <w:szCs w:val="24"/>
          <w:highlight w:val="none"/>
          <w:u w:val="single"/>
          <w:lang w:val="en-US" w:eastAsia="zh-CN" w:bidi="ar-SA"/>
        </w:rPr>
        <w:t xml:space="preserve">                                                    </w:t>
      </w:r>
    </w:p>
    <w:p w14:paraId="361BEFE0">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开户名称：</w:t>
      </w:r>
      <w:r>
        <w:rPr>
          <w:rFonts w:hint="eastAsia" w:ascii="宋体" w:hAnsi="宋体" w:eastAsia="宋体" w:cs="宋体"/>
          <w:color w:val="auto"/>
          <w:kern w:val="0"/>
          <w:sz w:val="24"/>
          <w:szCs w:val="24"/>
          <w:highlight w:val="none"/>
          <w:u w:val="single"/>
          <w:lang w:val="en-US" w:eastAsia="zh-CN" w:bidi="ar-SA"/>
        </w:rPr>
        <w:t xml:space="preserve">                                                    </w:t>
      </w:r>
    </w:p>
    <w:p w14:paraId="5BA9431B">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开户银行：</w:t>
      </w:r>
      <w:r>
        <w:rPr>
          <w:rFonts w:hint="eastAsia" w:ascii="宋体" w:hAnsi="宋体" w:eastAsia="宋体" w:cs="宋体"/>
          <w:color w:val="auto"/>
          <w:kern w:val="0"/>
          <w:sz w:val="24"/>
          <w:szCs w:val="24"/>
          <w:highlight w:val="none"/>
          <w:u w:val="single"/>
          <w:lang w:val="en-US" w:eastAsia="zh-CN" w:bidi="ar-SA"/>
        </w:rPr>
        <w:t xml:space="preserve">                                                    </w:t>
      </w:r>
    </w:p>
    <w:p w14:paraId="6261B493">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银行账号：</w:t>
      </w:r>
      <w:r>
        <w:rPr>
          <w:rFonts w:hint="eastAsia" w:ascii="宋体" w:hAnsi="宋体" w:eastAsia="宋体" w:cs="宋体"/>
          <w:color w:val="auto"/>
          <w:kern w:val="0"/>
          <w:sz w:val="24"/>
          <w:szCs w:val="24"/>
          <w:highlight w:val="none"/>
          <w:u w:val="single"/>
          <w:lang w:val="en-US" w:eastAsia="zh-CN" w:bidi="ar-SA"/>
        </w:rPr>
        <w:t xml:space="preserve">                                                    </w:t>
      </w:r>
    </w:p>
    <w:p w14:paraId="26821369">
      <w:pPr>
        <w:shd w:val="clear"/>
        <w:snapToGrid w:val="0"/>
        <w:spacing w:line="360" w:lineRule="auto"/>
        <w:ind w:firstLine="5040" w:firstLineChars="2100"/>
        <w:rPr>
          <w:rFonts w:ascii="宋体" w:hAnsi="宋体" w:eastAsia="宋体" w:cs="宋体"/>
          <w:color w:val="auto"/>
          <w:kern w:val="0"/>
          <w:sz w:val="24"/>
          <w:highlight w:val="none"/>
          <w:lang w:val="zh-CN"/>
        </w:rPr>
      </w:pPr>
    </w:p>
    <w:p w14:paraId="3E3AC7F0">
      <w:pPr>
        <w:pStyle w:val="6"/>
        <w:ind w:firstLine="480" w:firstLineChars="200"/>
        <w:rPr>
          <w:color w:val="auto"/>
          <w:lang w:val="zh-CN"/>
        </w:rPr>
      </w:pPr>
      <w:r>
        <w:rPr>
          <w:rFonts w:hint="eastAsia" w:ascii="宋体" w:hAnsi="宋体" w:eastAsia="宋体" w:cs="宋体"/>
          <w:color w:val="auto"/>
          <w:kern w:val="0"/>
          <w:sz w:val="24"/>
          <w:highlight w:val="none"/>
          <w:lang w:val="zh-CN"/>
        </w:rPr>
        <w:t>特此承诺。</w:t>
      </w:r>
    </w:p>
    <w:p w14:paraId="49874BFA">
      <w:pPr>
        <w:shd w:val="clear"/>
        <w:snapToGrid w:val="0"/>
        <w:spacing w:line="360" w:lineRule="auto"/>
        <w:ind w:firstLine="5040" w:firstLineChars="2100"/>
        <w:rPr>
          <w:rFonts w:hint="eastAsia" w:ascii="宋体" w:hAnsi="宋体" w:eastAsia="宋体" w:cs="宋体"/>
          <w:color w:val="auto"/>
          <w:kern w:val="0"/>
          <w:sz w:val="24"/>
          <w:highlight w:val="none"/>
          <w:lang w:val="zh-CN"/>
        </w:rPr>
      </w:pPr>
    </w:p>
    <w:p w14:paraId="67D3D7F2">
      <w:pPr>
        <w:shd w:val="clear"/>
        <w:snapToGrid w:val="0"/>
        <w:spacing w:line="360" w:lineRule="auto"/>
        <w:ind w:firstLine="5040" w:firstLineChars="2100"/>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供应商名称（电子签章）：</w:t>
      </w:r>
    </w:p>
    <w:p w14:paraId="2AC511A2">
      <w:pPr>
        <w:shd w:val="clear"/>
        <w:snapToGrid w:val="0"/>
        <w:spacing w:line="360" w:lineRule="auto"/>
        <w:ind w:firstLine="5160" w:firstLineChars="215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AA0E336">
      <w:pPr>
        <w:shd w:val="clear"/>
        <w:snapToGrid w:val="0"/>
        <w:spacing w:line="360" w:lineRule="auto"/>
        <w:ind w:firstLine="5160" w:firstLineChars="2150"/>
        <w:rPr>
          <w:rFonts w:ascii="宋体" w:hAnsi="宋体" w:eastAsia="宋体" w:cs="宋体"/>
          <w:color w:val="auto"/>
          <w:kern w:val="0"/>
          <w:sz w:val="24"/>
          <w:highlight w:val="none"/>
          <w:lang w:val="zh-CN"/>
        </w:rPr>
      </w:pPr>
    </w:p>
    <w:p w14:paraId="538E5F40">
      <w:pPr>
        <w:shd w:val="clear"/>
        <w:spacing w:line="520" w:lineRule="exact"/>
        <w:jc w:val="center"/>
        <w:rPr>
          <w:rFonts w:ascii="宋体" w:hAnsi="宋体" w:eastAsia="宋体" w:cs="宋体"/>
          <w:bCs/>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 w:val="32"/>
          <w:szCs w:val="32"/>
          <w:highlight w:val="none"/>
        </w:rPr>
        <w:t>二、响应报价表</w:t>
      </w:r>
    </w:p>
    <w:p w14:paraId="669C7B86">
      <w:pPr>
        <w:shd w:val="clear"/>
        <w:spacing w:line="440" w:lineRule="exact"/>
        <w:jc w:val="center"/>
        <w:rPr>
          <w:rFonts w:ascii="宋体" w:hAnsi="宋体" w:eastAsia="宋体" w:cs="宋体"/>
          <w:bCs/>
          <w:color w:val="auto"/>
          <w:sz w:val="32"/>
          <w:szCs w:val="32"/>
          <w:highlight w:val="none"/>
        </w:rPr>
      </w:pPr>
    </w:p>
    <w:p w14:paraId="01BA2468">
      <w:pPr>
        <w:shd w:val="clear"/>
        <w:spacing w:line="360" w:lineRule="auto"/>
        <w:rPr>
          <w:rFonts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p>
    <w:p w14:paraId="024F0653">
      <w:pPr>
        <w:shd w:val="clear"/>
        <w:spacing w:line="360" w:lineRule="auto"/>
        <w:rPr>
          <w:rFonts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2D5A6B8A">
      <w:pPr>
        <w:shd w:val="clear"/>
        <w:spacing w:line="360" w:lineRule="auto"/>
        <w:rPr>
          <w:rFonts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分标号（此处有分标时填写具体分标号，无分标时填写“无”）：</w:t>
      </w:r>
      <w:r>
        <w:rPr>
          <w:rFonts w:hint="eastAsia" w:ascii="宋体" w:hAnsi="宋体" w:eastAsia="宋体" w:cs="宋体"/>
          <w:color w:val="auto"/>
          <w:sz w:val="22"/>
          <w:szCs w:val="22"/>
          <w:highlight w:val="none"/>
          <w:u w:val="single"/>
        </w:rPr>
        <w:t xml:space="preserve">               </w:t>
      </w:r>
    </w:p>
    <w:p w14:paraId="12085D7B">
      <w:pPr>
        <w:shd w:val="clear"/>
        <w:snapToGrid w:val="0"/>
        <w:spacing w:before="50" w:after="50" w:line="360" w:lineRule="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单位：元</w:t>
      </w:r>
    </w:p>
    <w:tbl>
      <w:tblPr>
        <w:tblStyle w:val="4"/>
        <w:tblW w:w="97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91"/>
        <w:gridCol w:w="1378"/>
        <w:gridCol w:w="1918"/>
        <w:gridCol w:w="1211"/>
        <w:gridCol w:w="1075"/>
        <w:gridCol w:w="950"/>
        <w:gridCol w:w="1563"/>
        <w:gridCol w:w="1091"/>
      </w:tblGrid>
      <w:tr w14:paraId="3CCC0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9" w:hRule="atLeast"/>
          <w:jc w:val="center"/>
        </w:trPr>
        <w:tc>
          <w:tcPr>
            <w:tcW w:w="591" w:type="dxa"/>
            <w:tcBorders>
              <w:left w:val="single" w:color="000000" w:sz="4" w:space="0"/>
              <w:right w:val="single" w:color="000000" w:sz="4" w:space="0"/>
            </w:tcBorders>
            <w:vAlign w:val="center"/>
          </w:tcPr>
          <w:p w14:paraId="2A8429E3">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378" w:type="dxa"/>
            <w:tcBorders>
              <w:left w:val="single" w:color="000000" w:sz="4" w:space="0"/>
              <w:right w:val="single" w:color="000000" w:sz="4" w:space="0"/>
            </w:tcBorders>
            <w:vAlign w:val="center"/>
          </w:tcPr>
          <w:p w14:paraId="76A6487A">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标的名称</w:t>
            </w:r>
          </w:p>
        </w:tc>
        <w:tc>
          <w:tcPr>
            <w:tcW w:w="1918" w:type="dxa"/>
            <w:tcBorders>
              <w:left w:val="single" w:color="000000" w:sz="4" w:space="0"/>
              <w:right w:val="single" w:color="000000" w:sz="4" w:space="0"/>
            </w:tcBorders>
            <w:vAlign w:val="center"/>
          </w:tcPr>
          <w:p w14:paraId="6F0380A0">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1211" w:type="dxa"/>
            <w:tcBorders>
              <w:left w:val="single" w:color="000000" w:sz="4" w:space="0"/>
              <w:right w:val="single" w:color="000000" w:sz="4" w:space="0"/>
            </w:tcBorders>
            <w:vAlign w:val="center"/>
          </w:tcPr>
          <w:p w14:paraId="44A830A3">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品牌（如有）</w:t>
            </w:r>
          </w:p>
        </w:tc>
        <w:tc>
          <w:tcPr>
            <w:tcW w:w="1075" w:type="dxa"/>
            <w:tcBorders>
              <w:left w:val="single" w:color="000000" w:sz="4" w:space="0"/>
              <w:right w:val="single" w:color="000000" w:sz="4" w:space="0"/>
            </w:tcBorders>
            <w:vAlign w:val="center"/>
          </w:tcPr>
          <w:p w14:paraId="79E9F96D">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数量①</w:t>
            </w:r>
          </w:p>
        </w:tc>
        <w:tc>
          <w:tcPr>
            <w:tcW w:w="950" w:type="dxa"/>
            <w:tcBorders>
              <w:left w:val="single" w:color="000000" w:sz="4" w:space="0"/>
              <w:right w:val="single" w:color="000000" w:sz="4" w:space="0"/>
            </w:tcBorders>
            <w:vAlign w:val="center"/>
          </w:tcPr>
          <w:p w14:paraId="1AB62230">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单价（元）②</w:t>
            </w:r>
          </w:p>
        </w:tc>
        <w:tc>
          <w:tcPr>
            <w:tcW w:w="1563" w:type="dxa"/>
            <w:tcBorders>
              <w:left w:val="single" w:color="000000" w:sz="4" w:space="0"/>
              <w:right w:val="single" w:color="000000" w:sz="4" w:space="0"/>
            </w:tcBorders>
            <w:vAlign w:val="center"/>
          </w:tcPr>
          <w:p w14:paraId="042E7014">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单项合价</w:t>
            </w:r>
          </w:p>
          <w:p w14:paraId="30BE59B0">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（元）③ ＝ ① ×②</w:t>
            </w:r>
          </w:p>
        </w:tc>
        <w:tc>
          <w:tcPr>
            <w:tcW w:w="1091" w:type="dxa"/>
            <w:tcBorders>
              <w:left w:val="single" w:color="000000" w:sz="4" w:space="0"/>
              <w:right w:val="single" w:color="000000" w:sz="4" w:space="0"/>
            </w:tcBorders>
            <w:vAlign w:val="center"/>
          </w:tcPr>
          <w:p w14:paraId="3B7392D9">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4A265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jc w:val="center"/>
        </w:trPr>
        <w:tc>
          <w:tcPr>
            <w:tcW w:w="591" w:type="dxa"/>
            <w:tcBorders>
              <w:left w:val="single" w:color="000000" w:sz="4" w:space="0"/>
              <w:right w:val="single" w:color="000000" w:sz="4" w:space="0"/>
            </w:tcBorders>
            <w:vAlign w:val="center"/>
          </w:tcPr>
          <w:p w14:paraId="29BC26A5">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378" w:type="dxa"/>
            <w:tcBorders>
              <w:left w:val="single" w:color="000000" w:sz="4" w:space="0"/>
              <w:right w:val="single" w:color="000000" w:sz="4" w:space="0"/>
            </w:tcBorders>
            <w:vAlign w:val="center"/>
          </w:tcPr>
          <w:p w14:paraId="6C4DE58D">
            <w:pPr>
              <w:shd w:val="clear"/>
              <w:jc w:val="center"/>
              <w:rPr>
                <w:rFonts w:ascii="宋体" w:hAnsi="宋体" w:eastAsia="宋体" w:cs="宋体"/>
                <w:color w:val="auto"/>
                <w:sz w:val="22"/>
                <w:szCs w:val="22"/>
                <w:highlight w:val="none"/>
              </w:rPr>
            </w:pPr>
          </w:p>
        </w:tc>
        <w:tc>
          <w:tcPr>
            <w:tcW w:w="1918" w:type="dxa"/>
            <w:tcBorders>
              <w:left w:val="single" w:color="000000" w:sz="4" w:space="0"/>
              <w:right w:val="single" w:color="000000" w:sz="4" w:space="0"/>
            </w:tcBorders>
            <w:vAlign w:val="center"/>
          </w:tcPr>
          <w:p w14:paraId="4DB12E2D">
            <w:pPr>
              <w:shd w:val="clear"/>
              <w:jc w:val="center"/>
              <w:rPr>
                <w:rFonts w:ascii="宋体" w:hAnsi="宋体" w:eastAsia="宋体" w:cs="宋体"/>
                <w:color w:val="auto"/>
                <w:sz w:val="22"/>
                <w:szCs w:val="22"/>
                <w:highlight w:val="none"/>
              </w:rPr>
            </w:pPr>
          </w:p>
        </w:tc>
        <w:tc>
          <w:tcPr>
            <w:tcW w:w="1211" w:type="dxa"/>
            <w:tcBorders>
              <w:left w:val="single" w:color="000000" w:sz="4" w:space="0"/>
              <w:right w:val="single" w:color="000000" w:sz="4" w:space="0"/>
            </w:tcBorders>
            <w:vAlign w:val="center"/>
          </w:tcPr>
          <w:p w14:paraId="79CB6386">
            <w:pPr>
              <w:shd w:val="clear"/>
              <w:jc w:val="center"/>
              <w:rPr>
                <w:rFonts w:ascii="宋体" w:hAnsi="宋体" w:eastAsia="宋体" w:cs="宋体"/>
                <w:color w:val="auto"/>
                <w:sz w:val="22"/>
                <w:szCs w:val="22"/>
                <w:highlight w:val="none"/>
              </w:rPr>
            </w:pPr>
          </w:p>
        </w:tc>
        <w:tc>
          <w:tcPr>
            <w:tcW w:w="1075" w:type="dxa"/>
            <w:tcBorders>
              <w:left w:val="single" w:color="000000" w:sz="4" w:space="0"/>
              <w:right w:val="single" w:color="000000" w:sz="4" w:space="0"/>
            </w:tcBorders>
            <w:vAlign w:val="center"/>
          </w:tcPr>
          <w:p w14:paraId="6BE91DE3">
            <w:pPr>
              <w:shd w:val="clear"/>
              <w:jc w:val="center"/>
              <w:rPr>
                <w:rFonts w:ascii="宋体" w:hAnsi="宋体" w:eastAsia="宋体" w:cs="宋体"/>
                <w:color w:val="auto"/>
                <w:sz w:val="22"/>
                <w:szCs w:val="22"/>
                <w:highlight w:val="none"/>
              </w:rPr>
            </w:pPr>
          </w:p>
        </w:tc>
        <w:tc>
          <w:tcPr>
            <w:tcW w:w="950" w:type="dxa"/>
            <w:tcBorders>
              <w:left w:val="single" w:color="000000" w:sz="4" w:space="0"/>
              <w:right w:val="single" w:color="000000" w:sz="4" w:space="0"/>
            </w:tcBorders>
            <w:vAlign w:val="center"/>
          </w:tcPr>
          <w:p w14:paraId="2712F8F0">
            <w:pPr>
              <w:shd w:val="clear"/>
              <w:jc w:val="center"/>
              <w:rPr>
                <w:rFonts w:ascii="宋体" w:hAnsi="宋体" w:eastAsia="宋体" w:cs="宋体"/>
                <w:color w:val="auto"/>
                <w:sz w:val="22"/>
                <w:szCs w:val="22"/>
                <w:highlight w:val="none"/>
              </w:rPr>
            </w:pPr>
          </w:p>
        </w:tc>
        <w:tc>
          <w:tcPr>
            <w:tcW w:w="1563" w:type="dxa"/>
            <w:tcBorders>
              <w:left w:val="single" w:color="000000" w:sz="4" w:space="0"/>
              <w:right w:val="single" w:color="000000" w:sz="4" w:space="0"/>
            </w:tcBorders>
            <w:vAlign w:val="center"/>
          </w:tcPr>
          <w:p w14:paraId="394C0DE3">
            <w:pPr>
              <w:shd w:val="clear"/>
              <w:jc w:val="center"/>
              <w:rPr>
                <w:rFonts w:ascii="宋体" w:hAnsi="宋体" w:eastAsia="宋体" w:cs="宋体"/>
                <w:color w:val="auto"/>
                <w:sz w:val="22"/>
                <w:szCs w:val="22"/>
                <w:highlight w:val="none"/>
              </w:rPr>
            </w:pPr>
          </w:p>
        </w:tc>
        <w:tc>
          <w:tcPr>
            <w:tcW w:w="1091" w:type="dxa"/>
            <w:tcBorders>
              <w:left w:val="single" w:color="000000" w:sz="4" w:space="0"/>
              <w:right w:val="single" w:color="000000" w:sz="4" w:space="0"/>
            </w:tcBorders>
            <w:vAlign w:val="center"/>
          </w:tcPr>
          <w:p w14:paraId="6735C325">
            <w:pPr>
              <w:shd w:val="clear"/>
              <w:jc w:val="center"/>
              <w:rPr>
                <w:rFonts w:ascii="宋体" w:hAnsi="宋体" w:eastAsia="宋体" w:cs="宋体"/>
                <w:color w:val="auto"/>
                <w:sz w:val="22"/>
                <w:szCs w:val="22"/>
                <w:highlight w:val="none"/>
              </w:rPr>
            </w:pPr>
          </w:p>
        </w:tc>
      </w:tr>
      <w:tr w14:paraId="121DB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jc w:val="center"/>
        </w:trPr>
        <w:tc>
          <w:tcPr>
            <w:tcW w:w="591" w:type="dxa"/>
            <w:tcBorders>
              <w:left w:val="single" w:color="000000" w:sz="4" w:space="0"/>
              <w:right w:val="single" w:color="000000" w:sz="4" w:space="0"/>
            </w:tcBorders>
            <w:vAlign w:val="center"/>
          </w:tcPr>
          <w:p w14:paraId="0926AF8A">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378" w:type="dxa"/>
            <w:tcBorders>
              <w:left w:val="single" w:color="000000" w:sz="4" w:space="0"/>
              <w:right w:val="single" w:color="000000" w:sz="4" w:space="0"/>
            </w:tcBorders>
            <w:vAlign w:val="center"/>
          </w:tcPr>
          <w:p w14:paraId="4BA36C0D">
            <w:pPr>
              <w:shd w:val="clear"/>
              <w:jc w:val="center"/>
              <w:rPr>
                <w:rFonts w:ascii="宋体" w:hAnsi="宋体" w:eastAsia="宋体" w:cs="宋体"/>
                <w:color w:val="auto"/>
                <w:sz w:val="22"/>
                <w:szCs w:val="22"/>
                <w:highlight w:val="none"/>
              </w:rPr>
            </w:pPr>
          </w:p>
        </w:tc>
        <w:tc>
          <w:tcPr>
            <w:tcW w:w="1918" w:type="dxa"/>
            <w:tcBorders>
              <w:left w:val="single" w:color="000000" w:sz="4" w:space="0"/>
              <w:right w:val="single" w:color="000000" w:sz="4" w:space="0"/>
            </w:tcBorders>
            <w:vAlign w:val="center"/>
          </w:tcPr>
          <w:p w14:paraId="3B844A22">
            <w:pPr>
              <w:shd w:val="clear"/>
              <w:jc w:val="center"/>
              <w:rPr>
                <w:rFonts w:ascii="宋体" w:hAnsi="宋体" w:eastAsia="宋体" w:cs="宋体"/>
                <w:color w:val="auto"/>
                <w:sz w:val="22"/>
                <w:szCs w:val="22"/>
                <w:highlight w:val="none"/>
              </w:rPr>
            </w:pPr>
          </w:p>
        </w:tc>
        <w:tc>
          <w:tcPr>
            <w:tcW w:w="1211" w:type="dxa"/>
            <w:tcBorders>
              <w:left w:val="single" w:color="000000" w:sz="4" w:space="0"/>
              <w:right w:val="single" w:color="000000" w:sz="4" w:space="0"/>
            </w:tcBorders>
            <w:vAlign w:val="center"/>
          </w:tcPr>
          <w:p w14:paraId="7487C090">
            <w:pPr>
              <w:shd w:val="clear"/>
              <w:jc w:val="center"/>
              <w:rPr>
                <w:rFonts w:ascii="宋体" w:hAnsi="宋体" w:eastAsia="宋体" w:cs="宋体"/>
                <w:color w:val="auto"/>
                <w:sz w:val="22"/>
                <w:szCs w:val="22"/>
                <w:highlight w:val="none"/>
              </w:rPr>
            </w:pPr>
          </w:p>
        </w:tc>
        <w:tc>
          <w:tcPr>
            <w:tcW w:w="1075" w:type="dxa"/>
            <w:tcBorders>
              <w:left w:val="single" w:color="000000" w:sz="4" w:space="0"/>
              <w:right w:val="single" w:color="000000" w:sz="4" w:space="0"/>
            </w:tcBorders>
            <w:vAlign w:val="center"/>
          </w:tcPr>
          <w:p w14:paraId="08EC6FB4">
            <w:pPr>
              <w:shd w:val="clear"/>
              <w:jc w:val="center"/>
              <w:rPr>
                <w:rFonts w:ascii="宋体" w:hAnsi="宋体" w:eastAsia="宋体" w:cs="宋体"/>
                <w:color w:val="auto"/>
                <w:sz w:val="22"/>
                <w:szCs w:val="22"/>
                <w:highlight w:val="none"/>
              </w:rPr>
            </w:pPr>
          </w:p>
        </w:tc>
        <w:tc>
          <w:tcPr>
            <w:tcW w:w="950" w:type="dxa"/>
            <w:tcBorders>
              <w:left w:val="single" w:color="000000" w:sz="4" w:space="0"/>
              <w:right w:val="single" w:color="000000" w:sz="4" w:space="0"/>
            </w:tcBorders>
            <w:vAlign w:val="center"/>
          </w:tcPr>
          <w:p w14:paraId="7664CDC3">
            <w:pPr>
              <w:shd w:val="clear"/>
              <w:jc w:val="center"/>
              <w:rPr>
                <w:rFonts w:ascii="宋体" w:hAnsi="宋体" w:eastAsia="宋体" w:cs="宋体"/>
                <w:color w:val="auto"/>
                <w:sz w:val="22"/>
                <w:szCs w:val="22"/>
                <w:highlight w:val="none"/>
              </w:rPr>
            </w:pPr>
          </w:p>
        </w:tc>
        <w:tc>
          <w:tcPr>
            <w:tcW w:w="1563" w:type="dxa"/>
            <w:tcBorders>
              <w:left w:val="single" w:color="000000" w:sz="4" w:space="0"/>
              <w:right w:val="single" w:color="000000" w:sz="4" w:space="0"/>
            </w:tcBorders>
            <w:vAlign w:val="center"/>
          </w:tcPr>
          <w:p w14:paraId="26A5B8A5">
            <w:pPr>
              <w:shd w:val="clear"/>
              <w:jc w:val="center"/>
              <w:rPr>
                <w:rFonts w:ascii="宋体" w:hAnsi="宋体" w:eastAsia="宋体" w:cs="宋体"/>
                <w:color w:val="auto"/>
                <w:sz w:val="22"/>
                <w:szCs w:val="22"/>
                <w:highlight w:val="none"/>
              </w:rPr>
            </w:pPr>
          </w:p>
        </w:tc>
        <w:tc>
          <w:tcPr>
            <w:tcW w:w="1091" w:type="dxa"/>
            <w:tcBorders>
              <w:left w:val="single" w:color="000000" w:sz="4" w:space="0"/>
              <w:right w:val="single" w:color="000000" w:sz="4" w:space="0"/>
            </w:tcBorders>
            <w:vAlign w:val="center"/>
          </w:tcPr>
          <w:p w14:paraId="075A8E08">
            <w:pPr>
              <w:shd w:val="clear"/>
              <w:jc w:val="center"/>
              <w:rPr>
                <w:rFonts w:ascii="宋体" w:hAnsi="宋体" w:eastAsia="宋体" w:cs="宋体"/>
                <w:color w:val="auto"/>
                <w:sz w:val="22"/>
                <w:szCs w:val="22"/>
                <w:highlight w:val="none"/>
              </w:rPr>
            </w:pPr>
          </w:p>
        </w:tc>
      </w:tr>
      <w:tr w14:paraId="10310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jc w:val="center"/>
        </w:trPr>
        <w:tc>
          <w:tcPr>
            <w:tcW w:w="591" w:type="dxa"/>
            <w:tcBorders>
              <w:left w:val="single" w:color="000000" w:sz="4" w:space="0"/>
              <w:right w:val="single" w:color="000000" w:sz="4" w:space="0"/>
            </w:tcBorders>
            <w:vAlign w:val="center"/>
          </w:tcPr>
          <w:p w14:paraId="421E809E">
            <w:pPr>
              <w:shd w:val="clear"/>
              <w:jc w:val="cente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78" w:type="dxa"/>
            <w:tcBorders>
              <w:left w:val="single" w:color="000000" w:sz="4" w:space="0"/>
              <w:right w:val="single" w:color="000000" w:sz="4" w:space="0"/>
            </w:tcBorders>
            <w:vAlign w:val="center"/>
          </w:tcPr>
          <w:p w14:paraId="049CDE28">
            <w:pPr>
              <w:shd w:val="clear"/>
              <w:jc w:val="center"/>
              <w:rPr>
                <w:rFonts w:ascii="宋体" w:hAnsi="宋体" w:eastAsia="宋体" w:cs="宋体"/>
                <w:color w:val="auto"/>
                <w:sz w:val="22"/>
                <w:szCs w:val="22"/>
                <w:highlight w:val="none"/>
              </w:rPr>
            </w:pPr>
          </w:p>
        </w:tc>
        <w:tc>
          <w:tcPr>
            <w:tcW w:w="1918" w:type="dxa"/>
            <w:tcBorders>
              <w:left w:val="single" w:color="000000" w:sz="4" w:space="0"/>
              <w:right w:val="single" w:color="000000" w:sz="4" w:space="0"/>
            </w:tcBorders>
            <w:vAlign w:val="center"/>
          </w:tcPr>
          <w:p w14:paraId="0AC958C3">
            <w:pPr>
              <w:shd w:val="clear"/>
              <w:jc w:val="center"/>
              <w:rPr>
                <w:rFonts w:ascii="宋体" w:hAnsi="宋体" w:eastAsia="宋体" w:cs="宋体"/>
                <w:color w:val="auto"/>
                <w:sz w:val="22"/>
                <w:szCs w:val="22"/>
                <w:highlight w:val="none"/>
              </w:rPr>
            </w:pPr>
          </w:p>
        </w:tc>
        <w:tc>
          <w:tcPr>
            <w:tcW w:w="1211" w:type="dxa"/>
            <w:tcBorders>
              <w:left w:val="single" w:color="000000" w:sz="4" w:space="0"/>
              <w:right w:val="single" w:color="000000" w:sz="4" w:space="0"/>
            </w:tcBorders>
            <w:vAlign w:val="center"/>
          </w:tcPr>
          <w:p w14:paraId="0669DF3B">
            <w:pPr>
              <w:shd w:val="clear"/>
              <w:jc w:val="center"/>
              <w:rPr>
                <w:rFonts w:ascii="宋体" w:hAnsi="宋体" w:eastAsia="宋体" w:cs="宋体"/>
                <w:color w:val="auto"/>
                <w:sz w:val="22"/>
                <w:szCs w:val="22"/>
                <w:highlight w:val="none"/>
              </w:rPr>
            </w:pPr>
          </w:p>
        </w:tc>
        <w:tc>
          <w:tcPr>
            <w:tcW w:w="1075" w:type="dxa"/>
            <w:tcBorders>
              <w:left w:val="single" w:color="000000" w:sz="4" w:space="0"/>
              <w:right w:val="single" w:color="000000" w:sz="4" w:space="0"/>
            </w:tcBorders>
            <w:vAlign w:val="center"/>
          </w:tcPr>
          <w:p w14:paraId="64597254">
            <w:pPr>
              <w:shd w:val="clear"/>
              <w:jc w:val="center"/>
              <w:rPr>
                <w:rFonts w:ascii="宋体" w:hAnsi="宋体" w:eastAsia="宋体" w:cs="宋体"/>
                <w:color w:val="auto"/>
                <w:sz w:val="22"/>
                <w:szCs w:val="22"/>
                <w:highlight w:val="none"/>
              </w:rPr>
            </w:pPr>
          </w:p>
        </w:tc>
        <w:tc>
          <w:tcPr>
            <w:tcW w:w="950" w:type="dxa"/>
            <w:tcBorders>
              <w:left w:val="single" w:color="000000" w:sz="4" w:space="0"/>
              <w:right w:val="single" w:color="000000" w:sz="4" w:space="0"/>
            </w:tcBorders>
            <w:vAlign w:val="center"/>
          </w:tcPr>
          <w:p w14:paraId="22F38EC0">
            <w:pPr>
              <w:shd w:val="clear"/>
              <w:jc w:val="center"/>
              <w:rPr>
                <w:rFonts w:ascii="宋体" w:hAnsi="宋体" w:eastAsia="宋体" w:cs="宋体"/>
                <w:color w:val="auto"/>
                <w:sz w:val="22"/>
                <w:szCs w:val="22"/>
                <w:highlight w:val="none"/>
              </w:rPr>
            </w:pPr>
          </w:p>
        </w:tc>
        <w:tc>
          <w:tcPr>
            <w:tcW w:w="1563" w:type="dxa"/>
            <w:tcBorders>
              <w:left w:val="single" w:color="000000" w:sz="4" w:space="0"/>
              <w:right w:val="single" w:color="000000" w:sz="4" w:space="0"/>
            </w:tcBorders>
            <w:vAlign w:val="center"/>
          </w:tcPr>
          <w:p w14:paraId="105CB70D">
            <w:pPr>
              <w:shd w:val="clear"/>
              <w:jc w:val="center"/>
              <w:rPr>
                <w:rFonts w:ascii="宋体" w:hAnsi="宋体" w:eastAsia="宋体" w:cs="宋体"/>
                <w:color w:val="auto"/>
                <w:sz w:val="22"/>
                <w:szCs w:val="22"/>
                <w:highlight w:val="none"/>
              </w:rPr>
            </w:pPr>
          </w:p>
        </w:tc>
        <w:tc>
          <w:tcPr>
            <w:tcW w:w="1091" w:type="dxa"/>
            <w:tcBorders>
              <w:left w:val="single" w:color="000000" w:sz="4" w:space="0"/>
              <w:right w:val="single" w:color="000000" w:sz="4" w:space="0"/>
            </w:tcBorders>
            <w:vAlign w:val="center"/>
          </w:tcPr>
          <w:p w14:paraId="0D6732F9">
            <w:pPr>
              <w:shd w:val="clear"/>
              <w:jc w:val="center"/>
              <w:rPr>
                <w:rFonts w:ascii="宋体" w:hAnsi="宋体" w:eastAsia="宋体" w:cs="宋体"/>
                <w:color w:val="auto"/>
                <w:sz w:val="22"/>
                <w:szCs w:val="22"/>
                <w:highlight w:val="none"/>
              </w:rPr>
            </w:pPr>
          </w:p>
        </w:tc>
      </w:tr>
      <w:tr w14:paraId="58226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9777" w:type="dxa"/>
            <w:gridSpan w:val="8"/>
            <w:tcBorders>
              <w:left w:val="single" w:color="000000" w:sz="4" w:space="0"/>
              <w:right w:val="single" w:color="000000" w:sz="4" w:space="0"/>
            </w:tcBorders>
            <w:vAlign w:val="center"/>
          </w:tcPr>
          <w:p w14:paraId="3D8F4B4D">
            <w:pPr>
              <w:shd w:val="clea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报价合计（包含税费等所有费用）：（大写）人民币</w:t>
            </w:r>
            <w:r>
              <w:rPr>
                <w:rFonts w:hint="eastAsia" w:ascii="宋体" w:hAnsi="宋体" w:eastAsia="宋体" w:cs="宋体"/>
                <w:color w:val="auto"/>
                <w:sz w:val="22"/>
                <w:szCs w:val="22"/>
                <w:highlight w:val="none"/>
                <w:u w:val="single"/>
              </w:rPr>
              <w:tab/>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tc>
      </w:tr>
      <w:tr w14:paraId="789F0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9777" w:type="dxa"/>
            <w:gridSpan w:val="8"/>
            <w:tcBorders>
              <w:left w:val="single" w:color="000000" w:sz="4" w:space="0"/>
              <w:right w:val="single" w:color="000000" w:sz="4" w:space="0"/>
            </w:tcBorders>
            <w:vAlign w:val="center"/>
          </w:tcPr>
          <w:p w14:paraId="5772B301">
            <w:pPr>
              <w:shd w:val="clear"/>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验收标准</w:t>
            </w:r>
            <w:r>
              <w:rPr>
                <w:rFonts w:hint="eastAsia" w:ascii="宋体" w:hAnsi="宋体" w:eastAsia="宋体" w:cs="宋体"/>
                <w:color w:val="auto"/>
                <w:sz w:val="22"/>
                <w:szCs w:val="22"/>
                <w:highlight w:val="none"/>
              </w:rPr>
              <w:t>：</w:t>
            </w:r>
          </w:p>
        </w:tc>
      </w:tr>
      <w:tr w14:paraId="4256C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9777" w:type="dxa"/>
            <w:gridSpan w:val="8"/>
            <w:tcBorders>
              <w:left w:val="single" w:color="000000" w:sz="4" w:space="0"/>
              <w:right w:val="single" w:color="000000" w:sz="4" w:space="0"/>
            </w:tcBorders>
            <w:vAlign w:val="center"/>
          </w:tcPr>
          <w:p w14:paraId="036AA3DC">
            <w:pPr>
              <w:shd w:val="clea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优惠及其他：</w:t>
            </w:r>
          </w:p>
        </w:tc>
      </w:tr>
    </w:tbl>
    <w:p w14:paraId="396AD66E">
      <w:pPr>
        <w:keepNext w:val="0"/>
        <w:keepLines w:val="0"/>
        <w:pageBreakBefore w:val="0"/>
        <w:widowControl w:val="0"/>
        <w:shd w:val="clear"/>
        <w:kinsoku/>
        <w:wordWrap/>
        <w:overflowPunct/>
        <w:topLinePunct w:val="0"/>
        <w:autoSpaceDE/>
        <w:autoSpaceDN/>
        <w:bidi w:val="0"/>
        <w:adjustRightInd/>
        <w:snapToGrid w:val="0"/>
        <w:spacing w:before="50" w:after="50" w:line="312" w:lineRule="auto"/>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注： </w:t>
      </w:r>
    </w:p>
    <w:p w14:paraId="2062B602">
      <w:pPr>
        <w:keepNext w:val="0"/>
        <w:keepLines w:val="0"/>
        <w:pageBreakBefore w:val="0"/>
        <w:widowControl w:val="0"/>
        <w:shd w:val="clear"/>
        <w:kinsoku/>
        <w:wordWrap/>
        <w:overflowPunct/>
        <w:topLinePunct w:val="0"/>
        <w:autoSpaceDE/>
        <w:autoSpaceDN/>
        <w:bidi w:val="0"/>
        <w:adjustRightInd/>
        <w:snapToGrid w:val="0"/>
        <w:spacing w:line="360"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 xml:space="preserve"> 供应商需按本表格式填写，不得自行更改，也不得留空,</w:t>
      </w:r>
      <w:r>
        <w:rPr>
          <w:rFonts w:hint="eastAsia" w:ascii="宋体" w:hAnsi="宋体" w:eastAsia="宋体" w:cs="宋体"/>
          <w:b/>
          <w:color w:val="auto"/>
          <w:spacing w:val="-6"/>
          <w:sz w:val="22"/>
          <w:szCs w:val="22"/>
          <w:highlight w:val="none"/>
        </w:rPr>
        <w:t>否则其响应文件按无效响应处理</w:t>
      </w:r>
      <w:r>
        <w:rPr>
          <w:rFonts w:hint="eastAsia" w:ascii="宋体" w:hAnsi="宋体" w:eastAsia="宋体" w:cs="宋体"/>
          <w:color w:val="auto"/>
          <w:sz w:val="22"/>
          <w:szCs w:val="22"/>
          <w:highlight w:val="none"/>
          <w:lang w:val="zh-CN"/>
        </w:rPr>
        <w:t>。如有多分标，按分标分别提供响应报价表。</w:t>
      </w:r>
    </w:p>
    <w:p w14:paraId="660FD457">
      <w:pPr>
        <w:keepNext w:val="0"/>
        <w:keepLines w:val="0"/>
        <w:pageBreakBefore w:val="0"/>
        <w:widowControl w:val="0"/>
        <w:shd w:val="clear"/>
        <w:kinsoku/>
        <w:wordWrap/>
        <w:overflowPunct/>
        <w:topLinePunct w:val="0"/>
        <w:autoSpaceDE/>
        <w:autoSpaceDN/>
        <w:bidi w:val="0"/>
        <w:adjustRightInd/>
        <w:snapToGrid w:val="0"/>
        <w:spacing w:line="360" w:lineRule="auto"/>
        <w:ind w:firstLine="440" w:firstLineChars="200"/>
        <w:jc w:val="left"/>
        <w:textAlignment w:val="auto"/>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供应商的</w:t>
      </w:r>
      <w:r>
        <w:rPr>
          <w:rFonts w:hint="eastAsia" w:ascii="宋体" w:hAnsi="宋体" w:eastAsia="宋体" w:cs="宋体"/>
          <w:color w:val="auto"/>
          <w:sz w:val="22"/>
          <w:szCs w:val="22"/>
          <w:highlight w:val="none"/>
          <w:lang w:val="en-US" w:eastAsia="zh-CN"/>
        </w:rPr>
        <w:t>响应</w:t>
      </w:r>
      <w:r>
        <w:rPr>
          <w:rFonts w:hint="eastAsia" w:ascii="宋体" w:hAnsi="宋体" w:eastAsia="宋体" w:cs="宋体"/>
          <w:color w:val="auto"/>
          <w:sz w:val="22"/>
          <w:szCs w:val="22"/>
          <w:highlight w:val="none"/>
        </w:rPr>
        <w:t>报价表必须加盖</w:t>
      </w:r>
      <w:r>
        <w:rPr>
          <w:rFonts w:hint="eastAsia" w:ascii="宋体" w:hAnsi="宋体" w:eastAsia="宋体" w:cs="宋体"/>
          <w:color w:val="auto"/>
          <w:sz w:val="22"/>
          <w:szCs w:val="22"/>
          <w:highlight w:val="none"/>
          <w:lang w:val="en-US" w:eastAsia="zh-CN"/>
        </w:rPr>
        <w:t>供应商公章（或电子签章）</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否则其响应文件按无效响应处理</w:t>
      </w:r>
      <w:r>
        <w:rPr>
          <w:rFonts w:hint="eastAsia" w:ascii="宋体" w:hAnsi="宋体" w:eastAsia="宋体" w:cs="宋体"/>
          <w:color w:val="auto"/>
          <w:sz w:val="22"/>
          <w:szCs w:val="22"/>
          <w:highlight w:val="none"/>
        </w:rPr>
        <w:t>。</w:t>
      </w:r>
    </w:p>
    <w:p w14:paraId="4B7E8162">
      <w:pPr>
        <w:keepNext w:val="0"/>
        <w:keepLines w:val="0"/>
        <w:pageBreakBefore w:val="0"/>
        <w:widowControl w:val="0"/>
        <w:shd w:val="clear"/>
        <w:kinsoku/>
        <w:wordWrap/>
        <w:overflowPunct/>
        <w:topLinePunct w:val="0"/>
        <w:autoSpaceDE/>
        <w:autoSpaceDN/>
        <w:bidi w:val="0"/>
        <w:adjustRightInd/>
        <w:snapToGrid w:val="0"/>
        <w:spacing w:line="360" w:lineRule="auto"/>
        <w:ind w:firstLine="440" w:firstLineChars="200"/>
        <w:jc w:val="left"/>
        <w:textAlignment w:val="auto"/>
        <w:rPr>
          <w:rFonts w:ascii="宋体" w:hAnsi="宋体" w:eastAsia="宋体" w:cs="宋体"/>
          <w:color w:val="auto"/>
          <w:sz w:val="22"/>
          <w:szCs w:val="22"/>
          <w:highlight w:val="none"/>
        </w:rPr>
      </w:pP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如为联合体</w:t>
      </w:r>
      <w:r>
        <w:rPr>
          <w:rFonts w:hint="eastAsia" w:ascii="宋体" w:hAnsi="宋体" w:eastAsia="宋体" w:cs="宋体"/>
          <w:color w:val="auto"/>
          <w:sz w:val="22"/>
          <w:szCs w:val="22"/>
          <w:highlight w:val="none"/>
          <w:lang w:val="en-US" w:eastAsia="zh-CN"/>
        </w:rPr>
        <w:t>响应</w:t>
      </w:r>
      <w:r>
        <w:rPr>
          <w:rFonts w:hint="eastAsia" w:ascii="宋体" w:hAnsi="宋体" w:eastAsia="宋体" w:cs="宋体"/>
          <w:color w:val="auto"/>
          <w:sz w:val="22"/>
          <w:szCs w:val="22"/>
          <w:highlight w:val="none"/>
        </w:rPr>
        <w:t>，“供应商名称”处必须列明联合体各方名称，标注联合体牵头人名称，</w:t>
      </w:r>
      <w:r>
        <w:rPr>
          <w:rFonts w:hint="eastAsia" w:ascii="宋体" w:hAnsi="宋体" w:eastAsia="宋体" w:cs="宋体"/>
          <w:color w:val="auto"/>
          <w:sz w:val="22"/>
          <w:szCs w:val="22"/>
          <w:highlight w:val="none"/>
          <w:lang w:eastAsia="zh-CN"/>
        </w:rPr>
        <w:t>且</w:t>
      </w:r>
      <w:r>
        <w:rPr>
          <w:rFonts w:hint="eastAsia" w:ascii="宋体" w:hAnsi="宋体" w:eastAsia="宋体" w:cs="宋体"/>
          <w:color w:val="auto"/>
          <w:sz w:val="22"/>
          <w:szCs w:val="22"/>
          <w:highlight w:val="none"/>
        </w:rPr>
        <w:t>盖章处须加盖联合体各方电子公章</w:t>
      </w:r>
      <w:r>
        <w:rPr>
          <w:rFonts w:hint="eastAsia" w:ascii="宋体" w:hAnsi="宋体" w:eastAsia="宋体" w:cs="宋体"/>
          <w:color w:val="auto"/>
          <w:sz w:val="22"/>
          <w:szCs w:val="22"/>
          <w:highlight w:val="none"/>
          <w:lang w:eastAsia="zh-CN"/>
        </w:rPr>
        <w:t>，</w:t>
      </w:r>
      <w:r>
        <w:rPr>
          <w:rFonts w:hint="eastAsia" w:ascii="宋体" w:hAnsi="宋体" w:eastAsia="宋体" w:cs="宋体"/>
          <w:b/>
          <w:color w:val="auto"/>
          <w:sz w:val="22"/>
          <w:szCs w:val="22"/>
          <w:highlight w:val="none"/>
        </w:rPr>
        <w:t>否则其响应文件按无效响应处理。</w:t>
      </w:r>
    </w:p>
    <w:p w14:paraId="2273075B">
      <w:pPr>
        <w:keepNext w:val="0"/>
        <w:keepLines w:val="0"/>
        <w:pageBreakBefore w:val="0"/>
        <w:widowControl w:val="0"/>
        <w:shd w:val="clear"/>
        <w:kinsoku/>
        <w:wordWrap/>
        <w:overflowPunct/>
        <w:topLinePunct w:val="0"/>
        <w:autoSpaceDE/>
        <w:autoSpaceDN/>
        <w:bidi w:val="0"/>
        <w:adjustRightInd/>
        <w:snapToGrid w:val="0"/>
        <w:spacing w:line="360" w:lineRule="auto"/>
        <w:ind w:firstLine="416" w:firstLineChars="200"/>
        <w:textAlignment w:val="auto"/>
        <w:rPr>
          <w:rFonts w:hint="eastAsia" w:ascii="宋体" w:hAnsi="宋体" w:eastAsia="宋体" w:cs="宋体"/>
          <w:color w:val="auto"/>
          <w:spacing w:val="-6"/>
          <w:sz w:val="22"/>
          <w:szCs w:val="22"/>
          <w:highlight w:val="none"/>
          <w:lang w:val="zh-CN"/>
        </w:rPr>
      </w:pPr>
      <w:r>
        <w:rPr>
          <w:rFonts w:hint="eastAsia" w:ascii="宋体" w:hAnsi="宋体" w:eastAsia="宋体" w:cs="宋体"/>
          <w:color w:val="auto"/>
          <w:spacing w:val="-6"/>
          <w:sz w:val="22"/>
          <w:szCs w:val="22"/>
          <w:highlight w:val="none"/>
          <w:lang w:val="en-US" w:eastAsia="zh-CN"/>
        </w:rPr>
        <w:t>4</w:t>
      </w:r>
      <w:r>
        <w:rPr>
          <w:rFonts w:hint="eastAsia" w:ascii="宋体" w:hAnsi="宋体" w:eastAsia="宋体" w:cs="宋体"/>
          <w:color w:val="auto"/>
          <w:spacing w:val="-6"/>
          <w:sz w:val="22"/>
          <w:szCs w:val="22"/>
          <w:highlight w:val="none"/>
        </w:rPr>
        <w:t>.</w:t>
      </w:r>
      <w:r>
        <w:rPr>
          <w:rFonts w:hint="eastAsia" w:ascii="宋体" w:hAnsi="宋体" w:eastAsia="宋体" w:cs="宋体"/>
          <w:color w:val="auto"/>
          <w:spacing w:val="-6"/>
          <w:sz w:val="22"/>
          <w:szCs w:val="22"/>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70B7D9C">
      <w:pPr>
        <w:pStyle w:val="6"/>
        <w:keepNext w:val="0"/>
        <w:keepLines w:val="0"/>
        <w:pageBreakBefore w:val="0"/>
        <w:widowControl w:val="0"/>
        <w:kinsoku/>
        <w:wordWrap/>
        <w:overflowPunct/>
        <w:topLinePunct w:val="0"/>
        <w:autoSpaceDE/>
        <w:autoSpaceDN/>
        <w:bidi w:val="0"/>
        <w:adjustRightInd/>
        <w:spacing w:after="0" w:line="360" w:lineRule="auto"/>
        <w:ind w:firstLine="416" w:firstLineChars="200"/>
        <w:textAlignment w:val="auto"/>
        <w:rPr>
          <w:rFonts w:hint="eastAsia" w:ascii="宋体" w:hAnsi="宋体" w:eastAsia="宋体" w:cs="宋体"/>
          <w:color w:val="auto"/>
          <w:spacing w:val="-6"/>
          <w:kern w:val="2"/>
          <w:sz w:val="22"/>
          <w:szCs w:val="22"/>
          <w:highlight w:val="none"/>
          <w:lang w:val="zh-CN" w:eastAsia="zh-CN" w:bidi="ar-SA"/>
        </w:rPr>
      </w:pPr>
      <w:r>
        <w:rPr>
          <w:rFonts w:hint="eastAsia" w:ascii="宋体" w:hAnsi="宋体" w:eastAsia="宋体" w:cs="宋体"/>
          <w:color w:val="auto"/>
          <w:spacing w:val="-6"/>
          <w:kern w:val="2"/>
          <w:sz w:val="22"/>
          <w:szCs w:val="22"/>
          <w:highlight w:val="none"/>
          <w:lang w:val="en-US" w:eastAsia="zh-CN" w:bidi="ar-SA"/>
        </w:rPr>
        <w:t>5.</w:t>
      </w:r>
      <w:r>
        <w:rPr>
          <w:rFonts w:hint="eastAsia" w:ascii="宋体" w:hAnsi="宋体" w:eastAsia="宋体" w:cs="宋体"/>
          <w:color w:val="auto"/>
          <w:spacing w:val="-6"/>
          <w:kern w:val="2"/>
          <w:sz w:val="22"/>
          <w:szCs w:val="22"/>
          <w:highlight w:val="none"/>
          <w:lang w:val="zh-CN" w:eastAsia="zh-CN" w:bidi="ar-SA"/>
        </w:rPr>
        <w:t>特别提示：采购机构将对项目名称和项目编号，成交供应商名称、地址和成交金额，主要成交标的的名称、规格型号、数量、单价、货物要求等予以公示。</w:t>
      </w:r>
    </w:p>
    <w:p w14:paraId="76F14B2A">
      <w:pPr>
        <w:widowControl w:val="0"/>
        <w:shd w:val="clear"/>
        <w:spacing w:after="120"/>
        <w:jc w:val="both"/>
        <w:rPr>
          <w:rFonts w:ascii="Times New Roman" w:hAnsi="Times New Roman" w:eastAsia="宋体" w:cs="Times New Roman"/>
          <w:color w:val="auto"/>
          <w:kern w:val="0"/>
          <w:sz w:val="20"/>
          <w:szCs w:val="24"/>
          <w:highlight w:val="none"/>
          <w:lang w:val="zh-CN" w:eastAsia="zh-CN" w:bidi="ar-SA"/>
        </w:rPr>
      </w:pPr>
    </w:p>
    <w:p w14:paraId="67723A71">
      <w:pPr>
        <w:shd w:val="clear"/>
        <w:snapToGrid w:val="0"/>
        <w:spacing w:line="360" w:lineRule="auto"/>
        <w:ind w:firstLine="4620" w:firstLineChars="210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zh-CN"/>
        </w:rPr>
        <w:t>供应商名称（电子签章）：</w:t>
      </w:r>
    </w:p>
    <w:p w14:paraId="036A1F9E">
      <w:pPr>
        <w:shd w:val="clear"/>
        <w:snapToGrid w:val="0"/>
        <w:spacing w:line="360" w:lineRule="auto"/>
        <w:ind w:firstLine="4730" w:firstLineChars="2150"/>
        <w:rPr>
          <w:rFonts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lang w:val="zh-CN"/>
        </w:rPr>
        <w:t>日期</w:t>
      </w:r>
      <w:r>
        <w:rPr>
          <w:rFonts w:hint="eastAsia" w:ascii="宋体" w:hAnsi="宋体" w:eastAsia="宋体" w:cs="宋体"/>
          <w:color w:val="auto"/>
          <w:kern w:val="0"/>
          <w:sz w:val="22"/>
          <w:szCs w:val="22"/>
          <w:highlight w:val="none"/>
        </w:rPr>
        <w:t xml:space="preserve">：  年  </w:t>
      </w:r>
      <w:r>
        <w:rPr>
          <w:rFonts w:hint="eastAsia" w:ascii="宋体" w:hAnsi="宋体" w:eastAsia="宋体" w:cs="宋体"/>
          <w:color w:val="auto"/>
          <w:kern w:val="0"/>
          <w:sz w:val="22"/>
          <w:szCs w:val="22"/>
          <w:highlight w:val="none"/>
          <w:lang w:val="zh-CN"/>
        </w:rPr>
        <w:t>月</w:t>
      </w: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lang w:val="zh-CN"/>
        </w:rPr>
        <w:t>日</w:t>
      </w:r>
    </w:p>
    <w:p w14:paraId="4ED0408D">
      <w:pPr>
        <w:shd w:val="clear"/>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br w:type="page"/>
      </w:r>
    </w:p>
    <w:p w14:paraId="10C5B91D">
      <w:pPr>
        <w:shd w:val="clear"/>
        <w:spacing w:line="320" w:lineRule="exact"/>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、中小企业声明函或《残疾人福利性单位声明函》或属于监狱企业的证明文件</w:t>
      </w:r>
    </w:p>
    <w:p w14:paraId="38E8DCA7">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7B4CA23D">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63F4C7BE">
      <w:pPr>
        <w:widowControl w:val="0"/>
        <w:shd w:val="clear"/>
        <w:tabs>
          <w:tab w:val="center" w:pos="4153"/>
          <w:tab w:val="right" w:pos="8306"/>
        </w:tabs>
        <w:snapToGrid w:val="0"/>
        <w:jc w:val="left"/>
        <w:rPr>
          <w:rFonts w:ascii="宋体" w:hAnsi="宋体" w:eastAsia="宋体" w:cs="宋体"/>
          <w:color w:val="auto"/>
          <w:kern w:val="0"/>
          <w:sz w:val="18"/>
          <w:szCs w:val="18"/>
          <w:highlight w:val="none"/>
          <w:lang w:val="en-US" w:eastAsia="zh-CN" w:bidi="ar-SA"/>
        </w:rPr>
      </w:pPr>
    </w:p>
    <w:p w14:paraId="14B3EBAA">
      <w:pPr>
        <w:shd w:val="clear"/>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中小企业声明函</w:t>
      </w:r>
    </w:p>
    <w:p w14:paraId="524BF43C">
      <w:pPr>
        <w:shd w:val="clear"/>
        <w:spacing w:line="360" w:lineRule="auto"/>
        <w:rPr>
          <w:rFonts w:ascii="宋体" w:hAnsi="宋体" w:eastAsia="宋体" w:cs="宋体"/>
          <w:color w:val="auto"/>
          <w:sz w:val="24"/>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b/>
          <w:bCs/>
          <w:color w:val="auto"/>
          <w:sz w:val="24"/>
          <w:highlight w:val="none"/>
        </w:rPr>
        <w:t xml:space="preserve"> </w:t>
      </w:r>
      <w:r>
        <w:rPr>
          <w:rFonts w:hint="eastAsia" w:ascii="宋体" w:hAnsi="宋体" w:eastAsia="宋体" w:cs="宋体"/>
          <w:color w:val="auto"/>
          <w:sz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采购活动，提供的货物全部由符合政策要求的中小企业制造。相关企业（含联合体中的中小企业、签订分包意向协议的中小企业）的具体情况如下：</w:t>
      </w:r>
    </w:p>
    <w:p w14:paraId="0A327947">
      <w:pPr>
        <w:numPr>
          <w:ilvl w:val="0"/>
          <w:numId w:val="0"/>
        </w:numPr>
        <w:shd w:val="clear"/>
        <w:spacing w:line="360" w:lineRule="auto"/>
        <w:ind w:firstLine="480" w:firstLineChars="200"/>
        <w:rPr>
          <w:rFonts w:ascii="宋体" w:hAnsi="宋体" w:eastAsia="宋体" w:cs="宋体"/>
          <w:color w:val="auto"/>
          <w:sz w:val="24"/>
          <w:highlight w:val="none"/>
          <w:u w:val="single"/>
        </w:rPr>
      </w:pPr>
      <w:r>
        <w:rPr>
          <w:rFonts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（标的名称）  </w:t>
      </w:r>
      <w:r>
        <w:rPr>
          <w:rFonts w:hint="eastAsia" w:ascii="宋体" w:hAnsi="宋体" w:eastAsia="宋体" w:cs="宋体"/>
          <w:color w:val="auto"/>
          <w:sz w:val="24"/>
          <w:highlight w:val="none"/>
        </w:rPr>
        <w:t>， 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竞争性</w:t>
      </w:r>
      <w:r>
        <w:rPr>
          <w:rFonts w:hint="eastAsia" w:ascii="宋体" w:hAnsi="宋体" w:eastAsia="宋体" w:cs="宋体"/>
          <w:color w:val="auto"/>
          <w:sz w:val="24"/>
          <w:highlight w:val="none"/>
          <w:u w:val="single"/>
        </w:rPr>
        <w:t>谈判文件中明确的所属行业） ；</w:t>
      </w:r>
      <w:r>
        <w:rPr>
          <w:rFonts w:hint="eastAsia" w:ascii="宋体" w:hAnsi="宋体" w:eastAsia="宋体" w:cs="宋体"/>
          <w:color w:val="auto"/>
          <w:sz w:val="24"/>
          <w:highlight w:val="none"/>
        </w:rPr>
        <w:t>承接企业为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 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4804B2CF">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（标的名称）  </w:t>
      </w:r>
      <w:r>
        <w:rPr>
          <w:rFonts w:hint="eastAsia" w:ascii="宋体" w:hAnsi="宋体" w:eastAsia="宋体" w:cs="宋体"/>
          <w:color w:val="auto"/>
          <w:sz w:val="24"/>
          <w:highlight w:val="none"/>
        </w:rPr>
        <w:t>， 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竞争性</w:t>
      </w:r>
      <w:r>
        <w:rPr>
          <w:rFonts w:hint="eastAsia" w:ascii="宋体" w:hAnsi="宋体" w:eastAsia="宋体" w:cs="宋体"/>
          <w:color w:val="auto"/>
          <w:sz w:val="24"/>
          <w:highlight w:val="none"/>
          <w:u w:val="single"/>
        </w:rPr>
        <w:t>谈判文件中明确的所属行业） ；</w:t>
      </w:r>
      <w:r>
        <w:rPr>
          <w:rFonts w:hint="eastAsia" w:ascii="宋体" w:hAnsi="宋体" w:eastAsia="宋体" w:cs="宋体"/>
          <w:color w:val="auto"/>
          <w:sz w:val="24"/>
          <w:highlight w:val="none"/>
        </w:rPr>
        <w:t>承接企业为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 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4C192066">
      <w:pPr>
        <w:shd w:val="clea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p>
    <w:p w14:paraId="062B75E0">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4648D7CE">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2E208B85">
      <w:pPr>
        <w:shd w:val="clear"/>
        <w:spacing w:line="360" w:lineRule="auto"/>
        <w:ind w:firstLine="4320" w:firstLineChars="1800"/>
        <w:rPr>
          <w:rFonts w:ascii="宋体" w:hAnsi="宋体" w:eastAsia="宋体" w:cs="宋体"/>
          <w:color w:val="auto"/>
          <w:sz w:val="24"/>
          <w:highlight w:val="none"/>
        </w:rPr>
      </w:pPr>
    </w:p>
    <w:p w14:paraId="33A98537">
      <w:pPr>
        <w:shd w:val="clear"/>
        <w:spacing w:line="360"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92F457B">
      <w:pPr>
        <w:shd w:val="clear"/>
        <w:spacing w:line="360"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96D622A">
      <w:pPr>
        <w:shd w:val="clear"/>
        <w:spacing w:line="360" w:lineRule="auto"/>
        <w:ind w:firstLine="4320" w:firstLineChars="1800"/>
        <w:rPr>
          <w:rFonts w:ascii="宋体" w:hAnsi="宋体" w:eastAsia="宋体" w:cs="宋体"/>
          <w:color w:val="auto"/>
          <w:sz w:val="24"/>
          <w:highlight w:val="none"/>
        </w:rPr>
      </w:pPr>
    </w:p>
    <w:p w14:paraId="7EAF2AB3">
      <w:pPr>
        <w:shd w:val="clear"/>
        <w:spacing w:line="360" w:lineRule="auto"/>
        <w:rPr>
          <w:rFonts w:ascii="宋体" w:hAnsi="宋体" w:eastAsia="宋体" w:cs="宋体"/>
          <w:b/>
          <w:bCs/>
          <w:color w:val="auto"/>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4650416">
      <w:pPr>
        <w:widowControl w:val="0"/>
        <w:shd w:val="clear"/>
        <w:tabs>
          <w:tab w:val="center" w:pos="4153"/>
          <w:tab w:val="right" w:pos="8306"/>
        </w:tabs>
        <w:snapToGrid w:val="0"/>
        <w:spacing w:line="276" w:lineRule="auto"/>
        <w:jc w:val="left"/>
        <w:rPr>
          <w:rFonts w:ascii="宋体" w:hAnsi="宋体" w:eastAsia="宋体" w:cs="宋体"/>
          <w:color w:val="auto"/>
          <w:kern w:val="0"/>
          <w:sz w:val="24"/>
          <w:szCs w:val="24"/>
          <w:highlight w:val="none"/>
          <w:lang w:val="en-US" w:eastAsia="zh-CN" w:bidi="ar-SA"/>
        </w:rPr>
      </w:pPr>
    </w:p>
    <w:p w14:paraId="5B735D43">
      <w:pPr>
        <w:widowControl w:val="0"/>
        <w:shd w:val="clear"/>
        <w:tabs>
          <w:tab w:val="center" w:pos="4153"/>
          <w:tab w:val="right" w:pos="8306"/>
        </w:tabs>
        <w:snapToGrid w:val="0"/>
        <w:spacing w:line="276" w:lineRule="auto"/>
        <w:jc w:val="left"/>
        <w:rPr>
          <w:rFonts w:ascii="宋体" w:hAnsi="宋体" w:eastAsia="宋体" w:cs="宋体"/>
          <w:color w:val="auto"/>
          <w:kern w:val="0"/>
          <w:sz w:val="24"/>
          <w:szCs w:val="24"/>
          <w:highlight w:val="none"/>
          <w:lang w:val="en-US" w:eastAsia="zh-CN" w:bidi="ar-SA"/>
        </w:rPr>
      </w:pPr>
    </w:p>
    <w:p w14:paraId="590E4B9C">
      <w:pPr>
        <w:shd w:val="clear"/>
        <w:spacing w:line="520" w:lineRule="exact"/>
        <w:jc w:val="center"/>
        <w:rPr>
          <w:rFonts w:ascii="宋体" w:hAnsi="宋体" w:eastAsia="宋体" w:cs="宋体"/>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残疾人福利性单位声明函</w:t>
      </w:r>
    </w:p>
    <w:p w14:paraId="433B3629">
      <w:pPr>
        <w:shd w:val="clear"/>
        <w:spacing w:line="520" w:lineRule="exact"/>
        <w:rPr>
          <w:rFonts w:ascii="宋体" w:hAnsi="宋体" w:eastAsia="宋体" w:cs="宋体"/>
          <w:color w:val="auto"/>
          <w:sz w:val="32"/>
          <w:szCs w:val="32"/>
          <w:highlight w:val="none"/>
        </w:rPr>
      </w:pPr>
    </w:p>
    <w:p w14:paraId="11EB789F">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4D6236A">
      <w:pPr>
        <w:shd w:val="clea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2B14CD5C">
      <w:pPr>
        <w:shd w:val="clear"/>
        <w:spacing w:line="360" w:lineRule="auto"/>
        <w:rPr>
          <w:rFonts w:ascii="宋体" w:hAnsi="宋体" w:eastAsia="宋体" w:cs="宋体"/>
          <w:color w:val="auto"/>
          <w:sz w:val="24"/>
          <w:highlight w:val="none"/>
        </w:rPr>
      </w:pPr>
    </w:p>
    <w:p w14:paraId="649142EB">
      <w:pPr>
        <w:shd w:val="clear"/>
        <w:spacing w:line="360" w:lineRule="auto"/>
        <w:rPr>
          <w:rFonts w:ascii="宋体" w:hAnsi="宋体" w:eastAsia="宋体" w:cs="宋体"/>
          <w:color w:val="auto"/>
          <w:sz w:val="24"/>
          <w:highlight w:val="none"/>
        </w:rPr>
      </w:pPr>
    </w:p>
    <w:p w14:paraId="1249F798">
      <w:pPr>
        <w:shd w:val="clear"/>
        <w:spacing w:line="276" w:lineRule="auto"/>
        <w:ind w:firstLine="4320" w:firstLineChars="1800"/>
        <w:rPr>
          <w:rFonts w:ascii="宋体" w:hAnsi="宋体" w:eastAsia="宋体" w:cs="宋体"/>
          <w:color w:val="auto"/>
          <w:sz w:val="24"/>
          <w:highlight w:val="none"/>
        </w:rPr>
      </w:pPr>
    </w:p>
    <w:p w14:paraId="5A1ECFB2">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F9B6C31">
      <w:pPr>
        <w:shd w:val="clear"/>
        <w:spacing w:line="276" w:lineRule="auto"/>
        <w:ind w:firstLine="4320" w:firstLineChars="1800"/>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7FA3E2F7">
      <w:pPr>
        <w:shd w:val="clear"/>
        <w:spacing w:line="360" w:lineRule="auto"/>
        <w:rPr>
          <w:rFonts w:ascii="宋体" w:hAnsi="宋体" w:eastAsia="宋体" w:cs="宋体"/>
          <w:color w:val="auto"/>
          <w:sz w:val="24"/>
          <w:highlight w:val="none"/>
        </w:rPr>
      </w:pPr>
    </w:p>
    <w:p w14:paraId="536AF6ED">
      <w:pPr>
        <w:shd w:val="clear"/>
        <w:spacing w:line="360" w:lineRule="auto"/>
        <w:rPr>
          <w:rFonts w:ascii="宋体" w:hAnsi="宋体" w:eastAsia="宋体" w:cs="宋体"/>
          <w:color w:val="auto"/>
          <w:sz w:val="24"/>
          <w:highlight w:val="none"/>
        </w:rPr>
      </w:pPr>
    </w:p>
    <w:p w14:paraId="1AB17D73">
      <w:pPr>
        <w:shd w:val="clear"/>
        <w:spacing w:line="360" w:lineRule="auto"/>
        <w:rPr>
          <w:rFonts w:ascii="宋体" w:hAnsi="宋体" w:eastAsia="宋体" w:cs="宋体"/>
          <w:color w:val="auto"/>
          <w:sz w:val="24"/>
          <w:highlight w:val="none"/>
        </w:rPr>
      </w:pPr>
    </w:p>
    <w:p w14:paraId="25540545">
      <w:pPr>
        <w:shd w:val="clea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B04F4FD">
      <w:pPr>
        <w:widowControl w:val="0"/>
        <w:shd w:val="clear"/>
        <w:tabs>
          <w:tab w:val="center" w:pos="4153"/>
          <w:tab w:val="right" w:pos="8306"/>
        </w:tabs>
        <w:snapToGrid w:val="0"/>
        <w:spacing w:line="276" w:lineRule="auto"/>
        <w:jc w:val="left"/>
        <w:rPr>
          <w:rFonts w:ascii="宋体" w:hAnsi="宋体" w:eastAsia="宋体" w:cs="宋体"/>
          <w:color w:val="auto"/>
          <w:kern w:val="0"/>
          <w:sz w:val="24"/>
          <w:szCs w:val="24"/>
          <w:highlight w:val="none"/>
          <w:lang w:val="en-US" w:eastAsia="zh-CN" w:bidi="ar-SA"/>
        </w:rPr>
      </w:pPr>
    </w:p>
    <w:p w14:paraId="7D18A194">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3F687174">
      <w:pPr>
        <w:shd w:val="clear"/>
        <w:snapToGrid w:val="0"/>
        <w:spacing w:line="360" w:lineRule="auto"/>
        <w:ind w:firstLine="5160" w:firstLineChars="2150"/>
        <w:rPr>
          <w:rFonts w:ascii="宋体" w:hAnsi="宋体" w:eastAsia="宋体" w:cs="宋体"/>
          <w:color w:val="auto"/>
          <w:kern w:val="0"/>
          <w:sz w:val="24"/>
          <w:highlight w:val="none"/>
          <w:lang w:val="zh-CN"/>
        </w:rPr>
      </w:pPr>
    </w:p>
    <w:p w14:paraId="1ECDCFAC">
      <w:pPr>
        <w:shd w:val="clea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四、</w:t>
      </w:r>
      <w:r>
        <w:rPr>
          <w:rFonts w:hint="eastAsia" w:ascii="宋体" w:hAnsi="宋体" w:eastAsia="宋体" w:cs="宋体"/>
          <w:b/>
          <w:color w:val="auto"/>
          <w:sz w:val="32"/>
          <w:szCs w:val="32"/>
          <w:highlight w:val="none"/>
        </w:rPr>
        <w:t>关于符合本国产品标准的声明函</w:t>
      </w:r>
    </w:p>
    <w:p w14:paraId="34A61BBF">
      <w:pPr>
        <w:shd w:val="clear"/>
        <w:jc w:val="center"/>
        <w:rPr>
          <w:rFonts w:hint="eastAsia" w:ascii="宋体" w:hAnsi="宋体" w:eastAsia="宋体" w:cs="宋体"/>
          <w:b/>
          <w:bCs/>
          <w:color w:val="auto"/>
          <w:sz w:val="24"/>
          <w:highlight w:val="none"/>
        </w:rPr>
      </w:pPr>
    </w:p>
    <w:p w14:paraId="542050A7">
      <w:pPr>
        <w:shd w:val="clea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关于符合本国产品标准的声明函</w:t>
      </w:r>
    </w:p>
    <w:p w14:paraId="4F13841C">
      <w:pPr>
        <w:widowControl/>
        <w:shd w:val="clear" w:color="auto"/>
        <w:spacing w:line="360" w:lineRule="auto"/>
        <w:ind w:firstLine="480" w:firstLineChars="200"/>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6F4BBB0B">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1.(产品名称1)，生产厂为(厂名)，厂址为(生产厂址)。(产品名称1)的中国境内生产的组件成本占比≥(规定比例)。(产品名称1)的(关键组件)在中国境内生产。(产品名称1)的(关键工序)在中国境内完成。</w:t>
      </w:r>
    </w:p>
    <w:p w14:paraId="4D93E182">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2.(产品名称2)，生产厂为(厂名)，厂址为(生产厂址)。(产品名称2)的中国境内生产的组件成本占比≥(规定比例)。(产品名称2)的(关键组件)在中国境内生产。(产品名称2)的(关键工序)在中国境内完成。</w:t>
      </w:r>
    </w:p>
    <w:p w14:paraId="15DC2D93">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146E4B42">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本公司(单位)对上述声明内容的真实性负责。如有虚假，愿承担相应法律责任。</w:t>
      </w:r>
    </w:p>
    <w:p w14:paraId="36BB4E1A">
      <w:pPr>
        <w:widowControl/>
        <w:shd w:val="clear" w:color="auto"/>
        <w:spacing w:after="375"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01F615FA">
      <w:pPr>
        <w:widowControl/>
        <w:shd w:val="clear" w:color="auto"/>
        <w:spacing w:line="360" w:lineRule="auto"/>
        <w:jc w:val="righ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公司(单位)名称(</w:t>
      </w:r>
      <w:r>
        <w:rPr>
          <w:rFonts w:hint="eastAsia" w:ascii="宋体" w:hAnsi="宋体" w:eastAsia="宋体" w:cs="宋体"/>
          <w:color w:val="auto"/>
          <w:spacing w:val="6"/>
          <w:sz w:val="24"/>
          <w:highlight w:val="none"/>
        </w:rPr>
        <w:t>电子签章</w:t>
      </w:r>
      <w:r>
        <w:rPr>
          <w:rFonts w:hint="eastAsia" w:ascii="宋体" w:hAnsi="宋体" w:eastAsia="宋体" w:cs="宋体"/>
          <w:color w:val="auto"/>
          <w:kern w:val="0"/>
          <w:sz w:val="24"/>
          <w:szCs w:val="24"/>
          <w:highlight w:val="none"/>
        </w:rPr>
        <w:t>)：　        </w:t>
      </w:r>
    </w:p>
    <w:p w14:paraId="3A706DAD">
      <w:pPr>
        <w:widowControl/>
        <w:shd w:val="clear" w:color="auto"/>
        <w:spacing w:line="360" w:lineRule="auto"/>
        <w:jc w:val="righ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  日         </w:t>
      </w:r>
    </w:p>
    <w:p w14:paraId="6615C10D">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__________________</w:t>
      </w:r>
    </w:p>
    <w:p w14:paraId="31A46A5A">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1.产品如有型号，请在“产品名称”栏一并填写。</w:t>
      </w:r>
    </w:p>
    <w:p w14:paraId="2C59679C">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2.生产厂名与厂址应与生产厂营业执照载明的相关信息保持一致。</w:t>
      </w:r>
    </w:p>
    <w:p w14:paraId="2A0341A0">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3.该产品的中国境内生产的组件成本占比相关要求实施前，“规定比例”栏可不填，下同。</w:t>
      </w:r>
    </w:p>
    <w:p w14:paraId="26587788">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4.该产品的关键组件要求实施前，“关键组件”栏可不填，下同。</w:t>
      </w:r>
    </w:p>
    <w:p w14:paraId="7E7FFF7D">
      <w:pPr>
        <w:widowControl/>
        <w:shd w:val="clear" w:color="auto"/>
        <w:spacing w:line="360" w:lineRule="auto"/>
        <w:jc w:val="left"/>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5.该产品的关键工序要求实施前，“关键工序”栏可不填，下同。</w:t>
      </w:r>
    </w:p>
    <w:p w14:paraId="525B7329">
      <w:pPr>
        <w:shd w:val="clear"/>
        <w:rPr>
          <w:rFonts w:hint="eastAsia" w:ascii="宋体" w:hAnsi="宋体" w:eastAsia="宋体" w:cs="宋体"/>
          <w:b w:val="0"/>
          <w:bCs/>
          <w:color w:val="auto"/>
          <w:sz w:val="32"/>
          <w:szCs w:val="32"/>
          <w:highlight w:val="none"/>
        </w:rPr>
      </w:pPr>
    </w:p>
    <w:p w14:paraId="50A8E4E4">
      <w:pPr>
        <w:shd w:val="clea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6A92C9F4">
      <w:pPr>
        <w:shd w:val="clear"/>
        <w:spacing w:line="300" w:lineRule="auto"/>
        <w:rPr>
          <w:rFonts w:ascii="宋体" w:hAnsi="宋体" w:eastAsia="宋体" w:cs="宋体"/>
          <w:color w:val="auto"/>
          <w:sz w:val="24"/>
          <w:highlight w:val="none"/>
        </w:rPr>
      </w:pPr>
      <w:r>
        <w:rPr>
          <w:rFonts w:hint="eastAsia" w:ascii="宋体" w:hAnsi="宋体" w:eastAsia="宋体" w:cs="宋体"/>
          <w:b/>
          <w:bCs/>
          <w:color w:val="auto"/>
          <w:sz w:val="24"/>
          <w:highlight w:val="none"/>
        </w:rPr>
        <w:t>其他文书、文件格式</w:t>
      </w:r>
    </w:p>
    <w:p w14:paraId="2B887F35">
      <w:pPr>
        <w:shd w:val="clear"/>
        <w:spacing w:line="360" w:lineRule="auto"/>
        <w:jc w:val="center"/>
        <w:rPr>
          <w:rFonts w:ascii="宋体" w:hAnsi="宋体" w:eastAsia="宋体" w:cs="宋体"/>
          <w:b/>
          <w:bCs/>
          <w:color w:val="auto"/>
          <w:sz w:val="24"/>
          <w:highlight w:val="none"/>
        </w:rPr>
      </w:pPr>
    </w:p>
    <w:p w14:paraId="27361F85">
      <w:pPr>
        <w:widowControl w:val="0"/>
        <w:shd w:val="clear"/>
        <w:tabs>
          <w:tab w:val="center" w:pos="4153"/>
          <w:tab w:val="right" w:pos="8306"/>
        </w:tabs>
        <w:snapToGrid w:val="0"/>
        <w:jc w:val="left"/>
        <w:rPr>
          <w:rFonts w:ascii="宋体" w:hAnsi="宋体" w:eastAsia="宋体" w:cs="宋体"/>
          <w:color w:val="auto"/>
          <w:kern w:val="0"/>
          <w:sz w:val="24"/>
          <w:szCs w:val="24"/>
          <w:highlight w:val="none"/>
          <w:lang w:val="en-US" w:eastAsia="zh-CN" w:bidi="ar-SA"/>
        </w:rPr>
      </w:pPr>
    </w:p>
    <w:p w14:paraId="12FC9383">
      <w:pPr>
        <w:shd w:val="clear"/>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知识产权合规性声明</w:t>
      </w:r>
    </w:p>
    <w:p w14:paraId="60652D2E">
      <w:pPr>
        <w:shd w:val="clear"/>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2CBFCC4">
      <w:pPr>
        <w:shd w:val="clear"/>
        <w:spacing w:line="5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本企业（单位）自愿参与政府投资政府采购的</w:t>
      </w:r>
      <w:r>
        <w:rPr>
          <w:rFonts w:hint="eastAsia" w:ascii="宋体" w:hAnsi="宋体" w:eastAsia="宋体" w:cs="宋体"/>
          <w:color w:val="auto"/>
          <w:sz w:val="24"/>
          <w:highlight w:val="none"/>
          <w:u w:val="single"/>
          <w:lang w:eastAsia="zh-CN"/>
        </w:rPr>
        <w:t>智慧课堂评课系统建设项目</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rPr>
        <w:t>在此郑重承诺：</w:t>
      </w:r>
      <w:r>
        <w:rPr>
          <w:rFonts w:hint="eastAsia" w:ascii="宋体" w:hAnsi="宋体" w:eastAsia="宋体" w:cs="宋体"/>
          <w:color w:val="auto"/>
          <w:sz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C86A5F8">
      <w:pPr>
        <w:shd w:val="clear"/>
        <w:snapToGrid w:val="0"/>
        <w:spacing w:line="500" w:lineRule="exact"/>
        <w:ind w:left="5626" w:leftChars="1736" w:hanging="1980" w:hangingChars="825"/>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21CA4FF">
      <w:pPr>
        <w:widowControl w:val="0"/>
        <w:shd w:val="clear"/>
        <w:tabs>
          <w:tab w:val="center" w:pos="4153"/>
          <w:tab w:val="right" w:pos="8306"/>
        </w:tabs>
        <w:snapToGrid w:val="0"/>
        <w:spacing w:line="500" w:lineRule="exact"/>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供应商名称（电子签章）：</w:t>
      </w:r>
    </w:p>
    <w:p w14:paraId="3F4BCCE6">
      <w:pPr>
        <w:widowControl w:val="0"/>
        <w:shd w:val="clear"/>
        <w:tabs>
          <w:tab w:val="center" w:pos="4153"/>
          <w:tab w:val="right" w:pos="8306"/>
        </w:tabs>
        <w:snapToGrid w:val="0"/>
        <w:spacing w:line="500" w:lineRule="exact"/>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日期：  年  月   日</w:t>
      </w:r>
    </w:p>
    <w:p w14:paraId="645A5A48">
      <w:pPr>
        <w:widowControl w:val="0"/>
        <w:shd w:val="clear"/>
        <w:tabs>
          <w:tab w:val="center" w:pos="4153"/>
          <w:tab w:val="right" w:pos="8306"/>
        </w:tabs>
        <w:snapToGrid w:val="0"/>
        <w:jc w:val="right"/>
        <w:rPr>
          <w:rFonts w:ascii="宋体" w:hAnsi="宋体" w:eastAsia="宋体" w:cs="宋体"/>
          <w:color w:val="auto"/>
          <w:kern w:val="0"/>
          <w:sz w:val="28"/>
          <w:szCs w:val="28"/>
          <w:highlight w:val="none"/>
          <w:lang w:val="en-US" w:eastAsia="zh-CN" w:bidi="ar-SA"/>
        </w:rPr>
      </w:pPr>
    </w:p>
    <w:p w14:paraId="1CD23F71">
      <w:pPr>
        <w:shd w:val="clear"/>
        <w:rPr>
          <w:rFonts w:hint="eastAsia" w:ascii="宋体" w:hAnsi="宋体" w:eastAsia="宋体" w:cs="宋体"/>
          <w:color w:val="auto"/>
          <w:kern w:val="0"/>
          <w:sz w:val="24"/>
          <w:szCs w:val="24"/>
          <w:highlight w:val="none"/>
        </w:rPr>
      </w:pPr>
      <w:r>
        <w:rPr>
          <w:rFonts w:ascii="宋体" w:hAnsi="宋体" w:eastAsia="宋体" w:cs="宋体"/>
          <w:color w:val="auto"/>
          <w:sz w:val="28"/>
          <w:szCs w:val="28"/>
          <w:highlight w:val="none"/>
        </w:rPr>
        <w:br w:type="page"/>
      </w:r>
    </w:p>
    <w:p w14:paraId="5DBFCB49">
      <w:pPr>
        <w:widowControl w:val="0"/>
        <w:shd w:val="clear"/>
        <w:tabs>
          <w:tab w:val="center" w:pos="4153"/>
          <w:tab w:val="right" w:pos="8306"/>
        </w:tabs>
        <w:snapToGrid w:val="0"/>
        <w:jc w:val="right"/>
        <w:rPr>
          <w:rFonts w:ascii="宋体" w:hAnsi="宋体" w:eastAsia="宋体" w:cs="宋体"/>
          <w:color w:val="auto"/>
          <w:kern w:val="0"/>
          <w:sz w:val="28"/>
          <w:szCs w:val="28"/>
          <w:highlight w:val="none"/>
          <w:lang w:val="en-US" w:eastAsia="zh-CN" w:bidi="ar-SA"/>
        </w:rPr>
      </w:pPr>
    </w:p>
    <w:p w14:paraId="19D35515">
      <w:pPr>
        <w:shd w:val="clear"/>
        <w:spacing w:line="360" w:lineRule="auto"/>
        <w:jc w:val="center"/>
        <w:rPr>
          <w:rFonts w:ascii="宋体" w:hAnsi="宋体" w:eastAsia="宋体" w:cs="宋体"/>
          <w:b/>
          <w:bCs/>
          <w:color w:val="auto"/>
          <w:sz w:val="24"/>
          <w:highlight w:val="none"/>
        </w:rPr>
      </w:pPr>
      <w:r>
        <w:rPr>
          <w:rFonts w:hint="eastAsia" w:ascii="宋体" w:hAnsi="宋体" w:eastAsia="宋体" w:cs="宋体"/>
          <w:b/>
          <w:bCs/>
          <w:color w:val="auto"/>
          <w:sz w:val="24"/>
          <w:highlight w:val="none"/>
        </w:rPr>
        <w:t>质疑函（格式）</w:t>
      </w:r>
    </w:p>
    <w:p w14:paraId="0DC2ED4E">
      <w:pPr>
        <w:widowControl w:val="0"/>
        <w:shd w:val="clear"/>
        <w:spacing w:line="360" w:lineRule="auto"/>
        <w:ind w:firstLine="482" w:firstLineChars="200"/>
        <w:contextualSpacing/>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一、质疑供应商基本信息：</w:t>
      </w:r>
    </w:p>
    <w:p w14:paraId="54BBA56A">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质疑供应商：</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29CD40A5">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2A577ECB">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1D50D6F0">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授权代表：</w:t>
      </w:r>
      <w:r>
        <w:rPr>
          <w:rFonts w:hint="eastAsia" w:ascii="宋体" w:hAnsi="宋体" w:eastAsia="宋体" w:cs="宋体"/>
          <w:bCs/>
          <w:color w:val="auto"/>
          <w:kern w:val="0"/>
          <w:sz w:val="24"/>
          <w:szCs w:val="24"/>
          <w:highlight w:val="none"/>
          <w:u w:val="single"/>
          <w:lang w:val="en-US" w:eastAsia="zh-CN" w:bidi="ar-SA"/>
        </w:rPr>
        <w:t xml:space="preserve">                      </w:t>
      </w:r>
    </w:p>
    <w:p w14:paraId="0B44C64D">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61CA4AE2">
      <w:pPr>
        <w:widowControl w:val="0"/>
        <w:shd w:val="clear"/>
        <w:spacing w:line="360" w:lineRule="auto"/>
        <w:ind w:firstLine="480" w:firstLineChars="200"/>
        <w:contextualSpacing/>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7246E945">
      <w:pPr>
        <w:widowControl w:val="0"/>
        <w:shd w:val="clear"/>
        <w:spacing w:line="360" w:lineRule="auto"/>
        <w:ind w:firstLine="482" w:firstLineChars="200"/>
        <w:contextualSpacing/>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二、质疑项目基本情况：</w:t>
      </w:r>
    </w:p>
    <w:p w14:paraId="19C243B2">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质疑</w:t>
      </w:r>
      <w:r>
        <w:rPr>
          <w:rFonts w:hint="eastAsia" w:ascii="宋体" w:hAnsi="宋体" w:eastAsia="宋体" w:cs="宋体"/>
          <w:color w:val="auto"/>
          <w:kern w:val="0"/>
          <w:sz w:val="24"/>
          <w:szCs w:val="24"/>
          <w:highlight w:val="none"/>
          <w:lang w:val="en-US" w:eastAsia="zh-CN" w:bidi="ar-SA"/>
        </w:rPr>
        <w:t>项目的名称：</w:t>
      </w:r>
      <w:r>
        <w:rPr>
          <w:rFonts w:hint="eastAsia" w:ascii="宋体" w:hAnsi="宋体" w:eastAsia="宋体" w:cs="宋体"/>
          <w:bCs/>
          <w:color w:val="auto"/>
          <w:kern w:val="0"/>
          <w:sz w:val="24"/>
          <w:szCs w:val="24"/>
          <w:highlight w:val="none"/>
          <w:u w:val="single"/>
          <w:lang w:val="en-US" w:eastAsia="zh-CN" w:bidi="ar-SA"/>
        </w:rPr>
        <w:t xml:space="preserve">                  </w:t>
      </w:r>
    </w:p>
    <w:p w14:paraId="29B3E804">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质疑</w:t>
      </w:r>
      <w:r>
        <w:rPr>
          <w:rFonts w:hint="eastAsia" w:ascii="宋体" w:hAnsi="宋体" w:eastAsia="宋体" w:cs="宋体"/>
          <w:color w:val="auto"/>
          <w:kern w:val="0"/>
          <w:sz w:val="24"/>
          <w:szCs w:val="24"/>
          <w:highlight w:val="none"/>
          <w:lang w:val="en-US" w:eastAsia="zh-CN" w:bidi="ar-SA"/>
        </w:rPr>
        <w:t>项目的编号：</w:t>
      </w:r>
      <w:r>
        <w:rPr>
          <w:rFonts w:hint="eastAsia" w:ascii="宋体" w:hAnsi="宋体" w:eastAsia="宋体" w:cs="宋体"/>
          <w:bCs/>
          <w:color w:val="auto"/>
          <w:kern w:val="0"/>
          <w:sz w:val="24"/>
          <w:szCs w:val="24"/>
          <w:highlight w:val="none"/>
          <w:u w:val="single"/>
          <w:lang w:val="en-US" w:eastAsia="zh-CN" w:bidi="ar-SA"/>
        </w:rPr>
        <w:t xml:space="preserve"> </w:t>
      </w:r>
      <w:bookmarkStart w:id="73" w:name="PO_3000001871_PM001_9"/>
      <w:bookmarkEnd w:id="73"/>
      <w:r>
        <w:rPr>
          <w:rFonts w:hint="eastAsia" w:ascii="宋体" w:hAnsi="宋体" w:eastAsia="宋体" w:cs="宋体"/>
          <w:bCs/>
          <w:color w:val="auto"/>
          <w:kern w:val="0"/>
          <w:sz w:val="24"/>
          <w:szCs w:val="24"/>
          <w:highlight w:val="none"/>
          <w:u w:val="single"/>
          <w:lang w:val="en-US" w:eastAsia="zh-CN" w:bidi="ar-SA"/>
        </w:rPr>
        <w:t xml:space="preserve">                 </w:t>
      </w:r>
    </w:p>
    <w:p w14:paraId="77074E66">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采购人名称：</w:t>
      </w:r>
      <w:r>
        <w:rPr>
          <w:rFonts w:hint="eastAsia" w:ascii="宋体" w:hAnsi="宋体" w:eastAsia="宋体" w:cs="宋体"/>
          <w:bCs/>
          <w:color w:val="auto"/>
          <w:kern w:val="0"/>
          <w:sz w:val="24"/>
          <w:szCs w:val="24"/>
          <w:highlight w:val="none"/>
          <w:u w:val="single"/>
          <w:lang w:val="en-US" w:eastAsia="zh-CN" w:bidi="ar-SA"/>
        </w:rPr>
        <w:t xml:space="preserve">                      </w:t>
      </w:r>
    </w:p>
    <w:p w14:paraId="3E6F8883">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w:t>
      </w:r>
    </w:p>
    <w:p w14:paraId="370F9572">
      <w:pPr>
        <w:widowControl w:val="0"/>
        <w:shd w:val="clear"/>
        <w:spacing w:line="360" w:lineRule="auto"/>
        <w:ind w:left="25" w:leftChars="12" w:firstLine="352" w:firstLineChars="14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□谈判文件   谈判文件获取日期：</w:t>
      </w:r>
      <w:r>
        <w:rPr>
          <w:rFonts w:hint="eastAsia" w:ascii="宋体" w:hAnsi="宋体" w:eastAsia="宋体" w:cs="宋体"/>
          <w:bCs/>
          <w:color w:val="auto"/>
          <w:kern w:val="0"/>
          <w:sz w:val="24"/>
          <w:szCs w:val="24"/>
          <w:highlight w:val="none"/>
          <w:u w:val="single"/>
          <w:lang w:val="en-US" w:eastAsia="zh-CN" w:bidi="ar-SA"/>
        </w:rPr>
        <w:t xml:space="preserve">                                   </w:t>
      </w:r>
    </w:p>
    <w:p w14:paraId="25274548">
      <w:pPr>
        <w:widowControl w:val="0"/>
        <w:shd w:val="clear"/>
        <w:spacing w:line="360" w:lineRule="auto"/>
        <w:ind w:left="25" w:leftChars="12" w:firstLine="352" w:firstLineChars="14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□采购过程   </w:t>
      </w:r>
    </w:p>
    <w:p w14:paraId="1556308A">
      <w:pPr>
        <w:widowControl w:val="0"/>
        <w:shd w:val="clear"/>
        <w:spacing w:line="360" w:lineRule="auto"/>
        <w:ind w:left="25" w:leftChars="12" w:firstLine="352" w:firstLineChars="147"/>
        <w:contextualSpacing/>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 xml:space="preserve">□成交结果   </w:t>
      </w:r>
    </w:p>
    <w:p w14:paraId="32E66D31">
      <w:pPr>
        <w:widowControl w:val="0"/>
        <w:shd w:val="clear"/>
        <w:spacing w:line="360" w:lineRule="auto"/>
        <w:ind w:left="25" w:leftChars="12" w:firstLine="472" w:firstLineChars="196"/>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三、质疑事项具体内容</w:t>
      </w:r>
    </w:p>
    <w:p w14:paraId="0DCE234D">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质疑事项1：</w:t>
      </w:r>
      <w:r>
        <w:rPr>
          <w:rFonts w:hint="eastAsia" w:ascii="宋体" w:hAnsi="宋体" w:eastAsia="宋体" w:cs="宋体"/>
          <w:bCs/>
          <w:color w:val="auto"/>
          <w:kern w:val="0"/>
          <w:sz w:val="24"/>
          <w:szCs w:val="24"/>
          <w:highlight w:val="none"/>
          <w:u w:val="single"/>
          <w:lang w:val="en-US" w:eastAsia="zh-CN" w:bidi="ar-SA"/>
        </w:rPr>
        <w:t xml:space="preserve">                                                                    </w:t>
      </w:r>
    </w:p>
    <w:p w14:paraId="7A7261E9">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事实依据：</w:t>
      </w:r>
      <w:r>
        <w:rPr>
          <w:rFonts w:hint="eastAsia" w:ascii="宋体" w:hAnsi="宋体" w:eastAsia="宋体" w:cs="宋体"/>
          <w:bCs/>
          <w:color w:val="auto"/>
          <w:kern w:val="0"/>
          <w:sz w:val="24"/>
          <w:szCs w:val="24"/>
          <w:highlight w:val="none"/>
          <w:u w:val="single"/>
          <w:lang w:val="en-US" w:eastAsia="zh-CN" w:bidi="ar-SA"/>
        </w:rPr>
        <w:t xml:space="preserve">                                                                      </w:t>
      </w:r>
    </w:p>
    <w:p w14:paraId="4EB850F0">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法律依据：</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4614936C">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质疑事项2</w:t>
      </w:r>
    </w:p>
    <w:p w14:paraId="578217F1">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p w14:paraId="492EBE7D">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四、与质疑事项相关的质疑请求：</w:t>
      </w:r>
    </w:p>
    <w:p w14:paraId="3E2DAB1B">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请求：</w:t>
      </w:r>
      <w:r>
        <w:rPr>
          <w:rFonts w:hint="eastAsia" w:ascii="宋体" w:hAnsi="宋体" w:eastAsia="宋体" w:cs="宋体"/>
          <w:bCs/>
          <w:color w:val="auto"/>
          <w:kern w:val="0"/>
          <w:sz w:val="24"/>
          <w:szCs w:val="24"/>
          <w:highlight w:val="none"/>
          <w:u w:val="single"/>
          <w:lang w:val="en-US" w:eastAsia="zh-CN" w:bidi="ar-SA"/>
        </w:rPr>
        <w:t xml:space="preserve">                                                                </w:t>
      </w:r>
    </w:p>
    <w:p w14:paraId="7E429AD4">
      <w:pPr>
        <w:shd w:val="clear"/>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67062E8">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签字（签章）：                                       公章：</w:t>
      </w:r>
    </w:p>
    <w:p w14:paraId="5130BC6D">
      <w:pPr>
        <w:shd w:val="clear"/>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6D49A0B">
      <w:pPr>
        <w:widowControl w:val="0"/>
        <w:shd w:val="clear"/>
        <w:spacing w:line="360" w:lineRule="auto"/>
        <w:ind w:left="25" w:leftChars="12" w:firstLine="472" w:firstLineChars="197"/>
        <w:contextualSpacing/>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p w14:paraId="2F79063C">
      <w:pPr>
        <w:widowControl w:val="0"/>
        <w:shd w:val="clear"/>
        <w:spacing w:line="360" w:lineRule="auto"/>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xml:space="preserve"> </w:t>
      </w:r>
    </w:p>
    <w:p w14:paraId="39325A2F">
      <w:pPr>
        <w:widowControl w:val="0"/>
        <w:shd w:val="clear"/>
        <w:spacing w:line="360" w:lineRule="auto"/>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br w:type="page"/>
      </w:r>
      <w:r>
        <w:rPr>
          <w:rFonts w:hint="eastAsia" w:ascii="宋体" w:hAnsi="宋体" w:eastAsia="宋体" w:cs="宋体"/>
          <w:b/>
          <w:color w:val="auto"/>
          <w:kern w:val="0"/>
          <w:sz w:val="24"/>
          <w:szCs w:val="24"/>
          <w:highlight w:val="none"/>
          <w:lang w:val="en-US" w:eastAsia="zh-CN" w:bidi="ar-SA"/>
        </w:rPr>
        <w:t>说明：</w:t>
      </w:r>
    </w:p>
    <w:p w14:paraId="257A836E">
      <w:pPr>
        <w:widowControl w:val="0"/>
        <w:shd w:val="clear"/>
        <w:spacing w:line="360" w:lineRule="auto"/>
        <w:ind w:left="25" w:leftChars="12" w:firstLine="354" w:firstLineChars="147"/>
        <w:contextualSpacing/>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1.供应商提出质疑时，应提交质疑函和必要的证明材料</w:t>
      </w:r>
      <w:r>
        <w:rPr>
          <w:rFonts w:hint="eastAsia" w:ascii="宋体" w:hAnsi="宋体" w:eastAsia="宋体" w:cs="宋体"/>
          <w:b/>
          <w:bCs/>
          <w:color w:val="auto"/>
          <w:kern w:val="0"/>
          <w:sz w:val="24"/>
          <w:szCs w:val="24"/>
          <w:highlight w:val="none"/>
          <w:lang w:val="en-US" w:eastAsia="zh-CN" w:bidi="ar-SA"/>
        </w:rPr>
        <w:t>。</w:t>
      </w:r>
    </w:p>
    <w:p w14:paraId="07555AED">
      <w:pPr>
        <w:widowControl w:val="0"/>
        <w:shd w:val="clear"/>
        <w:spacing w:line="360" w:lineRule="auto"/>
        <w:ind w:left="25" w:leftChars="12" w:firstLine="354" w:firstLineChars="147"/>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7AC1E0">
      <w:pPr>
        <w:widowControl w:val="0"/>
        <w:shd w:val="clear"/>
        <w:spacing w:line="360" w:lineRule="auto"/>
        <w:ind w:left="25" w:leftChars="12" w:firstLine="354" w:firstLineChars="147"/>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3.质疑函的质疑事项应具体、明确，并有必要的事实依据和法律依据。</w:t>
      </w:r>
    </w:p>
    <w:p w14:paraId="53B97E63">
      <w:pPr>
        <w:widowControl w:val="0"/>
        <w:shd w:val="clear"/>
        <w:spacing w:line="360" w:lineRule="auto"/>
        <w:ind w:left="25" w:leftChars="12" w:firstLine="354" w:firstLineChars="147"/>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4.质疑函的质疑请求应与质疑事项相关。</w:t>
      </w:r>
    </w:p>
    <w:p w14:paraId="5B067E13">
      <w:pPr>
        <w:widowControl w:val="0"/>
        <w:shd w:val="clear"/>
        <w:spacing w:line="360" w:lineRule="auto"/>
        <w:ind w:left="25" w:leftChars="12" w:firstLine="354" w:firstLineChars="147"/>
        <w:contextualSpacing/>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5.质疑供应商为法人或者其他组织的，质疑函应由法定代表人、主要负责人，或者其授权代表签字或者盖章，并加盖公章。</w:t>
      </w:r>
    </w:p>
    <w:p w14:paraId="7D66E337">
      <w:pPr>
        <w:widowControl w:val="0"/>
        <w:shd w:val="clear"/>
        <w:snapToGrid w:val="0"/>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 xml:space="preserve"> </w:t>
      </w:r>
    </w:p>
    <w:p w14:paraId="2358C5DD">
      <w:pPr>
        <w:shd w:val="clear"/>
        <w:spacing w:line="460" w:lineRule="exact"/>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p>
    <w:p w14:paraId="51E110FE">
      <w:pPr>
        <w:shd w:val="clear"/>
        <w:spacing w:line="360" w:lineRule="auto"/>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6BDB74E0">
      <w:pPr>
        <w:widowControl w:val="0"/>
        <w:shd w:val="clear"/>
        <w:snapToGrid w:val="0"/>
        <w:spacing w:line="360" w:lineRule="auto"/>
        <w:ind w:firstLine="482" w:firstLineChars="200"/>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一、投诉相关主体基本情况：</w:t>
      </w:r>
    </w:p>
    <w:p w14:paraId="5EB09942">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供应商：</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6BF8D659">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03116BBB">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法定代表人/主要负责人：</w:t>
      </w:r>
      <w:r>
        <w:rPr>
          <w:rFonts w:hint="eastAsia" w:ascii="宋体" w:hAnsi="宋体" w:eastAsia="宋体" w:cs="宋体"/>
          <w:bCs/>
          <w:color w:val="auto"/>
          <w:kern w:val="0"/>
          <w:sz w:val="24"/>
          <w:szCs w:val="24"/>
          <w:highlight w:val="none"/>
          <w:u w:val="single"/>
          <w:lang w:val="en-US" w:eastAsia="zh-CN" w:bidi="ar-SA"/>
        </w:rPr>
        <w:t xml:space="preserve">                                                         </w:t>
      </w:r>
    </w:p>
    <w:p w14:paraId="5891F7FA">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058648A5">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授权代表：</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55D6392F">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p>
    <w:p w14:paraId="6D4BE7CA">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4E11E9EF">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被投诉人1：</w:t>
      </w:r>
    </w:p>
    <w:p w14:paraId="0D2FAA6A">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p>
    <w:p w14:paraId="4394526A">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1EB0D618">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11C7F8B0">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被投诉人2：</w:t>
      </w:r>
    </w:p>
    <w:p w14:paraId="14BB654F">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w:t>
      </w:r>
    </w:p>
    <w:p w14:paraId="498F69E4">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相关供应商：</w:t>
      </w:r>
      <w:r>
        <w:rPr>
          <w:rFonts w:hint="eastAsia" w:ascii="宋体" w:hAnsi="宋体" w:eastAsia="宋体" w:cs="宋体"/>
          <w:bCs/>
          <w:color w:val="auto"/>
          <w:kern w:val="0"/>
          <w:sz w:val="24"/>
          <w:szCs w:val="24"/>
          <w:highlight w:val="none"/>
          <w:u w:val="single"/>
          <w:lang w:val="en-US" w:eastAsia="zh-CN" w:bidi="ar-SA"/>
        </w:rPr>
        <w:t xml:space="preserve">                                                                       </w:t>
      </w:r>
    </w:p>
    <w:p w14:paraId="2AB9CAB0">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p>
    <w:p w14:paraId="3E0D9BF3">
      <w:pPr>
        <w:widowControl w:val="0"/>
        <w:shd w:val="clear"/>
        <w:snapToGrid w:val="0"/>
        <w:spacing w:line="360" w:lineRule="auto"/>
        <w:ind w:firstLine="480" w:firstLineChars="200"/>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5B6CCFB5">
      <w:pPr>
        <w:widowControl w:val="0"/>
        <w:shd w:val="clear"/>
        <w:snapToGrid w:val="0"/>
        <w:spacing w:line="360" w:lineRule="auto"/>
        <w:ind w:firstLine="482" w:firstLineChars="200"/>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二、投诉项目基本情况：</w:t>
      </w:r>
    </w:p>
    <w:p w14:paraId="191BB6FF">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en-US" w:eastAsia="zh-CN" w:bidi="ar-SA"/>
        </w:rPr>
        <w:t>项目的名称：</w:t>
      </w:r>
      <w:r>
        <w:rPr>
          <w:rFonts w:hint="eastAsia" w:ascii="宋体" w:hAnsi="宋体" w:eastAsia="宋体" w:cs="宋体"/>
          <w:bCs/>
          <w:color w:val="auto"/>
          <w:kern w:val="0"/>
          <w:sz w:val="24"/>
          <w:szCs w:val="24"/>
          <w:highlight w:val="none"/>
          <w:u w:val="single"/>
          <w:lang w:val="en-US" w:eastAsia="zh-CN" w:bidi="ar-SA"/>
        </w:rPr>
        <w:t xml:space="preserve">                      </w:t>
      </w:r>
    </w:p>
    <w:p w14:paraId="25BE4AD4">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en-US" w:eastAsia="zh-CN" w:bidi="ar-SA"/>
        </w:rPr>
        <w:t>项目的编号：</w:t>
      </w:r>
      <w:bookmarkStart w:id="74" w:name="PO_3000001871_PM001_10"/>
      <w:bookmarkEnd w:id="74"/>
      <w:r>
        <w:rPr>
          <w:rFonts w:hint="eastAsia" w:ascii="宋体" w:hAnsi="宋体" w:eastAsia="宋体" w:cs="宋体"/>
          <w:bCs/>
          <w:color w:val="auto"/>
          <w:kern w:val="0"/>
          <w:sz w:val="24"/>
          <w:szCs w:val="24"/>
          <w:highlight w:val="none"/>
          <w:u w:val="single"/>
          <w:lang w:val="en-US" w:eastAsia="zh-CN" w:bidi="ar-SA"/>
        </w:rPr>
        <w:t xml:space="preserve">                      </w:t>
      </w:r>
    </w:p>
    <w:p w14:paraId="3AF67FBE">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采购人名称：</w:t>
      </w:r>
      <w:r>
        <w:rPr>
          <w:rFonts w:hint="eastAsia" w:ascii="宋体" w:hAnsi="宋体" w:eastAsia="宋体" w:cs="宋体"/>
          <w:bCs/>
          <w:color w:val="auto"/>
          <w:kern w:val="0"/>
          <w:sz w:val="24"/>
          <w:szCs w:val="24"/>
          <w:highlight w:val="none"/>
          <w:u w:val="single"/>
          <w:lang w:val="en-US" w:eastAsia="zh-CN" w:bidi="ar-SA"/>
        </w:rPr>
        <w:t xml:space="preserve">                          </w:t>
      </w:r>
    </w:p>
    <w:p w14:paraId="1EED0A20">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代理机构名称：</w:t>
      </w:r>
      <w:bookmarkStart w:id="75" w:name="PO_3000001871_PM031_5"/>
      <w:bookmarkEnd w:id="75"/>
      <w:r>
        <w:rPr>
          <w:rFonts w:hint="eastAsia" w:ascii="宋体" w:hAnsi="宋体" w:eastAsia="宋体" w:cs="宋体"/>
          <w:bCs/>
          <w:color w:val="auto"/>
          <w:kern w:val="0"/>
          <w:sz w:val="24"/>
          <w:szCs w:val="24"/>
          <w:highlight w:val="none"/>
          <w:u w:val="single"/>
          <w:lang w:val="en-US" w:eastAsia="zh-CN" w:bidi="ar-SA"/>
        </w:rPr>
        <w:t xml:space="preserve">                        </w:t>
      </w:r>
    </w:p>
    <w:p w14:paraId="189D26A3">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1"/>
          <w:highlight w:val="none"/>
          <w:lang w:val="en-US" w:eastAsia="zh-CN" w:bidi="ar-SA"/>
        </w:rPr>
        <w:t>谈判</w:t>
      </w:r>
      <w:r>
        <w:rPr>
          <w:rFonts w:hint="eastAsia" w:ascii="宋体" w:hAnsi="宋体" w:eastAsia="宋体" w:cs="宋体"/>
          <w:bCs/>
          <w:color w:val="auto"/>
          <w:kern w:val="0"/>
          <w:sz w:val="24"/>
          <w:szCs w:val="24"/>
          <w:highlight w:val="none"/>
          <w:lang w:val="en-US" w:eastAsia="zh-CN" w:bidi="ar-SA"/>
        </w:rPr>
        <w:t>文件公告：</w:t>
      </w:r>
      <w:r>
        <w:rPr>
          <w:rFonts w:hint="eastAsia" w:ascii="宋体" w:hAnsi="宋体" w:eastAsia="宋体" w:cs="宋体"/>
          <w:bCs/>
          <w:color w:val="auto"/>
          <w:kern w:val="0"/>
          <w:sz w:val="24"/>
          <w:szCs w:val="24"/>
          <w:highlight w:val="none"/>
          <w:u w:val="single"/>
          <w:lang w:val="en-US" w:eastAsia="zh-CN" w:bidi="ar-SA"/>
        </w:rPr>
        <w:t>是/否</w:t>
      </w:r>
      <w:r>
        <w:rPr>
          <w:rFonts w:hint="eastAsia" w:ascii="宋体" w:hAnsi="宋体" w:eastAsia="宋体" w:cs="宋体"/>
          <w:bCs/>
          <w:color w:val="auto"/>
          <w:kern w:val="0"/>
          <w:sz w:val="24"/>
          <w:szCs w:val="24"/>
          <w:highlight w:val="none"/>
          <w:lang w:val="en-US" w:eastAsia="zh-CN" w:bidi="ar-SA"/>
        </w:rPr>
        <w:t>公告期限：</w:t>
      </w:r>
      <w:r>
        <w:rPr>
          <w:rFonts w:hint="eastAsia" w:ascii="宋体" w:hAnsi="宋体" w:eastAsia="宋体" w:cs="宋体"/>
          <w:bCs/>
          <w:color w:val="auto"/>
          <w:kern w:val="0"/>
          <w:sz w:val="24"/>
          <w:szCs w:val="24"/>
          <w:highlight w:val="none"/>
          <w:u w:val="single"/>
          <w:lang w:val="en-US" w:eastAsia="zh-CN" w:bidi="ar-SA"/>
        </w:rPr>
        <w:t xml:space="preserve">                                                       </w:t>
      </w:r>
    </w:p>
    <w:p w14:paraId="69AF703B">
      <w:pPr>
        <w:widowControl w:val="0"/>
        <w:shd w:val="clear"/>
        <w:spacing w:line="360" w:lineRule="auto"/>
        <w:ind w:left="25" w:leftChars="12" w:firstLine="472" w:firstLineChars="197"/>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采购结果公告：</w:t>
      </w:r>
      <w:r>
        <w:rPr>
          <w:rFonts w:hint="eastAsia" w:ascii="宋体" w:hAnsi="宋体" w:eastAsia="宋体" w:cs="宋体"/>
          <w:bCs/>
          <w:color w:val="auto"/>
          <w:kern w:val="0"/>
          <w:sz w:val="24"/>
          <w:szCs w:val="24"/>
          <w:highlight w:val="none"/>
          <w:u w:val="single"/>
          <w:lang w:val="en-US" w:eastAsia="zh-CN" w:bidi="ar-SA"/>
        </w:rPr>
        <w:t>是/否</w:t>
      </w:r>
      <w:r>
        <w:rPr>
          <w:rFonts w:hint="eastAsia" w:ascii="宋体" w:hAnsi="宋体" w:eastAsia="宋体" w:cs="宋体"/>
          <w:bCs/>
          <w:color w:val="auto"/>
          <w:kern w:val="0"/>
          <w:sz w:val="24"/>
          <w:szCs w:val="24"/>
          <w:highlight w:val="none"/>
          <w:lang w:val="en-US" w:eastAsia="zh-CN" w:bidi="ar-SA"/>
        </w:rPr>
        <w:t>公告期限：</w:t>
      </w:r>
      <w:r>
        <w:rPr>
          <w:rFonts w:hint="eastAsia" w:ascii="宋体" w:hAnsi="宋体" w:eastAsia="宋体" w:cs="宋体"/>
          <w:bCs/>
          <w:color w:val="auto"/>
          <w:kern w:val="0"/>
          <w:sz w:val="24"/>
          <w:szCs w:val="24"/>
          <w:highlight w:val="none"/>
          <w:u w:val="single"/>
          <w:lang w:val="en-US" w:eastAsia="zh-CN" w:bidi="ar-SA"/>
        </w:rPr>
        <w:t xml:space="preserve">                                                       </w:t>
      </w:r>
    </w:p>
    <w:p w14:paraId="0E965530">
      <w:pPr>
        <w:widowControl w:val="0"/>
        <w:shd w:val="clear"/>
        <w:spacing w:line="360" w:lineRule="auto"/>
        <w:ind w:left="25" w:leftChars="12" w:firstLine="472" w:firstLineChars="196"/>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三、质疑基本情况</w:t>
      </w:r>
    </w:p>
    <w:p w14:paraId="7435646E">
      <w:pPr>
        <w:widowControl w:val="0"/>
        <w:shd w:val="clear"/>
        <w:spacing w:line="360" w:lineRule="auto"/>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投诉人于</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日，向</w:t>
      </w:r>
      <w:r>
        <w:rPr>
          <w:rFonts w:hint="eastAsia" w:ascii="宋体" w:hAnsi="宋体" w:eastAsia="宋体" w:cs="宋体"/>
          <w:color w:val="auto"/>
          <w:kern w:val="0"/>
          <w:sz w:val="24"/>
          <w:szCs w:val="24"/>
          <w:highlight w:val="none"/>
          <w:u w:val="single"/>
          <w:lang w:val="en-US" w:eastAsia="zh-CN" w:bidi="ar-SA"/>
        </w:rPr>
        <w:t xml:space="preserve">                                质疑</w:t>
      </w:r>
      <w:r>
        <w:rPr>
          <w:rFonts w:hint="eastAsia" w:ascii="宋体" w:hAnsi="宋体" w:eastAsia="宋体" w:cs="宋体"/>
          <w:color w:val="auto"/>
          <w:kern w:val="0"/>
          <w:sz w:val="24"/>
          <w:szCs w:val="24"/>
          <w:highlight w:val="none"/>
          <w:lang w:val="en-US" w:eastAsia="zh-CN" w:bidi="ar-SA"/>
        </w:rPr>
        <w:t>，质疑事项为：</w:t>
      </w:r>
    </w:p>
    <w:p w14:paraId="5E1AA3B0">
      <w:pPr>
        <w:widowControl w:val="0"/>
        <w:shd w:val="clear"/>
        <w:spacing w:line="360" w:lineRule="auto"/>
        <w:ind w:firstLine="241"/>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1B3C20B1">
      <w:pPr>
        <w:widowControl w:val="0"/>
        <w:shd w:val="clear"/>
        <w:spacing w:line="360" w:lineRule="auto"/>
        <w:ind w:firstLine="241"/>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3A0544A8">
      <w:pPr>
        <w:widowControl w:val="0"/>
        <w:shd w:val="clear"/>
        <w:spacing w:line="360" w:lineRule="auto"/>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u w:val="single"/>
          <w:lang w:val="en-US" w:eastAsia="zh-CN" w:bidi="ar-SA"/>
        </w:rPr>
        <w:t>采购人/代理机构</w:t>
      </w:r>
      <w:r>
        <w:rPr>
          <w:rFonts w:hint="eastAsia" w:ascii="宋体" w:hAnsi="宋体" w:eastAsia="宋体" w:cs="宋体"/>
          <w:bCs/>
          <w:color w:val="auto"/>
          <w:kern w:val="0"/>
          <w:sz w:val="24"/>
          <w:szCs w:val="24"/>
          <w:highlight w:val="none"/>
          <w:lang w:val="en-US" w:eastAsia="zh-CN" w:bidi="ar-SA"/>
        </w:rPr>
        <w:t>于</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bCs/>
          <w:color w:val="auto"/>
          <w:kern w:val="0"/>
          <w:sz w:val="24"/>
          <w:szCs w:val="24"/>
          <w:highlight w:val="none"/>
          <w:lang w:val="en-US" w:eastAsia="zh-CN" w:bidi="ar-SA"/>
        </w:rPr>
        <w:t xml:space="preserve">就质疑事项作出了答复/没有在法定期限内作出答复。                                                                                             </w:t>
      </w:r>
    </w:p>
    <w:p w14:paraId="64CCCD2D">
      <w:pPr>
        <w:widowControl w:val="0"/>
        <w:shd w:val="clear"/>
        <w:spacing w:line="360" w:lineRule="auto"/>
        <w:ind w:left="25" w:leftChars="12" w:firstLine="472" w:firstLineChars="196"/>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四、投诉事项具体内容</w:t>
      </w:r>
    </w:p>
    <w:p w14:paraId="589E2326">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投诉事项1：</w:t>
      </w:r>
      <w:r>
        <w:rPr>
          <w:rFonts w:hint="eastAsia" w:ascii="宋体" w:hAnsi="宋体" w:eastAsia="宋体" w:cs="宋体"/>
          <w:bCs/>
          <w:color w:val="auto"/>
          <w:kern w:val="0"/>
          <w:sz w:val="24"/>
          <w:szCs w:val="24"/>
          <w:highlight w:val="none"/>
          <w:u w:val="single"/>
          <w:lang w:val="en-US" w:eastAsia="zh-CN" w:bidi="ar-SA"/>
        </w:rPr>
        <w:t xml:space="preserve">                                                                           </w:t>
      </w:r>
    </w:p>
    <w:p w14:paraId="698E358F">
      <w:pPr>
        <w:widowControl w:val="0"/>
        <w:shd w:val="clear"/>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事实依据：</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6F5D172E">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u w:val="single"/>
          <w:lang w:val="en-US" w:eastAsia="zh-CN" w:bidi="ar-SA"/>
        </w:rPr>
        <w:t xml:space="preserve">                                                                                        </w:t>
      </w:r>
    </w:p>
    <w:p w14:paraId="5BAE7A81">
      <w:pPr>
        <w:widowControl w:val="0"/>
        <w:shd w:val="clear"/>
        <w:spacing w:line="360" w:lineRule="auto"/>
        <w:ind w:firstLine="480" w:firstLineChars="200"/>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法律依据：</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41881290">
      <w:pPr>
        <w:widowControl w:val="0"/>
        <w:shd w:val="clear"/>
        <w:spacing w:line="360" w:lineRule="auto"/>
        <w:ind w:left="25" w:leftChars="12" w:firstLine="352" w:firstLineChars="147"/>
        <w:jc w:val="both"/>
        <w:rPr>
          <w:rFonts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73E18063">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投诉事项2  </w:t>
      </w:r>
      <w:r>
        <w:rPr>
          <w:rFonts w:hint="eastAsia" w:ascii="宋体" w:hAnsi="宋体" w:eastAsia="宋体" w:cs="宋体"/>
          <w:bCs/>
          <w:color w:val="auto"/>
          <w:kern w:val="0"/>
          <w:sz w:val="24"/>
          <w:szCs w:val="24"/>
          <w:highlight w:val="none"/>
          <w:lang w:val="en-US" w:eastAsia="zh-CN" w:bidi="ar-SA"/>
        </w:rPr>
        <w:t xml:space="preserve">   </w:t>
      </w:r>
    </w:p>
    <w:p w14:paraId="399B9890">
      <w:pPr>
        <w:widowControl w:val="0"/>
        <w:shd w:val="clear"/>
        <w:spacing w:line="360" w:lineRule="auto"/>
        <w:ind w:left="25" w:leftChars="12" w:firstLine="472" w:firstLineChars="197"/>
        <w:jc w:val="both"/>
        <w:rPr>
          <w:rFonts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w:t>
      </w:r>
    </w:p>
    <w:p w14:paraId="3C6154DE">
      <w:pPr>
        <w:widowControl w:val="0"/>
        <w:shd w:val="clear"/>
        <w:spacing w:line="360" w:lineRule="auto"/>
        <w:ind w:left="25" w:leftChars="12" w:firstLine="472" w:firstLineChars="196"/>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五、与投诉事项相关的投诉请求：</w:t>
      </w:r>
    </w:p>
    <w:p w14:paraId="119BBE0F">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请求：</w:t>
      </w:r>
      <w:r>
        <w:rPr>
          <w:rFonts w:hint="eastAsia" w:ascii="宋体" w:hAnsi="宋体" w:eastAsia="宋体" w:cs="宋体"/>
          <w:bCs/>
          <w:color w:val="auto"/>
          <w:kern w:val="0"/>
          <w:sz w:val="24"/>
          <w:szCs w:val="24"/>
          <w:highlight w:val="none"/>
          <w:u w:val="single"/>
          <w:lang w:val="en-US" w:eastAsia="zh-CN" w:bidi="ar-SA"/>
        </w:rPr>
        <w:t xml:space="preserve">                                                                                 </w:t>
      </w:r>
    </w:p>
    <w:p w14:paraId="5D9391A9">
      <w:pPr>
        <w:shd w:val="clear"/>
        <w:rPr>
          <w:rFonts w:ascii="宋体" w:hAnsi="宋体" w:eastAsia="宋体" w:cs="宋体"/>
          <w:color w:val="auto"/>
          <w:highlight w:val="none"/>
        </w:rPr>
      </w:pPr>
      <w:r>
        <w:rPr>
          <w:rFonts w:hint="eastAsia" w:ascii="宋体" w:hAnsi="宋体" w:eastAsia="宋体" w:cs="宋体"/>
          <w:color w:val="auto"/>
          <w:highlight w:val="none"/>
        </w:rPr>
        <w:t xml:space="preserve"> </w:t>
      </w:r>
    </w:p>
    <w:p w14:paraId="47C5B873">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签字（签章）：                                       公章：</w:t>
      </w:r>
    </w:p>
    <w:p w14:paraId="2BC6D881">
      <w:pPr>
        <w:shd w:val="clear"/>
        <w:rPr>
          <w:rFonts w:ascii="宋体" w:hAnsi="宋体" w:eastAsia="宋体" w:cs="宋体"/>
          <w:color w:val="auto"/>
          <w:highlight w:val="none"/>
        </w:rPr>
      </w:pPr>
      <w:r>
        <w:rPr>
          <w:rFonts w:hint="eastAsia" w:ascii="宋体" w:hAnsi="宋体" w:eastAsia="宋体" w:cs="宋体"/>
          <w:color w:val="auto"/>
          <w:highlight w:val="none"/>
        </w:rPr>
        <w:t xml:space="preserve"> </w:t>
      </w:r>
    </w:p>
    <w:p w14:paraId="10AD7BFF">
      <w:pPr>
        <w:widowControl w:val="0"/>
        <w:shd w:val="clear"/>
        <w:spacing w:line="360" w:lineRule="auto"/>
        <w:ind w:left="25" w:leftChars="12" w:firstLine="472" w:firstLineChars="197"/>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p w14:paraId="0041760C">
      <w:pPr>
        <w:shd w:val="clear"/>
        <w:rPr>
          <w:rFonts w:ascii="宋体" w:hAnsi="宋体" w:eastAsia="宋体" w:cs="宋体"/>
          <w:color w:val="auto"/>
          <w:highlight w:val="none"/>
        </w:rPr>
      </w:pPr>
    </w:p>
    <w:p w14:paraId="49112567">
      <w:pPr>
        <w:widowControl w:val="0"/>
        <w:shd w:val="clear"/>
        <w:snapToGrid w:val="0"/>
        <w:spacing w:line="360" w:lineRule="auto"/>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说明：</w:t>
      </w:r>
    </w:p>
    <w:p w14:paraId="1B8C4F26">
      <w:pPr>
        <w:widowControl w:val="0"/>
        <w:shd w:val="clear"/>
        <w:spacing w:line="360" w:lineRule="auto"/>
        <w:ind w:left="25" w:leftChars="12" w:firstLine="354" w:firstLineChars="147"/>
        <w:jc w:val="both"/>
        <w:rPr>
          <w:rFonts w:ascii="宋体" w:hAnsi="宋体" w:eastAsia="宋体" w:cs="宋体"/>
          <w:b/>
          <w:bCs/>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 w:val="24"/>
          <w:szCs w:val="24"/>
          <w:highlight w:val="none"/>
          <w:lang w:val="en-US" w:eastAsia="zh-CN" w:bidi="ar-SA"/>
        </w:rPr>
        <w:t>。</w:t>
      </w:r>
    </w:p>
    <w:p w14:paraId="17B80508">
      <w:pPr>
        <w:widowControl w:val="0"/>
        <w:shd w:val="clear"/>
        <w:spacing w:line="360" w:lineRule="auto"/>
        <w:ind w:left="25" w:leftChars="12" w:firstLine="354" w:firstLineChars="147"/>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839EEB8">
      <w:pPr>
        <w:widowControl w:val="0"/>
        <w:shd w:val="clear"/>
        <w:spacing w:line="360" w:lineRule="auto"/>
        <w:ind w:left="25" w:leftChars="12" w:firstLine="354" w:firstLineChars="147"/>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3.投诉书应简要列明质疑事项，质疑函、质疑答复等作为附件材料提供。</w:t>
      </w:r>
    </w:p>
    <w:p w14:paraId="6232B954">
      <w:pPr>
        <w:widowControl w:val="0"/>
        <w:shd w:val="clear"/>
        <w:spacing w:line="360" w:lineRule="auto"/>
        <w:ind w:left="25" w:leftChars="12" w:firstLine="354" w:firstLineChars="147"/>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4.投诉书的投诉事项应具体、明确，并有必要的事实依据和法律依据。</w:t>
      </w:r>
    </w:p>
    <w:p w14:paraId="2C1FB1F7">
      <w:pPr>
        <w:widowControl w:val="0"/>
        <w:shd w:val="clear"/>
        <w:spacing w:line="360" w:lineRule="auto"/>
        <w:ind w:left="25" w:leftChars="12" w:firstLine="354" w:firstLineChars="147"/>
        <w:jc w:val="both"/>
        <w:rPr>
          <w:rFonts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5.投诉书的投诉请求应与投诉事项相关。</w:t>
      </w:r>
    </w:p>
    <w:p w14:paraId="262C7584">
      <w:pPr>
        <w:widowControl w:val="0"/>
        <w:shd w:val="clear"/>
        <w:spacing w:line="360" w:lineRule="auto"/>
        <w:ind w:left="25" w:leftChars="12" w:firstLine="354" w:firstLineChars="147"/>
        <w:jc w:val="both"/>
        <w:rPr>
          <w:rFonts w:ascii="宋体" w:hAnsi="宋体" w:eastAsia="宋体" w:cs="宋体"/>
          <w:b/>
          <w:color w:val="auto"/>
          <w:kern w:val="0"/>
          <w:sz w:val="20"/>
          <w:szCs w:val="20"/>
          <w:highlight w:val="none"/>
          <w:lang w:val="en-US" w:eastAsia="zh-CN" w:bidi="ar-SA"/>
        </w:rPr>
      </w:pPr>
      <w:r>
        <w:rPr>
          <w:rFonts w:hint="eastAsia" w:ascii="宋体" w:hAnsi="宋体" w:eastAsia="宋体" w:cs="宋体"/>
          <w:b/>
          <w:color w:val="auto"/>
          <w:kern w:val="0"/>
          <w:sz w:val="24"/>
          <w:szCs w:val="24"/>
          <w:highlight w:val="none"/>
          <w:lang w:val="en-US" w:eastAsia="zh-CN" w:bidi="ar-SA"/>
        </w:rPr>
        <w:t>6.投诉人为法人或者其他组织的，投诉书应由法定代表人、主要负责人，或者其授权代表签字或者盖章，并加盖公章。</w:t>
      </w:r>
    </w:p>
    <w:p w14:paraId="233E9035">
      <w:pPr>
        <w:widowControl w:val="0"/>
        <w:shd w:val="clear"/>
        <w:snapToGrid w:val="0"/>
        <w:jc w:val="both"/>
        <w:rPr>
          <w:rFonts w:ascii="宋体" w:hAnsi="宋体" w:eastAsia="宋体" w:cs="宋体"/>
          <w:b/>
          <w:color w:val="auto"/>
          <w:kern w:val="0"/>
          <w:sz w:val="24"/>
          <w:szCs w:val="24"/>
          <w:highlight w:val="none"/>
          <w:lang w:val="en-US" w:eastAsia="zh-CN" w:bidi="ar-SA"/>
        </w:rPr>
      </w:pPr>
    </w:p>
    <w:p w14:paraId="02AF752B">
      <w:pPr>
        <w:shd w:val="clear"/>
        <w:rPr>
          <w:rFonts w:ascii="Times New Roman" w:hAnsi="Times New Roman" w:eastAsia="宋体" w:cs="Times New Roman"/>
          <w:color w:val="auto"/>
          <w:highlight w:val="none"/>
        </w:rPr>
      </w:pPr>
    </w:p>
    <w:p w14:paraId="586A9C74">
      <w:pPr>
        <w:shd w:val="clear"/>
        <w:rPr>
          <w:rFonts w:ascii="宋体" w:hAnsi="宋体" w:eastAsia="宋体" w:cs="宋体"/>
          <w:color w:val="auto"/>
          <w:sz w:val="32"/>
          <w:szCs w:val="32"/>
          <w:highlight w:val="none"/>
        </w:rPr>
      </w:pPr>
      <w:r>
        <w:rPr>
          <w:rFonts w:hint="eastAsia" w:ascii="宋体" w:hAnsi="宋体" w:eastAsia="宋体" w:cs="宋体"/>
          <w:b/>
          <w:bCs/>
          <w:color w:val="auto"/>
          <w:sz w:val="28"/>
          <w:szCs w:val="28"/>
          <w:highlight w:val="none"/>
        </w:rPr>
        <w:br w:type="page"/>
      </w:r>
    </w:p>
    <w:p w14:paraId="274F0DCC">
      <w:pPr>
        <w:shd w:val="clear"/>
        <w:spacing w:line="520" w:lineRule="exact"/>
        <w:rPr>
          <w:rFonts w:ascii="宋体" w:hAnsi="宋体" w:eastAsia="宋体" w:cs="宋体"/>
          <w:color w:val="auto"/>
          <w:sz w:val="32"/>
          <w:szCs w:val="32"/>
          <w:highlight w:val="none"/>
        </w:rPr>
      </w:pPr>
    </w:p>
    <w:p w14:paraId="5C6C3B3E">
      <w:pPr>
        <w:shd w:val="clear"/>
        <w:spacing w:line="520" w:lineRule="exact"/>
        <w:rPr>
          <w:rFonts w:ascii="宋体" w:hAnsi="宋体" w:eastAsia="宋体" w:cs="宋体"/>
          <w:color w:val="auto"/>
          <w:sz w:val="32"/>
          <w:szCs w:val="32"/>
          <w:highlight w:val="none"/>
        </w:rPr>
      </w:pPr>
    </w:p>
    <w:p w14:paraId="1498DFEF">
      <w:pPr>
        <w:shd w:val="clear"/>
        <w:autoSpaceDE w:val="0"/>
        <w:autoSpaceDN w:val="0"/>
        <w:spacing w:line="300" w:lineRule="auto"/>
        <w:rPr>
          <w:rFonts w:ascii="宋体" w:hAnsi="宋体" w:eastAsia="宋体" w:cs="宋体"/>
          <w:color w:val="auto"/>
          <w:szCs w:val="21"/>
          <w:highlight w:val="none"/>
        </w:rPr>
      </w:pPr>
    </w:p>
    <w:p w14:paraId="4123E7CB">
      <w:pPr>
        <w:keepNext/>
        <w:keepLines/>
        <w:widowControl w:val="0"/>
        <w:numPr>
          <w:ilvl w:val="0"/>
          <w:numId w:val="0"/>
        </w:numPr>
        <w:shd w:val="clear"/>
        <w:spacing w:before="340" w:beforeLines="0" w:beforeAutospacing="0" w:after="330" w:afterLines="0" w:afterAutospacing="0" w:line="520" w:lineRule="exact"/>
        <w:jc w:val="center"/>
        <w:outlineLvl w:val="0"/>
        <w:rPr>
          <w:rFonts w:ascii="宋体" w:hAnsi="宋体" w:eastAsia="宋体" w:cs="宋体"/>
          <w:b/>
          <w:color w:val="auto"/>
          <w:kern w:val="44"/>
          <w:sz w:val="44"/>
          <w:szCs w:val="24"/>
          <w:highlight w:val="none"/>
          <w:lang w:val="en-US" w:eastAsia="zh-CN" w:bidi="ar-SA"/>
        </w:rPr>
      </w:pPr>
      <w:r>
        <w:rPr>
          <w:rFonts w:hint="eastAsia" w:ascii="宋体" w:hAnsi="宋体" w:eastAsia="宋体" w:cs="宋体"/>
          <w:b/>
          <w:color w:val="auto"/>
          <w:kern w:val="44"/>
          <w:sz w:val="44"/>
          <w:szCs w:val="24"/>
          <w:highlight w:val="none"/>
          <w:lang w:val="en-US" w:eastAsia="zh-CN" w:bidi="ar-SA"/>
        </w:rPr>
        <w:t>第六章</w:t>
      </w:r>
      <w:bookmarkStart w:id="76" w:name="_Toc15631"/>
      <w:r>
        <w:rPr>
          <w:rFonts w:hint="eastAsia" w:ascii="宋体" w:hAnsi="宋体" w:eastAsia="宋体" w:cs="宋体"/>
          <w:b/>
          <w:color w:val="auto"/>
          <w:kern w:val="44"/>
          <w:sz w:val="44"/>
          <w:szCs w:val="24"/>
          <w:highlight w:val="none"/>
          <w:lang w:val="en-US" w:eastAsia="zh-CN" w:bidi="ar-SA"/>
        </w:rPr>
        <w:t xml:space="preserve">  合同文本</w:t>
      </w:r>
      <w:bookmarkEnd w:id="76"/>
    </w:p>
    <w:p w14:paraId="73BC14C0">
      <w:pPr>
        <w:shd w:val="clear"/>
        <w:rPr>
          <w:rFonts w:ascii="宋体" w:hAnsi="宋体" w:eastAsia="宋体" w:cs="宋体"/>
          <w:color w:val="auto"/>
          <w:highlight w:val="none"/>
        </w:rPr>
      </w:pPr>
    </w:p>
    <w:p w14:paraId="696BDA88">
      <w:pPr>
        <w:widowControl w:val="0"/>
        <w:shd w:val="clear"/>
        <w:spacing w:after="120"/>
        <w:jc w:val="both"/>
        <w:rPr>
          <w:rFonts w:ascii="宋体" w:hAnsi="宋体" w:eastAsia="宋体" w:cs="宋体"/>
          <w:color w:val="auto"/>
          <w:kern w:val="2"/>
          <w:sz w:val="21"/>
          <w:szCs w:val="24"/>
          <w:highlight w:val="none"/>
          <w:lang w:val="en-US" w:eastAsia="zh-CN" w:bidi="ar-SA"/>
        </w:rPr>
      </w:pPr>
    </w:p>
    <w:p w14:paraId="617667DC">
      <w:pPr>
        <w:widowControl w:val="0"/>
        <w:shd w:val="clear"/>
        <w:spacing w:after="120"/>
        <w:jc w:val="both"/>
        <w:rPr>
          <w:rFonts w:ascii="宋体" w:hAnsi="宋体" w:eastAsia="宋体" w:cs="宋体"/>
          <w:color w:val="auto"/>
          <w:kern w:val="2"/>
          <w:sz w:val="21"/>
          <w:szCs w:val="24"/>
          <w:highlight w:val="none"/>
          <w:lang w:val="en-US" w:eastAsia="zh-CN" w:bidi="ar-SA"/>
        </w:rPr>
      </w:pPr>
    </w:p>
    <w:p w14:paraId="33924396">
      <w:pPr>
        <w:widowControl w:val="0"/>
        <w:shd w:val="clear"/>
        <w:spacing w:after="120"/>
        <w:jc w:val="both"/>
        <w:rPr>
          <w:rFonts w:ascii="宋体" w:hAnsi="宋体" w:eastAsia="宋体" w:cs="宋体"/>
          <w:color w:val="auto"/>
          <w:kern w:val="2"/>
          <w:sz w:val="21"/>
          <w:szCs w:val="24"/>
          <w:highlight w:val="none"/>
          <w:lang w:val="en-US" w:eastAsia="zh-CN" w:bidi="ar-SA"/>
        </w:rPr>
      </w:pPr>
    </w:p>
    <w:p w14:paraId="1D9F4A18">
      <w:pPr>
        <w:widowControl w:val="0"/>
        <w:shd w:val="clear"/>
        <w:jc w:val="center"/>
        <w:rPr>
          <w:rFonts w:ascii="宋体" w:hAnsi="宋体" w:eastAsia="宋体" w:cs="宋体"/>
          <w:bCs/>
          <w:color w:val="auto"/>
          <w:kern w:val="0"/>
          <w:sz w:val="72"/>
          <w:szCs w:val="72"/>
          <w:highlight w:val="none"/>
          <w:lang w:val="en-US" w:eastAsia="zh-CN" w:bidi="ar-SA"/>
        </w:rPr>
      </w:pPr>
      <w:r>
        <w:rPr>
          <w:rFonts w:hint="eastAsia" w:ascii="宋体" w:hAnsi="宋体" w:eastAsia="宋体" w:cs="宋体"/>
          <w:bCs/>
          <w:color w:val="auto"/>
          <w:kern w:val="0"/>
          <w:sz w:val="72"/>
          <w:szCs w:val="72"/>
          <w:highlight w:val="none"/>
          <w:lang w:val="en-US" w:eastAsia="zh-CN" w:bidi="ar-SA"/>
        </w:rPr>
        <w:t>采购合同</w:t>
      </w:r>
    </w:p>
    <w:p w14:paraId="1EE04A62">
      <w:pPr>
        <w:widowControl w:val="0"/>
        <w:shd w:val="clear"/>
        <w:jc w:val="both"/>
        <w:rPr>
          <w:rFonts w:ascii="宋体" w:hAnsi="宋体" w:eastAsia="宋体" w:cs="宋体"/>
          <w:color w:val="auto"/>
          <w:kern w:val="0"/>
          <w:sz w:val="20"/>
          <w:szCs w:val="21"/>
          <w:highlight w:val="none"/>
          <w:lang w:val="en-US" w:eastAsia="zh-CN" w:bidi="ar-SA"/>
        </w:rPr>
      </w:pPr>
    </w:p>
    <w:p w14:paraId="67C76A58">
      <w:pPr>
        <w:widowControl w:val="0"/>
        <w:shd w:val="clear"/>
        <w:jc w:val="both"/>
        <w:rPr>
          <w:rFonts w:ascii="宋体" w:hAnsi="宋体" w:eastAsia="宋体" w:cs="宋体"/>
          <w:color w:val="auto"/>
          <w:kern w:val="0"/>
          <w:sz w:val="20"/>
          <w:szCs w:val="21"/>
          <w:highlight w:val="none"/>
          <w:lang w:val="en-US" w:eastAsia="zh-CN" w:bidi="ar-SA"/>
        </w:rPr>
      </w:pPr>
    </w:p>
    <w:p w14:paraId="237C6ADC">
      <w:pPr>
        <w:widowControl w:val="0"/>
        <w:shd w:val="clear"/>
        <w:jc w:val="both"/>
        <w:rPr>
          <w:rFonts w:ascii="宋体" w:hAnsi="宋体" w:eastAsia="宋体" w:cs="宋体"/>
          <w:color w:val="auto"/>
          <w:kern w:val="0"/>
          <w:sz w:val="20"/>
          <w:szCs w:val="21"/>
          <w:highlight w:val="none"/>
          <w:lang w:val="en-US" w:eastAsia="zh-CN" w:bidi="ar-SA"/>
        </w:rPr>
      </w:pPr>
    </w:p>
    <w:p w14:paraId="64B38E4A">
      <w:pPr>
        <w:widowControl w:val="0"/>
        <w:shd w:val="clear"/>
        <w:jc w:val="both"/>
        <w:rPr>
          <w:rFonts w:ascii="宋体" w:hAnsi="宋体" w:eastAsia="宋体" w:cs="宋体"/>
          <w:color w:val="auto"/>
          <w:kern w:val="0"/>
          <w:sz w:val="20"/>
          <w:szCs w:val="21"/>
          <w:highlight w:val="none"/>
          <w:lang w:val="en-US" w:eastAsia="zh-CN" w:bidi="ar-SA"/>
        </w:rPr>
      </w:pPr>
    </w:p>
    <w:p w14:paraId="055A98A8">
      <w:pPr>
        <w:widowControl w:val="0"/>
        <w:shd w:val="clear"/>
        <w:jc w:val="both"/>
        <w:rPr>
          <w:rFonts w:ascii="宋体" w:hAnsi="宋体" w:eastAsia="宋体" w:cs="宋体"/>
          <w:color w:val="auto"/>
          <w:kern w:val="0"/>
          <w:sz w:val="20"/>
          <w:szCs w:val="21"/>
          <w:highlight w:val="none"/>
          <w:lang w:val="en-US" w:eastAsia="zh-CN" w:bidi="ar-SA"/>
        </w:rPr>
      </w:pPr>
    </w:p>
    <w:p w14:paraId="5DBD2A66">
      <w:pPr>
        <w:widowControl w:val="0"/>
        <w:shd w:val="clear"/>
        <w:jc w:val="both"/>
        <w:rPr>
          <w:rFonts w:ascii="宋体" w:hAnsi="宋体" w:eastAsia="宋体" w:cs="宋体"/>
          <w:color w:val="auto"/>
          <w:kern w:val="0"/>
          <w:sz w:val="20"/>
          <w:szCs w:val="21"/>
          <w:highlight w:val="none"/>
          <w:lang w:val="en-US" w:eastAsia="zh-CN" w:bidi="ar-SA"/>
        </w:rPr>
      </w:pPr>
    </w:p>
    <w:p w14:paraId="45C1D5B2">
      <w:pPr>
        <w:widowControl w:val="0"/>
        <w:shd w:val="clear"/>
        <w:jc w:val="both"/>
        <w:rPr>
          <w:rFonts w:ascii="宋体" w:hAnsi="宋体" w:eastAsia="宋体" w:cs="宋体"/>
          <w:color w:val="auto"/>
          <w:kern w:val="0"/>
          <w:sz w:val="20"/>
          <w:szCs w:val="21"/>
          <w:highlight w:val="none"/>
          <w:lang w:val="en-US" w:eastAsia="zh-CN" w:bidi="ar-SA"/>
        </w:rPr>
      </w:pPr>
    </w:p>
    <w:p w14:paraId="7142EE93">
      <w:pPr>
        <w:widowControl w:val="0"/>
        <w:shd w:val="clear"/>
        <w:ind w:firstLine="1584" w:firstLineChars="495"/>
        <w:jc w:val="both"/>
        <w:rPr>
          <w:rFonts w:hint="eastAsia" w:ascii="宋体" w:hAnsi="宋体" w:eastAsia="宋体" w:cs="宋体"/>
          <w:bCs/>
          <w:color w:val="auto"/>
          <w:kern w:val="0"/>
          <w:sz w:val="32"/>
          <w:szCs w:val="32"/>
          <w:highlight w:val="none"/>
          <w:u w:val="single"/>
          <w:lang w:val="en-US" w:eastAsia="zh-CN" w:bidi="ar-SA"/>
        </w:rPr>
      </w:pPr>
      <w:r>
        <w:rPr>
          <w:rFonts w:hint="eastAsia" w:ascii="宋体" w:hAnsi="宋体" w:eastAsia="宋体" w:cs="宋体"/>
          <w:bCs/>
          <w:color w:val="auto"/>
          <w:kern w:val="0"/>
          <w:sz w:val="32"/>
          <w:szCs w:val="32"/>
          <w:highlight w:val="none"/>
          <w:lang w:val="en-US" w:eastAsia="zh-CN" w:bidi="ar-SA"/>
        </w:rPr>
        <w:t>合同名称：</w:t>
      </w:r>
      <w:r>
        <w:rPr>
          <w:rFonts w:hint="eastAsia" w:ascii="宋体" w:hAnsi="宋体" w:eastAsia="宋体" w:cs="宋体"/>
          <w:bCs/>
          <w:color w:val="auto"/>
          <w:kern w:val="0"/>
          <w:sz w:val="32"/>
          <w:szCs w:val="32"/>
          <w:highlight w:val="none"/>
          <w:u w:val="single"/>
          <w:lang w:val="en-US" w:eastAsia="zh-CN" w:bidi="ar-SA"/>
        </w:rPr>
        <w:t>智慧课堂评课系统建设项目</w:t>
      </w:r>
    </w:p>
    <w:p w14:paraId="7D56BBDD">
      <w:pPr>
        <w:widowControl w:val="0"/>
        <w:shd w:val="clear"/>
        <w:ind w:firstLine="1584" w:firstLineChars="495"/>
        <w:jc w:val="both"/>
        <w:rPr>
          <w:rFonts w:ascii="宋体" w:hAnsi="宋体" w:eastAsia="宋体" w:cs="宋体"/>
          <w:bCs/>
          <w:color w:val="auto"/>
          <w:kern w:val="0"/>
          <w:sz w:val="32"/>
          <w:szCs w:val="32"/>
          <w:highlight w:val="none"/>
          <w:u w:val="single"/>
          <w:lang w:val="en-US" w:eastAsia="zh-CN" w:bidi="ar-SA"/>
        </w:rPr>
      </w:pPr>
    </w:p>
    <w:p w14:paraId="0C2330F7">
      <w:pPr>
        <w:widowControl w:val="0"/>
        <w:shd w:val="clear"/>
        <w:ind w:firstLine="1584" w:firstLineChars="495"/>
        <w:jc w:val="both"/>
        <w:rPr>
          <w:rFonts w:ascii="宋体" w:hAnsi="宋体" w:eastAsia="宋体" w:cs="宋体"/>
          <w:bCs/>
          <w:color w:val="auto"/>
          <w:kern w:val="0"/>
          <w:sz w:val="32"/>
          <w:szCs w:val="32"/>
          <w:highlight w:val="none"/>
          <w:u w:val="single"/>
          <w:lang w:val="en-US" w:eastAsia="zh-CN" w:bidi="ar-SA"/>
        </w:rPr>
      </w:pPr>
      <w:r>
        <w:rPr>
          <w:rFonts w:hint="eastAsia" w:ascii="宋体" w:hAnsi="宋体" w:eastAsia="宋体" w:cs="宋体"/>
          <w:bCs/>
          <w:color w:val="auto"/>
          <w:kern w:val="0"/>
          <w:sz w:val="32"/>
          <w:szCs w:val="32"/>
          <w:highlight w:val="none"/>
          <w:lang w:val="en-US" w:eastAsia="zh-CN" w:bidi="ar-SA"/>
        </w:rPr>
        <w:t>合同编号：</w:t>
      </w:r>
      <w:r>
        <w:rPr>
          <w:rFonts w:hint="eastAsia" w:ascii="宋体" w:hAnsi="宋体" w:eastAsia="宋体" w:cs="宋体"/>
          <w:bCs/>
          <w:color w:val="auto"/>
          <w:kern w:val="0"/>
          <w:sz w:val="32"/>
          <w:szCs w:val="32"/>
          <w:highlight w:val="none"/>
          <w:u w:val="single"/>
          <w:lang w:val="en-US" w:eastAsia="zh-CN" w:bidi="ar-SA"/>
        </w:rPr>
        <w:t xml:space="preserve">                        </w:t>
      </w:r>
    </w:p>
    <w:p w14:paraId="375F77BD">
      <w:pPr>
        <w:widowControl w:val="0"/>
        <w:shd w:val="clear"/>
        <w:jc w:val="center"/>
        <w:rPr>
          <w:rFonts w:ascii="宋体" w:hAnsi="宋体" w:eastAsia="宋体" w:cs="宋体"/>
          <w:bCs/>
          <w:color w:val="auto"/>
          <w:kern w:val="0"/>
          <w:sz w:val="20"/>
          <w:szCs w:val="21"/>
          <w:highlight w:val="none"/>
          <w:lang w:val="en-US" w:eastAsia="zh-CN" w:bidi="ar-SA"/>
        </w:rPr>
      </w:pPr>
    </w:p>
    <w:p w14:paraId="433ECCCC">
      <w:pPr>
        <w:widowControl w:val="0"/>
        <w:shd w:val="clear"/>
        <w:jc w:val="center"/>
        <w:rPr>
          <w:rFonts w:ascii="宋体" w:hAnsi="宋体" w:eastAsia="宋体" w:cs="宋体"/>
          <w:bCs/>
          <w:color w:val="auto"/>
          <w:kern w:val="0"/>
          <w:sz w:val="20"/>
          <w:szCs w:val="21"/>
          <w:highlight w:val="none"/>
          <w:lang w:val="en-US" w:eastAsia="zh-CN" w:bidi="ar-SA"/>
        </w:rPr>
      </w:pPr>
    </w:p>
    <w:p w14:paraId="262B1D42">
      <w:pPr>
        <w:widowControl w:val="0"/>
        <w:shd w:val="clear"/>
        <w:jc w:val="center"/>
        <w:rPr>
          <w:rFonts w:ascii="宋体" w:hAnsi="宋体" w:eastAsia="宋体" w:cs="宋体"/>
          <w:bCs/>
          <w:color w:val="auto"/>
          <w:kern w:val="0"/>
          <w:sz w:val="20"/>
          <w:szCs w:val="21"/>
          <w:highlight w:val="none"/>
          <w:lang w:val="en-US" w:eastAsia="zh-CN" w:bidi="ar-SA"/>
        </w:rPr>
      </w:pPr>
    </w:p>
    <w:p w14:paraId="38F75ECD">
      <w:pPr>
        <w:widowControl w:val="0"/>
        <w:shd w:val="clear"/>
        <w:jc w:val="center"/>
        <w:rPr>
          <w:rFonts w:ascii="宋体" w:hAnsi="宋体" w:eastAsia="宋体" w:cs="宋体"/>
          <w:bCs/>
          <w:color w:val="auto"/>
          <w:kern w:val="0"/>
          <w:sz w:val="20"/>
          <w:szCs w:val="21"/>
          <w:highlight w:val="none"/>
          <w:lang w:val="en-US" w:eastAsia="zh-CN" w:bidi="ar-SA"/>
        </w:rPr>
      </w:pPr>
    </w:p>
    <w:p w14:paraId="2F8B0531">
      <w:pPr>
        <w:widowControl w:val="0"/>
        <w:shd w:val="clear"/>
        <w:jc w:val="center"/>
        <w:rPr>
          <w:rFonts w:ascii="宋体" w:hAnsi="宋体" w:eastAsia="宋体" w:cs="宋体"/>
          <w:bCs/>
          <w:color w:val="auto"/>
          <w:kern w:val="0"/>
          <w:sz w:val="20"/>
          <w:szCs w:val="21"/>
          <w:highlight w:val="none"/>
          <w:lang w:val="en-US" w:eastAsia="zh-CN" w:bidi="ar-SA"/>
        </w:rPr>
      </w:pPr>
    </w:p>
    <w:p w14:paraId="01F6AFA5">
      <w:pPr>
        <w:widowControl w:val="0"/>
        <w:shd w:val="clear"/>
        <w:spacing w:line="340" w:lineRule="exact"/>
        <w:ind w:firstLine="1584" w:firstLineChars="495"/>
        <w:jc w:val="both"/>
        <w:rPr>
          <w:rFonts w:ascii="宋体" w:hAnsi="宋体" w:eastAsia="宋体" w:cs="宋体"/>
          <w:bCs/>
          <w:color w:val="auto"/>
          <w:kern w:val="0"/>
          <w:sz w:val="32"/>
          <w:szCs w:val="32"/>
          <w:highlight w:val="none"/>
          <w:lang w:val="en-US" w:eastAsia="zh-CN" w:bidi="ar-SA"/>
        </w:rPr>
      </w:pPr>
      <w:r>
        <w:rPr>
          <w:rFonts w:hint="eastAsia" w:ascii="宋体" w:hAnsi="宋体" w:eastAsia="宋体" w:cs="宋体"/>
          <w:bCs/>
          <w:color w:val="auto"/>
          <w:kern w:val="0"/>
          <w:sz w:val="32"/>
          <w:szCs w:val="32"/>
          <w:highlight w:val="none"/>
          <w:lang w:val="en-US" w:eastAsia="zh-CN" w:bidi="ar-SA"/>
        </w:rPr>
        <w:t>采 购 人（甲方）</w:t>
      </w:r>
      <w:r>
        <w:rPr>
          <w:rFonts w:hint="eastAsia" w:ascii="宋体" w:hAnsi="宋体" w:eastAsia="宋体" w:cs="宋体"/>
          <w:bCs/>
          <w:color w:val="auto"/>
          <w:kern w:val="0"/>
          <w:sz w:val="32"/>
          <w:szCs w:val="32"/>
          <w:highlight w:val="none"/>
          <w:u w:val="single"/>
          <w:lang w:val="en-US" w:eastAsia="zh-CN" w:bidi="ar-SA"/>
        </w:rPr>
        <w:t xml:space="preserve">                    </w:t>
      </w:r>
    </w:p>
    <w:p w14:paraId="088AD320">
      <w:pPr>
        <w:widowControl w:val="0"/>
        <w:shd w:val="clear"/>
        <w:spacing w:line="340" w:lineRule="exact"/>
        <w:ind w:firstLine="1584" w:firstLineChars="495"/>
        <w:jc w:val="both"/>
        <w:rPr>
          <w:rFonts w:ascii="宋体" w:hAnsi="宋体" w:eastAsia="宋体" w:cs="宋体"/>
          <w:bCs/>
          <w:color w:val="auto"/>
          <w:kern w:val="0"/>
          <w:sz w:val="32"/>
          <w:szCs w:val="32"/>
          <w:highlight w:val="none"/>
          <w:lang w:val="en-US" w:eastAsia="zh-CN" w:bidi="ar-SA"/>
        </w:rPr>
      </w:pPr>
    </w:p>
    <w:p w14:paraId="22B7C605">
      <w:pPr>
        <w:widowControl w:val="0"/>
        <w:shd w:val="clear"/>
        <w:spacing w:line="340" w:lineRule="exact"/>
        <w:jc w:val="both"/>
        <w:rPr>
          <w:rFonts w:ascii="宋体" w:hAnsi="宋体" w:eastAsia="宋体" w:cs="宋体"/>
          <w:bCs/>
          <w:color w:val="auto"/>
          <w:kern w:val="0"/>
          <w:sz w:val="32"/>
          <w:szCs w:val="32"/>
          <w:highlight w:val="none"/>
          <w:lang w:val="en-US" w:eastAsia="zh-CN" w:bidi="ar-SA"/>
        </w:rPr>
      </w:pPr>
    </w:p>
    <w:p w14:paraId="178D8C52">
      <w:pPr>
        <w:widowControl w:val="0"/>
        <w:shd w:val="clear"/>
        <w:spacing w:line="340" w:lineRule="exact"/>
        <w:ind w:firstLine="1584" w:firstLineChars="495"/>
        <w:jc w:val="both"/>
        <w:rPr>
          <w:rFonts w:ascii="宋体" w:hAnsi="宋体" w:eastAsia="宋体" w:cs="宋体"/>
          <w:bCs/>
          <w:color w:val="auto"/>
          <w:kern w:val="0"/>
          <w:sz w:val="32"/>
          <w:szCs w:val="32"/>
          <w:highlight w:val="none"/>
          <w:lang w:val="en-US" w:eastAsia="zh-CN" w:bidi="ar-SA"/>
        </w:rPr>
      </w:pPr>
      <w:r>
        <w:rPr>
          <w:rFonts w:hint="eastAsia" w:ascii="宋体" w:hAnsi="宋体" w:eastAsia="宋体" w:cs="宋体"/>
          <w:bCs/>
          <w:color w:val="auto"/>
          <w:kern w:val="0"/>
          <w:sz w:val="32"/>
          <w:szCs w:val="32"/>
          <w:highlight w:val="none"/>
          <w:lang w:val="en-US" w:eastAsia="zh-CN" w:bidi="ar-SA"/>
        </w:rPr>
        <w:t>供 应 商（乙方）</w:t>
      </w:r>
      <w:r>
        <w:rPr>
          <w:rFonts w:hint="eastAsia" w:ascii="宋体" w:hAnsi="宋体" w:eastAsia="宋体" w:cs="宋体"/>
          <w:bCs/>
          <w:color w:val="auto"/>
          <w:kern w:val="0"/>
          <w:sz w:val="32"/>
          <w:szCs w:val="32"/>
          <w:highlight w:val="none"/>
          <w:u w:val="single"/>
          <w:lang w:val="en-US" w:eastAsia="zh-CN" w:bidi="ar-SA"/>
        </w:rPr>
        <w:t xml:space="preserve">                    </w:t>
      </w:r>
    </w:p>
    <w:p w14:paraId="2BB27E47">
      <w:pPr>
        <w:widowControl w:val="0"/>
        <w:shd w:val="clear"/>
        <w:spacing w:line="340" w:lineRule="exact"/>
        <w:ind w:firstLine="990" w:firstLineChars="495"/>
        <w:jc w:val="both"/>
        <w:rPr>
          <w:rFonts w:hint="default" w:ascii="宋体" w:hAnsi="宋体" w:eastAsia="宋体" w:cs="宋体"/>
          <w:bCs/>
          <w:color w:val="auto"/>
          <w:kern w:val="0"/>
          <w:sz w:val="20"/>
          <w:szCs w:val="21"/>
          <w:highlight w:val="none"/>
          <w:lang w:val="en-US" w:eastAsia="zh-CN" w:bidi="ar-SA"/>
        </w:rPr>
      </w:pPr>
      <w:r>
        <w:rPr>
          <w:rFonts w:hint="eastAsia" w:ascii="宋体" w:hAnsi="宋体" w:eastAsia="宋体" w:cs="宋体"/>
          <w:bCs/>
          <w:color w:val="auto"/>
          <w:kern w:val="0"/>
          <w:sz w:val="20"/>
          <w:szCs w:val="21"/>
          <w:highlight w:val="none"/>
          <w:lang w:val="en-US" w:eastAsia="zh-CN" w:bidi="ar-SA"/>
        </w:rPr>
        <w:t xml:space="preserve">      </w:t>
      </w:r>
    </w:p>
    <w:p w14:paraId="22746AC7">
      <w:pPr>
        <w:shd w:val="clear"/>
        <w:jc w:val="center"/>
        <w:rPr>
          <w:rFonts w:ascii="宋体" w:hAnsi="宋体" w:eastAsia="宋体" w:cs="宋体"/>
          <w:color w:val="auto"/>
          <w:highlight w:val="none"/>
        </w:rPr>
      </w:pPr>
      <w:r>
        <w:rPr>
          <w:rFonts w:hint="eastAsia" w:ascii="宋体" w:hAnsi="宋体" w:eastAsia="宋体" w:cs="宋体"/>
          <w:b/>
          <w:bCs/>
          <w:color w:val="auto"/>
          <w:sz w:val="44"/>
          <w:highlight w:val="none"/>
        </w:rPr>
        <w:br w:type="page"/>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智慧课堂评课系统建设项目</w:t>
      </w:r>
      <w:r>
        <w:rPr>
          <w:rFonts w:hint="eastAsia" w:ascii="宋体" w:hAnsi="宋体" w:eastAsia="宋体" w:cs="宋体"/>
          <w:b/>
          <w:bCs/>
          <w:color w:val="auto"/>
          <w:sz w:val="32"/>
          <w:szCs w:val="32"/>
          <w:highlight w:val="none"/>
        </w:rPr>
        <w:t>采购合同》</w:t>
      </w:r>
    </w:p>
    <w:p w14:paraId="0AE3B5FC">
      <w:pPr>
        <w:shd w:val="clear"/>
        <w:wordWrap w:val="0"/>
        <w:spacing w:line="360" w:lineRule="auto"/>
        <w:ind w:right="800"/>
        <w:jc w:val="righ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 xml:space="preserve">            合同编号：</w:t>
      </w:r>
      <w:r>
        <w:rPr>
          <w:rFonts w:hint="eastAsia" w:ascii="宋体" w:hAnsi="宋体" w:eastAsia="宋体" w:cs="宋体"/>
          <w:color w:val="auto"/>
          <w:szCs w:val="21"/>
          <w:highlight w:val="none"/>
          <w:u w:val="single"/>
        </w:rPr>
        <w:t xml:space="preserve">                  </w:t>
      </w:r>
    </w:p>
    <w:p w14:paraId="48F6788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lang w:eastAsia="zh-CN"/>
        </w:rPr>
        <w:t>广西物流职业技术学院</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6FDFE3A">
      <w:pPr>
        <w:shd w:val="clear"/>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供应商（乙方）：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5A8E712">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lang w:eastAsia="zh-CN"/>
        </w:rPr>
        <w:t>智慧课堂评课系统建设项目</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14:paraId="166A5CEC">
      <w:pPr>
        <w:shd w:val="clear"/>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GXZC2026-J1-002013-GXYZ  </w:t>
      </w:r>
    </w:p>
    <w:p w14:paraId="52056160">
      <w:pPr>
        <w:shd w:val="clear"/>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签订时间：</w:t>
      </w:r>
      <w:r>
        <w:rPr>
          <w:rFonts w:hint="eastAsia" w:ascii="宋体" w:hAnsi="宋体" w:eastAsia="宋体" w:cs="宋体"/>
          <w:color w:val="auto"/>
          <w:szCs w:val="21"/>
          <w:highlight w:val="none"/>
          <w:u w:val="single"/>
        </w:rPr>
        <w:t xml:space="preserve">                          </w:t>
      </w:r>
    </w:p>
    <w:p w14:paraId="0EC31408">
      <w:pPr>
        <w:shd w:val="clear"/>
        <w:spacing w:line="360" w:lineRule="auto"/>
        <w:ind w:firstLine="420" w:firstLineChars="200"/>
        <w:rPr>
          <w:rFonts w:ascii="宋体" w:hAnsi="宋体" w:eastAsia="宋体" w:cs="宋体"/>
          <w:color w:val="auto"/>
          <w:szCs w:val="21"/>
          <w:highlight w:val="none"/>
        </w:rPr>
      </w:pPr>
    </w:p>
    <w:p w14:paraId="727F967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w:t>
      </w:r>
      <w:r>
        <w:rPr>
          <w:rFonts w:hint="eastAsia" w:ascii="宋体" w:hAnsi="宋体"/>
          <w:color w:val="auto"/>
          <w:szCs w:val="21"/>
        </w:rPr>
        <w:t>《中华人民共和国政府采购法》</w:t>
      </w:r>
      <w:r>
        <w:rPr>
          <w:rFonts w:hint="eastAsia" w:ascii="宋体" w:hAnsi="宋体"/>
          <w:color w:val="auto"/>
          <w:szCs w:val="21"/>
          <w:lang w:eastAsia="zh-CN"/>
        </w:rPr>
        <w:t>、</w:t>
      </w:r>
      <w:r>
        <w:rPr>
          <w:rFonts w:hint="eastAsia" w:ascii="宋体" w:hAnsi="宋体" w:eastAsia="宋体" w:cs="宋体"/>
          <w:color w:val="auto"/>
          <w:szCs w:val="21"/>
          <w:highlight w:val="none"/>
        </w:rPr>
        <w:t>《中华人民共和国民法典》等法律法规规定，按照</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谈判文件规定条款和乙方响应文件及其承诺，甲乙双方签订本合同。</w:t>
      </w:r>
    </w:p>
    <w:p w14:paraId="5A3378D6">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0E68A1AE">
      <w:pPr>
        <w:shd w:val="clear"/>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1.供货一览表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825"/>
        <w:gridCol w:w="1059"/>
        <w:gridCol w:w="1233"/>
        <w:gridCol w:w="1210"/>
        <w:gridCol w:w="1472"/>
        <w:gridCol w:w="1095"/>
        <w:gridCol w:w="1145"/>
      </w:tblGrid>
      <w:tr w14:paraId="1BEE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50" w:type="dxa"/>
            <w:vAlign w:val="center"/>
          </w:tcPr>
          <w:p w14:paraId="1BAC200D">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25" w:type="dxa"/>
            <w:vAlign w:val="center"/>
          </w:tcPr>
          <w:p w14:paraId="35F70304">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产品名称</w:t>
            </w:r>
          </w:p>
        </w:tc>
        <w:tc>
          <w:tcPr>
            <w:tcW w:w="1059" w:type="dxa"/>
            <w:vAlign w:val="center"/>
          </w:tcPr>
          <w:p w14:paraId="60D485DC">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233" w:type="dxa"/>
            <w:vAlign w:val="center"/>
          </w:tcPr>
          <w:p w14:paraId="01385E34">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品牌</w:t>
            </w:r>
          </w:p>
        </w:tc>
        <w:tc>
          <w:tcPr>
            <w:tcW w:w="1210" w:type="dxa"/>
            <w:vAlign w:val="center"/>
          </w:tcPr>
          <w:p w14:paraId="6BB21874">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生产厂家</w:t>
            </w:r>
          </w:p>
        </w:tc>
        <w:tc>
          <w:tcPr>
            <w:tcW w:w="1472" w:type="dxa"/>
            <w:vAlign w:val="center"/>
          </w:tcPr>
          <w:p w14:paraId="1DA6964F">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单位</w:t>
            </w:r>
          </w:p>
        </w:tc>
        <w:tc>
          <w:tcPr>
            <w:tcW w:w="1095" w:type="dxa"/>
            <w:vAlign w:val="center"/>
          </w:tcPr>
          <w:p w14:paraId="2B7B32B5">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145" w:type="dxa"/>
            <w:vAlign w:val="center"/>
          </w:tcPr>
          <w:p w14:paraId="2A6B25E1">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金额（元）</w:t>
            </w:r>
          </w:p>
        </w:tc>
      </w:tr>
      <w:tr w14:paraId="3D54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50" w:type="dxa"/>
            <w:vAlign w:val="center"/>
          </w:tcPr>
          <w:p w14:paraId="1E9B59EB">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825" w:type="dxa"/>
            <w:vAlign w:val="center"/>
          </w:tcPr>
          <w:p w14:paraId="7E2CDFFD">
            <w:pPr>
              <w:shd w:val="clear"/>
              <w:snapToGrid w:val="0"/>
              <w:spacing w:line="360" w:lineRule="auto"/>
              <w:jc w:val="center"/>
              <w:rPr>
                <w:rFonts w:ascii="宋体" w:hAnsi="宋体" w:eastAsia="宋体" w:cs="宋体"/>
                <w:color w:val="auto"/>
                <w:szCs w:val="21"/>
                <w:highlight w:val="none"/>
              </w:rPr>
            </w:pPr>
          </w:p>
        </w:tc>
        <w:tc>
          <w:tcPr>
            <w:tcW w:w="1059" w:type="dxa"/>
            <w:vAlign w:val="center"/>
          </w:tcPr>
          <w:p w14:paraId="1FAEE028">
            <w:pPr>
              <w:shd w:val="clear"/>
              <w:snapToGrid w:val="0"/>
              <w:spacing w:line="360" w:lineRule="auto"/>
              <w:jc w:val="center"/>
              <w:rPr>
                <w:rFonts w:ascii="宋体" w:hAnsi="宋体" w:eastAsia="宋体" w:cs="宋体"/>
                <w:color w:val="auto"/>
                <w:szCs w:val="21"/>
                <w:highlight w:val="none"/>
              </w:rPr>
            </w:pPr>
          </w:p>
        </w:tc>
        <w:tc>
          <w:tcPr>
            <w:tcW w:w="1233" w:type="dxa"/>
            <w:vAlign w:val="center"/>
          </w:tcPr>
          <w:p w14:paraId="5D015A4E">
            <w:pPr>
              <w:shd w:val="clear"/>
              <w:snapToGrid w:val="0"/>
              <w:spacing w:line="360" w:lineRule="auto"/>
              <w:jc w:val="center"/>
              <w:rPr>
                <w:rFonts w:ascii="宋体" w:hAnsi="宋体" w:eastAsia="宋体" w:cs="宋体"/>
                <w:color w:val="auto"/>
                <w:szCs w:val="21"/>
                <w:highlight w:val="none"/>
              </w:rPr>
            </w:pPr>
          </w:p>
        </w:tc>
        <w:tc>
          <w:tcPr>
            <w:tcW w:w="1210" w:type="dxa"/>
          </w:tcPr>
          <w:p w14:paraId="11461F3B">
            <w:pPr>
              <w:shd w:val="clear"/>
              <w:snapToGrid w:val="0"/>
              <w:spacing w:line="360" w:lineRule="auto"/>
              <w:jc w:val="center"/>
              <w:rPr>
                <w:rFonts w:ascii="宋体" w:hAnsi="宋体" w:eastAsia="宋体" w:cs="宋体"/>
                <w:color w:val="auto"/>
                <w:szCs w:val="21"/>
                <w:highlight w:val="none"/>
              </w:rPr>
            </w:pPr>
          </w:p>
        </w:tc>
        <w:tc>
          <w:tcPr>
            <w:tcW w:w="1472" w:type="dxa"/>
          </w:tcPr>
          <w:p w14:paraId="7213362C">
            <w:pPr>
              <w:shd w:val="clear"/>
              <w:snapToGrid w:val="0"/>
              <w:spacing w:line="360" w:lineRule="auto"/>
              <w:jc w:val="center"/>
              <w:rPr>
                <w:rFonts w:ascii="宋体" w:hAnsi="宋体" w:eastAsia="宋体" w:cs="宋体"/>
                <w:color w:val="auto"/>
                <w:szCs w:val="21"/>
                <w:highlight w:val="none"/>
              </w:rPr>
            </w:pPr>
          </w:p>
        </w:tc>
        <w:tc>
          <w:tcPr>
            <w:tcW w:w="1095" w:type="dxa"/>
            <w:vAlign w:val="center"/>
          </w:tcPr>
          <w:p w14:paraId="042B4063">
            <w:pPr>
              <w:shd w:val="clear"/>
              <w:snapToGrid w:val="0"/>
              <w:spacing w:line="360" w:lineRule="auto"/>
              <w:jc w:val="center"/>
              <w:rPr>
                <w:rFonts w:ascii="宋体" w:hAnsi="宋体" w:eastAsia="宋体" w:cs="宋体"/>
                <w:color w:val="auto"/>
                <w:szCs w:val="21"/>
                <w:highlight w:val="none"/>
              </w:rPr>
            </w:pPr>
          </w:p>
        </w:tc>
        <w:tc>
          <w:tcPr>
            <w:tcW w:w="1145" w:type="dxa"/>
            <w:vAlign w:val="center"/>
          </w:tcPr>
          <w:p w14:paraId="3E1AE929">
            <w:pPr>
              <w:shd w:val="clear"/>
              <w:snapToGrid w:val="0"/>
              <w:spacing w:line="360" w:lineRule="auto"/>
              <w:jc w:val="center"/>
              <w:rPr>
                <w:rFonts w:ascii="宋体" w:hAnsi="宋体" w:eastAsia="宋体" w:cs="宋体"/>
                <w:color w:val="auto"/>
                <w:szCs w:val="21"/>
                <w:highlight w:val="none"/>
              </w:rPr>
            </w:pPr>
          </w:p>
        </w:tc>
      </w:tr>
      <w:tr w14:paraId="456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50" w:type="dxa"/>
            <w:vAlign w:val="center"/>
          </w:tcPr>
          <w:p w14:paraId="63C9449A">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825" w:type="dxa"/>
            <w:vAlign w:val="center"/>
          </w:tcPr>
          <w:p w14:paraId="5EBC478F">
            <w:pPr>
              <w:shd w:val="clear"/>
              <w:snapToGrid w:val="0"/>
              <w:spacing w:line="360" w:lineRule="auto"/>
              <w:jc w:val="center"/>
              <w:rPr>
                <w:rFonts w:ascii="宋体" w:hAnsi="宋体" w:eastAsia="宋体" w:cs="宋体"/>
                <w:color w:val="auto"/>
                <w:szCs w:val="21"/>
                <w:highlight w:val="none"/>
              </w:rPr>
            </w:pPr>
          </w:p>
        </w:tc>
        <w:tc>
          <w:tcPr>
            <w:tcW w:w="1059" w:type="dxa"/>
            <w:vAlign w:val="center"/>
          </w:tcPr>
          <w:p w14:paraId="42BC7561">
            <w:pPr>
              <w:shd w:val="clear"/>
              <w:snapToGrid w:val="0"/>
              <w:spacing w:line="360" w:lineRule="auto"/>
              <w:jc w:val="center"/>
              <w:rPr>
                <w:rFonts w:ascii="宋体" w:hAnsi="宋体" w:eastAsia="宋体" w:cs="宋体"/>
                <w:color w:val="auto"/>
                <w:szCs w:val="21"/>
                <w:highlight w:val="none"/>
              </w:rPr>
            </w:pPr>
          </w:p>
        </w:tc>
        <w:tc>
          <w:tcPr>
            <w:tcW w:w="1233" w:type="dxa"/>
            <w:vAlign w:val="center"/>
          </w:tcPr>
          <w:p w14:paraId="2B271AD7">
            <w:pPr>
              <w:shd w:val="clear"/>
              <w:snapToGrid w:val="0"/>
              <w:spacing w:line="360" w:lineRule="auto"/>
              <w:jc w:val="center"/>
              <w:rPr>
                <w:rFonts w:ascii="宋体" w:hAnsi="宋体" w:eastAsia="宋体" w:cs="宋体"/>
                <w:color w:val="auto"/>
                <w:szCs w:val="21"/>
                <w:highlight w:val="none"/>
              </w:rPr>
            </w:pPr>
          </w:p>
        </w:tc>
        <w:tc>
          <w:tcPr>
            <w:tcW w:w="1210" w:type="dxa"/>
          </w:tcPr>
          <w:p w14:paraId="3DEC479F">
            <w:pPr>
              <w:shd w:val="clear"/>
              <w:snapToGrid w:val="0"/>
              <w:spacing w:line="360" w:lineRule="auto"/>
              <w:jc w:val="center"/>
              <w:rPr>
                <w:rFonts w:ascii="宋体" w:hAnsi="宋体" w:eastAsia="宋体" w:cs="宋体"/>
                <w:color w:val="auto"/>
                <w:szCs w:val="21"/>
                <w:highlight w:val="none"/>
              </w:rPr>
            </w:pPr>
          </w:p>
        </w:tc>
        <w:tc>
          <w:tcPr>
            <w:tcW w:w="1472" w:type="dxa"/>
          </w:tcPr>
          <w:p w14:paraId="4A46E2A8">
            <w:pPr>
              <w:shd w:val="clear"/>
              <w:snapToGrid w:val="0"/>
              <w:spacing w:line="360" w:lineRule="auto"/>
              <w:jc w:val="center"/>
              <w:rPr>
                <w:rFonts w:ascii="宋体" w:hAnsi="宋体" w:eastAsia="宋体" w:cs="宋体"/>
                <w:color w:val="auto"/>
                <w:szCs w:val="21"/>
                <w:highlight w:val="none"/>
              </w:rPr>
            </w:pPr>
          </w:p>
        </w:tc>
        <w:tc>
          <w:tcPr>
            <w:tcW w:w="1095" w:type="dxa"/>
            <w:vAlign w:val="center"/>
          </w:tcPr>
          <w:p w14:paraId="45B4AF6E">
            <w:pPr>
              <w:shd w:val="clear"/>
              <w:snapToGrid w:val="0"/>
              <w:spacing w:line="360" w:lineRule="auto"/>
              <w:jc w:val="center"/>
              <w:rPr>
                <w:rFonts w:ascii="宋体" w:hAnsi="宋体" w:eastAsia="宋体" w:cs="宋体"/>
                <w:color w:val="auto"/>
                <w:szCs w:val="21"/>
                <w:highlight w:val="none"/>
              </w:rPr>
            </w:pPr>
          </w:p>
        </w:tc>
        <w:tc>
          <w:tcPr>
            <w:tcW w:w="1145" w:type="dxa"/>
            <w:vAlign w:val="center"/>
          </w:tcPr>
          <w:p w14:paraId="451B7AAF">
            <w:pPr>
              <w:shd w:val="clear"/>
              <w:snapToGrid w:val="0"/>
              <w:spacing w:line="360" w:lineRule="auto"/>
              <w:jc w:val="center"/>
              <w:rPr>
                <w:rFonts w:ascii="宋体" w:hAnsi="宋体" w:eastAsia="宋体" w:cs="宋体"/>
                <w:color w:val="auto"/>
                <w:szCs w:val="21"/>
                <w:highlight w:val="none"/>
              </w:rPr>
            </w:pPr>
          </w:p>
        </w:tc>
      </w:tr>
      <w:tr w14:paraId="4C32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50" w:type="dxa"/>
            <w:vAlign w:val="center"/>
          </w:tcPr>
          <w:p w14:paraId="126C8CC6">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825" w:type="dxa"/>
            <w:vAlign w:val="center"/>
          </w:tcPr>
          <w:p w14:paraId="6183BFB6">
            <w:pPr>
              <w:shd w:val="clear"/>
              <w:snapToGrid w:val="0"/>
              <w:spacing w:line="360" w:lineRule="auto"/>
              <w:jc w:val="center"/>
              <w:rPr>
                <w:rFonts w:ascii="宋体" w:hAnsi="宋体" w:eastAsia="宋体" w:cs="宋体"/>
                <w:color w:val="auto"/>
                <w:szCs w:val="21"/>
                <w:highlight w:val="none"/>
              </w:rPr>
            </w:pPr>
          </w:p>
        </w:tc>
        <w:tc>
          <w:tcPr>
            <w:tcW w:w="1059" w:type="dxa"/>
            <w:vAlign w:val="center"/>
          </w:tcPr>
          <w:p w14:paraId="15AD8743">
            <w:pPr>
              <w:shd w:val="clear"/>
              <w:snapToGrid w:val="0"/>
              <w:spacing w:line="360" w:lineRule="auto"/>
              <w:jc w:val="center"/>
              <w:rPr>
                <w:rFonts w:ascii="宋体" w:hAnsi="宋体" w:eastAsia="宋体" w:cs="宋体"/>
                <w:color w:val="auto"/>
                <w:szCs w:val="21"/>
                <w:highlight w:val="none"/>
              </w:rPr>
            </w:pPr>
          </w:p>
        </w:tc>
        <w:tc>
          <w:tcPr>
            <w:tcW w:w="1233" w:type="dxa"/>
            <w:vAlign w:val="center"/>
          </w:tcPr>
          <w:p w14:paraId="411CF05A">
            <w:pPr>
              <w:shd w:val="clear"/>
              <w:snapToGrid w:val="0"/>
              <w:spacing w:line="360" w:lineRule="auto"/>
              <w:jc w:val="center"/>
              <w:rPr>
                <w:rFonts w:ascii="宋体" w:hAnsi="宋体" w:eastAsia="宋体" w:cs="宋体"/>
                <w:color w:val="auto"/>
                <w:szCs w:val="21"/>
                <w:highlight w:val="none"/>
              </w:rPr>
            </w:pPr>
          </w:p>
        </w:tc>
        <w:tc>
          <w:tcPr>
            <w:tcW w:w="1210" w:type="dxa"/>
          </w:tcPr>
          <w:p w14:paraId="0D7206DF">
            <w:pPr>
              <w:shd w:val="clear"/>
              <w:snapToGrid w:val="0"/>
              <w:spacing w:line="360" w:lineRule="auto"/>
              <w:jc w:val="center"/>
              <w:rPr>
                <w:rFonts w:ascii="宋体" w:hAnsi="宋体" w:eastAsia="宋体" w:cs="宋体"/>
                <w:color w:val="auto"/>
                <w:szCs w:val="21"/>
                <w:highlight w:val="none"/>
              </w:rPr>
            </w:pPr>
          </w:p>
        </w:tc>
        <w:tc>
          <w:tcPr>
            <w:tcW w:w="1472" w:type="dxa"/>
          </w:tcPr>
          <w:p w14:paraId="29915933">
            <w:pPr>
              <w:shd w:val="clear"/>
              <w:snapToGrid w:val="0"/>
              <w:spacing w:line="360" w:lineRule="auto"/>
              <w:jc w:val="center"/>
              <w:rPr>
                <w:rFonts w:ascii="宋体" w:hAnsi="宋体" w:eastAsia="宋体" w:cs="宋体"/>
                <w:color w:val="auto"/>
                <w:szCs w:val="21"/>
                <w:highlight w:val="none"/>
              </w:rPr>
            </w:pPr>
          </w:p>
        </w:tc>
        <w:tc>
          <w:tcPr>
            <w:tcW w:w="1095" w:type="dxa"/>
            <w:vAlign w:val="center"/>
          </w:tcPr>
          <w:p w14:paraId="585AFF5D">
            <w:pPr>
              <w:shd w:val="clear"/>
              <w:snapToGrid w:val="0"/>
              <w:spacing w:line="360" w:lineRule="auto"/>
              <w:jc w:val="center"/>
              <w:rPr>
                <w:rFonts w:ascii="宋体" w:hAnsi="宋体" w:eastAsia="宋体" w:cs="宋体"/>
                <w:color w:val="auto"/>
                <w:szCs w:val="21"/>
                <w:highlight w:val="none"/>
              </w:rPr>
            </w:pPr>
          </w:p>
        </w:tc>
        <w:tc>
          <w:tcPr>
            <w:tcW w:w="1145" w:type="dxa"/>
            <w:vAlign w:val="center"/>
          </w:tcPr>
          <w:p w14:paraId="42667486">
            <w:pPr>
              <w:shd w:val="clear"/>
              <w:snapToGrid w:val="0"/>
              <w:spacing w:line="360" w:lineRule="auto"/>
              <w:jc w:val="center"/>
              <w:rPr>
                <w:rFonts w:ascii="宋体" w:hAnsi="宋体" w:eastAsia="宋体" w:cs="宋体"/>
                <w:color w:val="auto"/>
                <w:szCs w:val="21"/>
                <w:highlight w:val="none"/>
              </w:rPr>
            </w:pPr>
          </w:p>
        </w:tc>
      </w:tr>
      <w:tr w14:paraId="6CE0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689" w:type="dxa"/>
            <w:gridSpan w:val="8"/>
            <w:vAlign w:val="center"/>
          </w:tcPr>
          <w:p w14:paraId="5B3D3F03">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合计金额：人民币                                （¥             ）</w:t>
            </w:r>
          </w:p>
        </w:tc>
      </w:tr>
    </w:tbl>
    <w:p w14:paraId="7AD89EEE">
      <w:pPr>
        <w:shd w:val="clear"/>
        <w:spacing w:line="420" w:lineRule="exact"/>
        <w:ind w:right="42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2.报价为采购人指定地点的现场交付价格，包括但不限于：</w:t>
      </w:r>
    </w:p>
    <w:p w14:paraId="13001FC2">
      <w:pPr>
        <w:shd w:val="clear"/>
        <w:spacing w:line="420" w:lineRule="exact"/>
        <w:ind w:right="42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1）采购内容中所有货物和服务的价格；</w:t>
      </w:r>
    </w:p>
    <w:p w14:paraId="32D01754">
      <w:pPr>
        <w:shd w:val="clear"/>
        <w:spacing w:line="420" w:lineRule="exact"/>
        <w:ind w:right="42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2）货物的标准附件、备品备件、专用工具的价格；</w:t>
      </w:r>
    </w:p>
    <w:p w14:paraId="5DB143D2">
      <w:pPr>
        <w:shd w:val="clear"/>
        <w:spacing w:line="420" w:lineRule="exact"/>
        <w:ind w:right="42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3）运输、装卸、安装（含安装材料）、调试、培训、技术支持、售后服务的费用，质保期内免费维修、养护、软件升级等费用；</w:t>
      </w:r>
    </w:p>
    <w:p w14:paraId="37C6E1AA">
      <w:pPr>
        <w:shd w:val="clear"/>
        <w:spacing w:line="420" w:lineRule="exact"/>
        <w:ind w:right="42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4）必要的保险、检测费用和各项税费等</w:t>
      </w:r>
      <w:r>
        <w:rPr>
          <w:rFonts w:hint="eastAsia" w:ascii="宋体" w:hAnsi="宋体" w:eastAsia="宋体" w:cs="宋体"/>
          <w:color w:val="auto"/>
          <w:sz w:val="21"/>
          <w:szCs w:val="21"/>
          <w:highlight w:val="none"/>
        </w:rPr>
        <w:t>。</w:t>
      </w:r>
    </w:p>
    <w:p w14:paraId="48C4D1E5">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第二条　质量保证</w:t>
      </w:r>
    </w:p>
    <w:p w14:paraId="3531E2C1">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乙方所提供的货物、软件型号、技术规格、技术参数等质量必须与竞争性谈判文件和承诺相一致。乙方提供的节能和环保产品必须是列入政府采购清单的产品。</w:t>
      </w:r>
    </w:p>
    <w:p w14:paraId="2CC3F24C">
      <w:pPr>
        <w:shd w:val="clear"/>
        <w:spacing w:line="42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乙方所提供的货物、软件必须是全新、未使用的原装产品，且在正常安装、使用和保养条件下，其使用寿命期内各项指标均达到质量要求。</w:t>
      </w:r>
    </w:p>
    <w:p w14:paraId="22A5C026">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1A61B90F">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乙方应保证所提供货物、软件在使用时不会侵犯任何第三方的专利权、商标权、工业设计权或其他权利。</w:t>
      </w:r>
    </w:p>
    <w:p w14:paraId="0085AF34">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乙方应按</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谈判文件规定的时间向甲方提供使用货物、软件的有关技术资料。</w:t>
      </w:r>
    </w:p>
    <w:p w14:paraId="3599B680">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没有甲方事先书面同意，乙方不得将由甲方提供的有关合同或任何合同条文、规格、计划、图纸、样品或资料提供给予履行本合同无关的任何其他人。即使向履行本合同有关的人员提供，也应注意保密并限于履行合同的必需范围。</w:t>
      </w:r>
    </w:p>
    <w:p w14:paraId="283EE60E">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乙方保证所交付的货物、软件的所有权完全属于乙方且无任何抵押、质押、查封等产权瑕疵。</w:t>
      </w:r>
    </w:p>
    <w:p w14:paraId="01A8EA1B">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第四条　包装和运输</w:t>
      </w:r>
    </w:p>
    <w:p w14:paraId="5790D7CF">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乙方提供的货物、软件均应按</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谈判文件要求的包装材料、包装标准、包装方式进行包装，每一包装单元内应附详细的装箱单和质量合格证。</w:t>
      </w:r>
    </w:p>
    <w:p w14:paraId="60C48101">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货物的运输方式：</w:t>
      </w:r>
      <w:r>
        <w:rPr>
          <w:rFonts w:hint="eastAsia" w:ascii="宋体" w:hAnsi="宋体" w:eastAsia="宋体" w:cs="宋体"/>
          <w:color w:val="auto"/>
          <w:szCs w:val="21"/>
          <w:highlight w:val="none"/>
          <w:u w:val="single"/>
          <w:lang w:val="en-US" w:eastAsia="zh-CN"/>
        </w:rPr>
        <w:t xml:space="preserve">  乙方自定   </w:t>
      </w:r>
      <w:r>
        <w:rPr>
          <w:rFonts w:hint="eastAsia" w:ascii="宋体" w:hAnsi="宋体" w:eastAsia="宋体" w:cs="宋体"/>
          <w:color w:val="auto"/>
          <w:szCs w:val="21"/>
          <w:highlight w:val="none"/>
        </w:rPr>
        <w:t>。</w:t>
      </w:r>
    </w:p>
    <w:p w14:paraId="1EC6B171">
      <w:pPr>
        <w:shd w:val="clear"/>
        <w:spacing w:line="42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乙方负责货物运输，货物运输合理损耗及计算方法：</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所有损耗由乙方负责</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5BEBC447">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第五条　交付和验收</w:t>
      </w:r>
    </w:p>
    <w:p w14:paraId="39FBBB57">
      <w:pPr>
        <w:shd w:val="clear"/>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.交付时间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自签订合同之日起</w:t>
      </w:r>
      <w:r>
        <w:rPr>
          <w:rFonts w:hint="eastAsia" w:ascii="宋体" w:hAnsi="宋体" w:eastAsia="宋体" w:cs="宋体"/>
          <w:b/>
          <w:bCs/>
          <w:color w:val="auto"/>
          <w:szCs w:val="21"/>
          <w:highlight w:val="none"/>
          <w:u w:val="single"/>
        </w:rPr>
        <w:t xml:space="preserve"> 30 </w:t>
      </w:r>
      <w:r>
        <w:rPr>
          <w:rFonts w:hint="eastAsia" w:ascii="宋体" w:hAnsi="宋体" w:eastAsia="宋体" w:cs="宋体"/>
          <w:color w:val="auto"/>
          <w:szCs w:val="21"/>
          <w:highlight w:val="none"/>
          <w:u w:val="single"/>
        </w:rPr>
        <w:t xml:space="preserve">工作日内全部交付完成，交付完成15日历日内验收合格 </w:t>
      </w:r>
      <w:r>
        <w:rPr>
          <w:rFonts w:hint="eastAsia" w:ascii="宋体" w:hAnsi="宋体" w:eastAsia="宋体" w:cs="宋体"/>
          <w:color w:val="auto"/>
          <w:szCs w:val="21"/>
          <w:highlight w:val="none"/>
          <w:lang w:eastAsia="zh-CN"/>
        </w:rPr>
        <w:t>。</w:t>
      </w:r>
    </w:p>
    <w:p w14:paraId="3598B3DE">
      <w:pPr>
        <w:shd w:val="clear"/>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 xml:space="preserve"> 采购人指定地点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w:t>
      </w:r>
    </w:p>
    <w:p w14:paraId="6A917352">
      <w:pPr>
        <w:shd w:val="clear"/>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3.乙方提供不符合采购文件、响应文件和本合同规定的货物，甲方有权拒绝接受。</w:t>
      </w:r>
    </w:p>
    <w:p w14:paraId="2DA4B8BE">
      <w:pPr>
        <w:shd w:val="clear"/>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乙方应将所提供货物的装箱清单、用户手册、原厂保修卡、随机资料、工具和备品、备件等交付给甲方，如有缺失应及时补齐，否则视为逾期交货</w:t>
      </w:r>
      <w:r>
        <w:rPr>
          <w:rFonts w:hint="eastAsia" w:ascii="宋体" w:hAnsi="宋体" w:eastAsia="宋体" w:cs="宋体"/>
          <w:color w:val="auto"/>
          <w:szCs w:val="21"/>
          <w:highlight w:val="none"/>
          <w:lang w:eastAsia="zh-CN"/>
        </w:rPr>
        <w:t>。</w:t>
      </w:r>
    </w:p>
    <w:p w14:paraId="1EC0BF37">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5.乙方完成服务并具备验收条件后应及时书面向甲方提交验收申请，甲方应在收到申请并审核后七个工作日内组织验收</w:t>
      </w:r>
      <w:r>
        <w:rPr>
          <w:rFonts w:hint="eastAsia" w:ascii="宋体" w:hAnsi="宋体" w:eastAsia="宋体" w:cs="宋体"/>
          <w:color w:val="auto"/>
          <w:szCs w:val="21"/>
          <w:highlight w:val="none"/>
        </w:rPr>
        <w:t>。验收不合格的，甲方有权要求乙方整改并达到合格，2次验收不合格的，甲方有权不予以支付合同款，已支付的，甲方有权乙方返还。验收合格后由甲乙双方签署验收单并加盖</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eastAsia="zh-CN"/>
        </w:rPr>
        <w:t>，甲乙双反各执一份，验收费由乙方负责。</w:t>
      </w:r>
    </w:p>
    <w:p w14:paraId="62513B8D">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6.甲方</w:t>
      </w:r>
      <w:r>
        <w:rPr>
          <w:rFonts w:hint="eastAsia" w:ascii="宋体" w:hAnsi="宋体" w:eastAsia="宋体" w:cs="宋体"/>
          <w:color w:val="auto"/>
          <w:szCs w:val="21"/>
          <w:highlight w:val="none"/>
        </w:rPr>
        <w:t>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E867850">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甲方对验收有异议的，在验收后5个工作日内以书面形式向乙方提出，乙方应自收到甲方书面异议后</w:t>
      </w:r>
      <w:r>
        <w:rPr>
          <w:rFonts w:hint="eastAsia" w:ascii="宋体" w:hAnsi="宋体" w:eastAsia="宋体" w:cs="宋体"/>
          <w:color w:val="auto"/>
          <w:szCs w:val="21"/>
          <w:highlight w:val="none"/>
          <w:u w:val="single"/>
        </w:rPr>
        <w:t>15</w:t>
      </w:r>
      <w:r>
        <w:rPr>
          <w:rFonts w:hint="eastAsia" w:ascii="宋体" w:hAnsi="宋体" w:eastAsia="宋体" w:cs="宋体"/>
          <w:color w:val="auto"/>
          <w:szCs w:val="21"/>
          <w:highlight w:val="none"/>
        </w:rPr>
        <w:t>日内及时予以解决。</w:t>
      </w:r>
    </w:p>
    <w:p w14:paraId="25153FF6">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第六条　安装和培训</w:t>
      </w:r>
    </w:p>
    <w:p w14:paraId="0BEA9230">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甲方应提供必要安装条件（如场地、电源、水源等）。</w:t>
      </w:r>
    </w:p>
    <w:p w14:paraId="06DAD611">
      <w:pPr>
        <w:shd w:val="clear"/>
        <w:spacing w:line="420" w:lineRule="exact"/>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乙方负责甲方有关人员的培训。培训时间、地点：</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eastAsia="zh-CN"/>
        </w:rPr>
        <w:t>与甲方商议</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w:t>
      </w:r>
    </w:p>
    <w:p w14:paraId="223B988D">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第七条  售后服务、质保期</w:t>
      </w:r>
    </w:p>
    <w:p w14:paraId="3712FC46">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乙方应按照国家有关法律法规和“三包”规定以及竞争性谈判文件</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和本合同所附的《服务承诺》，为甲方提供售后服务。</w:t>
      </w:r>
    </w:p>
    <w:p w14:paraId="6B0956DA">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货物</w:t>
      </w:r>
      <w:r>
        <w:rPr>
          <w:rFonts w:hint="eastAsia" w:ascii="宋体" w:hAnsi="宋体" w:eastAsia="宋体" w:cs="宋体"/>
          <w:color w:val="auto"/>
          <w:szCs w:val="21"/>
          <w:highlight w:val="none"/>
          <w:lang w:eastAsia="zh-CN"/>
        </w:rPr>
        <w:t>保修期</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A7C88CD">
      <w:pPr>
        <w:shd w:val="clear"/>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3.免费售后服务期：</w:t>
      </w:r>
      <w:r>
        <w:rPr>
          <w:rFonts w:hint="eastAsia" w:ascii="宋体" w:hAnsi="宋体" w:eastAsia="宋体" w:cs="宋体"/>
          <w:color w:val="auto"/>
          <w:szCs w:val="21"/>
          <w:highlight w:val="none"/>
          <w:u w:val="single"/>
          <w:lang w:val="en-US" w:eastAsia="zh-CN"/>
        </w:rPr>
        <w:t xml:space="preserve">                             </w:t>
      </w:r>
    </w:p>
    <w:p w14:paraId="4A6AD485">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乙方提供的服务承诺和售后服务及质保期责任等其他具体约定事项。</w:t>
      </w:r>
    </w:p>
    <w:p w14:paraId="144CA0D4">
      <w:pPr>
        <w:shd w:val="clear"/>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5.售后服务、保修时间从项目整体验收之日起计算。</w:t>
      </w:r>
    </w:p>
    <w:p w14:paraId="776A5411">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第八条　付款方式</w:t>
      </w:r>
    </w:p>
    <w:p w14:paraId="17DC8E8C">
      <w:pPr>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无预付款。</w:t>
      </w:r>
      <w:r>
        <w:rPr>
          <w:rFonts w:hint="eastAsia" w:ascii="宋体" w:hAnsi="宋体" w:eastAsia="宋体" w:cs="宋体"/>
          <w:color w:val="auto"/>
          <w:szCs w:val="21"/>
          <w:highlight w:val="none"/>
        </w:rPr>
        <w:t>货物交付完毕</w:t>
      </w:r>
      <w:r>
        <w:rPr>
          <w:rFonts w:hint="eastAsia" w:ascii="宋体" w:hAnsi="宋体" w:eastAsia="宋体" w:cs="宋体"/>
          <w:color w:val="auto"/>
          <w:szCs w:val="21"/>
          <w:highlight w:val="none"/>
          <w:lang w:val="en-US" w:eastAsia="zh-CN"/>
        </w:rPr>
        <w:t>且</w:t>
      </w:r>
      <w:r>
        <w:rPr>
          <w:rFonts w:hint="eastAsia" w:ascii="宋体" w:hAnsi="宋体" w:eastAsia="宋体" w:cs="宋体"/>
          <w:color w:val="auto"/>
          <w:szCs w:val="21"/>
          <w:highlight w:val="none"/>
        </w:rPr>
        <w:t>安装完毕并验收合格后，</w:t>
      </w:r>
      <w:r>
        <w:rPr>
          <w:rFonts w:hint="eastAsia" w:ascii="宋体" w:hAnsi="宋体" w:eastAsia="宋体" w:cs="宋体"/>
          <w:color w:val="auto"/>
          <w:szCs w:val="21"/>
          <w:highlight w:val="none"/>
          <w:lang w:eastAsia="zh-CN"/>
        </w:rPr>
        <w:t>采购人向供应商一次性</w:t>
      </w:r>
      <w:r>
        <w:rPr>
          <w:rFonts w:hint="eastAsia" w:ascii="宋体" w:hAnsi="宋体" w:eastAsia="宋体" w:cs="宋体"/>
          <w:color w:val="auto"/>
          <w:szCs w:val="21"/>
          <w:highlight w:val="none"/>
          <w:lang w:val="en-US" w:eastAsia="zh-CN"/>
        </w:rPr>
        <w:t>全额支付</w:t>
      </w:r>
      <w:r>
        <w:rPr>
          <w:rFonts w:hint="eastAsia" w:ascii="宋体" w:hAnsi="宋体" w:eastAsia="宋体" w:cs="宋体"/>
          <w:color w:val="auto"/>
          <w:szCs w:val="21"/>
          <w:highlight w:val="none"/>
        </w:rPr>
        <w:t>合同款。成交供应商</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rPr>
        <w:t>开具</w:t>
      </w:r>
      <w:r>
        <w:rPr>
          <w:rFonts w:hint="eastAsia" w:ascii="宋体" w:hAnsi="宋体" w:eastAsia="宋体" w:cs="宋体"/>
          <w:color w:val="auto"/>
          <w:szCs w:val="21"/>
          <w:highlight w:val="none"/>
          <w:lang w:eastAsia="zh-CN"/>
        </w:rPr>
        <w:t>等额有效的</w:t>
      </w:r>
      <w:r>
        <w:rPr>
          <w:rFonts w:hint="eastAsia" w:ascii="宋体" w:hAnsi="宋体" w:eastAsia="宋体" w:cs="宋体"/>
          <w:color w:val="auto"/>
          <w:szCs w:val="21"/>
          <w:highlight w:val="none"/>
        </w:rPr>
        <w:t>的正式发票给采购人</w:t>
      </w:r>
    </w:p>
    <w:p w14:paraId="5FB20314">
      <w:pPr>
        <w:keepNext w:val="0"/>
        <w:keepLines w:val="0"/>
        <w:pageBreakBefore w:val="0"/>
        <w:widowControl w:val="0"/>
        <w:shd w:val="clear"/>
        <w:kinsoku/>
        <w:wordWrap/>
        <w:overflowPunct/>
        <w:topLinePunct w:val="0"/>
        <w:autoSpaceDE/>
        <w:autoSpaceDN/>
        <w:bidi w:val="0"/>
        <w:adjustRightInd/>
        <w:spacing w:line="360" w:lineRule="auto"/>
        <w:ind w:left="-61" w:leftChars="-29" w:firstLine="514" w:firstLineChars="245"/>
        <w:textAlignment w:val="auto"/>
        <w:rPr>
          <w:rFonts w:ascii="宋体" w:hAnsi="宋体" w:eastAsia="宋体" w:cs="宋体"/>
          <w:b/>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第九条　履约保证金</w:t>
      </w:r>
    </w:p>
    <w:p w14:paraId="575742E2">
      <w:pPr>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履约保证金金额：按成交金额的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%（中小企业缴纳数额为成交金额的2%）。</w:t>
      </w:r>
    </w:p>
    <w:p w14:paraId="46CCB798">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履约保证金提交方式：银行转账、支票、汇票、本票、保函等非现金形式缴纳（参照谈判保证金）。</w:t>
      </w:r>
    </w:p>
    <w:p w14:paraId="69E1B261">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履约保证金提交时间：在签订合同前，自成交公告发出之日起5日内，成交供应商须足额缴纳履约保证金到采购人账户。</w:t>
      </w:r>
    </w:p>
    <w:p w14:paraId="56AE46FD">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付方式、时间及条件：验收合格，成交供应商按合同约定，履行完毕合同所有义务之日起，且成交供应商无任何违约责任，由成交供应商向采购人提供《政府采购项目履约保证金退付意见书》，提出书面退款申请，采购人在收到合格材料后30个工作日内办理退还手续（不计利息）。</w:t>
      </w:r>
    </w:p>
    <w:p w14:paraId="5ED3BE06">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成交供应商没有履行本合同约定的责任和义务所需承担的违约金、赔偿金及其他费用，采购人有权直接从履约保证金中扣除，履约保证金中不足以扣除的，采购人有权从货款中抵扣。履约保证金不足的，成交供应商应及时补足</w:t>
      </w:r>
    </w:p>
    <w:p w14:paraId="24BA9614">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履约保证金指定账户：</w:t>
      </w:r>
    </w:p>
    <w:p w14:paraId="372B2BCA">
      <w:pPr>
        <w:keepNext w:val="0"/>
        <w:keepLines w:val="0"/>
        <w:pageBreakBefore w:val="0"/>
        <w:widowControl w:val="0"/>
        <w:shd w:val="clear"/>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bidi="ar"/>
        </w:rPr>
        <w:t>收款人户名：</w:t>
      </w:r>
      <w:r>
        <w:rPr>
          <w:rFonts w:hint="eastAsia" w:ascii="宋体" w:hAnsi="宋体" w:eastAsia="宋体" w:cs="宋体"/>
          <w:color w:val="auto"/>
          <w:szCs w:val="21"/>
          <w:highlight w:val="none"/>
          <w:lang w:eastAsia="zh-CN" w:bidi="ar"/>
        </w:rPr>
        <w:t>广西物流职业技术学院</w:t>
      </w:r>
    </w:p>
    <w:p w14:paraId="712883C7">
      <w:pPr>
        <w:shd w:val="clear"/>
        <w:spacing w:line="360" w:lineRule="auto"/>
        <w:ind w:firstLine="420" w:firstLineChars="200"/>
        <w:jc w:val="left"/>
        <w:rPr>
          <w:rFonts w:hint="default"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bidi="ar"/>
        </w:rPr>
        <w:t>开户银行：中国工商银行贵港市贵城支行</w:t>
      </w:r>
      <w:r>
        <w:rPr>
          <w:rFonts w:hint="eastAsia" w:ascii="宋体" w:hAnsi="宋体" w:eastAsia="宋体" w:cs="宋体"/>
          <w:color w:val="auto"/>
          <w:sz w:val="21"/>
          <w:szCs w:val="21"/>
          <w:highlight w:val="none"/>
          <w:lang w:val="en-US" w:eastAsia="zh-CN"/>
        </w:rPr>
        <w:t xml:space="preserve">   </w:t>
      </w:r>
    </w:p>
    <w:p w14:paraId="387F1E1E">
      <w:pPr>
        <w:shd w:val="clear"/>
        <w:spacing w:line="360" w:lineRule="auto"/>
        <w:ind w:firstLine="420" w:firstLineChars="200"/>
        <w:jc w:val="left"/>
        <w:rPr>
          <w:rFonts w:hint="default"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bidi="ar"/>
        </w:rPr>
        <w:t>银行账号：12450000MB1D33260K</w:t>
      </w:r>
      <w:r>
        <w:rPr>
          <w:rFonts w:hint="eastAsia" w:ascii="宋体" w:hAnsi="宋体" w:eastAsia="宋体" w:cs="宋体"/>
          <w:color w:val="auto"/>
          <w:sz w:val="21"/>
          <w:szCs w:val="21"/>
          <w:highlight w:val="none"/>
          <w:lang w:val="en-US" w:eastAsia="zh-CN"/>
        </w:rPr>
        <w:t xml:space="preserve">         </w:t>
      </w:r>
    </w:p>
    <w:p w14:paraId="0EC6A973">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第十条  税费</w:t>
      </w:r>
    </w:p>
    <w:p w14:paraId="701F509C">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w:t>
      </w:r>
    </w:p>
    <w:p w14:paraId="17D9065C">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第十一条  质量保证及售后服务</w:t>
      </w:r>
    </w:p>
    <w:p w14:paraId="70F3886E">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乙方应按竞争性谈判文件规定的货物性能、技术要求、质量标准向甲方提供未经使用的全新产品。要求者，根据实际情况，甲方有权要求按以下办法处理：</w:t>
      </w:r>
    </w:p>
    <w:p w14:paraId="78595BC7">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更换：由乙方承担所发生的全部费用。</w:t>
      </w:r>
    </w:p>
    <w:p w14:paraId="610229DF">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贬值处理：由甲乙双方合议定价。</w:t>
      </w:r>
    </w:p>
    <w:p w14:paraId="57B10035">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退货处理：乙方应退还甲方支付的合同款，同时应承担该货物的直接费用（运输、保险、检验、货款利息及银行手续费等）。</w:t>
      </w:r>
    </w:p>
    <w:p w14:paraId="57B531EA">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如在使用过程中发生质量问题，乙方在接到甲方通知后在</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小时内到达甲方现场。</w:t>
      </w:r>
    </w:p>
    <w:p w14:paraId="3CB24C24">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在质保期内，乙方应对货物出现的质量及安全问题负责处理解决并承担一切费用。</w:t>
      </w:r>
    </w:p>
    <w:p w14:paraId="0F6A97EF">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上述的货物免费质保期为</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年，因人为因素出现的故障不在免费保修范围内。超过质保期的机器设备，终身维修，维修时只收部件成本费。</w:t>
      </w:r>
    </w:p>
    <w:p w14:paraId="0E42FFBC">
      <w:pPr>
        <w:widowControl w:val="0"/>
        <w:shd w:val="clear"/>
        <w:snapToGrid w:val="0"/>
        <w:spacing w:line="420" w:lineRule="exact"/>
        <w:ind w:firstLine="413" w:firstLineChars="196"/>
        <w:jc w:val="both"/>
        <w:rPr>
          <w:rFonts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第十二条  调试和验收</w:t>
      </w:r>
    </w:p>
    <w:p w14:paraId="7523DBF1">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甲方对乙方提交的货物、软件依据竞争性谈判文件上的技术规格要求和国家有关质量标准进行现场初步验收，外观、说明书符合竞争性谈判文件技术要求的，给予签收，初步验收不合格的不予签收。甲方应当在到货、软件开发完成并安装调试后7个工作日内进行验收。</w:t>
      </w:r>
    </w:p>
    <w:p w14:paraId="74CD59DA">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乙方交货前应对产品作出全面检查和对验收文件进行整理，并列出清单，作为甲方收货验收和使用的技术条件依据，检验的结果应随货物交甲方。</w:t>
      </w:r>
    </w:p>
    <w:p w14:paraId="1B6FE3CA">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甲方对乙方提供的货物、软件在使用前进行调试时，乙方需负责安装并培训甲方的使用操作人员，并协助甲方一起调试，直到符合技术要求，甲方才做最终验收。</w:t>
      </w:r>
    </w:p>
    <w:p w14:paraId="7D41CACB">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对技术复杂的货物，甲方应请国家认可的专业检测机构参与初步验收及最终验收，并由其出具质量检测报告，检测费用由乙方承担。</w:t>
      </w:r>
    </w:p>
    <w:p w14:paraId="5760DFE1">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验收时乙方必须在现场，验收完毕后做出验收结果报告；验收费用由乙方负责。</w:t>
      </w:r>
    </w:p>
    <w:p w14:paraId="28ECEA43">
      <w:pPr>
        <w:widowControl w:val="0"/>
        <w:shd w:val="clear"/>
        <w:snapToGrid w:val="0"/>
        <w:spacing w:line="420" w:lineRule="exact"/>
        <w:ind w:firstLine="413" w:firstLineChars="196"/>
        <w:jc w:val="both"/>
        <w:rPr>
          <w:rFonts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第十三条  货物包装、发运及运输</w:t>
      </w:r>
    </w:p>
    <w:p w14:paraId="040330FC">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乙方应在货物发运前对其进行满足运输距离、防潮、防震、防锈和防破损装卸等要求包装，以保证货物安全运达甲方指定地点。</w:t>
      </w:r>
    </w:p>
    <w:p w14:paraId="79DD1C49">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使用说明书、质量检验证明书、随配附件和工具以及清单一并附于货物内。</w:t>
      </w:r>
    </w:p>
    <w:p w14:paraId="6A88D4D7">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乙方在货物发运手续办理完毕后24小时内或货到甲方48小时前通知甲方，以准备接货。</w:t>
      </w:r>
    </w:p>
    <w:p w14:paraId="70DDB062">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货物、软件在交付甲方前发生的风险均由乙方负责。</w:t>
      </w:r>
    </w:p>
    <w:p w14:paraId="19296655">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货物、软件在规定的交付期限内由乙方送达甲方指定的地点视为交付，乙方同时需通知甲方货物已送达。</w:t>
      </w:r>
    </w:p>
    <w:p w14:paraId="361A4D2B">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第十四条　违约责任</w:t>
      </w:r>
    </w:p>
    <w:p w14:paraId="72F63A92">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 xml:space="preserve">乙方所提供的货物、软件规格、技术标准、材料等质量不合格的，应及时更换，更换不及时的按逾期交货处罚；因质量问题甲方不同意接收的或特殊情况甲方不同意接收的，乙方应向甲方支付合同金额5%的违约金并赔偿甲方经济损失。                                       </w:t>
      </w:r>
    </w:p>
    <w:p w14:paraId="51FAD06C">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乙方提供的货物如侵犯了第三方合法权益而引发的任何纠纷或诉讼，均由乙方负责交涉并承担全部责任。</w:t>
      </w:r>
    </w:p>
    <w:p w14:paraId="4A10F2FD">
      <w:pPr>
        <w:widowControl w:val="0"/>
        <w:shd w:val="clear"/>
        <w:snapToGrid w:val="0"/>
        <w:spacing w:line="42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因包装、运输引起的货物损坏，按质量不合格处罚。</w:t>
      </w:r>
    </w:p>
    <w:p w14:paraId="2BE9963C">
      <w:pPr>
        <w:widowControl w:val="0"/>
        <w:shd w:val="clear"/>
        <w:snapToGrid w:val="0"/>
        <w:spacing w:line="42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除不可抗力外</w:t>
      </w:r>
      <w:bookmarkStart w:id="77" w:name="_GoBack"/>
      <w:bookmarkEnd w:id="77"/>
      <w:r>
        <w:rPr>
          <w:rFonts w:hint="eastAsia" w:ascii="宋体" w:hAnsi="宋体" w:eastAsia="宋体" w:cs="宋体"/>
          <w:color w:val="auto"/>
          <w:sz w:val="21"/>
          <w:szCs w:val="21"/>
          <w:highlight w:val="none"/>
        </w:rPr>
        <w:t>，如果乙方没有按照本合同约定的期限、地点和方式交付标的物，甲方可要求乙方支付违约金，违约金按每迟延交付标的物一日的应交付而未交付标的物价格的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color w:val="auto"/>
          <w:szCs w:val="21"/>
          <w:highlight w:val="none"/>
        </w:rPr>
        <w:t>3‰</w:t>
      </w:r>
      <w:r>
        <w:rPr>
          <w:rFonts w:hint="eastAsia" w:ascii="宋体" w:hAnsi="宋体" w:eastAsia="宋体" w:cs="宋体"/>
          <w:color w:val="auto"/>
          <w:sz w:val="21"/>
          <w:szCs w:val="21"/>
          <w:highlight w:val="none"/>
        </w:rPr>
        <w:t>计算，最高限额为本合同总价的</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rPr>
        <w:t>%；迟延超过</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日的，甲方有权在要求乙方支付违约金的同时，书面通知乙方解除本合同，乙方应退回全部已收取的合同价款并按合同总金额的</w:t>
      </w:r>
      <w:r>
        <w:rPr>
          <w:rFonts w:hint="eastAsia" w:ascii="宋体" w:hAnsi="宋体" w:eastAsia="宋体" w:cs="宋体"/>
          <w:color w:val="auto"/>
          <w:sz w:val="21"/>
          <w:szCs w:val="21"/>
          <w:highlight w:val="none"/>
          <w:u w:val="single"/>
          <w:lang w:val="en-US" w:eastAsia="zh-CN"/>
        </w:rPr>
        <w:t>15</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向甲方支付违约金</w:t>
      </w:r>
    </w:p>
    <w:p w14:paraId="18169366">
      <w:pPr>
        <w:shd w:val="clear"/>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5.除不可抗力外，</w:t>
      </w:r>
      <w:r>
        <w:rPr>
          <w:rFonts w:hint="eastAsia" w:ascii="宋体" w:hAnsi="宋体" w:eastAsia="宋体" w:cs="宋体"/>
          <w:color w:val="auto"/>
          <w:szCs w:val="21"/>
          <w:highlight w:val="none"/>
        </w:rPr>
        <w:t>甲方无故延期接收货物、</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乙方可要求甲方支付违约金，</w:t>
      </w:r>
      <w:r>
        <w:rPr>
          <w:rFonts w:hint="eastAsia" w:ascii="宋体" w:hAnsi="宋体" w:eastAsia="宋体" w:cs="宋体"/>
          <w:color w:val="auto"/>
          <w:sz w:val="21"/>
          <w:szCs w:val="21"/>
          <w:highlight w:val="none"/>
        </w:rPr>
        <w:t>违约金按每迟延交付标的物一日的应交付而未交付标的物价格的</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计算</w:t>
      </w:r>
      <w:r>
        <w:rPr>
          <w:rFonts w:hint="eastAsia" w:ascii="宋体" w:hAnsi="宋体" w:eastAsia="宋体" w:cs="宋体"/>
          <w:color w:val="auto"/>
          <w:szCs w:val="21"/>
          <w:highlight w:val="none"/>
        </w:rPr>
        <w:t>，但违约金累计不得超过合同金额5%，超过</w:t>
      </w:r>
      <w:r>
        <w:rPr>
          <w:rFonts w:hint="eastAsia" w:ascii="宋体" w:hAnsi="宋体" w:eastAsia="宋体" w:cs="宋体"/>
          <w:color w:val="auto"/>
          <w:szCs w:val="21"/>
          <w:highlight w:val="none"/>
          <w:u w:val="single"/>
        </w:rPr>
        <w:t>10</w:t>
      </w:r>
      <w:r>
        <w:rPr>
          <w:rFonts w:hint="eastAsia" w:ascii="宋体" w:hAnsi="宋体" w:eastAsia="宋体" w:cs="宋体"/>
          <w:color w:val="auto"/>
          <w:szCs w:val="21"/>
          <w:highlight w:val="none"/>
        </w:rPr>
        <w:t>天对方有权单方解除合同，违约方承担因此给对方造成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经济损失</w:t>
      </w:r>
      <w:r>
        <w:rPr>
          <w:rFonts w:hint="eastAsia" w:ascii="宋体" w:hAnsi="宋体" w:eastAsia="宋体" w:cs="宋体"/>
          <w:color w:val="auto"/>
          <w:szCs w:val="21"/>
          <w:highlight w:val="none"/>
          <w:lang w:eastAsia="zh-CN"/>
        </w:rPr>
        <w:t>。</w:t>
      </w:r>
    </w:p>
    <w:p w14:paraId="5B6F0AC3">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6.不可抗力外，如果甲方没有按照本合同约定的付款方式付款</w:t>
      </w:r>
      <w:r>
        <w:rPr>
          <w:rFonts w:hint="eastAsia" w:ascii="宋体" w:hAnsi="宋体" w:eastAsia="宋体" w:cs="宋体"/>
          <w:color w:val="auto"/>
          <w:szCs w:val="21"/>
          <w:highlight w:val="none"/>
        </w:rPr>
        <w:t>的，</w:t>
      </w:r>
      <w:r>
        <w:rPr>
          <w:rFonts w:hint="eastAsia" w:ascii="宋体" w:hAnsi="宋体" w:eastAsia="宋体" w:cs="宋体"/>
          <w:color w:val="auto"/>
          <w:sz w:val="21"/>
          <w:szCs w:val="21"/>
          <w:highlight w:val="none"/>
        </w:rPr>
        <w:t>乙方可要求甲方支付违约金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违约金按每迟延付款一日的应付而未付款的</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计算</w:t>
      </w:r>
      <w:r>
        <w:rPr>
          <w:rFonts w:hint="eastAsia" w:ascii="宋体" w:hAnsi="宋体" w:eastAsia="宋体" w:cs="宋体"/>
          <w:color w:val="auto"/>
          <w:szCs w:val="21"/>
          <w:highlight w:val="none"/>
        </w:rPr>
        <w:t>，但违约金累计不得超过延期货款额</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p>
    <w:p w14:paraId="4E1E25F6">
      <w:pPr>
        <w:shd w:val="clear"/>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并可要求违约方按合同总金额的</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%支付违约金</w:t>
      </w:r>
      <w:r>
        <w:rPr>
          <w:rFonts w:hint="eastAsia" w:ascii="宋体" w:hAnsi="宋体" w:eastAsia="宋体" w:cs="宋体"/>
          <w:color w:val="auto"/>
          <w:sz w:val="21"/>
          <w:szCs w:val="21"/>
          <w:highlight w:val="none"/>
          <w:lang w:eastAsia="zh-CN"/>
        </w:rPr>
        <w:t>。</w:t>
      </w:r>
    </w:p>
    <w:p w14:paraId="2CC1A6C8">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乙方未按本合同和竞争性谈判响应文件中规定的服务承诺提供售后服务的，每发生一次向甲方支付</w:t>
      </w:r>
      <w:r>
        <w:rPr>
          <w:rFonts w:hint="eastAsia" w:ascii="宋体" w:hAnsi="宋体" w:eastAsia="宋体" w:cs="宋体"/>
          <w:color w:val="auto"/>
          <w:szCs w:val="21"/>
          <w:highlight w:val="none"/>
          <w:u w:val="single"/>
        </w:rPr>
        <w:t>¥2000.00</w:t>
      </w:r>
      <w:r>
        <w:rPr>
          <w:rFonts w:hint="eastAsia" w:ascii="宋体" w:hAnsi="宋体" w:eastAsia="宋体" w:cs="宋体"/>
          <w:color w:val="auto"/>
          <w:szCs w:val="21"/>
          <w:highlight w:val="none"/>
        </w:rPr>
        <w:t>元的违约金，乙方收到甲方售后服务要求通知后3日内（甲方按照本合同尾部所留联系人及联系人电话完成通知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视为乙方已经收到通知），乙方未能提供售后服务的，甲方另行委托他人完成产生的费用由乙方承担。</w:t>
      </w:r>
    </w:p>
    <w:p w14:paraId="672BFB91">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乙方提供的货物在质保期内，因设计、工艺或材料的缺陷和其他质量原因造成的问题，由乙方负责，费用从履约保证金中扣除，不足另补。</w:t>
      </w:r>
    </w:p>
    <w:p w14:paraId="3FFF754C">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hAnsi="宋体" w:cs="宋体"/>
          <w:color w:val="auto"/>
          <w:sz w:val="22"/>
          <w:szCs w:val="22"/>
        </w:rPr>
        <w:t>甲乙双方有其它</w:t>
      </w:r>
      <w:r>
        <w:rPr>
          <w:rFonts w:hint="eastAsia" w:ascii="宋体" w:hAnsi="宋体" w:eastAsia="宋体" w:cs="宋体"/>
          <w:color w:val="auto"/>
          <w:sz w:val="22"/>
          <w:szCs w:val="22"/>
        </w:rPr>
        <w:t>违约行为的</w:t>
      </w:r>
      <w:r>
        <w:rPr>
          <w:rFonts w:hint="eastAsia" w:ascii="宋体" w:hAnsi="宋体" w:eastAsia="宋体" w:cs="宋体"/>
          <w:color w:val="auto"/>
          <w:sz w:val="22"/>
          <w:szCs w:val="22"/>
          <w:lang w:eastAsia="zh-CN"/>
        </w:rPr>
        <w:t>，由违约方向对方支付违约内容涉及货款额的5%</w:t>
      </w:r>
      <w:r>
        <w:rPr>
          <w:rFonts w:hint="eastAsia" w:ascii="宋体" w:hAnsi="宋体" w:eastAsia="宋体" w:cs="宋体"/>
          <w:color w:val="auto"/>
          <w:szCs w:val="21"/>
          <w:highlight w:val="none"/>
          <w:lang w:eastAsia="zh-CN"/>
        </w:rPr>
        <w:t>，违约内容涉及货款额的5%不足以赔偿经济损失的按实际赔偿</w:t>
      </w:r>
      <w:r>
        <w:rPr>
          <w:rFonts w:hint="eastAsia" w:ascii="宋体" w:hAnsi="宋体" w:eastAsia="宋体" w:cs="宋体"/>
          <w:color w:val="auto"/>
          <w:sz w:val="22"/>
          <w:szCs w:val="22"/>
        </w:rPr>
        <w:t>。违约方应向守约方承担实现合同权</w:t>
      </w:r>
      <w:r>
        <w:rPr>
          <w:rFonts w:hint="eastAsia" w:hAnsi="宋体" w:cs="宋体"/>
          <w:color w:val="auto"/>
          <w:sz w:val="22"/>
          <w:szCs w:val="22"/>
        </w:rPr>
        <w:t>益而支出的诉讼费、财产保全费、诉讼财产保全责任保险费、律师费、鉴定费、评估费、差旅费等一切费用</w:t>
      </w:r>
      <w:r>
        <w:rPr>
          <w:rFonts w:hint="eastAsia" w:ascii="宋体" w:hAnsi="宋体" w:eastAsia="宋体" w:cs="宋体"/>
          <w:color w:val="auto"/>
          <w:szCs w:val="21"/>
          <w:highlight w:val="none"/>
        </w:rPr>
        <w:t>。</w:t>
      </w:r>
    </w:p>
    <w:p w14:paraId="73E06275">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本合同</w:t>
      </w:r>
      <w:r>
        <w:rPr>
          <w:rFonts w:hint="eastAsia" w:ascii="宋体" w:hAnsi="宋体" w:eastAsia="宋体" w:cs="宋体"/>
          <w:color w:val="auto"/>
          <w:sz w:val="21"/>
          <w:szCs w:val="21"/>
          <w:highlight w:val="none"/>
        </w:rPr>
        <w:t>所约定的违约金均为惩罚性违约金，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974240F">
      <w:pPr>
        <w:shd w:val="clear"/>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如果出现政府采购监督管理部门在处理投诉事项期间，书面通知甲方暂停采购活动的情形，或者询问或质疑事项可能影响中标结果的，导致甲方中止履行合同或最终导致废标合同无效的情形，均不视为甲方违约，如废标原因是乙方过错导致，甲方可要求乙方因废标对甲方造成的损失承担赔偿责任。</w:t>
      </w:r>
    </w:p>
    <w:p w14:paraId="32CDC8AD">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第十五条  不可抗力事件处理</w:t>
      </w:r>
    </w:p>
    <w:p w14:paraId="45298FBA">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在合同有效期内，任何一方因不可抗力事件导致不能履行合同，则合同履行期可延长，其延长期与不可抗力影响期相同。</w:t>
      </w:r>
    </w:p>
    <w:p w14:paraId="7F52CF15">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不可抗力事件发生后，应立即通知对方，并寄送有关权威机构出具的证明。</w:t>
      </w:r>
    </w:p>
    <w:p w14:paraId="540A7FB4">
      <w:pPr>
        <w:widowControl w:val="0"/>
        <w:shd w:val="clear"/>
        <w:snapToGrid w:val="0"/>
        <w:spacing w:line="420" w:lineRule="exact"/>
        <w:ind w:firstLine="420" w:firstLineChars="200"/>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不可抗力事件延续120天以上，双方应通过友好协商，确定是否继续履行合同。</w:t>
      </w:r>
    </w:p>
    <w:p w14:paraId="009C0658">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第十六条  合同争议解决</w:t>
      </w:r>
    </w:p>
    <w:p w14:paraId="32704651">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因货物质量问题发生争议的，应邀请国家认可的质量检测机构对货物质量进行鉴定。货物符合标准的，鉴定费由甲方承担；货物不符合标准的，鉴定费由乙方承担。</w:t>
      </w:r>
    </w:p>
    <w:p w14:paraId="46EBDC0F">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因履行本合同引起的或与本合同有关的争议，甲乙双方应首先通过友好协商解决，如果协商不能解决，可向甲方所在地人民法院提起诉讼。</w:t>
      </w:r>
    </w:p>
    <w:p w14:paraId="1A70CE12">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诉讼期间，本合同继续履行。</w:t>
      </w:r>
    </w:p>
    <w:p w14:paraId="2F217E09">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七</w:t>
      </w:r>
      <w:r>
        <w:rPr>
          <w:rFonts w:hint="eastAsia" w:ascii="宋体" w:hAnsi="宋体" w:eastAsia="宋体" w:cs="宋体"/>
          <w:b/>
          <w:color w:val="auto"/>
          <w:szCs w:val="21"/>
          <w:highlight w:val="none"/>
        </w:rPr>
        <w:t>条  合同生效及其他</w:t>
      </w:r>
    </w:p>
    <w:p w14:paraId="0708B78F">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合同经双方法定代表人或授权代表签字并加盖单位公章后生效。</w:t>
      </w:r>
    </w:p>
    <w:p w14:paraId="57E9EC96">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合同执行中涉及采购资金和采购内容修改或补充的，须经财政部门审批，并签订书面补充协议报财政部门备案，方可作为主合同不可分割的一部分。</w:t>
      </w:r>
    </w:p>
    <w:p w14:paraId="286AC1BC">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本合同未尽事宜，双方可以协商并签订补充协议。</w:t>
      </w:r>
    </w:p>
    <w:p w14:paraId="781D98F9">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本合同载明的各方地址为各方真实有效通讯地址，一方向对方发出的任何通知、信函和文件，以挂号信函或快递信函方式向对方地址邮寄有关通知、信函和文件的，自发出之日起第三日视为送达对方，挂号信函或快递信函的邮寄凭证即视为成功送达的有效凭证。一方地址（住所）变更的，应在变更后10日内书面通知对方，否则本合同载明的地址仍为真实有效通讯地址。若为提交的，自对方法定代表人、授权代表、委托代理人签收时或单位盖章时视为送达对方。</w:t>
      </w:r>
    </w:p>
    <w:p w14:paraId="33CBE3AD">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eastAsia="zh-CN"/>
        </w:rPr>
        <w:t>八</w:t>
      </w:r>
      <w:r>
        <w:rPr>
          <w:rFonts w:hint="eastAsia" w:ascii="宋体" w:hAnsi="宋体" w:eastAsia="宋体" w:cs="宋体"/>
          <w:b/>
          <w:color w:val="auto"/>
          <w:szCs w:val="21"/>
          <w:highlight w:val="none"/>
        </w:rPr>
        <w:t>条　合同的变更、终止与转让</w:t>
      </w:r>
    </w:p>
    <w:p w14:paraId="776F5016">
      <w:pPr>
        <w:shd w:val="clear"/>
        <w:spacing w:line="42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除《中华人民共和国政府采购法》第五十条规定的情形外，本合同一经签订，甲乙双方不得擅自变更、中止或终止。</w:t>
      </w:r>
    </w:p>
    <w:p w14:paraId="349BCA42">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乙方不得擅自转让（无进口资格的供应商委托进口货物除外）其应履行的合同义务。</w:t>
      </w:r>
    </w:p>
    <w:p w14:paraId="2F95096C">
      <w:pPr>
        <w:shd w:val="clear"/>
        <w:spacing w:line="42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eastAsia="zh-CN"/>
        </w:rPr>
        <w:t>十九</w:t>
      </w:r>
      <w:r>
        <w:rPr>
          <w:rFonts w:hint="eastAsia" w:ascii="宋体" w:hAnsi="宋体" w:eastAsia="宋体" w:cs="宋体"/>
          <w:b/>
          <w:color w:val="auto"/>
          <w:szCs w:val="21"/>
          <w:highlight w:val="none"/>
        </w:rPr>
        <w:t>条　签订本合同依据</w:t>
      </w:r>
    </w:p>
    <w:p w14:paraId="23755400">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政府采购竞争性谈判文件；</w:t>
      </w:r>
    </w:p>
    <w:p w14:paraId="362A8F88">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乙方提供的竞争性谈判响应文件；</w:t>
      </w:r>
    </w:p>
    <w:p w14:paraId="2A331672">
      <w:pPr>
        <w:widowControl w:val="0"/>
        <w:shd w:val="clear"/>
        <w:snapToGrid w:val="0"/>
        <w:spacing w:line="420" w:lineRule="exact"/>
        <w:ind w:firstLine="411" w:firstLineChars="196"/>
        <w:jc w:val="both"/>
        <w:rPr>
          <w:rFonts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0"/>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成交通知书。</w:t>
      </w:r>
    </w:p>
    <w:p w14:paraId="4468424A">
      <w:pPr>
        <w:shd w:val="clear"/>
        <w:spacing w:line="420" w:lineRule="exact"/>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第二十条　</w:t>
      </w:r>
      <w:r>
        <w:rPr>
          <w:rFonts w:hint="eastAsia" w:ascii="宋体" w:hAnsi="宋体" w:eastAsia="宋体" w:cs="宋体"/>
          <w:color w:val="auto"/>
          <w:szCs w:val="21"/>
          <w:highlight w:val="none"/>
        </w:rPr>
        <w:t>本合同壹式</w:t>
      </w:r>
      <w:r>
        <w:rPr>
          <w:rFonts w:hint="eastAsia" w:ascii="宋体" w:hAnsi="宋体" w:eastAsia="宋体" w:cs="宋体"/>
          <w:color w:val="auto"/>
          <w:szCs w:val="21"/>
          <w:highlight w:val="none"/>
          <w:lang w:val="en-US" w:eastAsia="zh-CN"/>
        </w:rPr>
        <w:t>陆</w:t>
      </w:r>
      <w:r>
        <w:rPr>
          <w:rFonts w:hint="eastAsia" w:ascii="宋体" w:hAnsi="宋体" w:eastAsia="宋体" w:cs="宋体"/>
          <w:color w:val="auto"/>
          <w:szCs w:val="21"/>
          <w:highlight w:val="none"/>
        </w:rPr>
        <w:t>份，具有同等法律效力，甲方</w:t>
      </w:r>
      <w:r>
        <w:rPr>
          <w:rFonts w:hint="eastAsia" w:ascii="宋体" w:hAnsi="宋体" w:eastAsia="宋体" w:cs="宋体"/>
          <w:color w:val="auto"/>
          <w:szCs w:val="21"/>
          <w:highlight w:val="none"/>
          <w:lang w:val="en-US" w:eastAsia="zh-CN"/>
        </w:rPr>
        <w:t>贰</w:t>
      </w:r>
      <w:r>
        <w:rPr>
          <w:rFonts w:hint="eastAsia" w:ascii="宋体" w:hAnsi="宋体" w:eastAsia="宋体" w:cs="宋体"/>
          <w:color w:val="auto"/>
          <w:szCs w:val="21"/>
          <w:highlight w:val="none"/>
        </w:rPr>
        <w:t>份、乙方贰份、采购代理机构</w:t>
      </w:r>
      <w:r>
        <w:rPr>
          <w:rFonts w:hint="eastAsia" w:ascii="宋体" w:hAnsi="宋体" w:eastAsia="宋体" w:cs="宋体"/>
          <w:color w:val="auto"/>
          <w:szCs w:val="21"/>
          <w:highlight w:val="none"/>
          <w:lang w:val="en-US" w:eastAsia="zh-CN"/>
        </w:rPr>
        <w:t>贰</w:t>
      </w:r>
      <w:r>
        <w:rPr>
          <w:rFonts w:hint="eastAsia" w:ascii="宋体" w:hAnsi="宋体" w:eastAsia="宋体" w:cs="宋体"/>
          <w:color w:val="auto"/>
          <w:szCs w:val="21"/>
          <w:highlight w:val="none"/>
        </w:rPr>
        <w:t>份。</w:t>
      </w:r>
    </w:p>
    <w:p w14:paraId="4796DF07">
      <w:pPr>
        <w:shd w:val="clear"/>
        <w:spacing w:line="360" w:lineRule="auto"/>
        <w:ind w:firstLine="420" w:firstLineChars="200"/>
        <w:rPr>
          <w:rFonts w:ascii="Times New Roman" w:hAnsi="Times New Roman" w:eastAsia="宋体" w:cs="Times New Roman"/>
          <w:color w:val="auto"/>
          <w:highlight w:val="none"/>
        </w:rPr>
      </w:pPr>
      <w:r>
        <w:rPr>
          <w:rFonts w:hint="eastAsia" w:ascii="宋体" w:hAnsi="宋体" w:eastAsia="宋体" w:cs="宋体"/>
          <w:color w:val="auto"/>
          <w:kern w:val="0"/>
          <w:szCs w:val="21"/>
          <w:highlight w:val="none"/>
        </w:rPr>
        <w:t>本合同自签订之日起2个工作日内，甲方应当将采购合同在广西壮族自治区财政厅指定的媒体上公告</w:t>
      </w:r>
      <w:r>
        <w:rPr>
          <w:rFonts w:hint="eastAsia" w:ascii="宋体" w:hAnsi="宋体" w:eastAsia="宋体" w:cs="宋体"/>
          <w:color w:val="auto"/>
          <w:szCs w:val="21"/>
          <w:highlight w:val="none"/>
        </w:rPr>
        <w:t>。</w:t>
      </w:r>
    </w:p>
    <w:tbl>
      <w:tblPr>
        <w:tblStyle w:val="4"/>
        <w:tblpPr w:leftFromText="180" w:rightFromText="180" w:vertAnchor="text" w:horzAnchor="margin" w:tblpXSpec="center" w:tblpY="214"/>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569"/>
      </w:tblGrid>
      <w:tr w14:paraId="3068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7"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2C162F54">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甲方：（章）</w:t>
            </w:r>
          </w:p>
          <w:p w14:paraId="27B5333F">
            <w:pPr>
              <w:shd w:val="clear"/>
              <w:snapToGrid w:val="0"/>
              <w:spacing w:line="360" w:lineRule="auto"/>
              <w:rPr>
                <w:rFonts w:ascii="宋体" w:hAnsi="宋体" w:eastAsia="宋体" w:cs="宋体"/>
                <w:color w:val="auto"/>
                <w:szCs w:val="21"/>
                <w:highlight w:val="none"/>
              </w:rPr>
            </w:pPr>
          </w:p>
          <w:p w14:paraId="1721FB83">
            <w:pPr>
              <w:shd w:val="clear"/>
              <w:snapToGrid w:val="0"/>
              <w:spacing w:line="360" w:lineRule="auto"/>
              <w:rPr>
                <w:rFonts w:ascii="宋体" w:hAnsi="宋体" w:eastAsia="宋体" w:cs="宋体"/>
                <w:color w:val="auto"/>
                <w:szCs w:val="21"/>
                <w:highlight w:val="none"/>
              </w:rPr>
            </w:pPr>
          </w:p>
          <w:p w14:paraId="7DB3BBAF">
            <w:pPr>
              <w:shd w:val="clear"/>
              <w:snapToGrid w:val="0"/>
              <w:spacing w:line="360" w:lineRule="auto"/>
              <w:ind w:firstLine="945" w:firstLineChars="450"/>
              <w:jc w:val="right"/>
              <w:rPr>
                <w:rFonts w:ascii="宋体" w:hAnsi="宋体" w:eastAsia="宋体" w:cs="宋体"/>
                <w:color w:val="auto"/>
                <w:szCs w:val="21"/>
                <w:highlight w:val="none"/>
              </w:rPr>
            </w:pPr>
          </w:p>
          <w:p w14:paraId="34B159FB">
            <w:pPr>
              <w:shd w:val="clear"/>
              <w:snapToGrid w:val="0"/>
              <w:spacing w:line="360" w:lineRule="auto"/>
              <w:ind w:firstLine="945" w:firstLineChars="450"/>
              <w:jc w:val="right"/>
              <w:rPr>
                <w:rFonts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69" w:type="dxa"/>
            <w:tcBorders>
              <w:top w:val="single" w:color="auto" w:sz="4" w:space="0"/>
              <w:left w:val="single" w:color="auto" w:sz="4" w:space="0"/>
              <w:bottom w:val="single" w:color="auto" w:sz="4" w:space="0"/>
              <w:right w:val="single" w:color="auto" w:sz="4" w:space="0"/>
            </w:tcBorders>
            <w:vAlign w:val="center"/>
          </w:tcPr>
          <w:p w14:paraId="4C6C9C96">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6BC508CA">
            <w:pPr>
              <w:shd w:val="clear"/>
              <w:snapToGrid w:val="0"/>
              <w:spacing w:line="360" w:lineRule="auto"/>
              <w:rPr>
                <w:rFonts w:ascii="宋体" w:hAnsi="宋体" w:eastAsia="宋体" w:cs="宋体"/>
                <w:color w:val="auto"/>
                <w:szCs w:val="21"/>
                <w:highlight w:val="none"/>
              </w:rPr>
            </w:pPr>
          </w:p>
          <w:p w14:paraId="2F8AA142">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19489133">
            <w:pPr>
              <w:shd w:val="clear"/>
              <w:snapToGrid w:val="0"/>
              <w:spacing w:line="360" w:lineRule="auto"/>
              <w:jc w:val="right"/>
              <w:rPr>
                <w:rFonts w:ascii="宋体" w:hAnsi="宋体" w:eastAsia="宋体" w:cs="宋体"/>
                <w:color w:val="auto"/>
                <w:szCs w:val="21"/>
                <w:highlight w:val="none"/>
              </w:rPr>
            </w:pPr>
          </w:p>
          <w:p w14:paraId="702D7C04">
            <w:pPr>
              <w:shd w:val="clear"/>
              <w:snapToGrid w:val="0"/>
              <w:spacing w:line="360" w:lineRule="auto"/>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34A8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6EA34273">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569" w:type="dxa"/>
            <w:tcBorders>
              <w:top w:val="single" w:color="auto" w:sz="4" w:space="0"/>
              <w:left w:val="single" w:color="auto" w:sz="4" w:space="0"/>
              <w:bottom w:val="single" w:color="auto" w:sz="4" w:space="0"/>
              <w:right w:val="single" w:color="auto" w:sz="4" w:space="0"/>
            </w:tcBorders>
            <w:vAlign w:val="center"/>
          </w:tcPr>
          <w:p w14:paraId="517DCF0C">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14:paraId="0B4D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4568" w:type="dxa"/>
            <w:tcBorders>
              <w:top w:val="single" w:color="auto" w:sz="4" w:space="0"/>
              <w:left w:val="single" w:color="auto" w:sz="4" w:space="0"/>
              <w:right w:val="single" w:color="auto" w:sz="4" w:space="0"/>
            </w:tcBorders>
            <w:vAlign w:val="center"/>
          </w:tcPr>
          <w:p w14:paraId="2DFE92F0">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01CB087C">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或委托代理人：</w:t>
            </w:r>
          </w:p>
        </w:tc>
        <w:tc>
          <w:tcPr>
            <w:tcW w:w="4569" w:type="dxa"/>
            <w:tcBorders>
              <w:top w:val="single" w:color="auto" w:sz="4" w:space="0"/>
              <w:left w:val="single" w:color="auto" w:sz="4" w:space="0"/>
              <w:bottom w:val="single" w:color="auto" w:sz="4" w:space="0"/>
              <w:right w:val="single" w:color="auto" w:sz="4" w:space="0"/>
            </w:tcBorders>
            <w:vAlign w:val="center"/>
          </w:tcPr>
          <w:p w14:paraId="2CFCE610">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66FE277C">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或委托代理人：</w:t>
            </w:r>
          </w:p>
        </w:tc>
      </w:tr>
      <w:tr w14:paraId="0328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24BB146A">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69" w:type="dxa"/>
            <w:tcBorders>
              <w:top w:val="single" w:color="auto" w:sz="4" w:space="0"/>
              <w:left w:val="single" w:color="auto" w:sz="4" w:space="0"/>
              <w:bottom w:val="single" w:color="auto" w:sz="4" w:space="0"/>
              <w:right w:val="single" w:color="auto" w:sz="4" w:space="0"/>
            </w:tcBorders>
            <w:vAlign w:val="center"/>
          </w:tcPr>
          <w:p w14:paraId="580D9E61">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31DA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604C4966">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569" w:type="dxa"/>
            <w:tcBorders>
              <w:top w:val="single" w:color="auto" w:sz="4" w:space="0"/>
              <w:left w:val="single" w:color="auto" w:sz="4" w:space="0"/>
              <w:bottom w:val="single" w:color="auto" w:sz="4" w:space="0"/>
              <w:right w:val="single" w:color="auto" w:sz="4" w:space="0"/>
            </w:tcBorders>
            <w:vAlign w:val="center"/>
          </w:tcPr>
          <w:p w14:paraId="186D3EDB">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r>
      <w:tr w14:paraId="4C42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681F74A0">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569" w:type="dxa"/>
            <w:tcBorders>
              <w:top w:val="single" w:color="auto" w:sz="4" w:space="0"/>
              <w:left w:val="single" w:color="auto" w:sz="4" w:space="0"/>
              <w:bottom w:val="single" w:color="auto" w:sz="4" w:space="0"/>
              <w:right w:val="single" w:color="auto" w:sz="4" w:space="0"/>
            </w:tcBorders>
            <w:vAlign w:val="center"/>
          </w:tcPr>
          <w:p w14:paraId="1CA8220F">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13AF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4568" w:type="dxa"/>
            <w:tcBorders>
              <w:top w:val="single" w:color="auto" w:sz="4" w:space="0"/>
              <w:left w:val="single" w:color="auto" w:sz="4" w:space="0"/>
              <w:bottom w:val="single" w:color="auto" w:sz="4" w:space="0"/>
              <w:right w:val="single" w:color="auto" w:sz="4" w:space="0"/>
            </w:tcBorders>
            <w:vAlign w:val="center"/>
          </w:tcPr>
          <w:p w14:paraId="34569D0B">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69" w:type="dxa"/>
            <w:tcBorders>
              <w:top w:val="single" w:color="auto" w:sz="4" w:space="0"/>
              <w:left w:val="single" w:color="auto" w:sz="4" w:space="0"/>
              <w:bottom w:val="single" w:color="auto" w:sz="4" w:space="0"/>
              <w:right w:val="single" w:color="auto" w:sz="4" w:space="0"/>
            </w:tcBorders>
            <w:vAlign w:val="center"/>
          </w:tcPr>
          <w:p w14:paraId="143757F8">
            <w:pPr>
              <w:shd w:val="clear"/>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14:paraId="7BA025B2">
      <w:pPr>
        <w:shd w:val="clear"/>
        <w:snapToGrid w:val="0"/>
        <w:spacing w:line="360" w:lineRule="auto"/>
        <w:rPr>
          <w:rFonts w:ascii="宋体" w:hAnsi="宋体" w:eastAsia="宋体" w:cs="宋体"/>
          <w:b/>
          <w:color w:val="auto"/>
          <w:szCs w:val="21"/>
          <w:highlight w:val="none"/>
        </w:rPr>
      </w:pPr>
    </w:p>
    <w:p w14:paraId="403F106D">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Cs/>
          <w:color w:val="auto"/>
          <w:sz w:val="32"/>
          <w:szCs w:val="32"/>
          <w:highlight w:val="none"/>
        </w:rPr>
        <w:t>附件1：</w:t>
      </w:r>
    </w:p>
    <w:p w14:paraId="765D6077">
      <w:pPr>
        <w:shd w:val="clea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采购项目合同验收书（格式）</w:t>
      </w:r>
    </w:p>
    <w:p w14:paraId="1209F345">
      <w:pPr>
        <w:shd w:val="clear"/>
        <w:spacing w:line="360" w:lineRule="auto"/>
        <w:ind w:firstLine="420" w:firstLineChars="200"/>
        <w:rPr>
          <w:rFonts w:ascii="宋体" w:hAnsi="宋体" w:eastAsia="宋体" w:cs="宋体"/>
          <w:color w:val="auto"/>
          <w:highlight w:val="none"/>
        </w:rPr>
      </w:pPr>
      <w:r>
        <w:rPr>
          <w:rFonts w:hint="eastAsia" w:ascii="宋体" w:hAnsi="宋体" w:eastAsia="宋体" w:cs="宋体"/>
          <w:color w:val="auto"/>
          <w:highlight w:val="none"/>
        </w:rPr>
        <w:t>根据采购项目（</w:t>
      </w:r>
      <w:r>
        <w:rPr>
          <w:rFonts w:hint="eastAsia" w:ascii="宋体" w:hAnsi="宋体" w:eastAsia="宋体" w:cs="宋体"/>
          <w:color w:val="auto"/>
          <w:highlight w:val="none"/>
          <w:u w:val="single"/>
        </w:rPr>
        <w:t xml:space="preserve">采购合同编号：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softHyphen/>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）的约定，我单位对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采购项目成交供应商</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（公司名称）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提供的货物（或者工程、服务）进行了验收，验收情况如下：</w:t>
      </w:r>
    </w:p>
    <w:tbl>
      <w:tblPr>
        <w:tblStyle w:val="4"/>
        <w:tblW w:w="0" w:type="auto"/>
        <w:jc w:val="center"/>
        <w:tblLayout w:type="fixed"/>
        <w:tblCellMar>
          <w:top w:w="0" w:type="dxa"/>
          <w:left w:w="0" w:type="dxa"/>
          <w:bottom w:w="0" w:type="dxa"/>
          <w:right w:w="0" w:type="dxa"/>
        </w:tblCellMar>
      </w:tblPr>
      <w:tblGrid>
        <w:gridCol w:w="863"/>
        <w:gridCol w:w="1110"/>
        <w:gridCol w:w="2313"/>
        <w:gridCol w:w="227"/>
        <w:gridCol w:w="571"/>
        <w:gridCol w:w="2104"/>
        <w:gridCol w:w="178"/>
        <w:gridCol w:w="685"/>
        <w:gridCol w:w="1428"/>
      </w:tblGrid>
      <w:tr w14:paraId="3DD30041">
        <w:tblPrEx>
          <w:tblCellMar>
            <w:top w:w="0" w:type="dxa"/>
            <w:left w:w="0" w:type="dxa"/>
            <w:bottom w:w="0" w:type="dxa"/>
            <w:right w:w="0" w:type="dxa"/>
          </w:tblCellMar>
        </w:tblPrEx>
        <w:trPr>
          <w:trHeight w:val="497" w:hRule="atLeast"/>
          <w:jc w:val="center"/>
        </w:trPr>
        <w:tc>
          <w:tcPr>
            <w:tcW w:w="4286" w:type="dxa"/>
            <w:gridSpan w:val="3"/>
            <w:tcBorders>
              <w:top w:val="single" w:color="auto" w:sz="8" w:space="0"/>
              <w:left w:val="single" w:color="auto" w:sz="8" w:space="0"/>
              <w:bottom w:val="single" w:color="auto" w:sz="8" w:space="0"/>
              <w:right w:val="single" w:color="auto" w:sz="8" w:space="0"/>
            </w:tcBorders>
            <w:vAlign w:val="center"/>
          </w:tcPr>
          <w:p w14:paraId="377F57A3">
            <w:pPr>
              <w:widowControl/>
              <w:shd w:val="clear"/>
              <w:snapToGrid w:val="0"/>
              <w:spacing w:before="100" w:beforeAutospacing="1" w:after="100" w:afterAutospacing="1" w:line="320" w:lineRule="atLeast"/>
              <w:ind w:firstLine="5"/>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B68837A">
            <w:pPr>
              <w:widowControl/>
              <w:shd w:val="clear"/>
              <w:snapToGrid w:val="0"/>
              <w:spacing w:before="100" w:beforeAutospacing="1" w:after="100" w:afterAutospacing="1" w:line="320" w:lineRule="atLeas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 xml:space="preserve">自行验收 </w:t>
            </w: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委托验收</w:t>
            </w:r>
          </w:p>
        </w:tc>
      </w:tr>
      <w:tr w14:paraId="540B842D">
        <w:tblPrEx>
          <w:tblCellMar>
            <w:top w:w="0" w:type="dxa"/>
            <w:left w:w="0" w:type="dxa"/>
            <w:bottom w:w="0" w:type="dxa"/>
            <w:right w:w="0" w:type="dxa"/>
          </w:tblCellMar>
        </w:tblPrEx>
        <w:trPr>
          <w:trHeight w:val="622" w:hRule="atLeast"/>
          <w:jc w:val="center"/>
        </w:trPr>
        <w:tc>
          <w:tcPr>
            <w:tcW w:w="863" w:type="dxa"/>
            <w:tcBorders>
              <w:top w:val="nil"/>
              <w:left w:val="single" w:color="auto" w:sz="8" w:space="0"/>
              <w:bottom w:val="single" w:color="auto" w:sz="8" w:space="0"/>
              <w:right w:val="single" w:color="auto" w:sz="8" w:space="0"/>
            </w:tcBorders>
            <w:vAlign w:val="center"/>
          </w:tcPr>
          <w:p w14:paraId="3CCB4243">
            <w:pPr>
              <w:widowControl/>
              <w:shd w:val="clear"/>
              <w:snapToGrid w:val="0"/>
              <w:spacing w:before="100" w:beforeAutospacing="1" w:after="100" w:afterAutospacing="1" w:line="320" w:lineRule="atLeast"/>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3423" w:type="dxa"/>
            <w:gridSpan w:val="2"/>
            <w:tcBorders>
              <w:top w:val="nil"/>
              <w:left w:val="nil"/>
              <w:bottom w:val="single" w:color="auto" w:sz="8" w:space="0"/>
              <w:right w:val="single" w:color="auto" w:sz="8" w:space="0"/>
            </w:tcBorders>
            <w:vAlign w:val="center"/>
          </w:tcPr>
          <w:p w14:paraId="4BA6F582">
            <w:pPr>
              <w:widowControl/>
              <w:shd w:val="clear"/>
              <w:snapToGrid w:val="0"/>
              <w:spacing w:before="100" w:beforeAutospacing="1" w:after="100" w:afterAutospacing="1" w:line="320" w:lineRule="atLeast"/>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66070F09">
            <w:pPr>
              <w:widowControl/>
              <w:shd w:val="clear"/>
              <w:snapToGrid w:val="0"/>
              <w:spacing w:before="100" w:beforeAutospacing="1" w:after="100" w:afterAutospacing="1" w:line="320" w:lineRule="atLeast"/>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C365C5A">
            <w:pPr>
              <w:widowControl/>
              <w:shd w:val="clear"/>
              <w:snapToGrid w:val="0"/>
              <w:spacing w:before="100" w:beforeAutospacing="1" w:after="100" w:afterAutospacing="1" w:line="320" w:lineRule="atLeas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627D1A57">
            <w:pPr>
              <w:widowControl/>
              <w:shd w:val="clear"/>
              <w:snapToGrid w:val="0"/>
              <w:spacing w:before="100" w:beforeAutospacing="1" w:after="100" w:afterAutospacing="1" w:line="320" w:lineRule="atLeast"/>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1BB35197">
        <w:tblPrEx>
          <w:tblCellMar>
            <w:top w:w="0" w:type="dxa"/>
            <w:left w:w="0" w:type="dxa"/>
            <w:bottom w:w="0" w:type="dxa"/>
            <w:right w:w="0" w:type="dxa"/>
          </w:tblCellMar>
        </w:tblPrEx>
        <w:trPr>
          <w:trHeight w:val="487" w:hRule="atLeast"/>
          <w:jc w:val="center"/>
        </w:trPr>
        <w:tc>
          <w:tcPr>
            <w:tcW w:w="863" w:type="dxa"/>
            <w:tcBorders>
              <w:top w:val="nil"/>
              <w:left w:val="single" w:color="auto" w:sz="8" w:space="0"/>
              <w:bottom w:val="single" w:color="auto" w:sz="8" w:space="0"/>
              <w:right w:val="single" w:color="auto" w:sz="8" w:space="0"/>
            </w:tcBorders>
            <w:vAlign w:val="center"/>
          </w:tcPr>
          <w:p w14:paraId="1DD0C6D8">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3423" w:type="dxa"/>
            <w:gridSpan w:val="2"/>
            <w:tcBorders>
              <w:top w:val="nil"/>
              <w:left w:val="nil"/>
              <w:bottom w:val="single" w:color="auto" w:sz="8" w:space="0"/>
              <w:right w:val="single" w:color="auto" w:sz="8" w:space="0"/>
            </w:tcBorders>
            <w:vAlign w:val="center"/>
          </w:tcPr>
          <w:p w14:paraId="4667D212">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59C6591A">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53FFA16">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1AA84570">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r>
      <w:tr w14:paraId="40A49191">
        <w:tblPrEx>
          <w:tblCellMar>
            <w:top w:w="0" w:type="dxa"/>
            <w:left w:w="0" w:type="dxa"/>
            <w:bottom w:w="0" w:type="dxa"/>
            <w:right w:w="0" w:type="dxa"/>
          </w:tblCellMar>
        </w:tblPrEx>
        <w:trPr>
          <w:trHeight w:val="487" w:hRule="atLeast"/>
          <w:jc w:val="center"/>
        </w:trPr>
        <w:tc>
          <w:tcPr>
            <w:tcW w:w="863" w:type="dxa"/>
            <w:tcBorders>
              <w:top w:val="nil"/>
              <w:left w:val="single" w:color="auto" w:sz="8" w:space="0"/>
              <w:bottom w:val="single" w:color="auto" w:sz="8" w:space="0"/>
              <w:right w:val="single" w:color="auto" w:sz="8" w:space="0"/>
            </w:tcBorders>
            <w:vAlign w:val="center"/>
          </w:tcPr>
          <w:p w14:paraId="16025501">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3423" w:type="dxa"/>
            <w:gridSpan w:val="2"/>
            <w:tcBorders>
              <w:top w:val="nil"/>
              <w:left w:val="nil"/>
              <w:bottom w:val="single" w:color="auto" w:sz="8" w:space="0"/>
              <w:right w:val="single" w:color="auto" w:sz="8" w:space="0"/>
            </w:tcBorders>
            <w:vAlign w:val="center"/>
          </w:tcPr>
          <w:p w14:paraId="67BF2AC8">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5FCA22B4">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F848D68">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6FA22C9C">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r>
      <w:tr w14:paraId="6E17BDFD">
        <w:tblPrEx>
          <w:tblCellMar>
            <w:top w:w="0" w:type="dxa"/>
            <w:left w:w="0" w:type="dxa"/>
            <w:bottom w:w="0" w:type="dxa"/>
            <w:right w:w="0" w:type="dxa"/>
          </w:tblCellMar>
        </w:tblPrEx>
        <w:trPr>
          <w:trHeight w:val="487" w:hRule="atLeast"/>
          <w:jc w:val="center"/>
        </w:trPr>
        <w:tc>
          <w:tcPr>
            <w:tcW w:w="863" w:type="dxa"/>
            <w:tcBorders>
              <w:top w:val="nil"/>
              <w:left w:val="single" w:color="auto" w:sz="8" w:space="0"/>
              <w:bottom w:val="single" w:color="auto" w:sz="8" w:space="0"/>
              <w:right w:val="single" w:color="auto" w:sz="8" w:space="0"/>
            </w:tcBorders>
            <w:vAlign w:val="center"/>
          </w:tcPr>
          <w:p w14:paraId="074CAE3C">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3423" w:type="dxa"/>
            <w:gridSpan w:val="2"/>
            <w:tcBorders>
              <w:top w:val="nil"/>
              <w:left w:val="nil"/>
              <w:bottom w:val="single" w:color="auto" w:sz="8" w:space="0"/>
              <w:right w:val="single" w:color="auto" w:sz="8" w:space="0"/>
            </w:tcBorders>
            <w:vAlign w:val="center"/>
          </w:tcPr>
          <w:p w14:paraId="2E649300">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750F1D62">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DD17AC8">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9739DF0">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r>
      <w:tr w14:paraId="2FD5BFA8">
        <w:tblPrEx>
          <w:tblCellMar>
            <w:top w:w="0" w:type="dxa"/>
            <w:left w:w="0" w:type="dxa"/>
            <w:bottom w:w="0" w:type="dxa"/>
            <w:right w:w="0" w:type="dxa"/>
          </w:tblCellMar>
        </w:tblPrEx>
        <w:trPr>
          <w:trHeight w:val="487" w:hRule="atLeast"/>
          <w:jc w:val="center"/>
        </w:trPr>
        <w:tc>
          <w:tcPr>
            <w:tcW w:w="7188" w:type="dxa"/>
            <w:gridSpan w:val="6"/>
            <w:tcBorders>
              <w:top w:val="nil"/>
              <w:left w:val="single" w:color="auto" w:sz="8" w:space="0"/>
              <w:bottom w:val="single" w:color="auto" w:sz="8" w:space="0"/>
              <w:right w:val="single" w:color="auto" w:sz="8" w:space="0"/>
            </w:tcBorders>
            <w:vAlign w:val="center"/>
          </w:tcPr>
          <w:p w14:paraId="576F9AEC">
            <w:pPr>
              <w:widowControl/>
              <w:shd w:val="clear"/>
              <w:snapToGrid w:val="0"/>
              <w:spacing w:before="100" w:beforeAutospacing="1" w:after="100" w:afterAutospacing="1" w:line="320" w:lineRule="atLeast"/>
              <w:ind w:firstLine="5"/>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6268F08D">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77C61E6D">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r>
      <w:tr w14:paraId="3A434BBE">
        <w:tblPrEx>
          <w:tblCellMar>
            <w:top w:w="0" w:type="dxa"/>
            <w:left w:w="0" w:type="dxa"/>
            <w:bottom w:w="0" w:type="dxa"/>
            <w:right w:w="0" w:type="dxa"/>
          </w:tblCellMar>
        </w:tblPrEx>
        <w:trPr>
          <w:trHeight w:val="641" w:hRule="atLeast"/>
          <w:jc w:val="center"/>
        </w:trPr>
        <w:tc>
          <w:tcPr>
            <w:tcW w:w="9479" w:type="dxa"/>
            <w:gridSpan w:val="9"/>
            <w:tcBorders>
              <w:top w:val="nil"/>
              <w:left w:val="single" w:color="auto" w:sz="8" w:space="0"/>
              <w:bottom w:val="single" w:color="auto" w:sz="8" w:space="0"/>
              <w:right w:val="single" w:color="auto" w:sz="8" w:space="0"/>
            </w:tcBorders>
            <w:vAlign w:val="center"/>
          </w:tcPr>
          <w:p w14:paraId="2104B892">
            <w:pPr>
              <w:widowControl/>
              <w:shd w:val="clear"/>
              <w:snapToGrid w:val="0"/>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59B7633B">
        <w:tblPrEx>
          <w:tblCellMar>
            <w:top w:w="0" w:type="dxa"/>
            <w:left w:w="0" w:type="dxa"/>
            <w:bottom w:w="0" w:type="dxa"/>
            <w:right w:w="0" w:type="dxa"/>
          </w:tblCellMar>
        </w:tblPrEx>
        <w:trPr>
          <w:trHeight w:val="641" w:hRule="atLeast"/>
          <w:jc w:val="center"/>
        </w:trPr>
        <w:tc>
          <w:tcPr>
            <w:tcW w:w="1973" w:type="dxa"/>
            <w:gridSpan w:val="2"/>
            <w:tcBorders>
              <w:top w:val="nil"/>
              <w:left w:val="single" w:color="auto" w:sz="8" w:space="0"/>
              <w:bottom w:val="single" w:color="auto" w:sz="8" w:space="0"/>
              <w:right w:val="single" w:color="auto" w:sz="8" w:space="0"/>
            </w:tcBorders>
            <w:vAlign w:val="center"/>
          </w:tcPr>
          <w:p w14:paraId="086C347B">
            <w:pPr>
              <w:widowControl/>
              <w:shd w:val="clear"/>
              <w:snapToGrid w:val="0"/>
              <w:spacing w:before="100" w:beforeAutospacing="1" w:after="100" w:afterAutospacing="1" w:line="320" w:lineRule="atLeast"/>
              <w:ind w:firstLine="2"/>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3111" w:type="dxa"/>
            <w:gridSpan w:val="3"/>
            <w:tcBorders>
              <w:top w:val="nil"/>
              <w:left w:val="nil"/>
              <w:bottom w:val="single" w:color="auto" w:sz="8" w:space="0"/>
              <w:right w:val="single" w:color="auto" w:sz="8" w:space="0"/>
            </w:tcBorders>
            <w:vAlign w:val="center"/>
          </w:tcPr>
          <w:p w14:paraId="3E37A353">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c>
          <w:tcPr>
            <w:tcW w:w="2282" w:type="dxa"/>
            <w:gridSpan w:val="2"/>
            <w:tcBorders>
              <w:top w:val="nil"/>
              <w:left w:val="nil"/>
              <w:bottom w:val="single" w:color="auto" w:sz="8" w:space="0"/>
              <w:right w:val="single" w:color="auto" w:sz="8" w:space="0"/>
            </w:tcBorders>
            <w:vAlign w:val="center"/>
          </w:tcPr>
          <w:p w14:paraId="6190F405">
            <w:pPr>
              <w:widowControl/>
              <w:shd w:val="clear"/>
              <w:snapToGrid w:val="0"/>
              <w:spacing w:before="100" w:beforeAutospacing="1" w:after="100" w:afterAutospacing="1" w:line="320" w:lineRule="atLeast"/>
              <w:ind w:firstLine="46"/>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w:t>
            </w:r>
            <w:r>
              <w:rPr>
                <w:rFonts w:hint="eastAsia" w:ascii="宋体" w:hAnsi="宋体" w:eastAsia="宋体" w:cs="宋体"/>
                <w:color w:val="auto"/>
                <w:kern w:val="0"/>
                <w:szCs w:val="21"/>
                <w:highlight w:val="none"/>
                <w:lang w:eastAsia="zh-CN"/>
              </w:rPr>
              <w:t>交付</w:t>
            </w:r>
            <w:r>
              <w:rPr>
                <w:rFonts w:hint="eastAsia" w:ascii="宋体" w:hAnsi="宋体" w:eastAsia="宋体" w:cs="宋体"/>
                <w:color w:val="auto"/>
                <w:kern w:val="0"/>
                <w:szCs w:val="21"/>
                <w:highlight w:val="none"/>
              </w:rPr>
              <w:t>验收日期</w:t>
            </w:r>
          </w:p>
        </w:tc>
        <w:tc>
          <w:tcPr>
            <w:tcW w:w="2113" w:type="dxa"/>
            <w:gridSpan w:val="2"/>
            <w:tcBorders>
              <w:top w:val="nil"/>
              <w:left w:val="nil"/>
              <w:bottom w:val="single" w:color="auto" w:sz="8" w:space="0"/>
              <w:right w:val="single" w:color="auto" w:sz="8" w:space="0"/>
            </w:tcBorders>
            <w:vAlign w:val="center"/>
          </w:tcPr>
          <w:p w14:paraId="5D48A6A9">
            <w:pPr>
              <w:widowControl/>
              <w:shd w:val="clear"/>
              <w:spacing w:before="100" w:beforeAutospacing="1" w:after="100" w:afterAutospacing="1" w:line="240" w:lineRule="atLeast"/>
              <w:jc w:val="center"/>
              <w:rPr>
                <w:rFonts w:ascii="宋体" w:hAnsi="宋体" w:eastAsia="宋体" w:cs="宋体"/>
                <w:color w:val="auto"/>
                <w:kern w:val="0"/>
                <w:szCs w:val="21"/>
                <w:highlight w:val="none"/>
              </w:rPr>
            </w:pPr>
          </w:p>
        </w:tc>
      </w:tr>
      <w:tr w14:paraId="1D9AF447">
        <w:tblPrEx>
          <w:tblCellMar>
            <w:top w:w="0" w:type="dxa"/>
            <w:left w:w="0" w:type="dxa"/>
            <w:bottom w:w="0" w:type="dxa"/>
            <w:right w:w="0" w:type="dxa"/>
          </w:tblCellMar>
        </w:tblPrEx>
        <w:trPr>
          <w:trHeight w:val="693" w:hRule="atLeast"/>
          <w:jc w:val="center"/>
        </w:trPr>
        <w:tc>
          <w:tcPr>
            <w:tcW w:w="1973"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D81810">
            <w:pPr>
              <w:widowControl/>
              <w:shd w:val="clear"/>
              <w:snapToGrid w:val="0"/>
              <w:spacing w:before="100" w:beforeAutospacing="1" w:after="100" w:afterAutospacing="1" w:line="320" w:lineRule="atLeas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750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0EAE1F9">
            <w:pPr>
              <w:widowControl/>
              <w:shd w:val="clear"/>
              <w:snapToGrid w:val="0"/>
              <w:spacing w:before="100" w:beforeAutospacing="1" w:after="100" w:afterAutospacing="1" w:line="320" w:lineRule="atLeas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w:t>
            </w:r>
            <w:r>
              <w:rPr>
                <w:rFonts w:hint="eastAsia" w:ascii="宋体" w:hAnsi="宋体" w:eastAsia="宋体" w:cs="宋体"/>
                <w:color w:val="auto"/>
                <w:kern w:val="0"/>
                <w:szCs w:val="21"/>
                <w:highlight w:val="none"/>
                <w:lang w:val="en-US" w:eastAsia="zh-CN"/>
              </w:rPr>
              <w:t>竞争性</w:t>
            </w:r>
            <w:r>
              <w:rPr>
                <w:rFonts w:hint="eastAsia" w:ascii="宋体" w:hAnsi="宋体" w:eastAsia="宋体" w:cs="宋体"/>
                <w:color w:val="auto"/>
                <w:kern w:val="0"/>
                <w:szCs w:val="21"/>
                <w:highlight w:val="none"/>
              </w:rPr>
              <w:t>谈判文件、响应文件及验收方案等进行验收；并核对成交供应商在安装调试等方面是否违反合同约定或者服务规范要求、提供的质量保证证明材料是否齐全、应有的配件及附件是否达到合同约定等。可附）</w:t>
            </w:r>
          </w:p>
        </w:tc>
      </w:tr>
      <w:tr w14:paraId="1F85E6CD">
        <w:tblPrEx>
          <w:tblCellMar>
            <w:top w:w="0" w:type="dxa"/>
            <w:left w:w="0" w:type="dxa"/>
            <w:bottom w:w="0" w:type="dxa"/>
            <w:right w:w="0" w:type="dxa"/>
          </w:tblCellMar>
        </w:tblPrEx>
        <w:trPr>
          <w:trHeight w:val="1281" w:hRule="atLeast"/>
          <w:jc w:val="center"/>
        </w:trPr>
        <w:tc>
          <w:tcPr>
            <w:tcW w:w="1973"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AFD661">
            <w:pPr>
              <w:widowControl/>
              <w:shd w:val="clear"/>
              <w:spacing w:before="100" w:beforeAutospacing="1" w:after="100" w:afterAutospacing="1" w:line="320" w:lineRule="atLeas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7506" w:type="dxa"/>
            <w:gridSpan w:val="7"/>
            <w:tcBorders>
              <w:top w:val="nil"/>
              <w:left w:val="nil"/>
              <w:bottom w:val="single" w:color="auto" w:sz="8" w:space="0"/>
              <w:right w:val="single" w:color="auto" w:sz="8" w:space="0"/>
            </w:tcBorders>
            <w:vAlign w:val="center"/>
          </w:tcPr>
          <w:p w14:paraId="7A44D4F8">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383208BA">
        <w:tblPrEx>
          <w:tblCellMar>
            <w:top w:w="0" w:type="dxa"/>
            <w:left w:w="0" w:type="dxa"/>
            <w:bottom w:w="0" w:type="dxa"/>
            <w:right w:w="0" w:type="dxa"/>
          </w:tblCellMar>
        </w:tblPrEx>
        <w:trPr>
          <w:trHeight w:val="607" w:hRule="atLeast"/>
          <w:jc w:val="center"/>
        </w:trPr>
        <w:tc>
          <w:tcPr>
            <w:tcW w:w="1973" w:type="dxa"/>
            <w:gridSpan w:val="2"/>
            <w:vMerge w:val="continue"/>
            <w:tcBorders>
              <w:top w:val="nil"/>
              <w:left w:val="single" w:color="auto" w:sz="8" w:space="0"/>
              <w:bottom w:val="single" w:color="auto" w:sz="8" w:space="0"/>
              <w:right w:val="single" w:color="auto" w:sz="8" w:space="0"/>
            </w:tcBorders>
            <w:vAlign w:val="center"/>
          </w:tcPr>
          <w:p w14:paraId="43DD7436">
            <w:pPr>
              <w:widowControl/>
              <w:shd w:val="clear"/>
              <w:jc w:val="left"/>
              <w:rPr>
                <w:rFonts w:ascii="宋体" w:hAnsi="宋体" w:eastAsia="宋体" w:cs="宋体"/>
                <w:color w:val="auto"/>
                <w:kern w:val="0"/>
                <w:szCs w:val="21"/>
                <w:highlight w:val="none"/>
              </w:rPr>
            </w:pPr>
          </w:p>
        </w:tc>
        <w:tc>
          <w:tcPr>
            <w:tcW w:w="7506" w:type="dxa"/>
            <w:gridSpan w:val="7"/>
            <w:tcBorders>
              <w:top w:val="nil"/>
              <w:left w:val="nil"/>
              <w:bottom w:val="single" w:color="auto" w:sz="8" w:space="0"/>
              <w:right w:val="single" w:color="auto" w:sz="8" w:space="0"/>
            </w:tcBorders>
            <w:vAlign w:val="center"/>
          </w:tcPr>
          <w:p w14:paraId="6F5188B4">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11952C30">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76DDAD45">
        <w:tblPrEx>
          <w:tblCellMar>
            <w:top w:w="0" w:type="dxa"/>
            <w:left w:w="0" w:type="dxa"/>
            <w:bottom w:w="0" w:type="dxa"/>
            <w:right w:w="0" w:type="dxa"/>
          </w:tblCellMar>
        </w:tblPrEx>
        <w:trPr>
          <w:trHeight w:val="507" w:hRule="atLeast"/>
          <w:jc w:val="center"/>
        </w:trPr>
        <w:tc>
          <w:tcPr>
            <w:tcW w:w="947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35A23B">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066202E7">
        <w:tblPrEx>
          <w:tblCellMar>
            <w:top w:w="0" w:type="dxa"/>
            <w:left w:w="0" w:type="dxa"/>
            <w:bottom w:w="0" w:type="dxa"/>
            <w:right w:w="0" w:type="dxa"/>
          </w:tblCellMar>
        </w:tblPrEx>
        <w:trPr>
          <w:trHeight w:val="736" w:hRule="atLeast"/>
          <w:jc w:val="center"/>
        </w:trPr>
        <w:tc>
          <w:tcPr>
            <w:tcW w:w="9479"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C70699F">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18145282">
            <w:pPr>
              <w:widowControl/>
              <w:shd w:val="clear"/>
              <w:spacing w:before="100" w:beforeAutospacing="1" w:after="100" w:afterAutospacing="1" w:line="320" w:lineRule="atLeast"/>
              <w:ind w:firstLine="74"/>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63BE51EA">
        <w:tblPrEx>
          <w:tblCellMar>
            <w:top w:w="0" w:type="dxa"/>
            <w:left w:w="0" w:type="dxa"/>
            <w:bottom w:w="0" w:type="dxa"/>
            <w:right w:w="0" w:type="dxa"/>
          </w:tblCellMar>
        </w:tblPrEx>
        <w:trPr>
          <w:trHeight w:val="2205" w:hRule="atLeast"/>
          <w:jc w:val="center"/>
        </w:trPr>
        <w:tc>
          <w:tcPr>
            <w:tcW w:w="4513"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E52A05">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538CCF01">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p>
          <w:p w14:paraId="34CBEBAF">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p>
          <w:p w14:paraId="7AC61572">
            <w:pPr>
              <w:widowControl/>
              <w:shd w:val="clear"/>
              <w:spacing w:before="100" w:beforeAutospacing="1" w:after="100" w:afterAutospacing="1" w:line="320" w:lineRule="atLeas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966" w:type="dxa"/>
            <w:gridSpan w:val="5"/>
            <w:tcBorders>
              <w:top w:val="single" w:color="auto" w:sz="4" w:space="0"/>
              <w:left w:val="single" w:color="auto" w:sz="4" w:space="0"/>
              <w:bottom w:val="single" w:color="auto" w:sz="4" w:space="0"/>
              <w:right w:val="single" w:color="auto" w:sz="4" w:space="0"/>
            </w:tcBorders>
            <w:vAlign w:val="center"/>
          </w:tcPr>
          <w:p w14:paraId="7E3092C0">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1C957A16">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p>
          <w:p w14:paraId="0B0053F2">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p>
          <w:p w14:paraId="7E110AD9">
            <w:pPr>
              <w:widowControl/>
              <w:shd w:val="clear"/>
              <w:spacing w:before="100" w:beforeAutospacing="1" w:after="100" w:afterAutospacing="1" w:line="320" w:lineRule="atLeast"/>
              <w:ind w:firstLine="210" w:firstLineChars="1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311D6647">
      <w:pPr>
        <w:shd w:val="clear"/>
        <w:rPr>
          <w:rFonts w:ascii="Times New Roman" w:hAnsi="Times New Roman" w:eastAsia="宋体" w:cs="Times New Roman"/>
          <w:color w:val="auto"/>
          <w:highlight w:val="none"/>
        </w:rPr>
      </w:pPr>
    </w:p>
    <w:sectPr>
      <w:headerReference r:id="rId6" w:type="first"/>
      <w:footerReference r:id="rId8" w:type="first"/>
      <w:headerReference r:id="rId5" w:type="default"/>
      <w:footerReference r:id="rId7" w:type="default"/>
      <w:pgSz w:w="11906" w:h="16838"/>
      <w:pgMar w:top="1440" w:right="1080" w:bottom="1440" w:left="108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57A3B">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p>
  <w:p w14:paraId="2CBC2BEF">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2788285</wp:posOffset>
              </wp:positionH>
              <wp:positionV relativeFrom="paragraph">
                <wp:posOffset>5080</wp:posOffset>
              </wp:positionV>
              <wp:extent cx="17526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75565" cy="1828800"/>
                      </a:xfrm>
                      <a:prstGeom prst="rect">
                        <a:avLst/>
                      </a:prstGeom>
                      <a:noFill/>
                      <a:ln>
                        <a:noFill/>
                      </a:ln>
                    </wps:spPr>
                    <wps:txbx>
                      <w:txbxContent>
                        <w:p w14:paraId="643E3138">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39</w:t>
                          </w:r>
                          <w:r>
                            <w:rPr>
                              <w:rFonts w:ascii="Times New Roman" w:hAnsi="Times New Roman" w:eastAsia="宋体" w:cs="Times New Roman"/>
                              <w:kern w:val="0"/>
                              <w:sz w:val="18"/>
                              <w:szCs w:val="18"/>
                              <w:lang w:val="en-US" w:eastAsia="zh-CN" w:bidi="ar-SA"/>
                            </w:rPr>
                            <w:fldChar w:fldCharType="end"/>
                          </w:r>
                        </w:p>
                      </w:txbxContent>
                    </wps:txbx>
                    <wps:bodyPr wrap="square" lIns="0" tIns="0" rIns="0" bIns="0" upright="1">
                      <a:spAutoFit/>
                    </wps:bodyPr>
                  </wps:wsp>
                </a:graphicData>
              </a:graphic>
            </wp:anchor>
          </w:drawing>
        </mc:Choice>
        <mc:Fallback>
          <w:pict>
            <v:shape id="文本框 2" o:spid="_x0000_s1026" o:spt="202" type="#_x0000_t202" style="position:absolute;left:0pt;margin-left:219.55pt;margin-top:0.4pt;height:144pt;width:13.8pt;mso-position-horizontal-relative:margin;z-index:251659264;mso-width-relative:page;mso-height-relative:page;" filled="f" stroked="f" coordsize="21600,21600" o:gfxdata="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3NR1y9UAAAAIAQAADwAAAAAAAAABACAAAAAiAAAA&#10;ZHJzL2Rvd25yZXYueG1sUEsBAhQAFAAAAAgAh07iQKFApiTRAQAAmgMAAA4AAAAAAAAAAQAgAAAA&#10;JAEAAGRycy9lMm9Eb2MueG1sUEsFBgAAAAAGAAYAWQEAAGcFAAAAAA==&#10;">
              <v:fill on="f" focussize="0,0"/>
              <v:stroke on="f"/>
              <v:imagedata o:title=""/>
              <o:lock v:ext="edit" aspectratio="f"/>
              <v:textbox inset="0mm,0mm,0mm,0mm" style="mso-fit-shape-to-text:t;">
                <w:txbxContent>
                  <w:p w14:paraId="643E3138">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39</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D6463">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585A5F">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PAGE  \* MERGEFORMAT </w:instrText>
                          </w:r>
                          <w:r>
                            <w:rPr>
                              <w:rFonts w:hint="eastAsia"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hint="eastAsia" w:ascii="Times New Roman" w:hAnsi="Times New Roman" w:eastAsia="宋体" w:cs="Times New Roman"/>
                              <w:kern w:val="0"/>
                              <w:sz w:val="18"/>
                              <w:szCs w:val="18"/>
                              <w:lang w:val="en-US" w:eastAsia="zh-CN" w:bidi="ar-SA"/>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O3TMkBAACZ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WJ4xYHfvn+7fLj1+XnV/Iy&#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cc7dMyQEAAJkDAAAOAAAAAAAAAAEAIAAAAB4BAABkcnMvZTJvRG9j&#10;LnhtbFBLBQYAAAAABgAGAFkBAABZBQAAAAA=&#10;">
              <v:fill on="f" focussize="0,0"/>
              <v:stroke on="f"/>
              <v:imagedata o:title=""/>
              <o:lock v:ext="edit" aspectratio="f"/>
              <v:textbox inset="0mm,0mm,0mm,0mm" style="mso-fit-shape-to-text:t;">
                <w:txbxContent>
                  <w:p w14:paraId="06585A5F">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fldChar w:fldCharType="begin"/>
                    </w:r>
                    <w:r>
                      <w:rPr>
                        <w:rFonts w:hint="eastAsia" w:ascii="Times New Roman" w:hAnsi="Times New Roman" w:eastAsia="宋体" w:cs="Times New Roman"/>
                        <w:kern w:val="0"/>
                        <w:sz w:val="18"/>
                        <w:szCs w:val="18"/>
                        <w:lang w:val="en-US" w:eastAsia="zh-CN" w:bidi="ar-SA"/>
                      </w:rPr>
                      <w:instrText xml:space="preserve"> PAGE  \* MERGEFORMAT </w:instrText>
                    </w:r>
                    <w:r>
                      <w:rPr>
                        <w:rFonts w:hint="eastAsia"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hint="eastAsia"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EC06E">
    <w:pPr>
      <w:widowControl w:val="0"/>
      <w:pBdr>
        <w:bottom w:val="none" w:color="auto" w:sz="0" w:space="0"/>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477EC">
    <w:pPr>
      <w:widowControl w:val="0"/>
      <w:pBdr>
        <w:bottom w:val="none" w:color="auto" w:sz="0"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4D1E9">
    <w:pPr>
      <w:widowControl w:val="0"/>
      <w:pBdr>
        <w:bottom w:val="none" w:color="auto" w:sz="0" w:space="1"/>
      </w:pBdr>
      <w:tabs>
        <w:tab w:val="left" w:pos="3807"/>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ab/>
    </w:r>
    <w:r>
      <w:rPr>
        <w:rFonts w:hint="eastAsia" w:ascii="Times New Roman" w:hAnsi="Times New Roman" w:eastAsia="宋体" w:cs="Times New Roman"/>
        <w:kern w:val="0"/>
        <w:sz w:val="18"/>
        <w:szCs w:val="18"/>
        <w:lang w:val="en-US" w:eastAsia="zh-CN" w:bidi="ar-S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1F50F">
    <w:pPr>
      <w:widowControl w:val="0"/>
      <w:pBdr>
        <w:bottom w:val="none" w:color="auto" w:sz="0" w:space="1"/>
      </w:pBdr>
      <w:tabs>
        <w:tab w:val="left" w:pos="3224"/>
        <w:tab w:val="right" w:pos="8306"/>
      </w:tabs>
      <w:snapToGrid w:val="0"/>
      <w:jc w:val="both"/>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339B"/>
    <w:rsid w:val="07E101BC"/>
    <w:rsid w:val="0FD52E3C"/>
    <w:rsid w:val="115D0906"/>
    <w:rsid w:val="12081927"/>
    <w:rsid w:val="195440ED"/>
    <w:rsid w:val="1AC55469"/>
    <w:rsid w:val="1F7B689A"/>
    <w:rsid w:val="23630F44"/>
    <w:rsid w:val="249105C4"/>
    <w:rsid w:val="26214675"/>
    <w:rsid w:val="26361332"/>
    <w:rsid w:val="28645700"/>
    <w:rsid w:val="292972FB"/>
    <w:rsid w:val="2D5F1A41"/>
    <w:rsid w:val="2DAA3582"/>
    <w:rsid w:val="2E454DF5"/>
    <w:rsid w:val="337A5B03"/>
    <w:rsid w:val="35E17ECC"/>
    <w:rsid w:val="39E705D2"/>
    <w:rsid w:val="3A5324BE"/>
    <w:rsid w:val="3AB64A60"/>
    <w:rsid w:val="3B74007A"/>
    <w:rsid w:val="3F2D585F"/>
    <w:rsid w:val="45870DCA"/>
    <w:rsid w:val="4A6C047F"/>
    <w:rsid w:val="52BF0D90"/>
    <w:rsid w:val="604579B5"/>
    <w:rsid w:val="60680656"/>
    <w:rsid w:val="65E805C0"/>
    <w:rsid w:val="68543032"/>
    <w:rsid w:val="69B52AB5"/>
    <w:rsid w:val="6D101F46"/>
    <w:rsid w:val="6D607B67"/>
    <w:rsid w:val="6EA21EC1"/>
    <w:rsid w:val="7143329E"/>
    <w:rsid w:val="71E255F7"/>
    <w:rsid w:val="75BD36B3"/>
    <w:rsid w:val="76987114"/>
    <w:rsid w:val="76E9517A"/>
    <w:rsid w:val="77C716BC"/>
    <w:rsid w:val="78144F25"/>
    <w:rsid w:val="78451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正文文本1"/>
    <w:basedOn w:val="1"/>
    <w:qFormat/>
    <w:uiPriority w:val="0"/>
    <w:pPr>
      <w:spacing w:after="120"/>
    </w:pPr>
    <w:rPr>
      <w:kern w:val="0"/>
      <w:sz w:val="20"/>
    </w:rPr>
  </w:style>
  <w:style w:type="table" w:customStyle="1" w:styleId="7">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16936</Words>
  <Characters>18287</Characters>
  <Lines>0</Lines>
  <Paragraphs>0</Paragraphs>
  <TotalTime>0</TotalTime>
  <ScaleCrop>false</ScaleCrop>
  <LinksUpToDate>false</LinksUpToDate>
  <CharactersWithSpaces>18457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2026-06-11T02:48:00Z</dcterms:created>
  <dc:creator>Administrator</dc:creator>
  <cp:lastModifiedBy>WPS_1626832093</cp:lastModifiedBy>
  <dcterms:modified xsi:type="dcterms:W3CDTF">2026-06-24T10:20:15Z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eyJoZGlkIjoiNTRhNjM0MzZjNmExMWQ0NDA3NDZiODEwNTQ2NDliYTAiLCJ1c2VySWQiOiIxMjM0MjMwNzE3In0=</vt:lpwstr>
  </property>
  <property fmtid="{D5CDD505-2E9C-101B-9397-08002B2CF9AE}" pid="4" name="ICV">
    <vt:lpwstr>770007B85083409FBE66F3DA87071547_13</vt:lpwstr>
  </property>
</Properties>
</file>